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2.xml" ContentType="application/vnd.openxmlformats-officedocument.wordprocessingml.footer+xml"/>
  <Override PartName="/word/header27.xml" ContentType="application/vnd.openxmlformats-officedocument.wordprocessingml.header+xml"/>
  <Override PartName="/word/footer13.xml" ContentType="application/vnd.openxmlformats-officedocument.wordprocessingml.footer+xml"/>
  <Override PartName="/word/header2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32.xml" ContentType="application/vnd.openxmlformats-officedocument.wordprocessingml.header+xml"/>
  <Override PartName="/word/footer19.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20.xml" ContentType="application/vnd.openxmlformats-officedocument.wordprocessingml.footer+xml"/>
  <Override PartName="/word/header3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36.xml" ContentType="application/vnd.openxmlformats-officedocument.wordprocessingml.header+xml"/>
  <Override PartName="/word/footer23.xml" ContentType="application/vnd.openxmlformats-officedocument.wordprocessingml.footer+xml"/>
  <Override PartName="/word/header3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line="680" w:lineRule="exact" w:before="0"/>
        <w:ind w:left="268" w:right="1952"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深圳劲嘉彩印集团股份有限公司</w:t>
      </w:r>
      <w:r>
        <w:rPr>
          <w:rFonts w:ascii="Microsoft JhengHei" w:hAnsi="Microsoft JhengHei" w:cs="Microsoft JhengHei" w:eastAsia="Microsoft JhengHei" w:hint="default"/>
          <w:sz w:val="52"/>
          <w:szCs w:val="52"/>
        </w:rPr>
      </w:r>
    </w:p>
    <w:p>
      <w:pPr>
        <w:spacing w:before="396"/>
        <w:ind w:left="268" w:right="1955" w:firstLine="0"/>
        <w:jc w:val="center"/>
        <w:rPr>
          <w:rFonts w:ascii="Times New Roman" w:hAnsi="Times New Roman" w:cs="Times New Roman" w:eastAsia="Times New Roman" w:hint="default"/>
          <w:sz w:val="30"/>
          <w:szCs w:val="30"/>
        </w:rPr>
      </w:pPr>
      <w:r>
        <w:rPr>
          <w:rFonts w:ascii="Times New Roman"/>
          <w:b/>
          <w:sz w:val="30"/>
        </w:rPr>
        <w:t>SHENZHEN JINJIA COLOR PRINTING GROUP CO.,</w:t>
      </w:r>
      <w:r>
        <w:rPr>
          <w:rFonts w:ascii="Times New Roman"/>
          <w:b/>
          <w:spacing w:val="-22"/>
          <w:sz w:val="30"/>
        </w:rPr>
        <w:t> </w:t>
      </w:r>
      <w:r>
        <w:rPr>
          <w:rFonts w:ascii="Times New Roman"/>
          <w:b/>
          <w:sz w:val="30"/>
        </w:rPr>
        <w:t>LTD</w:t>
      </w:r>
      <w:r>
        <w:rPr>
          <w:rFonts w:ascii="Times New Roman"/>
          <w:sz w:val="30"/>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10"/>
        <w:rPr>
          <w:rFonts w:ascii="Times New Roman" w:hAnsi="Times New Roman" w:cs="Times New Roman" w:eastAsia="Times New Roman" w:hint="default"/>
          <w:b/>
          <w:bCs/>
          <w:sz w:val="15"/>
          <w:szCs w:val="15"/>
        </w:rPr>
      </w:pPr>
    </w:p>
    <w:p>
      <w:pPr>
        <w:spacing w:line="1692" w:lineRule="exact"/>
        <w:ind w:left="321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drawing>
          <wp:inline distT="0" distB="0" distL="0" distR="0">
            <wp:extent cx="1245566" cy="107442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245566" cy="1074420"/>
                    </a:xfrm>
                    <a:prstGeom prst="rect">
                      <a:avLst/>
                    </a:prstGeom>
                  </pic:spPr>
                </pic:pic>
              </a:graphicData>
            </a:graphic>
          </wp:inline>
        </w:drawing>
      </w:r>
      <w:r>
        <w:rPr>
          <w:rFonts w:ascii="Times New Roman" w:hAnsi="Times New Roman" w:cs="Times New Roman" w:eastAsia="Times New Roman" w:hint="default"/>
          <w:position w:val="-33"/>
          <w:sz w:val="20"/>
          <w:szCs w:val="20"/>
        </w:rPr>
      </w:r>
    </w:p>
    <w:p>
      <w:pPr>
        <w:spacing w:line="240" w:lineRule="auto" w:before="7"/>
        <w:rPr>
          <w:rFonts w:ascii="Times New Roman" w:hAnsi="Times New Roman" w:cs="Times New Roman" w:eastAsia="Times New Roman" w:hint="default"/>
          <w:b/>
          <w:bCs/>
          <w:sz w:val="27"/>
          <w:szCs w:val="27"/>
        </w:rPr>
      </w:pPr>
    </w:p>
    <w:p>
      <w:pPr>
        <w:spacing w:before="0"/>
        <w:ind w:left="268" w:right="1950"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二零一一年年度报告</w:t>
      </w:r>
      <w:r>
        <w:rPr>
          <w:rFonts w:ascii="Microsoft JhengHei" w:hAnsi="Microsoft JhengHei" w:cs="Microsoft JhengHei" w:eastAsia="Microsoft JhengHei" w:hint="default"/>
          <w:sz w:val="52"/>
          <w:szCs w:val="52"/>
        </w:rPr>
      </w:r>
    </w:p>
    <w:p>
      <w:pPr>
        <w:spacing w:line="240" w:lineRule="auto" w:before="12"/>
        <w:rPr>
          <w:rFonts w:ascii="Microsoft JhengHei" w:hAnsi="Microsoft JhengHei" w:cs="Microsoft JhengHei" w:eastAsia="Microsoft JhengHei" w:hint="default"/>
          <w:b/>
          <w:bCs/>
          <w:sz w:val="62"/>
          <w:szCs w:val="62"/>
        </w:rPr>
      </w:pPr>
    </w:p>
    <w:p>
      <w:pPr>
        <w:spacing w:line="689" w:lineRule="exact" w:before="0"/>
        <w:ind w:left="268" w:right="1946"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股票简称：劲嘉股份</w:t>
      </w:r>
      <w:r>
        <w:rPr>
          <w:rFonts w:ascii="Microsoft JhengHei" w:hAnsi="Microsoft JhengHei" w:cs="Microsoft JhengHei" w:eastAsia="Microsoft JhengHei" w:hint="default"/>
          <w:sz w:val="44"/>
          <w:szCs w:val="44"/>
        </w:rPr>
      </w:r>
    </w:p>
    <w:p>
      <w:pPr>
        <w:spacing w:line="689" w:lineRule="exact" w:before="0"/>
        <w:ind w:left="268" w:right="1949"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（股票代码：</w:t>
      </w:r>
      <w:r>
        <w:rPr>
          <w:rFonts w:ascii="Times New Roman" w:hAnsi="Times New Roman" w:cs="Times New Roman" w:eastAsia="Times New Roman" w:hint="default"/>
          <w:b/>
          <w:bCs/>
          <w:sz w:val="44"/>
          <w:szCs w:val="44"/>
        </w:rPr>
        <w:t>002191</w:t>
      </w:r>
      <w:r>
        <w:rPr>
          <w:rFonts w:ascii="Microsoft JhengHei" w:hAnsi="Microsoft JhengHei" w:cs="Microsoft JhengHei" w:eastAsia="Microsoft JhengHei" w:hint="default"/>
          <w:b/>
          <w:bCs/>
          <w:sz w:val="44"/>
          <w:szCs w:val="44"/>
        </w:rPr>
        <w:t>）</w:t>
      </w:r>
      <w:r>
        <w:rPr>
          <w:rFonts w:ascii="Microsoft JhengHei" w:hAnsi="Microsoft JhengHei" w:cs="Microsoft JhengHei" w:eastAsia="Microsoft JhengHei" w:hint="default"/>
          <w:sz w:val="44"/>
          <w:szCs w:val="44"/>
        </w:rPr>
      </w:r>
    </w:p>
    <w:p>
      <w:pPr>
        <w:spacing w:line="240" w:lineRule="auto" w:before="2"/>
        <w:rPr>
          <w:rFonts w:ascii="Microsoft JhengHei" w:hAnsi="Microsoft JhengHei" w:cs="Microsoft JhengHei" w:eastAsia="Microsoft JhengHei" w:hint="default"/>
          <w:b/>
          <w:bCs/>
          <w:sz w:val="32"/>
          <w:szCs w:val="32"/>
        </w:rPr>
      </w:pPr>
    </w:p>
    <w:p>
      <w:pPr>
        <w:spacing w:before="0"/>
        <w:ind w:left="268" w:right="1949"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二</w:t>
      </w:r>
      <w:r>
        <w:rPr>
          <w:rFonts w:ascii="宋体" w:hAnsi="宋体" w:cs="宋体" w:eastAsia="宋体" w:hint="default"/>
          <w:b/>
          <w:bCs/>
          <w:sz w:val="44"/>
          <w:szCs w:val="44"/>
        </w:rPr>
        <w:t>〇一二</w:t>
      </w:r>
      <w:r>
        <w:rPr>
          <w:rFonts w:ascii="Microsoft JhengHei" w:hAnsi="Microsoft JhengHei" w:cs="Microsoft JhengHei" w:eastAsia="Microsoft JhengHei" w:hint="default"/>
          <w:b/>
          <w:bCs/>
          <w:sz w:val="44"/>
          <w:szCs w:val="44"/>
        </w:rPr>
        <w:t>年三月十五日</w:t>
      </w:r>
      <w:r>
        <w:rPr>
          <w:rFonts w:ascii="Microsoft JhengHei" w:hAnsi="Microsoft JhengHei" w:cs="Microsoft JhengHei" w:eastAsia="Microsoft JhengHei" w:hint="default"/>
          <w:sz w:val="44"/>
          <w:szCs w:val="44"/>
        </w:rPr>
      </w:r>
    </w:p>
    <w:p>
      <w:pPr>
        <w:spacing w:after="0"/>
        <w:jc w:val="center"/>
        <w:rPr>
          <w:rFonts w:ascii="Microsoft JhengHei" w:hAnsi="Microsoft JhengHei" w:cs="Microsoft JhengHei" w:eastAsia="Microsoft JhengHei" w:hint="default"/>
          <w:sz w:val="44"/>
          <w:szCs w:val="44"/>
        </w:rPr>
        <w:sectPr>
          <w:headerReference w:type="default" r:id="rId5"/>
          <w:footerReference w:type="default" r:id="rId6"/>
          <w:type w:val="continuous"/>
          <w:pgSz w:w="11910" w:h="16840"/>
          <w:pgMar w:header="920" w:footer="936" w:top="1140" w:bottom="1120" w:left="1680" w:right="0"/>
          <w:pgNumType w:start="2"/>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1"/>
          <w:szCs w:val="11"/>
        </w:rPr>
      </w:pPr>
    </w:p>
    <w:p>
      <w:pPr>
        <w:pStyle w:val="Heading2"/>
        <w:spacing w:line="240" w:lineRule="auto" w:before="14"/>
        <w:ind w:left="4369" w:right="0"/>
        <w:jc w:val="left"/>
        <w:rPr>
          <w:b w:val="0"/>
          <w:bCs w:val="0"/>
        </w:rPr>
      </w:pPr>
      <w:r>
        <w:rPr/>
        <w:t>重要提示</w:t>
      </w:r>
      <w:r>
        <w:rPr>
          <w:b w:val="0"/>
          <w:bCs w:val="0"/>
        </w:rPr>
      </w:r>
    </w:p>
    <w:p>
      <w:pPr>
        <w:spacing w:line="240" w:lineRule="auto" w:before="0"/>
        <w:rPr>
          <w:rFonts w:ascii="宋体" w:hAnsi="宋体" w:cs="宋体" w:eastAsia="宋体" w:hint="default"/>
          <w:b/>
          <w:bCs/>
          <w:sz w:val="37"/>
          <w:szCs w:val="37"/>
        </w:rPr>
      </w:pPr>
    </w:p>
    <w:p>
      <w:pPr>
        <w:pStyle w:val="BodyText"/>
        <w:spacing w:line="357" w:lineRule="auto"/>
        <w:ind w:right="1139" w:firstLine="480"/>
        <w:jc w:val="both"/>
      </w:pPr>
      <w:r>
        <w:rPr/>
        <w:t>本公司董事会、监事会及董事、监事、高级管理人员保证本报告所载资料不存在任何虚 假记载、误导性陈述或者重大遗漏，并对其内容的真实性、准确性和完整性承担个别及连带</w:t>
      </w:r>
      <w:r>
        <w:rPr>
          <w:spacing w:val="-91"/>
        </w:rPr>
        <w:t> </w:t>
      </w:r>
      <w:r>
        <w:rPr>
          <w:spacing w:val="-91"/>
        </w:rPr>
      </w:r>
      <w:r>
        <w:rPr/>
        <w:t>责任。</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BodyText"/>
        <w:spacing w:line="355" w:lineRule="auto"/>
        <w:ind w:right="1140" w:firstLine="480"/>
        <w:jc w:val="both"/>
      </w:pPr>
      <w:r>
        <w:rPr/>
        <w:t>没有董事、监事、高级管理人员声明对年度报告内容的真实性、准确性和完整性无法保 证或存在异议。</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BodyText"/>
        <w:spacing w:line="355" w:lineRule="auto"/>
        <w:ind w:right="1140" w:firstLine="480"/>
        <w:jc w:val="both"/>
      </w:pPr>
      <w:r>
        <w:rPr/>
        <w:t>董事长乔鲁予委托董事张明义、独立董事李新中委托独立董事龙隆参加会议，其余董事 均出席审议本次年报的董事会会议。</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BodyText"/>
        <w:spacing w:line="355" w:lineRule="auto"/>
        <w:ind w:right="1133" w:firstLine="480"/>
        <w:jc w:val="both"/>
      </w:pPr>
      <w:r>
        <w:rPr/>
        <w:t>深圳市鹏城会计师事务所有限公司为本公司 </w:t>
      </w:r>
      <w:r>
        <w:rPr>
          <w:rFonts w:ascii="宋体" w:hAnsi="宋体" w:cs="宋体" w:eastAsia="宋体" w:hint="default"/>
        </w:rPr>
        <w:t>2011</w:t>
      </w:r>
      <w:r>
        <w:rPr>
          <w:rFonts w:ascii="宋体" w:hAnsi="宋体" w:cs="宋体" w:eastAsia="宋体" w:hint="default"/>
          <w:spacing w:val="30"/>
        </w:rPr>
        <w:t> </w:t>
      </w:r>
      <w:r>
        <w:rPr/>
        <w:t>年度财务报告出具了标准无保留意见 的审计报告。</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0"/>
          <w:szCs w:val="20"/>
        </w:rPr>
      </w:pPr>
    </w:p>
    <w:p>
      <w:pPr>
        <w:pStyle w:val="BodyText"/>
        <w:spacing w:line="355" w:lineRule="auto"/>
        <w:ind w:right="1136" w:firstLine="480"/>
        <w:jc w:val="both"/>
      </w:pPr>
      <w:r>
        <w:rPr/>
        <w:t>公司法定代表人、董事长乔鲁予先生、主管会计工作的公司负责人及会计机构负责人富 培军先生声明：保证</w:t>
      </w:r>
      <w:r>
        <w:rPr>
          <w:spacing w:val="-60"/>
        </w:rPr>
        <w:t> </w:t>
      </w:r>
      <w:r>
        <w:rPr>
          <w:rFonts w:ascii="宋体" w:hAnsi="宋体" w:cs="宋体" w:eastAsia="宋体" w:hint="default"/>
        </w:rPr>
        <w:t>2011</w:t>
      </w:r>
      <w:r>
        <w:rPr>
          <w:rFonts w:ascii="宋体" w:hAnsi="宋体" w:cs="宋体" w:eastAsia="宋体" w:hint="default"/>
          <w:spacing w:val="-60"/>
        </w:rPr>
        <w:t> </w:t>
      </w:r>
      <w:r>
        <w:rPr/>
        <w:t>年度报告中财务报告的真实、准确、完整。</w:t>
      </w:r>
    </w:p>
    <w:p>
      <w:pPr>
        <w:spacing w:after="0" w:line="355" w:lineRule="auto"/>
        <w:jc w:val="both"/>
        <w:sectPr>
          <w:pgSz w:w="11910" w:h="16840"/>
          <w:pgMar w:header="920" w:footer="936" w:top="1140" w:bottom="114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tabs>
          <w:tab w:pos="645" w:val="left" w:leader="none"/>
        </w:tabs>
        <w:spacing w:before="0"/>
        <w:ind w:left="0" w:right="1018"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073" w:val="left" w:leader="none"/>
              <w:tab w:pos="8411" w:val="right" w:leader="dot"/>
            </w:tabs>
            <w:spacing w:line="240" w:lineRule="auto" w:before="502"/>
            <w:ind w:right="0"/>
            <w:jc w:val="left"/>
            <w:rPr>
              <w:rFonts w:ascii="Times New Roman" w:hAnsi="Times New Roman" w:cs="Times New Roman" w:eastAsia="Times New Roman" w:hint="default"/>
            </w:rPr>
          </w:pPr>
          <w:hyperlink w:history="true" w:anchor="_TOC_250010">
            <w:r>
              <w:rPr/>
              <w:t>第一节</w:t>
              <w:tab/>
              <w:t>公司基本情况简介</w:t>
            </w:r>
            <w:r>
              <w:rPr>
                <w:rFonts w:ascii="Times New Roman" w:hAnsi="Times New Roman" w:cs="Times New Roman" w:eastAsia="Times New Roman" w:hint="default"/>
              </w:rPr>
              <w:tab/>
              <w:t>5</w:t>
            </w:r>
          </w:hyperlink>
        </w:p>
        <w:p>
          <w:pPr>
            <w:pStyle w:val="TOC1"/>
            <w:tabs>
              <w:tab w:pos="1073" w:val="left" w:leader="none"/>
              <w:tab w:pos="8411" w:val="right" w:leader="dot"/>
            </w:tabs>
            <w:spacing w:line="240" w:lineRule="auto"/>
            <w:ind w:right="0"/>
            <w:jc w:val="left"/>
            <w:rPr>
              <w:rFonts w:ascii="Times New Roman" w:hAnsi="Times New Roman" w:cs="Times New Roman" w:eastAsia="Times New Roman" w:hint="default"/>
            </w:rPr>
          </w:pPr>
          <w:hyperlink w:history="true" w:anchor="_TOC_250009">
            <w:r>
              <w:rPr/>
              <w:t>第二节</w:t>
              <w:tab/>
              <w:t>会计数据和业务数据摘要</w:t>
            </w:r>
            <w:r>
              <w:rPr>
                <w:rFonts w:ascii="Times New Roman" w:hAnsi="Times New Roman" w:cs="Times New Roman" w:eastAsia="Times New Roman" w:hint="default"/>
              </w:rPr>
              <w:tab/>
              <w:t>7</w:t>
            </w:r>
          </w:hyperlink>
        </w:p>
        <w:p>
          <w:pPr>
            <w:pStyle w:val="TOC1"/>
            <w:tabs>
              <w:tab w:pos="1073" w:val="left" w:leader="none"/>
              <w:tab w:pos="8401" w:val="right" w:leader="dot"/>
            </w:tabs>
            <w:spacing w:line="240" w:lineRule="auto"/>
            <w:ind w:right="0"/>
            <w:jc w:val="left"/>
            <w:rPr>
              <w:rFonts w:ascii="Times New Roman" w:hAnsi="Times New Roman" w:cs="Times New Roman" w:eastAsia="Times New Roman" w:hint="default"/>
            </w:rPr>
          </w:pPr>
          <w:hyperlink w:history="true" w:anchor="_TOC_250008">
            <w:r>
              <w:rPr/>
              <w:t>第三节</w:t>
              <w:tab/>
              <w:t>股本变动及股东情况</w:t>
            </w:r>
            <w:r>
              <w:rPr>
                <w:rFonts w:ascii="Times New Roman" w:hAnsi="Times New Roman" w:cs="Times New Roman" w:eastAsia="Times New Roman" w:hint="default"/>
              </w:rPr>
              <w:tab/>
            </w:r>
            <w:r>
              <w:rPr>
                <w:rFonts w:ascii="Times New Roman" w:hAnsi="Times New Roman" w:cs="Times New Roman" w:eastAsia="Times New Roman" w:hint="default"/>
                <w:spacing w:val="-10"/>
              </w:rPr>
              <w:t>11</w:t>
            </w:r>
            <w:r>
              <w:rPr>
                <w:rFonts w:ascii="Times New Roman" w:hAnsi="Times New Roman" w:cs="Times New Roman" w:eastAsia="Times New Roman" w:hint="default"/>
              </w:rPr>
            </w:r>
          </w:hyperlink>
        </w:p>
        <w:p>
          <w:pPr>
            <w:pStyle w:val="TOC1"/>
            <w:tabs>
              <w:tab w:pos="1073" w:val="left" w:leader="none"/>
              <w:tab w:pos="8411" w:val="right" w:leader="dot"/>
            </w:tabs>
            <w:spacing w:line="240" w:lineRule="auto"/>
            <w:ind w:right="0"/>
            <w:jc w:val="left"/>
            <w:rPr>
              <w:rFonts w:ascii="Times New Roman" w:hAnsi="Times New Roman" w:cs="Times New Roman" w:eastAsia="Times New Roman" w:hint="default"/>
            </w:rPr>
          </w:pPr>
          <w:hyperlink w:history="true" w:anchor="_TOC_250007">
            <w:r>
              <w:rPr/>
              <w:t>第四节</w:t>
              <w:tab/>
              <w:t>董事、监事和高级管理人员</w:t>
            </w:r>
            <w:r>
              <w:rPr>
                <w:rFonts w:ascii="Times New Roman" w:hAnsi="Times New Roman" w:cs="Times New Roman" w:eastAsia="Times New Roman" w:hint="default"/>
              </w:rPr>
              <w:tab/>
              <w:t>16</w:t>
            </w:r>
          </w:hyperlink>
        </w:p>
        <w:p>
          <w:pPr>
            <w:pStyle w:val="TOC1"/>
            <w:tabs>
              <w:tab w:pos="1073" w:val="left" w:leader="none"/>
              <w:tab w:pos="8411" w:val="right" w:leader="dot"/>
            </w:tabs>
            <w:spacing w:line="240" w:lineRule="auto"/>
            <w:ind w:right="0"/>
            <w:jc w:val="left"/>
            <w:rPr>
              <w:rFonts w:ascii="Times New Roman" w:hAnsi="Times New Roman" w:cs="Times New Roman" w:eastAsia="Times New Roman" w:hint="default"/>
            </w:rPr>
          </w:pPr>
          <w:hyperlink w:history="true" w:anchor="_TOC_250006">
            <w:r>
              <w:rPr/>
              <w:t>第五节</w:t>
              <w:tab/>
              <w:t>公司治理结构</w:t>
            </w:r>
            <w:r>
              <w:rPr>
                <w:rFonts w:ascii="Times New Roman" w:hAnsi="Times New Roman" w:cs="Times New Roman" w:eastAsia="Times New Roman" w:hint="default"/>
              </w:rPr>
              <w:tab/>
              <w:t>22</w:t>
            </w:r>
          </w:hyperlink>
        </w:p>
        <w:p>
          <w:pPr>
            <w:pStyle w:val="TOC1"/>
            <w:tabs>
              <w:tab w:pos="1073" w:val="left" w:leader="none"/>
              <w:tab w:pos="8411" w:val="right" w:leader="dot"/>
            </w:tabs>
            <w:spacing w:line="240" w:lineRule="auto" w:before="176"/>
            <w:ind w:right="0"/>
            <w:jc w:val="left"/>
            <w:rPr>
              <w:rFonts w:ascii="Times New Roman" w:hAnsi="Times New Roman" w:cs="Times New Roman" w:eastAsia="Times New Roman" w:hint="default"/>
            </w:rPr>
          </w:pPr>
          <w:hyperlink w:history="true" w:anchor="_TOC_250005">
            <w:r>
              <w:rPr/>
              <w:t>第六节</w:t>
              <w:tab/>
              <w:t>股东大会情况介绍</w:t>
            </w:r>
            <w:r>
              <w:rPr>
                <w:rFonts w:ascii="Times New Roman" w:hAnsi="Times New Roman" w:cs="Times New Roman" w:eastAsia="Times New Roman" w:hint="default"/>
              </w:rPr>
              <w:tab/>
              <w:t>35</w:t>
            </w:r>
          </w:hyperlink>
        </w:p>
        <w:p>
          <w:pPr>
            <w:pStyle w:val="TOC1"/>
            <w:tabs>
              <w:tab w:pos="1073" w:val="left" w:leader="none"/>
              <w:tab w:pos="8411" w:val="right" w:leader="dot"/>
            </w:tabs>
            <w:spacing w:line="240" w:lineRule="auto"/>
            <w:ind w:right="0"/>
            <w:jc w:val="left"/>
            <w:rPr>
              <w:rFonts w:ascii="Times New Roman" w:hAnsi="Times New Roman" w:cs="Times New Roman" w:eastAsia="Times New Roman" w:hint="default"/>
            </w:rPr>
          </w:pPr>
          <w:hyperlink w:history="true" w:anchor="_TOC_250004">
            <w:r>
              <w:rPr/>
              <w:t>第七节</w:t>
              <w:tab/>
              <w:t>董事会报告</w:t>
            </w:r>
            <w:r>
              <w:rPr>
                <w:rFonts w:ascii="Times New Roman" w:hAnsi="Times New Roman" w:cs="Times New Roman" w:eastAsia="Times New Roman" w:hint="default"/>
              </w:rPr>
              <w:tab/>
              <w:t>37</w:t>
            </w:r>
          </w:hyperlink>
        </w:p>
        <w:p>
          <w:pPr>
            <w:pStyle w:val="TOC1"/>
            <w:tabs>
              <w:tab w:pos="1073" w:val="left" w:leader="none"/>
              <w:tab w:pos="8411" w:val="right" w:leader="dot"/>
            </w:tabs>
            <w:spacing w:line="240" w:lineRule="auto"/>
            <w:ind w:right="0"/>
            <w:jc w:val="left"/>
            <w:rPr>
              <w:rFonts w:ascii="Times New Roman" w:hAnsi="Times New Roman" w:cs="Times New Roman" w:eastAsia="Times New Roman" w:hint="default"/>
            </w:rPr>
          </w:pPr>
          <w:hyperlink w:history="true" w:anchor="_TOC_250003">
            <w:r>
              <w:rPr/>
              <w:t>第八节</w:t>
              <w:tab/>
              <w:t>监事会报告</w:t>
            </w:r>
            <w:r>
              <w:rPr>
                <w:rFonts w:ascii="Times New Roman" w:hAnsi="Times New Roman" w:cs="Times New Roman" w:eastAsia="Times New Roman" w:hint="default"/>
              </w:rPr>
              <w:tab/>
              <w:t>65</w:t>
            </w:r>
          </w:hyperlink>
        </w:p>
        <w:p>
          <w:pPr>
            <w:pStyle w:val="TOC1"/>
            <w:tabs>
              <w:tab w:pos="1073" w:val="left" w:leader="none"/>
              <w:tab w:pos="8411" w:val="right" w:leader="dot"/>
            </w:tabs>
            <w:spacing w:line="240" w:lineRule="auto"/>
            <w:ind w:right="0"/>
            <w:jc w:val="left"/>
            <w:rPr>
              <w:rFonts w:ascii="Times New Roman" w:hAnsi="Times New Roman" w:cs="Times New Roman" w:eastAsia="Times New Roman" w:hint="default"/>
            </w:rPr>
          </w:pPr>
          <w:hyperlink w:history="true" w:anchor="_TOC_250002">
            <w:r>
              <w:rPr/>
              <w:t>第九节</w:t>
              <w:tab/>
              <w:t>重要事项</w:t>
            </w:r>
            <w:r>
              <w:rPr>
                <w:rFonts w:ascii="Times New Roman" w:hAnsi="Times New Roman" w:cs="Times New Roman" w:eastAsia="Times New Roman" w:hint="default"/>
              </w:rPr>
              <w:tab/>
              <w:t>69</w:t>
            </w:r>
          </w:hyperlink>
        </w:p>
        <w:p>
          <w:pPr>
            <w:pStyle w:val="TOC1"/>
            <w:tabs>
              <w:tab w:pos="1073" w:val="left" w:leader="none"/>
              <w:tab w:pos="8411" w:val="right" w:leader="dot"/>
            </w:tabs>
            <w:spacing w:line="240" w:lineRule="auto"/>
            <w:ind w:right="0"/>
            <w:jc w:val="left"/>
            <w:rPr>
              <w:rFonts w:ascii="Times New Roman" w:hAnsi="Times New Roman" w:cs="Times New Roman" w:eastAsia="Times New Roman" w:hint="default"/>
            </w:rPr>
          </w:pPr>
          <w:hyperlink w:history="true" w:anchor="_TOC_250001">
            <w:r>
              <w:rPr/>
              <w:t>第十节</w:t>
              <w:tab/>
              <w:t>财务报告</w:t>
            </w:r>
            <w:r>
              <w:rPr>
                <w:rFonts w:ascii="Times New Roman" w:hAnsi="Times New Roman" w:cs="Times New Roman" w:eastAsia="Times New Roman" w:hint="default"/>
              </w:rPr>
              <w:tab/>
              <w:t>76</w:t>
            </w:r>
          </w:hyperlink>
        </w:p>
        <w:p>
          <w:pPr>
            <w:pStyle w:val="TOC1"/>
            <w:tabs>
              <w:tab w:pos="8411" w:val="right" w:leader="dot"/>
            </w:tabs>
            <w:spacing w:line="240" w:lineRule="auto" w:before="176"/>
            <w:ind w:right="0"/>
            <w:jc w:val="left"/>
            <w:rPr>
              <w:rFonts w:ascii="Times New Roman" w:hAnsi="Times New Roman" w:cs="Times New Roman" w:eastAsia="Times New Roman" w:hint="default"/>
            </w:rPr>
          </w:pPr>
          <w:hyperlink w:history="true" w:anchor="_TOC_250000">
            <w:r>
              <w:rPr/>
              <w:t>第十一节 备查文件目录</w:t>
            </w:r>
            <w:r>
              <w:rPr>
                <w:rFonts w:ascii="Times New Roman" w:hAnsi="Times New Roman" w:cs="Times New Roman" w:eastAsia="Times New Roman" w:hint="default"/>
              </w:rPr>
              <w:tab/>
              <w:t>7</w:t>
            </w:r>
          </w:hyperlink>
        </w:p>
      </w:sdtContent>
    </w:sdt>
    <w:p>
      <w:pPr>
        <w:spacing w:after="0" w:line="240" w:lineRule="auto"/>
        <w:jc w:val="left"/>
        <w:rPr>
          <w:rFonts w:ascii="Times New Roman" w:hAnsi="Times New Roman" w:cs="Times New Roman" w:eastAsia="Times New Roman" w:hint="default"/>
        </w:rPr>
        <w:sectPr>
          <w:pgSz w:w="11910" w:h="16840"/>
          <w:pgMar w:header="920" w:footer="936" w:top="1140" w:bottom="1140" w:left="1020" w:right="0"/>
        </w:sectPr>
      </w:pPr>
    </w:p>
    <w:p>
      <w:pPr>
        <w:pStyle w:val="Heading1"/>
        <w:spacing w:line="240" w:lineRule="auto" w:before="264"/>
        <w:ind w:left="3329" w:right="0"/>
        <w:jc w:val="left"/>
        <w:rPr>
          <w:rFonts w:ascii="宋体" w:hAnsi="宋体" w:cs="宋体" w:eastAsia="宋体" w:hint="default"/>
        </w:rPr>
      </w:pPr>
      <w:bookmarkStart w:name="_TOC_250010" w:id="1"/>
      <w:r>
        <w:rPr>
          <w:rFonts w:ascii="宋体" w:hAnsi="宋体" w:cs="宋体" w:eastAsia="宋体" w:hint="default"/>
        </w:rPr>
        <w:t>第一节</w:t>
      </w:r>
      <w:r>
        <w:rPr>
          <w:rFonts w:ascii="宋体" w:hAnsi="宋体" w:cs="宋体" w:eastAsia="宋体" w:hint="default"/>
          <w:spacing w:val="-3"/>
        </w:rPr>
        <w:t> </w:t>
      </w:r>
      <w:bookmarkEnd w:id="1"/>
      <w:r>
        <w:rPr>
          <w:rFonts w:ascii="宋体" w:hAnsi="宋体" w:cs="宋体" w:eastAsia="宋体" w:hint="default"/>
        </w:rPr>
        <w:t>公司基本情况简介</w:t>
      </w: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34"/>
          <w:szCs w:val="34"/>
        </w:rPr>
      </w:pPr>
    </w:p>
    <w:p>
      <w:pPr>
        <w:pStyle w:val="Heading2"/>
        <w:tabs>
          <w:tab w:pos="953" w:val="left" w:leader="none"/>
        </w:tabs>
        <w:spacing w:line="240" w:lineRule="auto"/>
        <w:ind w:right="0"/>
        <w:jc w:val="left"/>
        <w:rPr>
          <w:b w:val="0"/>
          <w:bCs w:val="0"/>
        </w:rPr>
      </w:pPr>
      <w:r>
        <w:rPr>
          <w:w w:val="95"/>
        </w:rPr>
        <w:t>一、</w:t>
        <w:tab/>
      </w:r>
      <w:r>
        <w:rPr/>
        <w:t>基本情况简介</w:t>
      </w:r>
      <w:r>
        <w:rPr>
          <w:b w:val="0"/>
          <w:bCs w:val="0"/>
        </w:rPr>
      </w:r>
    </w:p>
    <w:p>
      <w:pPr>
        <w:spacing w:line="240" w:lineRule="auto" w:before="6"/>
        <w:rPr>
          <w:rFonts w:ascii="宋体" w:hAnsi="宋体" w:cs="宋体" w:eastAsia="宋体" w:hint="default"/>
          <w:b/>
          <w:bCs/>
          <w:sz w:val="23"/>
          <w:szCs w:val="23"/>
        </w:rPr>
      </w:pPr>
    </w:p>
    <w:p>
      <w:pPr>
        <w:pStyle w:val="BodyText"/>
        <w:spacing w:line="386" w:lineRule="auto"/>
        <w:ind w:left="578" w:right="2685"/>
        <w:jc w:val="left"/>
        <w:rPr>
          <w:rFonts w:ascii="Times New Roman" w:hAnsi="Times New Roman" w:cs="Times New Roman" w:eastAsia="Times New Roman" w:hint="default"/>
        </w:rPr>
      </w:pPr>
      <w:r>
        <w:rPr/>
        <w:t>公司法定中文名称：深圳劲嘉彩印集团股份有限公司 公司英文名称：</w:t>
      </w:r>
      <w:r>
        <w:rPr>
          <w:rFonts w:ascii="Times New Roman" w:hAnsi="Times New Roman" w:cs="Times New Roman" w:eastAsia="Times New Roman" w:hint="default"/>
        </w:rPr>
        <w:t>SHENZHEN JINJIA COLOR PRINTING GROUP CO.,</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9"/>
        </w:rPr>
        <w:t>LTD</w:t>
      </w:r>
    </w:p>
    <w:p>
      <w:pPr>
        <w:pStyle w:val="BodyText"/>
        <w:spacing w:line="386" w:lineRule="auto" w:before="12"/>
        <w:ind w:left="578" w:right="8128"/>
        <w:jc w:val="left"/>
        <w:rPr>
          <w:rFonts w:ascii="Times New Roman" w:hAnsi="Times New Roman" w:cs="Times New Roman" w:eastAsia="Times New Roman" w:hint="default"/>
        </w:rPr>
      </w:pPr>
      <w:r>
        <w:rPr/>
        <w:t>中文简称：劲嘉股份 英文缩写：</w:t>
      </w:r>
      <w:r>
        <w:rPr>
          <w:rFonts w:ascii="Times New Roman" w:hAnsi="Times New Roman" w:cs="Times New Roman" w:eastAsia="Times New Roman" w:hint="default"/>
        </w:rPr>
        <w:t>SZJCP</w:t>
      </w:r>
    </w:p>
    <w:p>
      <w:pPr>
        <w:spacing w:line="240" w:lineRule="auto" w:before="1"/>
        <w:rPr>
          <w:rFonts w:ascii="Times New Roman" w:hAnsi="Times New Roman" w:cs="Times New Roman" w:eastAsia="Times New Roman" w:hint="default"/>
          <w:sz w:val="23"/>
          <w:szCs w:val="23"/>
        </w:rPr>
      </w:pPr>
    </w:p>
    <w:p>
      <w:pPr>
        <w:pStyle w:val="Heading2"/>
        <w:tabs>
          <w:tab w:pos="953" w:val="left" w:leader="none"/>
        </w:tabs>
        <w:spacing w:line="240" w:lineRule="auto"/>
        <w:ind w:right="0"/>
        <w:jc w:val="left"/>
        <w:rPr>
          <w:b w:val="0"/>
          <w:bCs w:val="0"/>
        </w:rPr>
      </w:pPr>
      <w:r>
        <w:rPr>
          <w:w w:val="95"/>
        </w:rPr>
        <w:t>二、</w:t>
        <w:tab/>
      </w:r>
      <w:r>
        <w:rPr/>
        <w:t>公司法定代表人：乔鲁予</w:t>
      </w:r>
      <w:r>
        <w:rPr>
          <w:b w:val="0"/>
          <w:bCs w:val="0"/>
        </w:rPr>
      </w:r>
    </w:p>
    <w:p>
      <w:pPr>
        <w:spacing w:line="240" w:lineRule="auto" w:before="11"/>
        <w:rPr>
          <w:rFonts w:ascii="宋体" w:hAnsi="宋体" w:cs="宋体" w:eastAsia="宋体" w:hint="default"/>
          <w:b/>
          <w:bCs/>
          <w:sz w:val="22"/>
          <w:szCs w:val="22"/>
        </w:rPr>
      </w:pPr>
    </w:p>
    <w:p>
      <w:pPr>
        <w:pStyle w:val="Heading2"/>
        <w:tabs>
          <w:tab w:pos="953" w:val="left" w:leader="none"/>
        </w:tabs>
        <w:spacing w:line="240" w:lineRule="auto"/>
        <w:ind w:right="0"/>
        <w:jc w:val="left"/>
        <w:rPr>
          <w:b w:val="0"/>
          <w:bCs w:val="0"/>
        </w:rPr>
      </w:pPr>
      <w:r>
        <w:rPr>
          <w:w w:val="95"/>
        </w:rPr>
        <w:t>三、</w:t>
        <w:tab/>
      </w:r>
      <w:r>
        <w:rPr/>
        <w:t>公司董事会秘书与证券事务代表</w:t>
      </w:r>
      <w:r>
        <w:rPr>
          <w:b w:val="0"/>
          <w:bCs w:val="0"/>
        </w:rPr>
      </w:r>
    </w:p>
    <w:p>
      <w:pPr>
        <w:spacing w:line="240" w:lineRule="auto" w:before="7"/>
        <w:rPr>
          <w:rFonts w:ascii="宋体" w:hAnsi="宋体" w:cs="宋体" w:eastAsia="宋体" w:hint="default"/>
          <w:b/>
          <w:bCs/>
          <w:sz w:val="26"/>
          <w:szCs w:val="26"/>
        </w:rPr>
      </w:pPr>
    </w:p>
    <w:tbl>
      <w:tblPr>
        <w:tblW w:w="0" w:type="auto"/>
        <w:jc w:val="left"/>
        <w:tblInd w:w="674" w:type="dxa"/>
        <w:tblLayout w:type="fixed"/>
        <w:tblCellMar>
          <w:top w:w="0" w:type="dxa"/>
          <w:left w:w="0" w:type="dxa"/>
          <w:bottom w:w="0" w:type="dxa"/>
          <w:right w:w="0" w:type="dxa"/>
        </w:tblCellMar>
        <w:tblLook w:val="01E0"/>
      </w:tblPr>
      <w:tblGrid>
        <w:gridCol w:w="1541"/>
        <w:gridCol w:w="3423"/>
        <w:gridCol w:w="3543"/>
      </w:tblGrid>
      <w:tr>
        <w:trPr>
          <w:trHeight w:val="434" w:hRule="exact"/>
        </w:trPr>
        <w:tc>
          <w:tcPr>
            <w:tcW w:w="1541" w:type="dxa"/>
            <w:tcBorders>
              <w:top w:val="single" w:sz="4" w:space="0" w:color="000000"/>
              <w:left w:val="single" w:sz="4" w:space="0" w:color="000000"/>
              <w:bottom w:val="single" w:sz="4" w:space="0" w:color="000000"/>
              <w:right w:val="single" w:sz="4" w:space="0" w:color="000000"/>
            </w:tcBorders>
          </w:tcPr>
          <w:p>
            <w:pP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b/>
                <w:bCs/>
                <w:sz w:val="21"/>
                <w:szCs w:val="21"/>
              </w:rPr>
              <w:t>董事会秘书</w:t>
            </w:r>
            <w:r>
              <w:rPr>
                <w:rFonts w:ascii="宋体" w:hAnsi="宋体" w:cs="宋体" w:eastAsia="宋体" w:hint="default"/>
                <w:sz w:val="21"/>
                <w:szCs w:val="21"/>
              </w:rPr>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b/>
                <w:bCs/>
                <w:sz w:val="21"/>
                <w:szCs w:val="21"/>
              </w:rPr>
              <w:t>证券事务代表</w:t>
            </w:r>
            <w:r>
              <w:rPr>
                <w:rFonts w:ascii="宋体" w:hAnsi="宋体" w:cs="宋体" w:eastAsia="宋体" w:hint="default"/>
                <w:sz w:val="21"/>
                <w:szCs w:val="21"/>
              </w:rPr>
            </w:r>
          </w:p>
        </w:tc>
      </w:tr>
      <w:tr>
        <w:trPr>
          <w:trHeight w:val="43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40"/>
              <w:ind w:right="0"/>
              <w:jc w:val="center"/>
              <w:rPr>
                <w:rFonts w:ascii="宋体" w:hAnsi="宋体" w:cs="宋体" w:eastAsia="宋体" w:hint="default"/>
                <w:sz w:val="21"/>
                <w:szCs w:val="21"/>
              </w:rPr>
            </w:pPr>
            <w:r>
              <w:rPr>
                <w:rFonts w:ascii="宋体" w:hAnsi="宋体" w:cs="宋体" w:eastAsia="宋体" w:hint="default"/>
                <w:b/>
                <w:bCs/>
                <w:sz w:val="21"/>
                <w:szCs w:val="21"/>
              </w:rPr>
              <w:t>姓</w:t>
              <w:tab/>
              <w:t>名</w:t>
            </w:r>
            <w:r>
              <w:rPr>
                <w:rFonts w:ascii="宋体" w:hAnsi="宋体" w:cs="宋体" w:eastAsia="宋体" w:hint="default"/>
                <w:sz w:val="21"/>
                <w:szCs w:val="21"/>
              </w:rPr>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蒋辉</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胡松梅</w:t>
            </w:r>
          </w:p>
        </w:tc>
      </w:tr>
      <w:tr>
        <w:trPr>
          <w:trHeight w:val="43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b/>
                <w:bCs/>
                <w:sz w:val="21"/>
                <w:szCs w:val="21"/>
              </w:rPr>
              <w:t>联系地址</w:t>
            </w:r>
            <w:r>
              <w:rPr>
                <w:rFonts w:ascii="宋体" w:hAnsi="宋体" w:cs="宋体" w:eastAsia="宋体" w:hint="default"/>
                <w:sz w:val="21"/>
                <w:szCs w:val="21"/>
              </w:rPr>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深圳市南山区文心二路万商大厦六楼</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深圳市南山区文心二路万商大厦六楼</w:t>
            </w:r>
          </w:p>
        </w:tc>
      </w:tr>
      <w:tr>
        <w:trPr>
          <w:trHeight w:val="4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电</w:t>
              <w:tab/>
              <w:t>话</w:t>
            </w:r>
            <w:r>
              <w:rPr>
                <w:rFonts w:ascii="宋体" w:hAnsi="宋体" w:cs="宋体" w:eastAsia="宋体" w:hint="default"/>
                <w:sz w:val="21"/>
                <w:szCs w:val="21"/>
              </w:rPr>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w:t>
            </w:r>
            <w:r>
              <w:rPr>
                <w:rFonts w:ascii="宋体" w:hAnsi="宋体" w:cs="宋体" w:eastAsia="宋体" w:hint="default"/>
                <w:sz w:val="21"/>
                <w:szCs w:val="21"/>
              </w:rPr>
              <w:t>－</w:t>
            </w:r>
            <w:r>
              <w:rPr>
                <w:rFonts w:ascii="Times New Roman" w:hAnsi="Times New Roman" w:cs="Times New Roman" w:eastAsia="Times New Roman" w:hint="default"/>
                <w:sz w:val="21"/>
                <w:szCs w:val="21"/>
              </w:rPr>
              <w:t>26609999</w:t>
            </w:r>
            <w:r>
              <w:rPr>
                <w:rFonts w:ascii="宋体" w:hAnsi="宋体" w:cs="宋体" w:eastAsia="宋体" w:hint="default"/>
                <w:sz w:val="21"/>
                <w:szCs w:val="21"/>
              </w:rPr>
              <w:t>－</w:t>
            </w:r>
            <w:r>
              <w:rPr>
                <w:rFonts w:ascii="Times New Roman" w:hAnsi="Times New Roman" w:cs="Times New Roman" w:eastAsia="Times New Roman" w:hint="default"/>
                <w:sz w:val="21"/>
                <w:szCs w:val="21"/>
              </w:rPr>
              <w:t>1061</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w:t>
            </w:r>
            <w:r>
              <w:rPr>
                <w:rFonts w:ascii="宋体" w:hAnsi="宋体" w:cs="宋体" w:eastAsia="宋体" w:hint="default"/>
                <w:sz w:val="21"/>
                <w:szCs w:val="21"/>
              </w:rPr>
              <w:t>－</w:t>
            </w:r>
            <w:r>
              <w:rPr>
                <w:rFonts w:ascii="Times New Roman" w:hAnsi="Times New Roman" w:cs="Times New Roman" w:eastAsia="Times New Roman" w:hint="default"/>
                <w:sz w:val="21"/>
                <w:szCs w:val="21"/>
              </w:rPr>
              <w:t>26609999</w:t>
            </w:r>
            <w:r>
              <w:rPr>
                <w:rFonts w:ascii="宋体" w:hAnsi="宋体" w:cs="宋体" w:eastAsia="宋体" w:hint="default"/>
                <w:sz w:val="21"/>
                <w:szCs w:val="21"/>
              </w:rPr>
              <w:t>－</w:t>
            </w:r>
            <w:r>
              <w:rPr>
                <w:rFonts w:ascii="Times New Roman" w:hAnsi="Times New Roman" w:cs="Times New Roman" w:eastAsia="Times New Roman" w:hint="default"/>
                <w:sz w:val="21"/>
                <w:szCs w:val="21"/>
              </w:rPr>
              <w:t>1073</w:t>
            </w:r>
          </w:p>
        </w:tc>
      </w:tr>
      <w:tr>
        <w:trPr>
          <w:trHeight w:val="43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40"/>
              <w:ind w:right="0"/>
              <w:jc w:val="center"/>
              <w:rPr>
                <w:rFonts w:ascii="宋体" w:hAnsi="宋体" w:cs="宋体" w:eastAsia="宋体" w:hint="default"/>
                <w:sz w:val="21"/>
                <w:szCs w:val="21"/>
              </w:rPr>
            </w:pPr>
            <w:r>
              <w:rPr>
                <w:rFonts w:ascii="宋体" w:hAnsi="宋体" w:cs="宋体" w:eastAsia="宋体" w:hint="default"/>
                <w:b/>
                <w:bCs/>
                <w:sz w:val="21"/>
                <w:szCs w:val="21"/>
              </w:rPr>
              <w:t>传</w:t>
              <w:tab/>
              <w:t>真</w:t>
            </w:r>
            <w:r>
              <w:rPr>
                <w:rFonts w:ascii="宋体" w:hAnsi="宋体" w:cs="宋体" w:eastAsia="宋体" w:hint="default"/>
                <w:sz w:val="21"/>
                <w:szCs w:val="21"/>
              </w:rPr>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w:t>
            </w:r>
            <w:r>
              <w:rPr>
                <w:rFonts w:ascii="宋体" w:hAnsi="宋体" w:cs="宋体" w:eastAsia="宋体" w:hint="default"/>
                <w:sz w:val="21"/>
                <w:szCs w:val="21"/>
              </w:rPr>
              <w:t>－</w:t>
            </w:r>
            <w:r>
              <w:rPr>
                <w:rFonts w:ascii="Times New Roman" w:hAnsi="Times New Roman" w:cs="Times New Roman" w:eastAsia="Times New Roman" w:hint="default"/>
                <w:sz w:val="21"/>
                <w:szCs w:val="21"/>
              </w:rPr>
              <w:t>26498899</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w:t>
            </w:r>
            <w:r>
              <w:rPr>
                <w:rFonts w:ascii="宋体" w:hAnsi="宋体" w:cs="宋体" w:eastAsia="宋体" w:hint="default"/>
                <w:sz w:val="21"/>
                <w:szCs w:val="21"/>
              </w:rPr>
              <w:t>－</w:t>
            </w:r>
            <w:r>
              <w:rPr>
                <w:rFonts w:ascii="Times New Roman" w:hAnsi="Times New Roman" w:cs="Times New Roman" w:eastAsia="Times New Roman" w:hint="default"/>
                <w:sz w:val="21"/>
                <w:szCs w:val="21"/>
              </w:rPr>
              <w:t>26498899</w:t>
            </w:r>
          </w:p>
        </w:tc>
      </w:tr>
      <w:tr>
        <w:trPr>
          <w:trHeight w:val="43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b/>
                <w:bCs/>
                <w:sz w:val="21"/>
                <w:szCs w:val="21"/>
              </w:rPr>
              <w:t>电子信箱</w:t>
            </w:r>
            <w:r>
              <w:rPr>
                <w:rFonts w:ascii="宋体" w:hAnsi="宋体" w:cs="宋体" w:eastAsia="宋体" w:hint="default"/>
                <w:sz w:val="21"/>
                <w:szCs w:val="21"/>
              </w:rPr>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Times New Roman" w:hAnsi="Times New Roman" w:cs="Times New Roman" w:eastAsia="Times New Roman" w:hint="default"/>
                <w:sz w:val="21"/>
                <w:szCs w:val="21"/>
              </w:rPr>
            </w:pPr>
            <w:hyperlink r:id="rId8">
              <w:r>
                <w:rPr>
                  <w:rFonts w:ascii="Times New Roman"/>
                  <w:sz w:val="21"/>
                </w:rPr>
                <w:t>jianghui@jinjia.com</w:t>
              </w:r>
            </w:hyperlink>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 w:right="0"/>
              <w:jc w:val="center"/>
              <w:rPr>
                <w:rFonts w:ascii="Times New Roman" w:hAnsi="Times New Roman" w:cs="Times New Roman" w:eastAsia="Times New Roman" w:hint="default"/>
                <w:sz w:val="21"/>
                <w:szCs w:val="21"/>
              </w:rPr>
            </w:pPr>
            <w:hyperlink r:id="rId9">
              <w:r>
                <w:rPr>
                  <w:rFonts w:ascii="Times New Roman"/>
                  <w:sz w:val="21"/>
                </w:rPr>
                <w:t>husongmei@jinjia.com</w:t>
              </w:r>
            </w:hyperlink>
          </w:p>
        </w:tc>
      </w:tr>
    </w:tbl>
    <w:p>
      <w:pPr>
        <w:spacing w:line="240" w:lineRule="auto" w:before="2"/>
        <w:rPr>
          <w:rFonts w:ascii="宋体" w:hAnsi="宋体" w:cs="宋体" w:eastAsia="宋体" w:hint="default"/>
          <w:b/>
          <w:bCs/>
          <w:sz w:val="18"/>
          <w:szCs w:val="18"/>
        </w:rPr>
      </w:pPr>
    </w:p>
    <w:p>
      <w:pPr>
        <w:pStyle w:val="Heading2"/>
        <w:tabs>
          <w:tab w:pos="953" w:val="left" w:leader="none"/>
        </w:tabs>
        <w:spacing w:line="240" w:lineRule="auto" w:before="14"/>
        <w:ind w:right="0"/>
        <w:jc w:val="left"/>
        <w:rPr>
          <w:b w:val="0"/>
          <w:bCs w:val="0"/>
        </w:rPr>
      </w:pPr>
      <w:r>
        <w:rPr>
          <w:w w:val="95"/>
        </w:rPr>
        <w:t>四、</w:t>
        <w:tab/>
      </w:r>
      <w:r>
        <w:rPr/>
        <w:t>公司地址：</w:t>
      </w:r>
      <w:r>
        <w:rPr>
          <w:b w:val="0"/>
          <w:bCs w:val="0"/>
        </w:rPr>
      </w:r>
    </w:p>
    <w:p>
      <w:pPr>
        <w:spacing w:line="240" w:lineRule="auto" w:before="6"/>
        <w:rPr>
          <w:rFonts w:ascii="宋体" w:hAnsi="宋体" w:cs="宋体" w:eastAsia="宋体" w:hint="default"/>
          <w:b/>
          <w:bCs/>
          <w:sz w:val="23"/>
          <w:szCs w:val="23"/>
        </w:rPr>
      </w:pPr>
    </w:p>
    <w:p>
      <w:pPr>
        <w:pStyle w:val="BodyText"/>
        <w:spacing w:line="372" w:lineRule="auto"/>
        <w:ind w:left="624" w:right="3043"/>
        <w:jc w:val="left"/>
        <w:rPr>
          <w:rFonts w:ascii="Times New Roman" w:hAnsi="Times New Roman" w:cs="Times New Roman" w:eastAsia="Times New Roman" w:hint="default"/>
        </w:rPr>
      </w:pPr>
      <w:r>
        <w:rPr/>
        <w:t>公司注册地址：广东省深圳市宝安区福永镇怀德南路怀德工业区</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栋 邮政编码：</w:t>
      </w:r>
      <w:r>
        <w:rPr>
          <w:rFonts w:ascii="Times New Roman" w:hAnsi="Times New Roman" w:cs="Times New Roman" w:eastAsia="Times New Roman" w:hint="default"/>
        </w:rPr>
        <w:t>518103 </w:t>
      </w:r>
      <w:r>
        <w:rPr/>
        <w:t>公司办公地址：广东省深圳市南山区文心二路万商大厦 邮政编码：</w:t>
      </w:r>
      <w:r>
        <w:rPr>
          <w:rFonts w:ascii="Times New Roman" w:hAnsi="Times New Roman" w:cs="Times New Roman" w:eastAsia="Times New Roman" w:hint="default"/>
        </w:rPr>
        <w:t>518057</w:t>
      </w:r>
    </w:p>
    <w:p>
      <w:pPr>
        <w:pStyle w:val="BodyText"/>
        <w:spacing w:line="240" w:lineRule="auto" w:before="31"/>
        <w:ind w:left="624" w:right="0"/>
        <w:jc w:val="left"/>
        <w:rPr>
          <w:rFonts w:ascii="宋体" w:hAnsi="宋体" w:cs="宋体" w:eastAsia="宋体" w:hint="default"/>
        </w:rPr>
      </w:pPr>
      <w:r>
        <w:rPr/>
        <w:t>公司国际互联网网址：</w:t>
      </w:r>
      <w:r>
        <w:rPr>
          <w:rFonts w:ascii="宋体" w:hAnsi="宋体" w:cs="宋体" w:eastAsia="宋体" w:hint="default"/>
        </w:rPr>
      </w:r>
      <w:hyperlink r:id="rId10">
        <w:r>
          <w:rPr>
            <w:rFonts w:ascii="宋体" w:hAnsi="宋体" w:cs="宋体" w:eastAsia="宋体" w:hint="default"/>
            <w:u w:val="single" w:color="000000"/>
          </w:rPr>
          <w:t>www.jinjia.com</w:t>
        </w:r>
        <w:r>
          <w:rPr>
            <w:rFonts w:ascii="宋体" w:hAnsi="宋体" w:cs="宋体" w:eastAsia="宋体" w:hint="default"/>
          </w:rPr>
        </w:r>
      </w:hyperlink>
    </w:p>
    <w:p>
      <w:pPr>
        <w:spacing w:line="240" w:lineRule="auto" w:before="9"/>
        <w:rPr>
          <w:rFonts w:ascii="宋体" w:hAnsi="宋体" w:cs="宋体" w:eastAsia="宋体" w:hint="default"/>
          <w:sz w:val="12"/>
          <w:szCs w:val="12"/>
        </w:rPr>
      </w:pPr>
    </w:p>
    <w:p>
      <w:pPr>
        <w:pStyle w:val="BodyText"/>
        <w:spacing w:line="240" w:lineRule="auto" w:before="26"/>
        <w:ind w:left="624" w:right="0"/>
        <w:jc w:val="left"/>
        <w:rPr>
          <w:rFonts w:ascii="宋体" w:hAnsi="宋体" w:cs="宋体" w:eastAsia="宋体" w:hint="default"/>
        </w:rPr>
      </w:pPr>
      <w:r>
        <w:rPr/>
        <w:t>公司电子邮箱：</w:t>
      </w:r>
      <w:r>
        <w:rPr>
          <w:rFonts w:ascii="宋体" w:hAnsi="宋体" w:cs="宋体" w:eastAsia="宋体" w:hint="default"/>
        </w:rPr>
      </w:r>
      <w:hyperlink r:id="rId11">
        <w:r>
          <w:rPr>
            <w:rFonts w:ascii="宋体" w:hAnsi="宋体" w:cs="宋体" w:eastAsia="宋体" w:hint="default"/>
            <w:u w:val="single" w:color="000000"/>
          </w:rPr>
          <w:t>jjcp@jinjia.com</w:t>
        </w:r>
        <w:r>
          <w:rPr>
            <w:rFonts w:ascii="宋体" w:hAnsi="宋体" w:cs="宋体" w:eastAsia="宋体" w:hint="default"/>
          </w:rPr>
        </w:r>
      </w:hyperlink>
    </w:p>
    <w:p>
      <w:pPr>
        <w:spacing w:line="240" w:lineRule="auto" w:before="0"/>
        <w:rPr>
          <w:rFonts w:ascii="宋体" w:hAnsi="宋体" w:cs="宋体" w:eastAsia="宋体" w:hint="default"/>
          <w:sz w:val="20"/>
          <w:szCs w:val="20"/>
        </w:rPr>
      </w:pPr>
    </w:p>
    <w:p>
      <w:pPr>
        <w:pStyle w:val="Heading2"/>
        <w:tabs>
          <w:tab w:pos="953" w:val="left" w:leader="none"/>
        </w:tabs>
        <w:spacing w:line="240" w:lineRule="auto" w:before="184"/>
        <w:ind w:right="0"/>
        <w:jc w:val="left"/>
        <w:rPr>
          <w:b w:val="0"/>
          <w:bCs w:val="0"/>
        </w:rPr>
      </w:pPr>
      <w:r>
        <w:rPr>
          <w:w w:val="95"/>
        </w:rPr>
        <w:t>五、</w:t>
        <w:tab/>
      </w:r>
      <w:r>
        <w:rPr/>
        <w:t>公司选定的中国证监会指定信息披露报纸名称：</w:t>
      </w:r>
      <w:r>
        <w:rPr>
          <w:b w:val="0"/>
          <w:bCs w:val="0"/>
        </w:rPr>
      </w:r>
    </w:p>
    <w:p>
      <w:pPr>
        <w:spacing w:line="240" w:lineRule="auto" w:before="6"/>
        <w:rPr>
          <w:rFonts w:ascii="宋体" w:hAnsi="宋体" w:cs="宋体" w:eastAsia="宋体" w:hint="default"/>
          <w:b/>
          <w:bCs/>
          <w:sz w:val="23"/>
          <w:szCs w:val="23"/>
        </w:rPr>
      </w:pPr>
    </w:p>
    <w:p>
      <w:pPr>
        <w:pStyle w:val="BodyText"/>
        <w:spacing w:line="386" w:lineRule="auto"/>
        <w:ind w:left="624" w:right="5442" w:hanging="92"/>
        <w:jc w:val="left"/>
      </w:pPr>
      <w:r>
        <w:rPr/>
        <w:t>《中国证券报》、《证券时报》 登载年度报告的中国证监会指定网站的网址：</w:t>
      </w:r>
    </w:p>
    <w:p>
      <w:pPr>
        <w:spacing w:after="0" w:line="386" w:lineRule="auto"/>
        <w:jc w:val="left"/>
        <w:sectPr>
          <w:pgSz w:w="11910" w:h="16840"/>
          <w:pgMar w:header="920" w:footer="936" w:top="1140" w:bottom="1140" w:left="1020" w:right="0"/>
        </w:sectPr>
      </w:pPr>
    </w:p>
    <w:p>
      <w:pPr>
        <w:pStyle w:val="BodyText"/>
        <w:spacing w:line="240" w:lineRule="auto" w:before="19"/>
        <w:ind w:left="624" w:right="0"/>
        <w:jc w:val="left"/>
        <w:rPr>
          <w:rFonts w:ascii="宋体" w:hAnsi="宋体" w:cs="宋体" w:eastAsia="宋体" w:hint="default"/>
        </w:rPr>
      </w:pPr>
      <w:r>
        <w:rPr/>
        <w:t>巨潮资讯网</w:t>
      </w:r>
      <w:r>
        <w:rPr>
          <w:spacing w:val="-1"/>
        </w:rPr>
        <w:t> </w:t>
      </w:r>
      <w:r>
        <w:rPr>
          <w:rFonts w:ascii="宋体" w:hAnsi="宋体" w:cs="宋体" w:eastAsia="宋体" w:hint="default"/>
          <w:spacing w:val="-1"/>
        </w:rPr>
      </w:r>
      <w:hyperlink r:id="rId12">
        <w:r>
          <w:rPr>
            <w:rFonts w:ascii="宋体" w:hAnsi="宋体" w:cs="宋体" w:eastAsia="宋体" w:hint="default"/>
            <w:u w:val="single" w:color="000000"/>
          </w:rPr>
          <w:t>www.cninfo.com.cn</w:t>
        </w:r>
        <w:r>
          <w:rPr>
            <w:rFonts w:ascii="宋体" w:hAnsi="宋体" w:cs="宋体" w:eastAsia="宋体" w:hint="default"/>
          </w:rPr>
        </w:r>
      </w:hyperlink>
    </w:p>
    <w:p>
      <w:pPr>
        <w:spacing w:line="240" w:lineRule="auto" w:before="12"/>
        <w:rPr>
          <w:rFonts w:ascii="宋体" w:hAnsi="宋体" w:cs="宋体" w:eastAsia="宋体" w:hint="default"/>
          <w:sz w:val="12"/>
          <w:szCs w:val="12"/>
        </w:rPr>
      </w:pPr>
    </w:p>
    <w:p>
      <w:pPr>
        <w:pStyle w:val="BodyText"/>
        <w:spacing w:line="240" w:lineRule="auto" w:before="26"/>
        <w:ind w:left="624" w:right="0"/>
        <w:jc w:val="left"/>
      </w:pPr>
      <w:r>
        <w:rPr/>
        <w:t>公司年度报告备置地点：广东省深圳市南山区文心二路万商大厦六楼</w:t>
      </w:r>
    </w:p>
    <w:p>
      <w:pPr>
        <w:pStyle w:val="BodyText"/>
        <w:spacing w:line="240" w:lineRule="auto" w:before="192"/>
        <w:ind w:left="3262" w:right="0"/>
        <w:jc w:val="left"/>
      </w:pPr>
      <w:r>
        <w:rPr/>
        <w:t>深圳劲嘉彩印集团股份有限公司董事会办公室</w:t>
      </w:r>
    </w:p>
    <w:p>
      <w:pPr>
        <w:spacing w:line="240" w:lineRule="auto" w:before="1"/>
        <w:rPr>
          <w:rFonts w:ascii="宋体" w:hAnsi="宋体" w:cs="宋体" w:eastAsia="宋体" w:hint="default"/>
          <w:sz w:val="34"/>
          <w:szCs w:val="34"/>
        </w:rPr>
      </w:pPr>
    </w:p>
    <w:p>
      <w:pPr>
        <w:pStyle w:val="Heading2"/>
        <w:tabs>
          <w:tab w:pos="953" w:val="left" w:leader="none"/>
        </w:tabs>
        <w:spacing w:line="240" w:lineRule="auto"/>
        <w:ind w:right="0"/>
        <w:jc w:val="left"/>
        <w:rPr>
          <w:b w:val="0"/>
          <w:bCs w:val="0"/>
        </w:rPr>
      </w:pPr>
      <w:r>
        <w:rPr>
          <w:w w:val="95"/>
        </w:rPr>
        <w:t>六、</w:t>
        <w:tab/>
      </w:r>
      <w:r>
        <w:rPr/>
        <w:t>公司股票上市交易所：深圳证券交易所</w:t>
      </w:r>
      <w:r>
        <w:rPr>
          <w:b w:val="0"/>
          <w:bCs w:val="0"/>
        </w:rPr>
      </w:r>
    </w:p>
    <w:p>
      <w:pPr>
        <w:spacing w:line="240" w:lineRule="auto" w:before="3"/>
        <w:rPr>
          <w:rFonts w:ascii="宋体" w:hAnsi="宋体" w:cs="宋体" w:eastAsia="宋体" w:hint="default"/>
          <w:b/>
          <w:bCs/>
          <w:sz w:val="23"/>
          <w:szCs w:val="23"/>
        </w:rPr>
      </w:pPr>
    </w:p>
    <w:p>
      <w:pPr>
        <w:pStyle w:val="BodyText"/>
        <w:spacing w:line="386" w:lineRule="auto"/>
        <w:ind w:left="953" w:right="7753"/>
        <w:jc w:val="left"/>
        <w:rPr>
          <w:rFonts w:ascii="宋体" w:hAnsi="宋体" w:cs="宋体" w:eastAsia="宋体" w:hint="default"/>
        </w:rPr>
      </w:pPr>
      <w:r>
        <w:rPr/>
        <w:t>股票简称：劲嘉股份 股票代码：</w:t>
      </w:r>
      <w:r>
        <w:rPr>
          <w:rFonts w:ascii="宋体" w:hAnsi="宋体" w:cs="宋体" w:eastAsia="宋体" w:hint="default"/>
        </w:rPr>
        <w:t>002191</w:t>
      </w:r>
    </w:p>
    <w:p>
      <w:pPr>
        <w:spacing w:line="240" w:lineRule="auto" w:before="1"/>
        <w:rPr>
          <w:rFonts w:ascii="宋体" w:hAnsi="宋体" w:cs="宋体" w:eastAsia="宋体" w:hint="default"/>
          <w:sz w:val="23"/>
          <w:szCs w:val="23"/>
        </w:rPr>
      </w:pPr>
    </w:p>
    <w:p>
      <w:pPr>
        <w:pStyle w:val="Heading2"/>
        <w:tabs>
          <w:tab w:pos="953" w:val="left" w:leader="none"/>
        </w:tabs>
        <w:spacing w:line="240" w:lineRule="auto"/>
        <w:ind w:right="0"/>
        <w:jc w:val="left"/>
        <w:rPr>
          <w:b w:val="0"/>
          <w:bCs w:val="0"/>
        </w:rPr>
      </w:pPr>
      <w:r>
        <w:rPr>
          <w:w w:val="95"/>
        </w:rPr>
        <w:t>七、</w:t>
        <w:tab/>
      </w:r>
      <w:r>
        <w:rPr/>
        <w:t>其他资料</w:t>
      </w:r>
      <w:r>
        <w:rPr>
          <w:b w:val="0"/>
          <w:bCs w:val="0"/>
        </w:rPr>
      </w:r>
    </w:p>
    <w:p>
      <w:pPr>
        <w:spacing w:line="240" w:lineRule="auto" w:before="4"/>
        <w:rPr>
          <w:rFonts w:ascii="宋体" w:hAnsi="宋体" w:cs="宋体" w:eastAsia="宋体" w:hint="default"/>
          <w:b/>
          <w:bCs/>
          <w:sz w:val="23"/>
          <w:szCs w:val="23"/>
        </w:rPr>
      </w:pPr>
    </w:p>
    <w:p>
      <w:pPr>
        <w:pStyle w:val="BodyText"/>
        <w:spacing w:line="355" w:lineRule="auto"/>
        <w:ind w:left="984" w:right="5507" w:hanging="360"/>
        <w:jc w:val="left"/>
      </w:pPr>
      <w:r>
        <w:rPr>
          <w:rFonts w:ascii="宋体" w:hAnsi="宋体" w:cs="宋体" w:eastAsia="宋体" w:hint="default"/>
        </w:rPr>
        <w:t>1</w:t>
      </w:r>
      <w:r>
        <w:rPr/>
        <w:t>、公司最新登记注册日期：</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6</w:t>
      </w:r>
      <w:r>
        <w:rPr>
          <w:rFonts w:ascii="宋体" w:hAnsi="宋体" w:cs="宋体" w:eastAsia="宋体" w:hint="default"/>
          <w:spacing w:val="-61"/>
        </w:rPr>
        <w:t> </w:t>
      </w:r>
      <w:r>
        <w:rPr/>
        <w:t>月</w:t>
      </w:r>
      <w:r>
        <w:rPr>
          <w:spacing w:val="-61"/>
        </w:rPr>
        <w:t> </w:t>
      </w:r>
      <w:r>
        <w:rPr>
          <w:rFonts w:ascii="宋体" w:hAnsi="宋体" w:cs="宋体" w:eastAsia="宋体" w:hint="default"/>
        </w:rPr>
        <w:t>1</w:t>
      </w:r>
      <w:r>
        <w:rPr>
          <w:rFonts w:ascii="宋体" w:hAnsi="宋体" w:cs="宋体" w:eastAsia="宋体" w:hint="default"/>
          <w:spacing w:val="-61"/>
        </w:rPr>
        <w:t> </w:t>
      </w:r>
      <w:r>
        <w:rPr/>
        <w:t>日 变更地点：广东省深圳市工商行政管理局</w:t>
      </w:r>
    </w:p>
    <w:p>
      <w:pPr>
        <w:pStyle w:val="BodyText"/>
        <w:spacing w:line="240" w:lineRule="auto" w:before="38"/>
        <w:ind w:left="624" w:right="0"/>
        <w:jc w:val="left"/>
        <w:rPr>
          <w:rFonts w:ascii="宋体" w:hAnsi="宋体" w:cs="宋体" w:eastAsia="宋体" w:hint="default"/>
        </w:rPr>
      </w:pPr>
      <w:r>
        <w:rPr>
          <w:rFonts w:ascii="宋体" w:hAnsi="宋体" w:cs="宋体" w:eastAsia="宋体" w:hint="default"/>
        </w:rPr>
        <w:t>2</w:t>
      </w:r>
      <w:r>
        <w:rPr/>
        <w:t>、公司法人营业执照注册号：</w:t>
      </w:r>
      <w:r>
        <w:rPr>
          <w:rFonts w:ascii="宋体" w:hAnsi="宋体" w:cs="宋体" w:eastAsia="宋体" w:hint="default"/>
        </w:rPr>
        <w:t>440301501120233</w:t>
      </w:r>
    </w:p>
    <w:p>
      <w:pPr>
        <w:pStyle w:val="BodyText"/>
        <w:spacing w:line="240" w:lineRule="auto" w:before="154"/>
        <w:ind w:left="619" w:right="0"/>
        <w:jc w:val="left"/>
      </w:pPr>
      <w:r>
        <w:rPr>
          <w:rFonts w:ascii="宋体" w:hAnsi="宋体" w:cs="宋体" w:eastAsia="宋体" w:hint="default"/>
        </w:rPr>
        <w:t>3</w:t>
      </w:r>
      <w:r>
        <w:rPr/>
        <w:t>、税务登记号码：深地税登字</w:t>
      </w:r>
      <w:r>
        <w:rPr>
          <w:spacing w:val="-60"/>
        </w:rPr>
        <w:t> </w:t>
      </w:r>
      <w:r>
        <w:rPr>
          <w:rFonts w:ascii="宋体" w:hAnsi="宋体" w:cs="宋体" w:eastAsia="宋体" w:hint="default"/>
        </w:rPr>
        <w:t>440306618921880</w:t>
      </w:r>
      <w:r>
        <w:rPr>
          <w:rFonts w:ascii="宋体" w:hAnsi="宋体" w:cs="宋体" w:eastAsia="宋体" w:hint="default"/>
          <w:spacing w:val="-60"/>
        </w:rPr>
        <w:t> </w:t>
      </w:r>
      <w:r>
        <w:rPr/>
        <w:t>号</w:t>
      </w:r>
    </w:p>
    <w:p>
      <w:pPr>
        <w:pStyle w:val="BodyText"/>
        <w:spacing w:line="240" w:lineRule="auto" w:before="151"/>
        <w:ind w:left="0" w:right="2444"/>
        <w:jc w:val="center"/>
      </w:pPr>
      <w:r>
        <w:rPr/>
        <w:t>国税深字</w:t>
      </w:r>
      <w:r>
        <w:rPr>
          <w:spacing w:val="-60"/>
        </w:rPr>
        <w:t> </w:t>
      </w:r>
      <w:r>
        <w:rPr>
          <w:rFonts w:ascii="宋体" w:hAnsi="宋体" w:cs="宋体" w:eastAsia="宋体" w:hint="default"/>
        </w:rPr>
        <w:t>440306618921880</w:t>
      </w:r>
      <w:r>
        <w:rPr>
          <w:rFonts w:ascii="宋体" w:hAnsi="宋体" w:cs="宋体" w:eastAsia="宋体" w:hint="default"/>
          <w:spacing w:val="-60"/>
        </w:rPr>
        <w:t> </w:t>
      </w:r>
      <w:r>
        <w:rPr/>
        <w:t>号</w:t>
      </w:r>
    </w:p>
    <w:p>
      <w:pPr>
        <w:pStyle w:val="BodyText"/>
        <w:spacing w:line="240" w:lineRule="auto" w:before="154"/>
        <w:ind w:left="624" w:right="0"/>
        <w:jc w:val="left"/>
        <w:rPr>
          <w:rFonts w:ascii="宋体" w:hAnsi="宋体" w:cs="宋体" w:eastAsia="宋体" w:hint="default"/>
        </w:rPr>
      </w:pPr>
      <w:r>
        <w:rPr>
          <w:rFonts w:ascii="宋体" w:hAnsi="宋体" w:cs="宋体" w:eastAsia="宋体" w:hint="default"/>
        </w:rPr>
        <w:t>4</w:t>
      </w:r>
      <w:r>
        <w:rPr/>
        <w:t>、组织机构代码：</w:t>
      </w:r>
      <w:r>
        <w:rPr>
          <w:rFonts w:ascii="宋体" w:hAnsi="宋体" w:cs="宋体" w:eastAsia="宋体" w:hint="default"/>
        </w:rPr>
        <w:t>61882188</w:t>
      </w:r>
      <w:r>
        <w:rPr/>
        <w:t>－</w:t>
      </w:r>
      <w:r>
        <w:rPr>
          <w:rFonts w:ascii="宋体" w:hAnsi="宋体" w:cs="宋体" w:eastAsia="宋体" w:hint="default"/>
        </w:rPr>
        <w:t>0</w:t>
      </w:r>
    </w:p>
    <w:p>
      <w:pPr>
        <w:pStyle w:val="BodyText"/>
        <w:spacing w:line="357" w:lineRule="auto" w:before="151"/>
        <w:ind w:left="984" w:right="2082" w:hanging="360"/>
        <w:jc w:val="left"/>
      </w:pPr>
      <w:r>
        <w:rPr>
          <w:rFonts w:ascii="宋体" w:hAnsi="宋体" w:cs="宋体" w:eastAsia="宋体" w:hint="default"/>
        </w:rPr>
        <w:t>5</w:t>
      </w:r>
      <w:r>
        <w:rPr/>
        <w:t>、公司聘请的会计师事务所：深圳市鹏城会计师事务所有限公司 会计师事务所办公地址：深圳市福田区滨河大道</w:t>
      </w:r>
      <w:r>
        <w:rPr>
          <w:spacing w:val="-60"/>
        </w:rPr>
        <w:t> </w:t>
      </w:r>
      <w:r>
        <w:rPr>
          <w:rFonts w:ascii="宋体" w:hAnsi="宋体" w:cs="宋体" w:eastAsia="宋体" w:hint="default"/>
        </w:rPr>
        <w:t>5022</w:t>
      </w:r>
      <w:r>
        <w:rPr>
          <w:rFonts w:ascii="宋体" w:hAnsi="宋体" w:cs="宋体" w:eastAsia="宋体" w:hint="default"/>
          <w:spacing w:val="-60"/>
        </w:rPr>
        <w:t> </w:t>
      </w:r>
      <w:r>
        <w:rPr/>
        <w:t>号联合广场</w:t>
      </w:r>
      <w:r>
        <w:rPr>
          <w:spacing w:val="-60"/>
        </w:rPr>
        <w:t> </w:t>
      </w:r>
      <w:r>
        <w:rPr>
          <w:rFonts w:ascii="宋体" w:hAnsi="宋体" w:cs="宋体" w:eastAsia="宋体" w:hint="default"/>
        </w:rPr>
        <w:t>A</w:t>
      </w:r>
      <w:r>
        <w:rPr>
          <w:rFonts w:ascii="宋体" w:hAnsi="宋体" w:cs="宋体" w:eastAsia="宋体" w:hint="default"/>
          <w:spacing w:val="-60"/>
        </w:rPr>
        <w:t> </w:t>
      </w:r>
      <w:r>
        <w:rPr/>
        <w:t>座</w:t>
      </w:r>
      <w:r>
        <w:rPr>
          <w:spacing w:val="-60"/>
        </w:rPr>
        <w:t> </w:t>
      </w:r>
      <w:r>
        <w:rPr>
          <w:rFonts w:ascii="宋体" w:hAnsi="宋体" w:cs="宋体" w:eastAsia="宋体" w:hint="default"/>
        </w:rPr>
        <w:t>7</w:t>
      </w:r>
      <w:r>
        <w:rPr>
          <w:rFonts w:ascii="宋体" w:hAnsi="宋体" w:cs="宋体" w:eastAsia="宋体" w:hint="default"/>
          <w:spacing w:val="-60"/>
        </w:rPr>
        <w:t> </w:t>
      </w:r>
      <w:r>
        <w:rPr/>
        <w:t>楼 签字注册会计师：朱文岳、丁海芳</w:t>
      </w:r>
    </w:p>
    <w:p>
      <w:pPr>
        <w:spacing w:after="0" w:line="357" w:lineRule="auto"/>
        <w:jc w:val="left"/>
        <w:sectPr>
          <w:pgSz w:w="11910" w:h="16840"/>
          <w:pgMar w:header="920" w:footer="936" w:top="1140" w:bottom="114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tabs>
          <w:tab w:pos="3809" w:val="left" w:leader="none"/>
        </w:tabs>
        <w:spacing w:before="0"/>
        <w:ind w:left="2522" w:right="0" w:firstLine="0"/>
        <w:jc w:val="left"/>
        <w:rPr>
          <w:rFonts w:ascii="宋体" w:hAnsi="宋体" w:cs="宋体" w:eastAsia="宋体" w:hint="default"/>
          <w:sz w:val="32"/>
          <w:szCs w:val="32"/>
        </w:rPr>
      </w:pPr>
      <w:bookmarkStart w:name="_TOC_250009" w:id="2"/>
      <w:r>
        <w:rPr>
          <w:rFonts w:ascii="宋体" w:hAnsi="宋体" w:cs="宋体" w:eastAsia="宋体" w:hint="default"/>
          <w:b/>
          <w:bCs/>
          <w:w w:val="95"/>
          <w:sz w:val="32"/>
          <w:szCs w:val="32"/>
        </w:rPr>
        <w:t>第二节</w:t>
        <w:tab/>
      </w:r>
      <w:r>
        <w:rPr>
          <w:rFonts w:ascii="宋体" w:hAnsi="宋体" w:cs="宋体" w:eastAsia="宋体" w:hint="default"/>
          <w:b/>
          <w:bCs/>
          <w:sz w:val="32"/>
          <w:szCs w:val="32"/>
        </w:rPr>
        <w:t>会计数据和业务数据摘要</w:t>
      </w:r>
      <w:bookmarkEnd w:id="2"/>
      <w:r>
        <w:rPr>
          <w:rFonts w:ascii="宋体" w:hAnsi="宋体" w:cs="宋体" w:eastAsia="宋体" w:hint="default"/>
          <w:sz w:val="32"/>
          <w:szCs w:val="32"/>
        </w:rPr>
      </w:r>
    </w:p>
    <w:p>
      <w:pPr>
        <w:spacing w:line="240" w:lineRule="auto" w:before="4"/>
        <w:rPr>
          <w:rFonts w:ascii="宋体" w:hAnsi="宋体" w:cs="宋体" w:eastAsia="宋体" w:hint="default"/>
          <w:b/>
          <w:bCs/>
          <w:sz w:val="23"/>
          <w:szCs w:val="23"/>
        </w:rPr>
      </w:pPr>
    </w:p>
    <w:p>
      <w:pPr>
        <w:pStyle w:val="Heading2"/>
        <w:tabs>
          <w:tab w:pos="953" w:val="left" w:leader="none"/>
        </w:tabs>
        <w:spacing w:line="240" w:lineRule="auto"/>
        <w:ind w:right="0"/>
        <w:jc w:val="left"/>
        <w:rPr>
          <w:b w:val="0"/>
          <w:bCs w:val="0"/>
        </w:rPr>
      </w:pPr>
      <w:r>
        <w:rPr>
          <w:w w:val="95"/>
        </w:rPr>
        <w:t>一、</w:t>
        <w:tab/>
      </w:r>
      <w:r>
        <w:rPr/>
        <w:t>公司</w:t>
      </w:r>
      <w:r>
        <w:rPr>
          <w:spacing w:val="-72"/>
        </w:rPr>
        <w:t> </w:t>
      </w:r>
      <w:r>
        <w:rPr>
          <w:rFonts w:ascii="宋体" w:hAnsi="宋体" w:cs="宋体" w:eastAsia="宋体" w:hint="default"/>
        </w:rPr>
        <w:t>2011</w:t>
      </w:r>
      <w:r>
        <w:rPr>
          <w:rFonts w:ascii="宋体" w:hAnsi="宋体" w:cs="宋体" w:eastAsia="宋体" w:hint="default"/>
          <w:spacing w:val="-71"/>
        </w:rPr>
        <w:t> </w:t>
      </w:r>
      <w:r>
        <w:rPr/>
        <w:t>年度主要会计数据</w:t>
      </w:r>
      <w:r>
        <w:rPr>
          <w:b w:val="0"/>
          <w:bCs w:val="0"/>
        </w:rPr>
      </w:r>
    </w:p>
    <w:p>
      <w:pPr>
        <w:spacing w:line="240" w:lineRule="auto" w:before="13"/>
        <w:rPr>
          <w:rFonts w:ascii="宋体" w:hAnsi="宋体" w:cs="宋体" w:eastAsia="宋体" w:hint="default"/>
          <w:b/>
          <w:bCs/>
          <w:sz w:val="20"/>
          <w:szCs w:val="20"/>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9"/>
        <w:rPr>
          <w:rFonts w:ascii="宋体" w:hAnsi="宋体" w:cs="宋体" w:eastAsia="宋体" w:hint="default"/>
          <w:sz w:val="29"/>
          <w:szCs w:val="29"/>
        </w:rPr>
      </w:pPr>
    </w:p>
    <w:tbl>
      <w:tblPr>
        <w:tblW w:w="0" w:type="auto"/>
        <w:jc w:val="left"/>
        <w:tblInd w:w="120" w:type="dxa"/>
        <w:tblLayout w:type="fixed"/>
        <w:tblCellMar>
          <w:top w:w="0" w:type="dxa"/>
          <w:left w:w="0" w:type="dxa"/>
          <w:bottom w:w="0" w:type="dxa"/>
          <w:right w:w="0" w:type="dxa"/>
        </w:tblCellMar>
        <w:tblLook w:val="01E0"/>
      </w:tblPr>
      <w:tblGrid>
        <w:gridCol w:w="1694"/>
        <w:gridCol w:w="1840"/>
        <w:gridCol w:w="1700"/>
        <w:gridCol w:w="1702"/>
        <w:gridCol w:w="276"/>
        <w:gridCol w:w="1285"/>
      </w:tblGrid>
      <w:tr>
        <w:trPr>
          <w:trHeight w:val="324"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82"/>
              <w:jc w:val="center"/>
              <w:rPr>
                <w:rFonts w:ascii="宋体" w:hAnsi="宋体" w:cs="宋体" w:eastAsia="宋体" w:hint="default"/>
                <w:sz w:val="18"/>
                <w:szCs w:val="18"/>
              </w:rPr>
            </w:pPr>
            <w:r>
              <w:rPr>
                <w:rFonts w:ascii="宋体" w:hAnsi="宋体" w:cs="宋体" w:eastAsia="宋体" w:hint="default"/>
                <w:spacing w:val="-8"/>
                <w:sz w:val="18"/>
                <w:szCs w:val="18"/>
              </w:rPr>
              <w:t>本年比上年增减（％</w:t>
            </w:r>
          </w:p>
        </w:tc>
        <w:tc>
          <w:tcPr>
            <w:tcW w:w="276"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8"/>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28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24"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184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2,300,272,282.13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2,023,743,788.39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13.66</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sz w:val="18"/>
              </w:rPr>
              <w:t>2,154,444,225.79</w:t>
            </w:r>
          </w:p>
        </w:tc>
      </w:tr>
      <w:tr>
        <w:trPr>
          <w:trHeight w:val="324"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营业利润（元）</w:t>
            </w:r>
          </w:p>
        </w:tc>
        <w:tc>
          <w:tcPr>
            <w:tcW w:w="184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537,709,230.98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452,933,631.68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18.72</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6" w:right="0"/>
              <w:jc w:val="left"/>
              <w:rPr>
                <w:rFonts w:ascii="宋体" w:hAnsi="宋体" w:cs="宋体" w:eastAsia="宋体" w:hint="default"/>
                <w:sz w:val="18"/>
                <w:szCs w:val="18"/>
              </w:rPr>
            </w:pPr>
            <w:r>
              <w:rPr>
                <w:rFonts w:ascii="宋体"/>
                <w:sz w:val="18"/>
              </w:rPr>
              <w:t>493,356,609.03</w:t>
            </w:r>
          </w:p>
        </w:tc>
      </w:tr>
      <w:tr>
        <w:trPr>
          <w:trHeight w:val="32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184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553,855,197.76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461,981,322.35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19.89</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6" w:right="0"/>
              <w:jc w:val="left"/>
              <w:rPr>
                <w:rFonts w:ascii="宋体" w:hAnsi="宋体" w:cs="宋体" w:eastAsia="宋体" w:hint="default"/>
                <w:sz w:val="18"/>
                <w:szCs w:val="18"/>
              </w:rPr>
            </w:pPr>
            <w:r>
              <w:rPr>
                <w:rFonts w:ascii="宋体"/>
                <w:sz w:val="18"/>
              </w:rPr>
              <w:t>512,512,706.54</w:t>
            </w:r>
          </w:p>
        </w:tc>
      </w:tr>
      <w:tr>
        <w:trPr>
          <w:trHeight w:val="557"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7"/>
              <w:ind w:left="211" w:right="30" w:hanging="181"/>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184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388,993,128.37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303,336,417.17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 w:right="0"/>
              <w:jc w:val="center"/>
              <w:rPr>
                <w:rFonts w:ascii="宋体" w:hAnsi="宋体" w:cs="宋体" w:eastAsia="宋体" w:hint="default"/>
                <w:sz w:val="18"/>
                <w:szCs w:val="18"/>
              </w:rPr>
            </w:pPr>
            <w:r>
              <w:rPr>
                <w:rFonts w:ascii="宋体"/>
                <w:sz w:val="18"/>
              </w:rPr>
              <w:t>28.24</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6" w:right="0"/>
              <w:jc w:val="left"/>
              <w:rPr>
                <w:rFonts w:ascii="宋体" w:hAnsi="宋体" w:cs="宋体" w:eastAsia="宋体" w:hint="default"/>
                <w:sz w:val="18"/>
                <w:szCs w:val="18"/>
              </w:rPr>
            </w:pPr>
            <w:r>
              <w:rPr>
                <w:rFonts w:ascii="宋体"/>
                <w:sz w:val="18"/>
              </w:rPr>
              <w:t>333,417,907.27</w:t>
            </w:r>
          </w:p>
        </w:tc>
      </w:tr>
      <w:tr>
        <w:trPr>
          <w:trHeight w:val="79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31" w:right="30"/>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184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376,477,152.83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295,564,357.58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27.38</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18"/>
                <w:szCs w:val="18"/>
              </w:rPr>
            </w:pPr>
            <w:r>
              <w:rPr>
                <w:rFonts w:ascii="宋体"/>
                <w:sz w:val="18"/>
              </w:rPr>
              <w:t>319,742,431.01</w:t>
            </w:r>
          </w:p>
        </w:tc>
      </w:tr>
      <w:tr>
        <w:trPr>
          <w:trHeight w:val="616"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211" w:right="30" w:hanging="181"/>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1840" w:type="dxa"/>
            <w:tcBorders>
              <w:top w:val="single" w:sz="4" w:space="0" w:color="000000"/>
              <w:left w:val="single" w:sz="9" w:space="0" w:color="DCDCDC"/>
              <w:bottom w:val="single" w:sz="51" w:space="0" w:color="DCDCDC"/>
              <w:right w:val="single" w:sz="4"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pacing w:val="-1"/>
                <w:sz w:val="18"/>
              </w:rPr>
              <w:t>649,276,873.14</w:t>
            </w:r>
          </w:p>
        </w:tc>
        <w:tc>
          <w:tcPr>
            <w:tcW w:w="1700" w:type="dxa"/>
            <w:tcBorders>
              <w:top w:val="single" w:sz="4" w:space="0" w:color="000000"/>
              <w:left w:val="single" w:sz="4" w:space="0" w:color="000000"/>
              <w:bottom w:val="single" w:sz="51" w:space="0" w:color="DCDCDC"/>
              <w:right w:val="single" w:sz="14" w:space="0" w:color="DCDCDC"/>
            </w:tcBorders>
          </w:tcPr>
          <w:p>
            <w:pPr>
              <w:pStyle w:val="TableParagraph"/>
              <w:spacing w:line="240" w:lineRule="auto" w:before="123"/>
              <w:ind w:right="6"/>
              <w:jc w:val="right"/>
              <w:rPr>
                <w:rFonts w:ascii="宋体" w:hAnsi="宋体" w:cs="宋体" w:eastAsia="宋体" w:hint="default"/>
                <w:sz w:val="18"/>
                <w:szCs w:val="18"/>
              </w:rPr>
            </w:pPr>
            <w:r>
              <w:rPr>
                <w:rFonts w:ascii="宋体"/>
                <w:spacing w:val="-1"/>
                <w:sz w:val="18"/>
              </w:rPr>
              <w:t>373,214,813.29</w:t>
            </w:r>
          </w:p>
        </w:tc>
        <w:tc>
          <w:tcPr>
            <w:tcW w:w="1702" w:type="dxa"/>
            <w:tcBorders>
              <w:top w:val="single" w:sz="4" w:space="0" w:color="000000"/>
              <w:left w:val="single" w:sz="14" w:space="0" w:color="DCDCDC"/>
              <w:bottom w:val="single" w:sz="4" w:space="0" w:color="000000"/>
              <w:right w:val="single" w:sz="10" w:space="0" w:color="DCDCDC"/>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73.97</w:t>
            </w:r>
          </w:p>
        </w:tc>
        <w:tc>
          <w:tcPr>
            <w:tcW w:w="1561" w:type="dxa"/>
            <w:gridSpan w:val="2"/>
            <w:tcBorders>
              <w:top w:val="single" w:sz="4" w:space="0" w:color="000000"/>
              <w:left w:val="single" w:sz="10" w:space="0" w:color="DCDCDC"/>
              <w:bottom w:val="single" w:sz="51" w:space="0" w:color="DCDCDC"/>
              <w:right w:val="single" w:sz="4" w:space="0" w:color="000000"/>
            </w:tcBorders>
          </w:tcPr>
          <w:p>
            <w:pPr>
              <w:pStyle w:val="TableParagraph"/>
              <w:spacing w:line="240" w:lineRule="auto" w:before="123"/>
              <w:ind w:left="259" w:right="0"/>
              <w:jc w:val="left"/>
              <w:rPr>
                <w:rFonts w:ascii="宋体" w:hAnsi="宋体" w:cs="宋体" w:eastAsia="宋体" w:hint="default"/>
                <w:sz w:val="18"/>
                <w:szCs w:val="18"/>
              </w:rPr>
            </w:pPr>
            <w:r>
              <w:rPr>
                <w:rFonts w:ascii="宋体"/>
                <w:sz w:val="18"/>
              </w:rPr>
              <w:t>371,127,632.02</w:t>
            </w:r>
          </w:p>
        </w:tc>
      </w:tr>
      <w:tr>
        <w:trPr>
          <w:trHeight w:val="439"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53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46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4" w:lineRule="exact"/>
              <w:ind w:left="4"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39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383"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资产总额（元）</w:t>
            </w:r>
          </w:p>
        </w:tc>
        <w:tc>
          <w:tcPr>
            <w:tcW w:w="1840" w:type="dxa"/>
            <w:tcBorders>
              <w:top w:val="single" w:sz="51" w:space="0" w:color="DCDCDC"/>
              <w:left w:val="single" w:sz="9" w:space="0" w:color="DCDCDC"/>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3,465,293,949.51</w:t>
            </w:r>
          </w:p>
        </w:tc>
        <w:tc>
          <w:tcPr>
            <w:tcW w:w="1700" w:type="dxa"/>
            <w:tcBorders>
              <w:top w:val="single" w:sz="51" w:space="0" w:color="DCDCDC"/>
              <w:left w:val="single" w:sz="4" w:space="0" w:color="000000"/>
              <w:bottom w:val="single" w:sz="4" w:space="0" w:color="000000"/>
              <w:right w:val="single" w:sz="14" w:space="0" w:color="DCDCDC"/>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3,733,357,690.39</w:t>
            </w:r>
          </w:p>
        </w:tc>
        <w:tc>
          <w:tcPr>
            <w:tcW w:w="1702" w:type="dxa"/>
            <w:tcBorders>
              <w:top w:val="single" w:sz="4" w:space="0" w:color="000000"/>
              <w:left w:val="single" w:sz="14" w:space="0" w:color="DCDCDC"/>
              <w:bottom w:val="single" w:sz="4" w:space="0" w:color="000000"/>
              <w:right w:val="single" w:sz="10" w:space="0" w:color="DCDCDC"/>
            </w:tcBorders>
          </w:tcPr>
          <w:p>
            <w:pPr>
              <w:pStyle w:val="TableParagraph"/>
              <w:spacing w:line="240" w:lineRule="auto" w:before="67"/>
              <w:ind w:right="0"/>
              <w:jc w:val="center"/>
              <w:rPr>
                <w:rFonts w:ascii="宋体" w:hAnsi="宋体" w:cs="宋体" w:eastAsia="宋体" w:hint="default"/>
                <w:sz w:val="18"/>
                <w:szCs w:val="18"/>
              </w:rPr>
            </w:pPr>
            <w:r>
              <w:rPr>
                <w:rFonts w:ascii="宋体"/>
                <w:sz w:val="18"/>
              </w:rPr>
              <w:t>-7.18</w:t>
            </w:r>
          </w:p>
        </w:tc>
        <w:tc>
          <w:tcPr>
            <w:tcW w:w="1561" w:type="dxa"/>
            <w:gridSpan w:val="2"/>
            <w:tcBorders>
              <w:top w:val="single" w:sz="51" w:space="0" w:color="DCDCDC"/>
              <w:left w:val="single" w:sz="10" w:space="0" w:color="DCDCDC"/>
              <w:bottom w:val="single" w:sz="4" w:space="0" w:color="000000"/>
              <w:right w:val="single" w:sz="4" w:space="0" w:color="000000"/>
            </w:tcBorders>
          </w:tcPr>
          <w:p>
            <w:pPr>
              <w:pStyle w:val="TableParagraph"/>
              <w:spacing w:line="240" w:lineRule="auto" w:before="8"/>
              <w:ind w:left="79" w:right="0"/>
              <w:jc w:val="left"/>
              <w:rPr>
                <w:rFonts w:ascii="宋体" w:hAnsi="宋体" w:cs="宋体" w:eastAsia="宋体" w:hint="default"/>
                <w:sz w:val="18"/>
                <w:szCs w:val="18"/>
              </w:rPr>
            </w:pPr>
            <w:r>
              <w:rPr>
                <w:rFonts w:ascii="宋体"/>
                <w:sz w:val="18"/>
              </w:rPr>
              <w:t>3,719,135,220.04</w:t>
            </w:r>
          </w:p>
        </w:tc>
      </w:tr>
      <w:tr>
        <w:trPr>
          <w:trHeight w:val="32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负债总额（元）</w:t>
            </w:r>
          </w:p>
        </w:tc>
        <w:tc>
          <w:tcPr>
            <w:tcW w:w="184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1,130,137,966.07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1,121,813,440.61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0.74</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sz w:val="18"/>
              </w:rPr>
              <w:t>1,161,203,856.53</w:t>
            </w:r>
          </w:p>
        </w:tc>
      </w:tr>
      <w:tr>
        <w:trPr>
          <w:trHeight w:val="557"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31" w:right="30"/>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的所有者权益（元）</w:t>
            </w:r>
          </w:p>
        </w:tc>
        <w:tc>
          <w:tcPr>
            <w:tcW w:w="184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2,056,015,962.61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1,957,085,365.01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sz w:val="18"/>
              </w:rPr>
              <w:t>5.05</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6" w:right="0"/>
              <w:jc w:val="left"/>
              <w:rPr>
                <w:rFonts w:ascii="宋体" w:hAnsi="宋体" w:cs="宋体" w:eastAsia="宋体" w:hint="default"/>
                <w:sz w:val="18"/>
                <w:szCs w:val="18"/>
              </w:rPr>
            </w:pPr>
            <w:r>
              <w:rPr>
                <w:rFonts w:ascii="宋体"/>
                <w:sz w:val="18"/>
              </w:rPr>
              <w:t>1,912,017,582.52</w:t>
            </w:r>
          </w:p>
        </w:tc>
      </w:tr>
      <w:tr>
        <w:trPr>
          <w:trHeight w:val="324"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总股本（股）</w:t>
            </w:r>
          </w:p>
        </w:tc>
        <w:tc>
          <w:tcPr>
            <w:tcW w:w="184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642,000,000.00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642,000,000.00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0.00</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6" w:right="0"/>
              <w:jc w:val="left"/>
              <w:rPr>
                <w:rFonts w:ascii="宋体" w:hAnsi="宋体" w:cs="宋体" w:eastAsia="宋体" w:hint="default"/>
                <w:sz w:val="18"/>
                <w:szCs w:val="18"/>
              </w:rPr>
            </w:pPr>
            <w:r>
              <w:rPr>
                <w:rFonts w:ascii="宋体"/>
                <w:sz w:val="18"/>
              </w:rPr>
              <w:t>642,000,000.00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2"/>
        <w:tabs>
          <w:tab w:pos="953" w:val="left" w:leader="none"/>
        </w:tabs>
        <w:spacing w:line="240" w:lineRule="auto" w:before="14"/>
        <w:ind w:right="0"/>
        <w:jc w:val="left"/>
        <w:rPr>
          <w:b w:val="0"/>
          <w:bCs w:val="0"/>
        </w:rPr>
      </w:pPr>
      <w:r>
        <w:rPr>
          <w:w w:val="95"/>
        </w:rPr>
        <w:t>二、</w:t>
        <w:tab/>
      </w:r>
      <w:r>
        <w:rPr/>
        <w:t>公司</w:t>
      </w:r>
      <w:r>
        <w:rPr>
          <w:spacing w:val="-70"/>
        </w:rPr>
        <w:t> </w:t>
      </w:r>
      <w:r>
        <w:rPr>
          <w:rFonts w:ascii="Times New Roman" w:hAnsi="Times New Roman" w:cs="Times New Roman" w:eastAsia="Times New Roman" w:hint="default"/>
          <w:spacing w:val="-5"/>
        </w:rPr>
        <w:t>2011</w:t>
      </w:r>
      <w:r>
        <w:rPr>
          <w:rFonts w:ascii="Times New Roman" w:hAnsi="Times New Roman" w:cs="Times New Roman" w:eastAsia="Times New Roman" w:hint="default"/>
        </w:rPr>
        <w:t> </w:t>
      </w:r>
      <w:r>
        <w:rPr/>
        <w:t>年度主要财务指标</w:t>
      </w:r>
      <w:r>
        <w:rPr>
          <w:b w:val="0"/>
          <w:bCs w:val="0"/>
        </w:rPr>
      </w:r>
    </w:p>
    <w:p>
      <w:pPr>
        <w:spacing w:line="240" w:lineRule="auto" w:before="5"/>
        <w:rPr>
          <w:rFonts w:ascii="宋体" w:hAnsi="宋体" w:cs="宋体" w:eastAsia="宋体" w:hint="default"/>
          <w:b/>
          <w:bCs/>
          <w:sz w:val="19"/>
          <w:szCs w:val="19"/>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12"/>
        <w:rPr>
          <w:rFonts w:ascii="宋体" w:hAnsi="宋体" w:cs="宋体" w:eastAsia="宋体" w:hint="default"/>
          <w:sz w:val="26"/>
          <w:szCs w:val="26"/>
        </w:rPr>
      </w:pPr>
    </w:p>
    <w:tbl>
      <w:tblPr>
        <w:tblW w:w="0" w:type="auto"/>
        <w:jc w:val="left"/>
        <w:tblInd w:w="120" w:type="dxa"/>
        <w:tblLayout w:type="fixed"/>
        <w:tblCellMar>
          <w:top w:w="0" w:type="dxa"/>
          <w:left w:w="0" w:type="dxa"/>
          <w:bottom w:w="0" w:type="dxa"/>
          <w:right w:w="0" w:type="dxa"/>
        </w:tblCellMar>
        <w:tblLook w:val="01E0"/>
      </w:tblPr>
      <w:tblGrid>
        <w:gridCol w:w="2265"/>
        <w:gridCol w:w="317"/>
        <w:gridCol w:w="810"/>
        <w:gridCol w:w="1274"/>
        <w:gridCol w:w="2268"/>
        <w:gridCol w:w="1561"/>
      </w:tblGrid>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2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3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27"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left="726" w:right="0"/>
              <w:jc w:val="left"/>
              <w:rPr>
                <w:rFonts w:ascii="宋体" w:hAnsi="宋体" w:cs="宋体" w:eastAsia="宋体" w:hint="default"/>
                <w:sz w:val="18"/>
                <w:szCs w:val="18"/>
              </w:rPr>
            </w:pPr>
            <w:r>
              <w:rPr>
                <w:rFonts w:ascii="宋体"/>
                <w:sz w:val="18"/>
              </w:rPr>
              <w:t>0.61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0.47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29.79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0.52</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27"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left="726" w:right="0"/>
              <w:jc w:val="left"/>
              <w:rPr>
                <w:rFonts w:ascii="宋体" w:hAnsi="宋体" w:cs="宋体" w:eastAsia="宋体" w:hint="default"/>
                <w:sz w:val="18"/>
                <w:szCs w:val="18"/>
              </w:rPr>
            </w:pPr>
            <w:r>
              <w:rPr>
                <w:rFonts w:ascii="宋体"/>
                <w:sz w:val="18"/>
              </w:rPr>
              <w:t>0.61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0.47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29.79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0.52</w:t>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1"/>
              <w:ind w:left="12" w:right="81"/>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27"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3"/>
              <w:ind w:left="726" w:right="0"/>
              <w:jc w:val="left"/>
              <w:rPr>
                <w:rFonts w:ascii="宋体" w:hAnsi="宋体" w:cs="宋体" w:eastAsia="宋体" w:hint="default"/>
                <w:sz w:val="18"/>
                <w:szCs w:val="18"/>
              </w:rPr>
            </w:pPr>
            <w:r>
              <w:rPr>
                <w:rFonts w:ascii="宋体"/>
                <w:sz w:val="18"/>
              </w:rPr>
              <w:t>0.59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8"/>
              <w:jc w:val="right"/>
              <w:rPr>
                <w:rFonts w:ascii="宋体" w:hAnsi="宋体" w:cs="宋体" w:eastAsia="宋体" w:hint="default"/>
                <w:sz w:val="18"/>
                <w:szCs w:val="18"/>
              </w:rPr>
            </w:pPr>
            <w:r>
              <w:rPr>
                <w:rFonts w:ascii="宋体"/>
                <w:sz w:val="18"/>
              </w:rPr>
              <w:t>0.46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8"/>
              <w:jc w:val="right"/>
              <w:rPr>
                <w:rFonts w:ascii="宋体" w:hAnsi="宋体" w:cs="宋体" w:eastAsia="宋体" w:hint="default"/>
                <w:sz w:val="18"/>
                <w:szCs w:val="18"/>
              </w:rPr>
            </w:pPr>
            <w:r>
              <w:rPr>
                <w:rFonts w:ascii="宋体"/>
                <w:sz w:val="18"/>
              </w:rPr>
              <w:t>28.26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z w:val="18"/>
              </w:rPr>
              <w:t>0.50</w:t>
            </w:r>
          </w:p>
        </w:tc>
      </w:tr>
      <w:tr>
        <w:trPr>
          <w:trHeight w:val="3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17" w:type="dxa"/>
            <w:tcBorders>
              <w:top w:val="single" w:sz="4" w:space="0" w:color="000000"/>
              <w:left w:val="single" w:sz="10" w:space="0" w:color="DCDCDC"/>
              <w:bottom w:val="single" w:sz="4" w:space="0" w:color="000000"/>
              <w:right w:val="nil" w:sz="6" w:space="0" w:color="auto"/>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41" w:right="0"/>
              <w:jc w:val="left"/>
              <w:rPr>
                <w:rFonts w:ascii="宋体" w:hAnsi="宋体" w:cs="宋体" w:eastAsia="宋体" w:hint="default"/>
                <w:sz w:val="18"/>
                <w:szCs w:val="18"/>
              </w:rPr>
            </w:pPr>
            <w:r>
              <w:rPr>
                <w:rFonts w:ascii="宋体"/>
                <w:sz w:val="18"/>
              </w:rPr>
              <w:t>18.86%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15.68%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3.18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18.39%</w:t>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7"/>
              <w:ind w:left="12" w:right="81"/>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127"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5"/>
              <w:ind w:left="546" w:right="0"/>
              <w:jc w:val="left"/>
              <w:rPr>
                <w:rFonts w:ascii="宋体" w:hAnsi="宋体" w:cs="宋体" w:eastAsia="宋体" w:hint="default"/>
                <w:sz w:val="18"/>
                <w:szCs w:val="18"/>
              </w:rPr>
            </w:pPr>
            <w:r>
              <w:rPr>
                <w:rFonts w:ascii="宋体"/>
                <w:sz w:val="18"/>
              </w:rPr>
              <w:t>18.25%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15.28%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2.97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17.64%</w:t>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6"/>
              <w:ind w:left="12" w:right="81"/>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27"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5"/>
              <w:ind w:left="726" w:right="0"/>
              <w:jc w:val="left"/>
              <w:rPr>
                <w:rFonts w:ascii="宋体" w:hAnsi="宋体" w:cs="宋体" w:eastAsia="宋体" w:hint="default"/>
                <w:sz w:val="18"/>
                <w:szCs w:val="18"/>
              </w:rPr>
            </w:pPr>
            <w:r>
              <w:rPr>
                <w:rFonts w:ascii="宋体"/>
                <w:sz w:val="18"/>
              </w:rPr>
              <w:t>1.01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0.58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74.14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z w:val="18"/>
              </w:rPr>
              <w:t>0.58</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2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2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2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7"/>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2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9"/>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81"/>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27"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5"/>
              <w:ind w:left="726" w:right="0"/>
              <w:jc w:val="left"/>
              <w:rPr>
                <w:rFonts w:ascii="宋体" w:hAnsi="宋体" w:cs="宋体" w:eastAsia="宋体" w:hint="default"/>
                <w:sz w:val="18"/>
                <w:szCs w:val="18"/>
              </w:rPr>
            </w:pPr>
            <w:r>
              <w:rPr>
                <w:rFonts w:ascii="宋体"/>
                <w:sz w:val="18"/>
              </w:rPr>
              <w:t>3.20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3.05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z w:val="18"/>
              </w:rPr>
              <w:t>4.92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z w:val="18"/>
              </w:rPr>
              <w:t>2.98</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127"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left="546" w:right="0"/>
              <w:jc w:val="left"/>
              <w:rPr>
                <w:rFonts w:ascii="宋体" w:hAnsi="宋体" w:cs="宋体" w:eastAsia="宋体" w:hint="default"/>
                <w:sz w:val="18"/>
                <w:szCs w:val="18"/>
              </w:rPr>
            </w:pPr>
            <w:r>
              <w:rPr>
                <w:rFonts w:ascii="宋体"/>
                <w:sz w:val="18"/>
              </w:rPr>
              <w:t>32.61%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30.05%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2.56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31.22%</w:t>
            </w:r>
          </w:p>
        </w:tc>
      </w:tr>
    </w:tbl>
    <w:p>
      <w:pPr>
        <w:spacing w:after="0" w:line="240" w:lineRule="auto"/>
        <w:jc w:val="right"/>
        <w:rPr>
          <w:rFonts w:ascii="宋体" w:hAnsi="宋体" w:cs="宋体" w:eastAsia="宋体" w:hint="default"/>
          <w:sz w:val="18"/>
          <w:szCs w:val="18"/>
        </w:rPr>
        <w:sectPr>
          <w:pgSz w:w="11910" w:h="16840"/>
          <w:pgMar w:header="920" w:footer="936" w:top="1140" w:bottom="1140" w:left="1020" w:right="0"/>
        </w:sectPr>
      </w:pPr>
    </w:p>
    <w:p>
      <w:pPr>
        <w:pStyle w:val="Heading2"/>
        <w:tabs>
          <w:tab w:pos="953" w:val="left" w:leader="none"/>
        </w:tabs>
        <w:spacing w:line="240" w:lineRule="auto" w:before="13"/>
        <w:ind w:right="0"/>
        <w:jc w:val="left"/>
        <w:rPr>
          <w:b w:val="0"/>
          <w:bCs w:val="0"/>
        </w:rPr>
      </w:pPr>
      <w:r>
        <w:rPr>
          <w:w w:val="95"/>
        </w:rPr>
        <w:t>三、</w:t>
        <w:tab/>
      </w:r>
      <w:r>
        <w:rPr/>
        <w:t>报告期内扣除的非经常性损益项目和涉及金额</w:t>
      </w:r>
      <w:r>
        <w:rPr>
          <w:b w:val="0"/>
          <w:bCs w:val="0"/>
        </w:rPr>
      </w:r>
    </w:p>
    <w:p>
      <w:pPr>
        <w:spacing w:line="240" w:lineRule="auto" w:before="11"/>
        <w:rPr>
          <w:rFonts w:ascii="宋体" w:hAnsi="宋体" w:cs="宋体" w:eastAsia="宋体" w:hint="default"/>
          <w:b/>
          <w:bCs/>
          <w:sz w:val="20"/>
          <w:szCs w:val="20"/>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1"/>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2529"/>
        <w:gridCol w:w="1571"/>
        <w:gridCol w:w="1560"/>
        <w:gridCol w:w="1560"/>
        <w:gridCol w:w="1558"/>
      </w:tblGrid>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40"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附注（如适用）</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非流动性资产处置损益</w:t>
            </w:r>
          </w:p>
        </w:tc>
        <w:tc>
          <w:tcPr>
            <w:tcW w:w="157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1,334,209.95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-253,562.43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10,261,761.10</w:t>
            </w:r>
          </w:p>
        </w:tc>
      </w:tr>
      <w:tr>
        <w:trPr>
          <w:trHeight w:val="1022" w:hRule="exact"/>
        </w:trPr>
        <w:tc>
          <w:tcPr>
            <w:tcW w:w="2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12" w:right="9"/>
              <w:jc w:val="both"/>
              <w:rPr>
                <w:rFonts w:ascii="宋体" w:hAnsi="宋体" w:cs="宋体" w:eastAsia="宋体" w:hint="default"/>
                <w:sz w:val="18"/>
                <w:szCs w:val="18"/>
              </w:rPr>
            </w:pPr>
            <w:r>
              <w:rPr>
                <w:rFonts w:ascii="宋体" w:hAnsi="宋体" w:cs="宋体" w:eastAsia="宋体" w:hint="default"/>
                <w:spacing w:val="-2"/>
                <w:sz w:val="18"/>
                <w:szCs w:val="18"/>
              </w:rPr>
              <w:t>计入当期损益的政府补助，但与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公司主营业务密切相关，按照国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家统一标准定额或定量持续享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受的政府补助除外</w:t>
            </w:r>
          </w:p>
        </w:tc>
        <w:tc>
          <w:tcPr>
            <w:tcW w:w="157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1"/>
              <w:jc w:val="right"/>
              <w:rPr>
                <w:rFonts w:ascii="宋体" w:hAnsi="宋体" w:cs="宋体" w:eastAsia="宋体" w:hint="default"/>
                <w:sz w:val="18"/>
                <w:szCs w:val="18"/>
              </w:rPr>
            </w:pPr>
            <w:r>
              <w:rPr>
                <w:rFonts w:ascii="宋体"/>
                <w:spacing w:val="-1"/>
                <w:sz w:val="18"/>
              </w:rPr>
              <w:t>14,590,426.73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9,816,258.24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8"/>
              <w:jc w:val="right"/>
              <w:rPr>
                <w:rFonts w:ascii="宋体" w:hAnsi="宋体" w:cs="宋体" w:eastAsia="宋体" w:hint="default"/>
                <w:sz w:val="18"/>
                <w:szCs w:val="18"/>
              </w:rPr>
            </w:pPr>
            <w:r>
              <w:rPr>
                <w:rFonts w:ascii="宋体"/>
                <w:spacing w:val="-1"/>
                <w:sz w:val="18"/>
              </w:rPr>
              <w:t>8,805,139.00</w:t>
            </w:r>
          </w:p>
        </w:tc>
      </w:tr>
      <w:tr>
        <w:trPr>
          <w:trHeight w:val="557" w:hRule="exact"/>
        </w:trPr>
        <w:tc>
          <w:tcPr>
            <w:tcW w:w="2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10"/>
              <w:jc w:val="left"/>
              <w:rPr>
                <w:rFonts w:ascii="宋体" w:hAnsi="宋体" w:cs="宋体" w:eastAsia="宋体" w:hint="default"/>
                <w:sz w:val="18"/>
                <w:szCs w:val="18"/>
              </w:rPr>
            </w:pPr>
            <w:r>
              <w:rPr>
                <w:rFonts w:ascii="宋体" w:hAnsi="宋体" w:cs="宋体" w:eastAsia="宋体" w:hint="default"/>
                <w:spacing w:val="11"/>
                <w:sz w:val="18"/>
                <w:szCs w:val="18"/>
              </w:rPr>
              <w:t>单独进行减值测试的应收款项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减值准备转回</w:t>
            </w:r>
          </w:p>
        </w:tc>
        <w:tc>
          <w:tcPr>
            <w:tcW w:w="157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1,012,000.00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150,000.00</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对外委托贷款取得的收益</w:t>
            </w:r>
          </w:p>
        </w:tc>
        <w:tc>
          <w:tcPr>
            <w:tcW w:w="157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262,200.00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1,040,250.00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0</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非经常性损益的所得税影响</w:t>
            </w:r>
          </w:p>
        </w:tc>
        <w:tc>
          <w:tcPr>
            <w:tcW w:w="157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-2,576,158.16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-1,857,886.52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-1,628,270.43</w:t>
            </w:r>
          </w:p>
        </w:tc>
      </w:tr>
      <w:tr>
        <w:trPr>
          <w:trHeight w:val="325" w:hRule="exact"/>
        </w:trPr>
        <w:tc>
          <w:tcPr>
            <w:tcW w:w="2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w:t>
            </w:r>
          </w:p>
        </w:tc>
        <w:tc>
          <w:tcPr>
            <w:tcW w:w="157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-1,316,033.26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-1,469,994.56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-4,002,350.82</w:t>
            </w:r>
          </w:p>
        </w:tc>
      </w:tr>
      <w:tr>
        <w:trPr>
          <w:trHeight w:val="557" w:hRule="exact"/>
        </w:trPr>
        <w:tc>
          <w:tcPr>
            <w:tcW w:w="2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10"/>
              <w:jc w:val="left"/>
              <w:rPr>
                <w:rFonts w:ascii="宋体" w:hAnsi="宋体" w:cs="宋体" w:eastAsia="宋体" w:hint="default"/>
                <w:sz w:val="18"/>
                <w:szCs w:val="18"/>
              </w:rPr>
            </w:pPr>
            <w:r>
              <w:rPr>
                <w:rFonts w:ascii="宋体" w:hAnsi="宋体" w:cs="宋体" w:eastAsia="宋体" w:hint="default"/>
                <w:spacing w:val="11"/>
                <w:sz w:val="18"/>
                <w:szCs w:val="18"/>
              </w:rPr>
              <w:t>除上述各项之外的其他营业外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收入和支出</w:t>
            </w:r>
          </w:p>
        </w:tc>
        <w:tc>
          <w:tcPr>
            <w:tcW w:w="157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pacing w:val="-1"/>
                <w:sz w:val="18"/>
              </w:rPr>
              <w:t>221,330.28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-515,005.14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89,197.41</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12,515,975.54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7,772,059.59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13,675,476.26</w:t>
            </w:r>
          </w:p>
        </w:tc>
      </w:tr>
    </w:tbl>
    <w:p>
      <w:pPr>
        <w:spacing w:line="240" w:lineRule="auto" w:before="2"/>
        <w:rPr>
          <w:rFonts w:ascii="宋体" w:hAnsi="宋体" w:cs="宋体" w:eastAsia="宋体" w:hint="default"/>
          <w:sz w:val="18"/>
          <w:szCs w:val="18"/>
        </w:rPr>
      </w:pPr>
    </w:p>
    <w:p>
      <w:pPr>
        <w:pStyle w:val="Heading2"/>
        <w:spacing w:line="232" w:lineRule="auto" w:before="24"/>
        <w:ind w:left="624" w:right="1131" w:hanging="512"/>
        <w:jc w:val="both"/>
        <w:rPr>
          <w:b w:val="0"/>
          <w:bCs w:val="0"/>
        </w:rPr>
      </w:pPr>
      <w:r>
        <w:rPr/>
        <w:t>四、 根据中国证监会 《公开发行证券的公司信息披露编报规则第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净</w:t>
      </w:r>
      <w:r>
        <w:rPr>
          <w:w w:val="99"/>
        </w:rPr>
        <w:t> </w:t>
      </w:r>
      <w:r>
        <w:rPr>
          <w:spacing w:val="3"/>
        </w:rPr>
        <w:t>资产收益率和每股收益的计算及披露》的要求，本报告期公司的净资产收</w:t>
      </w:r>
      <w:r>
        <w:rPr>
          <w:w w:val="99"/>
        </w:rPr>
        <w:t> </w:t>
      </w:r>
      <w:r>
        <w:rPr/>
        <w:t>益率及每股收益的计算如下：</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881"/>
        <w:gridCol w:w="1800"/>
        <w:gridCol w:w="1620"/>
        <w:gridCol w:w="1981"/>
      </w:tblGrid>
      <w:tr>
        <w:trPr>
          <w:trHeight w:val="557" w:hRule="exact"/>
        </w:trPr>
        <w:tc>
          <w:tcPr>
            <w:tcW w:w="2881" w:type="dxa"/>
            <w:vMerge w:val="restart"/>
            <w:tcBorders>
              <w:top w:val="single" w:sz="4" w:space="0" w:color="000000"/>
              <w:left w:val="nil" w:sz="6" w:space="0" w:color="auto"/>
              <w:right w:val="single" w:sz="4" w:space="0" w:color="000000"/>
            </w:tcBorders>
            <w:shd w:val="clear" w:color="auto" w:fill="E6E6E6"/>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5"/>
              <w:ind w:left="840" w:right="0"/>
              <w:jc w:val="left"/>
              <w:rPr>
                <w:rFonts w:ascii="宋体" w:hAnsi="宋体" w:cs="宋体" w:eastAsia="宋体" w:hint="default"/>
                <w:sz w:val="24"/>
                <w:szCs w:val="24"/>
              </w:rPr>
            </w:pPr>
            <w:r>
              <w:rPr>
                <w:rFonts w:ascii="宋体" w:hAnsi="宋体" w:cs="宋体" w:eastAsia="宋体" w:hint="default"/>
                <w:sz w:val="24"/>
                <w:szCs w:val="24"/>
              </w:rPr>
              <w:t>报告期利润</w:t>
            </w:r>
          </w:p>
        </w:tc>
        <w:tc>
          <w:tcPr>
            <w:tcW w:w="1800" w:type="dxa"/>
            <w:vMerge w:val="restart"/>
            <w:tcBorders>
              <w:top w:val="single" w:sz="4" w:space="0" w:color="000000"/>
              <w:left w:val="single" w:sz="4" w:space="0" w:color="000000"/>
              <w:right w:val="single" w:sz="4" w:space="0" w:color="000000"/>
            </w:tcBorders>
            <w:shd w:val="clear" w:color="auto" w:fill="E6E6E6"/>
          </w:tcPr>
          <w:p>
            <w:pPr>
              <w:pStyle w:val="TableParagraph"/>
              <w:spacing w:line="388" w:lineRule="auto" w:before="22"/>
              <w:ind w:left="175" w:right="173"/>
              <w:jc w:val="center"/>
              <w:rPr>
                <w:rFonts w:ascii="宋体" w:hAnsi="宋体" w:cs="宋体" w:eastAsia="宋体" w:hint="default"/>
                <w:sz w:val="24"/>
                <w:szCs w:val="24"/>
              </w:rPr>
            </w:pPr>
            <w:r>
              <w:rPr>
                <w:rFonts w:ascii="宋体" w:hAnsi="宋体" w:cs="宋体" w:eastAsia="宋体" w:hint="default"/>
                <w:sz w:val="24"/>
                <w:szCs w:val="24"/>
              </w:rPr>
              <w:t>加权平均 净资产收益率</w:t>
            </w:r>
          </w:p>
          <w:p>
            <w:pPr>
              <w:pStyle w:val="TableParagraph"/>
              <w:spacing w:line="240" w:lineRule="auto" w:before="5"/>
              <w:ind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3601" w:type="dxa"/>
            <w:gridSpan w:val="2"/>
            <w:tcBorders>
              <w:top w:val="single" w:sz="4" w:space="0" w:color="000000"/>
              <w:left w:val="single" w:sz="4" w:space="0" w:color="000000"/>
              <w:bottom w:val="single" w:sz="4" w:space="0" w:color="000000"/>
              <w:right w:val="nil" w:sz="6" w:space="0" w:color="auto"/>
            </w:tcBorders>
            <w:shd w:val="clear" w:color="auto" w:fill="E6E6E6"/>
          </w:tcPr>
          <w:p>
            <w:pPr>
              <w:pStyle w:val="TableParagraph"/>
              <w:spacing w:line="312" w:lineRule="exact"/>
              <w:ind w:right="3"/>
              <w:jc w:val="center"/>
              <w:rPr>
                <w:rFonts w:ascii="宋体" w:hAnsi="宋体" w:cs="宋体" w:eastAsia="宋体" w:hint="default"/>
                <w:sz w:val="24"/>
                <w:szCs w:val="24"/>
              </w:rPr>
            </w:pPr>
            <w:r>
              <w:rPr>
                <w:rFonts w:ascii="宋体" w:hAnsi="宋体" w:cs="宋体" w:eastAsia="宋体" w:hint="default"/>
                <w:sz w:val="24"/>
                <w:szCs w:val="24"/>
              </w:rPr>
              <w:t>每股收益</w:t>
            </w:r>
          </w:p>
        </w:tc>
      </w:tr>
      <w:tr>
        <w:trPr>
          <w:trHeight w:val="1022" w:hRule="exact"/>
        </w:trPr>
        <w:tc>
          <w:tcPr>
            <w:tcW w:w="2881" w:type="dxa"/>
            <w:vMerge/>
            <w:tcBorders>
              <w:left w:val="nil" w:sz="6" w:space="0" w:color="auto"/>
              <w:bottom w:val="single" w:sz="4" w:space="0" w:color="000000"/>
              <w:right w:val="single" w:sz="4" w:space="0" w:color="000000"/>
            </w:tcBorders>
            <w:shd w:val="clear" w:color="auto" w:fill="E6E6E6"/>
          </w:tcPr>
          <w:p>
            <w:pPr/>
          </w:p>
        </w:tc>
        <w:tc>
          <w:tcPr>
            <w:tcW w:w="1800" w:type="dxa"/>
            <w:vMerge/>
            <w:tcBorders>
              <w:left w:val="single" w:sz="4" w:space="0" w:color="000000"/>
              <w:bottom w:val="single" w:sz="4" w:space="0" w:color="000000"/>
              <w:right w:val="single" w:sz="4" w:space="0" w:color="000000"/>
            </w:tcBorders>
            <w:shd w:val="clear" w:color="auto" w:fill="E6E6E6"/>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55" w:lineRule="auto"/>
              <w:ind w:left="684" w:right="204" w:hanging="481"/>
              <w:jc w:val="left"/>
              <w:rPr>
                <w:rFonts w:ascii="宋体" w:hAnsi="宋体" w:cs="宋体" w:eastAsia="宋体" w:hint="default"/>
                <w:sz w:val="24"/>
                <w:szCs w:val="24"/>
              </w:rPr>
            </w:pPr>
            <w:r>
              <w:rPr>
                <w:rFonts w:ascii="宋体" w:hAnsi="宋体" w:cs="宋体" w:eastAsia="宋体" w:hint="default"/>
                <w:sz w:val="24"/>
                <w:szCs w:val="24"/>
              </w:rPr>
              <w:t>基本每股收 益</w:t>
            </w:r>
          </w:p>
        </w:tc>
        <w:tc>
          <w:tcPr>
            <w:tcW w:w="1981" w:type="dxa"/>
            <w:tcBorders>
              <w:top w:val="single" w:sz="4" w:space="0" w:color="000000"/>
              <w:left w:val="single" w:sz="4" w:space="0" w:color="000000"/>
              <w:bottom w:val="single" w:sz="4" w:space="0" w:color="000000"/>
              <w:right w:val="nil" w:sz="6" w:space="0" w:color="auto"/>
            </w:tcBorders>
            <w:shd w:val="clear" w:color="auto" w:fill="E6E6E6"/>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5"/>
              <w:jc w:val="center"/>
              <w:rPr>
                <w:rFonts w:ascii="宋体" w:hAnsi="宋体" w:cs="宋体" w:eastAsia="宋体" w:hint="default"/>
                <w:sz w:val="24"/>
                <w:szCs w:val="24"/>
              </w:rPr>
            </w:pPr>
            <w:r>
              <w:rPr>
                <w:rFonts w:ascii="宋体" w:hAnsi="宋体" w:cs="宋体" w:eastAsia="宋体" w:hint="default"/>
                <w:sz w:val="24"/>
                <w:szCs w:val="24"/>
              </w:rPr>
              <w:t>稀释每股收益</w:t>
            </w:r>
          </w:p>
        </w:tc>
      </w:tr>
      <w:tr>
        <w:trPr>
          <w:trHeight w:val="830"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398" w:lineRule="auto" w:before="8"/>
              <w:ind w:left="107" w:right="966"/>
              <w:jc w:val="left"/>
              <w:rPr>
                <w:rFonts w:ascii="宋体" w:hAnsi="宋体" w:cs="宋体" w:eastAsia="宋体" w:hint="default"/>
                <w:sz w:val="18"/>
                <w:szCs w:val="18"/>
              </w:rPr>
            </w:pPr>
            <w:r>
              <w:rPr>
                <w:rFonts w:ascii="宋体" w:hAnsi="宋体" w:cs="宋体" w:eastAsia="宋体" w:hint="default"/>
                <w:sz w:val="18"/>
                <w:szCs w:val="18"/>
              </w:rPr>
              <w:t>归属于公司普通股股东 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643" w:right="0"/>
              <w:jc w:val="left"/>
              <w:rPr>
                <w:rFonts w:ascii="Times New Roman" w:hAnsi="Times New Roman" w:cs="Times New Roman" w:eastAsia="Times New Roman" w:hint="default"/>
                <w:sz w:val="18"/>
                <w:szCs w:val="18"/>
              </w:rPr>
            </w:pPr>
            <w:r>
              <w:rPr>
                <w:rFonts w:ascii="Times New Roman"/>
                <w:sz w:val="18"/>
              </w:rPr>
              <w:t>18.86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0.61</w:t>
            </w:r>
          </w:p>
        </w:tc>
        <w:tc>
          <w:tcPr>
            <w:tcW w:w="19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0.61</w:t>
            </w:r>
          </w:p>
        </w:tc>
      </w:tr>
      <w:tr>
        <w:trPr>
          <w:trHeight w:val="871"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87"/>
              <w:ind w:left="107" w:right="24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691" w:right="0"/>
              <w:jc w:val="left"/>
              <w:rPr>
                <w:rFonts w:ascii="Times New Roman" w:hAnsi="Times New Roman" w:cs="Times New Roman" w:eastAsia="Times New Roman" w:hint="default"/>
                <w:sz w:val="18"/>
                <w:szCs w:val="18"/>
              </w:rPr>
            </w:pPr>
            <w:r>
              <w:rPr>
                <w:rFonts w:ascii="Times New Roman"/>
                <w:sz w:val="18"/>
              </w:rPr>
              <w:t>18.25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0.59</w:t>
            </w:r>
          </w:p>
        </w:tc>
        <w:tc>
          <w:tcPr>
            <w:tcW w:w="19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0.59</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line="391" w:lineRule="auto" w:before="36"/>
        <w:ind w:left="533" w:right="5442" w:firstLine="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、净资产收益率计算过程如下：</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加权平均净资产收益率</w:t>
      </w:r>
    </w:p>
    <w:p>
      <w:pPr>
        <w:spacing w:before="41"/>
        <w:ind w:left="533" w:right="0" w:firstLine="0"/>
        <w:jc w:val="left"/>
        <w:rPr>
          <w:rFonts w:ascii="宋体" w:hAnsi="宋体" w:cs="宋体" w:eastAsia="宋体" w:hint="default"/>
          <w:sz w:val="21"/>
          <w:szCs w:val="21"/>
        </w:rPr>
      </w:pPr>
      <w:r>
        <w:rPr>
          <w:rFonts w:ascii="宋体" w:hAnsi="宋体" w:cs="宋体" w:eastAsia="宋体" w:hint="default"/>
          <w:position w:val="1"/>
          <w:sz w:val="21"/>
          <w:szCs w:val="21"/>
        </w:rPr>
        <w:t>＝</w:t>
      </w:r>
      <w:r>
        <w:rPr>
          <w:rFonts w:ascii="宋体" w:hAnsi="宋体" w:cs="宋体" w:eastAsia="宋体" w:hint="default"/>
          <w:position w:val="1"/>
          <w:sz w:val="21"/>
          <w:szCs w:val="21"/>
        </w:rPr>
        <w:t>P</w:t>
      </w:r>
      <w:r>
        <w:rPr>
          <w:rFonts w:ascii="宋体" w:hAnsi="宋体" w:cs="宋体" w:eastAsia="宋体" w:hint="default"/>
          <w:sz w:val="11"/>
          <w:szCs w:val="11"/>
        </w:rPr>
        <w:t>0</w:t>
      </w:r>
      <w:r>
        <w:rPr>
          <w:rFonts w:ascii="宋体" w:hAnsi="宋体" w:cs="宋体" w:eastAsia="宋体" w:hint="default"/>
          <w:position w:val="1"/>
          <w:sz w:val="21"/>
          <w:szCs w:val="21"/>
        </w:rPr>
        <w:t>/(E</w:t>
      </w:r>
      <w:r>
        <w:rPr>
          <w:rFonts w:ascii="宋体" w:hAnsi="宋体" w:cs="宋体" w:eastAsia="宋体" w:hint="default"/>
          <w:sz w:val="11"/>
          <w:szCs w:val="11"/>
        </w:rPr>
        <w:t>0</w:t>
      </w:r>
      <w:r>
        <w:rPr>
          <w:rFonts w:ascii="宋体" w:hAnsi="宋体" w:cs="宋体" w:eastAsia="宋体" w:hint="default"/>
          <w:position w:val="1"/>
          <w:sz w:val="21"/>
          <w:szCs w:val="21"/>
        </w:rPr>
        <w:t>＋NP÷2＋</w:t>
      </w:r>
      <w:r>
        <w:rPr>
          <w:rFonts w:ascii="宋体" w:hAnsi="宋体" w:cs="宋体" w:eastAsia="宋体" w:hint="default"/>
          <w:position w:val="1"/>
          <w:sz w:val="21"/>
          <w:szCs w:val="21"/>
        </w:rPr>
        <w:t>E</w:t>
      </w:r>
      <w:r>
        <w:rPr>
          <w:rFonts w:ascii="宋体" w:hAnsi="宋体" w:cs="宋体" w:eastAsia="宋体" w:hint="default"/>
          <w:sz w:val="11"/>
          <w:szCs w:val="11"/>
        </w:rPr>
        <w:t>i</w:t>
      </w:r>
      <w:r>
        <w:rPr>
          <w:rFonts w:ascii="宋体" w:hAnsi="宋体" w:cs="宋体" w:eastAsia="宋体" w:hint="default"/>
          <w:position w:val="1"/>
          <w:sz w:val="21"/>
          <w:szCs w:val="21"/>
        </w:rPr>
        <w:t>×M</w:t>
      </w:r>
      <w:r>
        <w:rPr>
          <w:rFonts w:ascii="宋体" w:hAnsi="宋体" w:cs="宋体" w:eastAsia="宋体" w:hint="default"/>
          <w:sz w:val="11"/>
          <w:szCs w:val="11"/>
        </w:rPr>
        <w:t>i</w:t>
      </w:r>
      <w:r>
        <w:rPr>
          <w:rFonts w:ascii="宋体" w:hAnsi="宋体" w:cs="宋体" w:eastAsia="宋体" w:hint="default"/>
          <w:position w:val="1"/>
          <w:sz w:val="21"/>
          <w:szCs w:val="21"/>
        </w:rPr>
        <w:t>÷M</w:t>
      </w:r>
      <w:r>
        <w:rPr>
          <w:rFonts w:ascii="宋体" w:hAnsi="宋体" w:cs="宋体" w:eastAsia="宋体" w:hint="default"/>
          <w:sz w:val="11"/>
          <w:szCs w:val="11"/>
        </w:rPr>
        <w:t>0</w:t>
      </w:r>
      <w:r>
        <w:rPr>
          <w:rFonts w:ascii="宋体" w:hAnsi="宋体" w:cs="宋体" w:eastAsia="宋体" w:hint="default"/>
          <w:position w:val="1"/>
          <w:sz w:val="21"/>
          <w:szCs w:val="21"/>
        </w:rPr>
        <w:t>–</w:t>
      </w:r>
      <w:r>
        <w:rPr>
          <w:rFonts w:ascii="宋体" w:hAnsi="宋体" w:cs="宋体" w:eastAsia="宋体" w:hint="default"/>
          <w:spacing w:val="-7"/>
          <w:position w:val="1"/>
          <w:sz w:val="21"/>
          <w:szCs w:val="21"/>
        </w:rPr>
        <w:t> </w:t>
      </w:r>
      <w:r>
        <w:rPr>
          <w:rFonts w:ascii="宋体" w:hAnsi="宋体" w:cs="宋体" w:eastAsia="宋体" w:hint="default"/>
          <w:position w:val="1"/>
          <w:sz w:val="21"/>
          <w:szCs w:val="21"/>
        </w:rPr>
        <w:t>E</w:t>
      </w:r>
      <w:r>
        <w:rPr>
          <w:rFonts w:ascii="宋体" w:hAnsi="宋体" w:cs="宋体" w:eastAsia="宋体" w:hint="default"/>
          <w:sz w:val="11"/>
          <w:szCs w:val="11"/>
        </w:rPr>
        <w:t>j</w:t>
      </w:r>
      <w:r>
        <w:rPr>
          <w:rFonts w:ascii="宋体" w:hAnsi="宋体" w:cs="宋体" w:eastAsia="宋体" w:hint="default"/>
          <w:position w:val="1"/>
          <w:sz w:val="21"/>
          <w:szCs w:val="21"/>
        </w:rPr>
        <w:t>×M</w:t>
      </w:r>
      <w:r>
        <w:rPr>
          <w:rFonts w:ascii="宋体" w:hAnsi="宋体" w:cs="宋体" w:eastAsia="宋体" w:hint="default"/>
          <w:sz w:val="11"/>
          <w:szCs w:val="11"/>
        </w:rPr>
        <w:t>j</w:t>
      </w:r>
      <w:r>
        <w:rPr>
          <w:rFonts w:ascii="宋体" w:hAnsi="宋体" w:cs="宋体" w:eastAsia="宋体" w:hint="default"/>
          <w:position w:val="1"/>
          <w:sz w:val="21"/>
          <w:szCs w:val="21"/>
        </w:rPr>
        <w:t>÷M</w:t>
      </w:r>
      <w:r>
        <w:rPr>
          <w:rFonts w:ascii="宋体" w:hAnsi="宋体" w:cs="宋体" w:eastAsia="宋体" w:hint="default"/>
          <w:sz w:val="11"/>
          <w:szCs w:val="11"/>
        </w:rPr>
        <w:t>0</w:t>
      </w:r>
      <w:r>
        <w:rPr>
          <w:rFonts w:ascii="宋体" w:hAnsi="宋体" w:cs="宋体" w:eastAsia="宋体" w:hint="default"/>
          <w:position w:val="1"/>
          <w:sz w:val="21"/>
          <w:szCs w:val="21"/>
        </w:rPr>
        <w:t>±E</w:t>
      </w:r>
      <w:r>
        <w:rPr>
          <w:rFonts w:ascii="宋体" w:hAnsi="宋体" w:cs="宋体" w:eastAsia="宋体" w:hint="default"/>
          <w:sz w:val="11"/>
          <w:szCs w:val="11"/>
        </w:rPr>
        <w:t>k</w:t>
      </w:r>
      <w:r>
        <w:rPr>
          <w:rFonts w:ascii="宋体" w:hAnsi="宋体" w:cs="宋体" w:eastAsia="宋体" w:hint="default"/>
          <w:position w:val="1"/>
          <w:sz w:val="21"/>
          <w:szCs w:val="21"/>
        </w:rPr>
        <w:t>×M</w:t>
      </w:r>
      <w:r>
        <w:rPr>
          <w:rFonts w:ascii="宋体" w:hAnsi="宋体" w:cs="宋体" w:eastAsia="宋体" w:hint="default"/>
          <w:sz w:val="11"/>
          <w:szCs w:val="11"/>
        </w:rPr>
        <w:t>k</w:t>
      </w:r>
      <w:r>
        <w:rPr>
          <w:rFonts w:ascii="宋体" w:hAnsi="宋体" w:cs="宋体" w:eastAsia="宋体" w:hint="default"/>
          <w:position w:val="1"/>
          <w:sz w:val="21"/>
          <w:szCs w:val="21"/>
        </w:rPr>
        <w:t>÷M</w:t>
      </w:r>
      <w:r>
        <w:rPr>
          <w:rFonts w:ascii="宋体" w:hAnsi="宋体" w:cs="宋体" w:eastAsia="宋体" w:hint="default"/>
          <w:sz w:val="11"/>
          <w:szCs w:val="11"/>
        </w:rPr>
        <w:t>0</w:t>
      </w:r>
      <w:r>
        <w:rPr>
          <w:rFonts w:ascii="宋体" w:hAnsi="宋体" w:cs="宋体" w:eastAsia="宋体" w:hint="default"/>
          <w:position w:val="1"/>
          <w:sz w:val="21"/>
          <w:szCs w:val="21"/>
        </w:rPr>
        <w:t>)</w:t>
      </w:r>
      <w:r>
        <w:rPr>
          <w:rFonts w:ascii="宋体" w:hAnsi="宋体" w:cs="宋体" w:eastAsia="宋体" w:hint="default"/>
          <w:sz w:val="21"/>
          <w:szCs w:val="21"/>
        </w:rPr>
      </w:r>
    </w:p>
    <w:p>
      <w:pPr>
        <w:spacing w:line="357" w:lineRule="auto" w:before="174"/>
        <w:ind w:left="112" w:right="1131" w:firstLine="674"/>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20"/>
          <w:sz w:val="21"/>
          <w:szCs w:val="21"/>
        </w:rPr>
        <w:t> </w:t>
      </w:r>
      <w:r>
        <w:rPr>
          <w:rFonts w:ascii="宋体" w:hAnsi="宋体" w:cs="宋体" w:eastAsia="宋体" w:hint="default"/>
          <w:sz w:val="21"/>
          <w:szCs w:val="21"/>
        </w:rPr>
        <w:t>、</w:t>
      </w:r>
      <w:r>
        <w:rPr>
          <w:rFonts w:ascii="宋体" w:hAnsi="宋体" w:cs="宋体" w:eastAsia="宋体" w:hint="default"/>
          <w:spacing w:val="23"/>
          <w:sz w:val="21"/>
          <w:szCs w:val="21"/>
        </w:rPr>
        <w:t> </w:t>
      </w:r>
      <w:r>
        <w:rPr>
          <w:rFonts w:ascii="宋体" w:hAnsi="宋体" w:cs="宋体" w:eastAsia="宋体" w:hint="default"/>
          <w:sz w:val="21"/>
          <w:szCs w:val="21"/>
        </w:rPr>
        <w:t>归</w:t>
      </w:r>
      <w:r>
        <w:rPr>
          <w:rFonts w:ascii="宋体" w:hAnsi="宋体" w:cs="宋体" w:eastAsia="宋体" w:hint="default"/>
          <w:spacing w:val="20"/>
          <w:sz w:val="21"/>
          <w:szCs w:val="21"/>
        </w:rPr>
        <w:t> </w:t>
      </w:r>
      <w:r>
        <w:rPr>
          <w:rFonts w:ascii="宋体" w:hAnsi="宋体" w:cs="宋体" w:eastAsia="宋体" w:hint="default"/>
          <w:sz w:val="21"/>
          <w:szCs w:val="21"/>
        </w:rPr>
        <w:t>属</w:t>
      </w:r>
      <w:r>
        <w:rPr>
          <w:rFonts w:ascii="宋体" w:hAnsi="宋体" w:cs="宋体" w:eastAsia="宋体" w:hint="default"/>
          <w:spacing w:val="20"/>
          <w:sz w:val="21"/>
          <w:szCs w:val="21"/>
        </w:rPr>
        <w:t> </w:t>
      </w:r>
      <w:r>
        <w:rPr>
          <w:rFonts w:ascii="宋体" w:hAnsi="宋体" w:cs="宋体" w:eastAsia="宋体" w:hint="default"/>
          <w:sz w:val="21"/>
          <w:szCs w:val="21"/>
        </w:rPr>
        <w:t>于</w:t>
      </w:r>
      <w:r>
        <w:rPr>
          <w:rFonts w:ascii="宋体" w:hAnsi="宋体" w:cs="宋体" w:eastAsia="宋体" w:hint="default"/>
          <w:spacing w:val="20"/>
          <w:sz w:val="21"/>
          <w:szCs w:val="21"/>
        </w:rPr>
        <w:t> </w:t>
      </w:r>
      <w:r>
        <w:rPr>
          <w:rFonts w:ascii="宋体" w:hAnsi="宋体" w:cs="宋体" w:eastAsia="宋体" w:hint="default"/>
          <w:sz w:val="21"/>
          <w:szCs w:val="21"/>
        </w:rPr>
        <w:t>公</w:t>
      </w:r>
      <w:r>
        <w:rPr>
          <w:rFonts w:ascii="宋体" w:hAnsi="宋体" w:cs="宋体" w:eastAsia="宋体" w:hint="default"/>
          <w:spacing w:val="22"/>
          <w:sz w:val="21"/>
          <w:szCs w:val="21"/>
        </w:rPr>
        <w:t> </w:t>
      </w:r>
      <w:r>
        <w:rPr>
          <w:rFonts w:ascii="宋体" w:hAnsi="宋体" w:cs="宋体" w:eastAsia="宋体" w:hint="default"/>
          <w:sz w:val="21"/>
          <w:szCs w:val="21"/>
        </w:rPr>
        <w:t>司</w:t>
      </w:r>
      <w:r>
        <w:rPr>
          <w:rFonts w:ascii="宋体" w:hAnsi="宋体" w:cs="宋体" w:eastAsia="宋体" w:hint="default"/>
          <w:spacing w:val="20"/>
          <w:sz w:val="21"/>
          <w:szCs w:val="21"/>
        </w:rPr>
        <w:t> </w:t>
      </w:r>
      <w:r>
        <w:rPr>
          <w:rFonts w:ascii="宋体" w:hAnsi="宋体" w:cs="宋体" w:eastAsia="宋体" w:hint="default"/>
          <w:sz w:val="21"/>
          <w:szCs w:val="21"/>
        </w:rPr>
        <w:t>普</w:t>
      </w:r>
      <w:r>
        <w:rPr>
          <w:rFonts w:ascii="宋体" w:hAnsi="宋体" w:cs="宋体" w:eastAsia="宋体" w:hint="default"/>
          <w:spacing w:val="20"/>
          <w:sz w:val="21"/>
          <w:szCs w:val="21"/>
        </w:rPr>
        <w:t> </w:t>
      </w:r>
      <w:r>
        <w:rPr>
          <w:rFonts w:ascii="宋体" w:hAnsi="宋体" w:cs="宋体" w:eastAsia="宋体" w:hint="default"/>
          <w:sz w:val="21"/>
          <w:szCs w:val="21"/>
        </w:rPr>
        <w:t>通</w:t>
      </w:r>
      <w:r>
        <w:rPr>
          <w:rFonts w:ascii="宋体" w:hAnsi="宋体" w:cs="宋体" w:eastAsia="宋体" w:hint="default"/>
          <w:spacing w:val="22"/>
          <w:sz w:val="21"/>
          <w:szCs w:val="21"/>
        </w:rPr>
        <w:t> </w:t>
      </w:r>
      <w:r>
        <w:rPr>
          <w:rFonts w:ascii="宋体" w:hAnsi="宋体" w:cs="宋体" w:eastAsia="宋体" w:hint="default"/>
          <w:sz w:val="21"/>
          <w:szCs w:val="21"/>
        </w:rPr>
        <w:t>股</w:t>
      </w:r>
      <w:r>
        <w:rPr>
          <w:rFonts w:ascii="宋体" w:hAnsi="宋体" w:cs="宋体" w:eastAsia="宋体" w:hint="default"/>
          <w:spacing w:val="20"/>
          <w:sz w:val="21"/>
          <w:szCs w:val="21"/>
        </w:rPr>
        <w:t> </w:t>
      </w:r>
      <w:r>
        <w:rPr>
          <w:rFonts w:ascii="宋体" w:hAnsi="宋体" w:cs="宋体" w:eastAsia="宋体" w:hint="default"/>
          <w:sz w:val="21"/>
          <w:szCs w:val="21"/>
        </w:rPr>
        <w:t>股</w:t>
      </w:r>
      <w:r>
        <w:rPr>
          <w:rFonts w:ascii="宋体" w:hAnsi="宋体" w:cs="宋体" w:eastAsia="宋体" w:hint="default"/>
          <w:spacing w:val="20"/>
          <w:sz w:val="21"/>
          <w:szCs w:val="21"/>
        </w:rPr>
        <w:t> </w:t>
      </w:r>
      <w:r>
        <w:rPr>
          <w:rFonts w:ascii="宋体" w:hAnsi="宋体" w:cs="宋体" w:eastAsia="宋体" w:hint="default"/>
          <w:sz w:val="21"/>
          <w:szCs w:val="21"/>
        </w:rPr>
        <w:t>东</w:t>
      </w:r>
      <w:r>
        <w:rPr>
          <w:rFonts w:ascii="宋体" w:hAnsi="宋体" w:cs="宋体" w:eastAsia="宋体" w:hint="default"/>
          <w:spacing w:val="20"/>
          <w:sz w:val="21"/>
          <w:szCs w:val="21"/>
        </w:rPr>
        <w:t> </w:t>
      </w:r>
      <w:r>
        <w:rPr>
          <w:rFonts w:ascii="宋体" w:hAnsi="宋体" w:cs="宋体" w:eastAsia="宋体" w:hint="default"/>
          <w:sz w:val="21"/>
          <w:szCs w:val="21"/>
        </w:rPr>
        <w:t>的</w:t>
      </w:r>
      <w:r>
        <w:rPr>
          <w:rFonts w:ascii="宋体" w:hAnsi="宋体" w:cs="宋体" w:eastAsia="宋体" w:hint="default"/>
          <w:spacing w:val="22"/>
          <w:sz w:val="21"/>
          <w:szCs w:val="21"/>
        </w:rPr>
        <w:t> </w:t>
      </w:r>
      <w:r>
        <w:rPr>
          <w:rFonts w:ascii="宋体" w:hAnsi="宋体" w:cs="宋体" w:eastAsia="宋体" w:hint="default"/>
          <w:sz w:val="21"/>
          <w:szCs w:val="21"/>
        </w:rPr>
        <w:t>净</w:t>
      </w:r>
      <w:r>
        <w:rPr>
          <w:rFonts w:ascii="宋体" w:hAnsi="宋体" w:cs="宋体" w:eastAsia="宋体" w:hint="default"/>
          <w:spacing w:val="20"/>
          <w:sz w:val="21"/>
          <w:szCs w:val="21"/>
        </w:rPr>
        <w:t> </w:t>
      </w:r>
      <w:r>
        <w:rPr>
          <w:rFonts w:ascii="宋体" w:hAnsi="宋体" w:cs="宋体" w:eastAsia="宋体" w:hint="default"/>
          <w:sz w:val="21"/>
          <w:szCs w:val="21"/>
        </w:rPr>
        <w:t>利</w:t>
      </w:r>
      <w:r>
        <w:rPr>
          <w:rFonts w:ascii="宋体" w:hAnsi="宋体" w:cs="宋体" w:eastAsia="宋体" w:hint="default"/>
          <w:spacing w:val="20"/>
          <w:sz w:val="21"/>
          <w:szCs w:val="21"/>
        </w:rPr>
        <w:t> </w:t>
      </w:r>
      <w:r>
        <w:rPr>
          <w:rFonts w:ascii="宋体" w:hAnsi="宋体" w:cs="宋体" w:eastAsia="宋体" w:hint="default"/>
          <w:sz w:val="21"/>
          <w:szCs w:val="21"/>
        </w:rPr>
        <w:t>润</w:t>
      </w:r>
      <w:r>
        <w:rPr>
          <w:rFonts w:ascii="宋体" w:hAnsi="宋体" w:cs="宋体" w:eastAsia="宋体" w:hint="default"/>
          <w:spacing w:val="22"/>
          <w:sz w:val="21"/>
          <w:szCs w:val="21"/>
        </w:rPr>
        <w:t> </w:t>
      </w:r>
      <w:r>
        <w:rPr>
          <w:rFonts w:ascii="宋体" w:hAnsi="宋体" w:cs="宋体" w:eastAsia="宋体" w:hint="default"/>
          <w:sz w:val="21"/>
          <w:szCs w:val="21"/>
        </w:rPr>
        <w:t>加</w:t>
      </w:r>
      <w:r>
        <w:rPr>
          <w:rFonts w:ascii="宋体" w:hAnsi="宋体" w:cs="宋体" w:eastAsia="宋体" w:hint="default"/>
          <w:spacing w:val="20"/>
          <w:sz w:val="21"/>
          <w:szCs w:val="21"/>
        </w:rPr>
        <w:t> </w:t>
      </w:r>
      <w:r>
        <w:rPr>
          <w:rFonts w:ascii="宋体" w:hAnsi="宋体" w:cs="宋体" w:eastAsia="宋体" w:hint="default"/>
          <w:sz w:val="21"/>
          <w:szCs w:val="21"/>
        </w:rPr>
        <w:t>权</w:t>
      </w:r>
      <w:r>
        <w:rPr>
          <w:rFonts w:ascii="宋体" w:hAnsi="宋体" w:cs="宋体" w:eastAsia="宋体" w:hint="default"/>
          <w:spacing w:val="20"/>
          <w:sz w:val="21"/>
          <w:szCs w:val="21"/>
        </w:rPr>
        <w:t> </w:t>
      </w:r>
      <w:r>
        <w:rPr>
          <w:rFonts w:ascii="宋体" w:hAnsi="宋体" w:cs="宋体" w:eastAsia="宋体" w:hint="default"/>
          <w:sz w:val="21"/>
          <w:szCs w:val="21"/>
        </w:rPr>
        <w:t>平</w:t>
      </w:r>
      <w:r>
        <w:rPr>
          <w:rFonts w:ascii="宋体" w:hAnsi="宋体" w:cs="宋体" w:eastAsia="宋体" w:hint="default"/>
          <w:spacing w:val="20"/>
          <w:sz w:val="21"/>
          <w:szCs w:val="21"/>
        </w:rPr>
        <w:t> </w:t>
      </w:r>
      <w:r>
        <w:rPr>
          <w:rFonts w:ascii="宋体" w:hAnsi="宋体" w:cs="宋体" w:eastAsia="宋体" w:hint="default"/>
          <w:sz w:val="21"/>
          <w:szCs w:val="21"/>
        </w:rPr>
        <w:t>均</w:t>
      </w:r>
      <w:r>
        <w:rPr>
          <w:rFonts w:ascii="宋体" w:hAnsi="宋体" w:cs="宋体" w:eastAsia="宋体" w:hint="default"/>
          <w:spacing w:val="22"/>
          <w:sz w:val="21"/>
          <w:szCs w:val="21"/>
        </w:rPr>
        <w:t> </w:t>
      </w:r>
      <w:r>
        <w:rPr>
          <w:rFonts w:ascii="宋体" w:hAnsi="宋体" w:cs="宋体" w:eastAsia="宋体" w:hint="default"/>
          <w:sz w:val="21"/>
          <w:szCs w:val="21"/>
        </w:rPr>
        <w:t>净</w:t>
      </w:r>
      <w:r>
        <w:rPr>
          <w:rFonts w:ascii="宋体" w:hAnsi="宋体" w:cs="宋体" w:eastAsia="宋体" w:hint="default"/>
          <w:spacing w:val="20"/>
          <w:sz w:val="21"/>
          <w:szCs w:val="21"/>
        </w:rPr>
        <w:t> </w:t>
      </w:r>
      <w:r>
        <w:rPr>
          <w:rFonts w:ascii="宋体" w:hAnsi="宋体" w:cs="宋体" w:eastAsia="宋体" w:hint="default"/>
          <w:sz w:val="21"/>
          <w:szCs w:val="21"/>
        </w:rPr>
        <w:t>资</w:t>
      </w:r>
      <w:r>
        <w:rPr>
          <w:rFonts w:ascii="宋体" w:hAnsi="宋体" w:cs="宋体" w:eastAsia="宋体" w:hint="default"/>
          <w:spacing w:val="20"/>
          <w:sz w:val="21"/>
          <w:szCs w:val="21"/>
        </w:rPr>
        <w:t> </w:t>
      </w:r>
      <w:r>
        <w:rPr>
          <w:rFonts w:ascii="宋体" w:hAnsi="宋体" w:cs="宋体" w:eastAsia="宋体" w:hint="default"/>
          <w:sz w:val="21"/>
          <w:szCs w:val="21"/>
        </w:rPr>
        <w:t>产</w:t>
      </w:r>
      <w:r>
        <w:rPr>
          <w:rFonts w:ascii="宋体" w:hAnsi="宋体" w:cs="宋体" w:eastAsia="宋体" w:hint="default"/>
          <w:spacing w:val="22"/>
          <w:sz w:val="21"/>
          <w:szCs w:val="21"/>
        </w:rPr>
        <w:t> </w:t>
      </w:r>
      <w:r>
        <w:rPr>
          <w:rFonts w:ascii="宋体" w:hAnsi="宋体" w:cs="宋体" w:eastAsia="宋体" w:hint="default"/>
          <w:sz w:val="21"/>
          <w:szCs w:val="21"/>
        </w:rPr>
        <w:t>收</w:t>
      </w:r>
      <w:r>
        <w:rPr>
          <w:rFonts w:ascii="宋体" w:hAnsi="宋体" w:cs="宋体" w:eastAsia="宋体" w:hint="default"/>
          <w:spacing w:val="20"/>
          <w:sz w:val="21"/>
          <w:szCs w:val="21"/>
        </w:rPr>
        <w:t> </w:t>
      </w:r>
      <w:r>
        <w:rPr>
          <w:rFonts w:ascii="宋体" w:hAnsi="宋体" w:cs="宋体" w:eastAsia="宋体" w:hint="default"/>
          <w:sz w:val="21"/>
          <w:szCs w:val="21"/>
        </w:rPr>
        <w:t>益</w:t>
      </w:r>
      <w:r>
        <w:rPr>
          <w:rFonts w:ascii="宋体" w:hAnsi="宋体" w:cs="宋体" w:eastAsia="宋体" w:hint="default"/>
          <w:spacing w:val="20"/>
          <w:sz w:val="21"/>
          <w:szCs w:val="21"/>
        </w:rPr>
        <w:t> </w:t>
      </w:r>
      <w:r>
        <w:rPr>
          <w:rFonts w:ascii="宋体" w:hAnsi="宋体" w:cs="宋体" w:eastAsia="宋体" w:hint="default"/>
          <w:sz w:val="21"/>
          <w:szCs w:val="21"/>
        </w:rPr>
        <w:t>率</w:t>
      </w:r>
      <w:r>
        <w:rPr>
          <w:rFonts w:ascii="宋体" w:hAnsi="宋体" w:cs="宋体" w:eastAsia="宋体" w:hint="default"/>
          <w:spacing w:val="27"/>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388,993,128.37/(1,957,085,365.01+388,993,128.37/2-1,166,863.70/2-64,200,000.00*6/12-224,700</w:t>
      </w:r>
    </w:p>
    <w:p>
      <w:pPr>
        <w:spacing w:before="28"/>
        <w:ind w:left="112" w:right="0" w:firstLine="0"/>
        <w:jc w:val="left"/>
        <w:rPr>
          <w:rFonts w:ascii="宋体" w:hAnsi="宋体" w:cs="宋体" w:eastAsia="宋体" w:hint="default"/>
          <w:sz w:val="21"/>
          <w:szCs w:val="21"/>
        </w:rPr>
      </w:pPr>
      <w:r>
        <w:rPr>
          <w:rFonts w:ascii="宋体"/>
          <w:sz w:val="21"/>
        </w:rPr>
        <w:t>,000.00*3/12)=18.86%</w:t>
      </w:r>
    </w:p>
    <w:p>
      <w:pPr>
        <w:spacing w:before="176"/>
        <w:ind w:left="586" w:right="0" w:firstLine="0"/>
        <w:jc w:val="left"/>
        <w:rPr>
          <w:rFonts w:ascii="宋体" w:hAnsi="宋体" w:cs="宋体" w:eastAsia="宋体" w:hint="default"/>
          <w:sz w:val="21"/>
          <w:szCs w:val="21"/>
        </w:rPr>
      </w:pPr>
      <w:r>
        <w:rPr>
          <w:rFonts w:ascii="宋体" w:hAnsi="宋体" w:cs="宋体" w:eastAsia="宋体" w:hint="default"/>
          <w:spacing w:val="25"/>
          <w:sz w:val="21"/>
          <w:szCs w:val="21"/>
        </w:rPr>
        <w:t>②、</w:t>
      </w:r>
      <w:r>
        <w:rPr>
          <w:rFonts w:ascii="宋体" w:hAnsi="宋体" w:cs="宋体" w:eastAsia="宋体" w:hint="default"/>
          <w:spacing w:val="-52"/>
          <w:sz w:val="21"/>
          <w:szCs w:val="21"/>
        </w:rPr>
        <w:t> </w:t>
      </w:r>
      <w:r>
        <w:rPr>
          <w:rFonts w:ascii="宋体" w:hAnsi="宋体" w:cs="宋体" w:eastAsia="宋体" w:hint="default"/>
          <w:sz w:val="21"/>
          <w:szCs w:val="21"/>
        </w:rPr>
        <w:t>扣</w:t>
      </w:r>
      <w:r>
        <w:rPr>
          <w:rFonts w:ascii="宋体" w:hAnsi="宋体" w:cs="宋体" w:eastAsia="宋体" w:hint="default"/>
          <w:spacing w:val="-52"/>
          <w:sz w:val="21"/>
          <w:szCs w:val="21"/>
        </w:rPr>
        <w:t> </w:t>
      </w:r>
      <w:r>
        <w:rPr>
          <w:rFonts w:ascii="宋体" w:hAnsi="宋体" w:cs="宋体" w:eastAsia="宋体" w:hint="default"/>
          <w:sz w:val="21"/>
          <w:szCs w:val="21"/>
        </w:rPr>
        <w:t>除</w:t>
      </w:r>
      <w:r>
        <w:rPr>
          <w:rFonts w:ascii="宋体" w:hAnsi="宋体" w:cs="宋体" w:eastAsia="宋体" w:hint="default"/>
          <w:spacing w:val="-52"/>
          <w:sz w:val="21"/>
          <w:szCs w:val="21"/>
        </w:rPr>
        <w:t> </w:t>
      </w:r>
      <w:r>
        <w:rPr>
          <w:rFonts w:ascii="宋体" w:hAnsi="宋体" w:cs="宋体" w:eastAsia="宋体" w:hint="default"/>
          <w:sz w:val="21"/>
          <w:szCs w:val="21"/>
        </w:rPr>
        <w:t>非</w:t>
      </w:r>
      <w:r>
        <w:rPr>
          <w:rFonts w:ascii="宋体" w:hAnsi="宋体" w:cs="宋体" w:eastAsia="宋体" w:hint="default"/>
          <w:spacing w:val="-52"/>
          <w:sz w:val="21"/>
          <w:szCs w:val="21"/>
        </w:rPr>
        <w:t> </w:t>
      </w:r>
      <w:r>
        <w:rPr>
          <w:rFonts w:ascii="宋体" w:hAnsi="宋体" w:cs="宋体" w:eastAsia="宋体" w:hint="default"/>
          <w:sz w:val="21"/>
          <w:szCs w:val="21"/>
        </w:rPr>
        <w:t>经</w:t>
      </w:r>
      <w:r>
        <w:rPr>
          <w:rFonts w:ascii="宋体" w:hAnsi="宋体" w:cs="宋体" w:eastAsia="宋体" w:hint="default"/>
          <w:spacing w:val="-54"/>
          <w:sz w:val="21"/>
          <w:szCs w:val="21"/>
        </w:rPr>
        <w:t> </w:t>
      </w:r>
      <w:r>
        <w:rPr>
          <w:rFonts w:ascii="宋体" w:hAnsi="宋体" w:cs="宋体" w:eastAsia="宋体" w:hint="default"/>
          <w:sz w:val="21"/>
          <w:szCs w:val="21"/>
        </w:rPr>
        <w:t>常</w:t>
      </w:r>
      <w:r>
        <w:rPr>
          <w:rFonts w:ascii="宋体" w:hAnsi="宋体" w:cs="宋体" w:eastAsia="宋体" w:hint="default"/>
          <w:spacing w:val="-52"/>
          <w:sz w:val="21"/>
          <w:szCs w:val="21"/>
        </w:rPr>
        <w:t> </w:t>
      </w:r>
      <w:r>
        <w:rPr>
          <w:rFonts w:ascii="宋体" w:hAnsi="宋体" w:cs="宋体" w:eastAsia="宋体" w:hint="default"/>
          <w:sz w:val="21"/>
          <w:szCs w:val="21"/>
        </w:rPr>
        <w:t>性</w:t>
      </w:r>
      <w:r>
        <w:rPr>
          <w:rFonts w:ascii="宋体" w:hAnsi="宋体" w:cs="宋体" w:eastAsia="宋体" w:hint="default"/>
          <w:spacing w:val="-52"/>
          <w:sz w:val="21"/>
          <w:szCs w:val="21"/>
        </w:rPr>
        <w:t> </w:t>
      </w:r>
      <w:r>
        <w:rPr>
          <w:rFonts w:ascii="宋体" w:hAnsi="宋体" w:cs="宋体" w:eastAsia="宋体" w:hint="default"/>
          <w:sz w:val="21"/>
          <w:szCs w:val="21"/>
        </w:rPr>
        <w:t>损</w:t>
      </w:r>
      <w:r>
        <w:rPr>
          <w:rFonts w:ascii="宋体" w:hAnsi="宋体" w:cs="宋体" w:eastAsia="宋体" w:hint="default"/>
          <w:spacing w:val="-54"/>
          <w:sz w:val="21"/>
          <w:szCs w:val="21"/>
        </w:rPr>
        <w:t> </w:t>
      </w:r>
      <w:r>
        <w:rPr>
          <w:rFonts w:ascii="宋体" w:hAnsi="宋体" w:cs="宋体" w:eastAsia="宋体" w:hint="default"/>
          <w:sz w:val="21"/>
          <w:szCs w:val="21"/>
        </w:rPr>
        <w:t>益</w:t>
      </w:r>
      <w:r>
        <w:rPr>
          <w:rFonts w:ascii="宋体" w:hAnsi="宋体" w:cs="宋体" w:eastAsia="宋体" w:hint="default"/>
          <w:spacing w:val="-52"/>
          <w:sz w:val="21"/>
          <w:szCs w:val="21"/>
        </w:rPr>
        <w:t> </w:t>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宋体" w:hAnsi="宋体" w:cs="宋体" w:eastAsia="宋体" w:hint="default"/>
          <w:sz w:val="21"/>
          <w:szCs w:val="21"/>
        </w:rPr>
        <w:t>归</w:t>
      </w:r>
      <w:r>
        <w:rPr>
          <w:rFonts w:ascii="宋体" w:hAnsi="宋体" w:cs="宋体" w:eastAsia="宋体" w:hint="default"/>
          <w:spacing w:val="-52"/>
          <w:sz w:val="21"/>
          <w:szCs w:val="21"/>
        </w:rPr>
        <w:t> </w:t>
      </w:r>
      <w:r>
        <w:rPr>
          <w:rFonts w:ascii="宋体" w:hAnsi="宋体" w:cs="宋体" w:eastAsia="宋体" w:hint="default"/>
          <w:sz w:val="21"/>
          <w:szCs w:val="21"/>
        </w:rPr>
        <w:t>属</w:t>
      </w:r>
      <w:r>
        <w:rPr>
          <w:rFonts w:ascii="宋体" w:hAnsi="宋体" w:cs="宋体" w:eastAsia="宋体" w:hint="default"/>
          <w:spacing w:val="-52"/>
          <w:sz w:val="21"/>
          <w:szCs w:val="21"/>
        </w:rPr>
        <w:t> </w:t>
      </w:r>
      <w:r>
        <w:rPr>
          <w:rFonts w:ascii="宋体" w:hAnsi="宋体" w:cs="宋体" w:eastAsia="宋体" w:hint="default"/>
          <w:sz w:val="21"/>
          <w:szCs w:val="21"/>
        </w:rPr>
        <w:t>于</w:t>
      </w:r>
      <w:r>
        <w:rPr>
          <w:rFonts w:ascii="宋体" w:hAnsi="宋体" w:cs="宋体" w:eastAsia="宋体" w:hint="default"/>
          <w:spacing w:val="-52"/>
          <w:sz w:val="21"/>
          <w:szCs w:val="21"/>
        </w:rPr>
        <w:t> </w:t>
      </w:r>
      <w:r>
        <w:rPr>
          <w:rFonts w:ascii="宋体" w:hAnsi="宋体" w:cs="宋体" w:eastAsia="宋体" w:hint="default"/>
          <w:sz w:val="21"/>
          <w:szCs w:val="21"/>
        </w:rPr>
        <w:t>公</w:t>
      </w:r>
      <w:r>
        <w:rPr>
          <w:rFonts w:ascii="宋体" w:hAnsi="宋体" w:cs="宋体" w:eastAsia="宋体" w:hint="default"/>
          <w:spacing w:val="-54"/>
          <w:sz w:val="21"/>
          <w:szCs w:val="21"/>
        </w:rPr>
        <w:t> </w:t>
      </w:r>
      <w:r>
        <w:rPr>
          <w:rFonts w:ascii="宋体" w:hAnsi="宋体" w:cs="宋体" w:eastAsia="宋体" w:hint="default"/>
          <w:sz w:val="21"/>
          <w:szCs w:val="21"/>
        </w:rPr>
        <w:t>司</w:t>
      </w:r>
      <w:r>
        <w:rPr>
          <w:rFonts w:ascii="宋体" w:hAnsi="宋体" w:cs="宋体" w:eastAsia="宋体" w:hint="default"/>
          <w:spacing w:val="-52"/>
          <w:sz w:val="21"/>
          <w:szCs w:val="21"/>
        </w:rPr>
        <w:t> </w:t>
      </w:r>
      <w:r>
        <w:rPr>
          <w:rFonts w:ascii="宋体" w:hAnsi="宋体" w:cs="宋体" w:eastAsia="宋体" w:hint="default"/>
          <w:sz w:val="21"/>
          <w:szCs w:val="21"/>
        </w:rPr>
        <w:t>普</w:t>
      </w:r>
      <w:r>
        <w:rPr>
          <w:rFonts w:ascii="宋体" w:hAnsi="宋体" w:cs="宋体" w:eastAsia="宋体" w:hint="default"/>
          <w:spacing w:val="-52"/>
          <w:sz w:val="21"/>
          <w:szCs w:val="21"/>
        </w:rPr>
        <w:t> </w:t>
      </w:r>
      <w:r>
        <w:rPr>
          <w:rFonts w:ascii="宋体" w:hAnsi="宋体" w:cs="宋体" w:eastAsia="宋体" w:hint="default"/>
          <w:sz w:val="21"/>
          <w:szCs w:val="21"/>
        </w:rPr>
        <w:t>通</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2"/>
          <w:sz w:val="21"/>
          <w:szCs w:val="21"/>
        </w:rPr>
        <w:t> </w:t>
      </w:r>
      <w:r>
        <w:rPr>
          <w:rFonts w:ascii="宋体" w:hAnsi="宋体" w:cs="宋体" w:eastAsia="宋体" w:hint="default"/>
          <w:sz w:val="21"/>
          <w:szCs w:val="21"/>
        </w:rPr>
        <w:t>股</w:t>
      </w:r>
      <w:r>
        <w:rPr>
          <w:rFonts w:ascii="宋体" w:hAnsi="宋体" w:cs="宋体" w:eastAsia="宋体" w:hint="default"/>
          <w:spacing w:val="-52"/>
          <w:sz w:val="21"/>
          <w:szCs w:val="21"/>
        </w:rPr>
        <w:t> </w:t>
      </w:r>
      <w:r>
        <w:rPr>
          <w:rFonts w:ascii="宋体" w:hAnsi="宋体" w:cs="宋体" w:eastAsia="宋体" w:hint="default"/>
          <w:sz w:val="21"/>
          <w:szCs w:val="21"/>
        </w:rPr>
        <w:t>东</w:t>
      </w:r>
      <w:r>
        <w:rPr>
          <w:rFonts w:ascii="宋体" w:hAnsi="宋体" w:cs="宋体" w:eastAsia="宋体" w:hint="default"/>
          <w:spacing w:val="-52"/>
          <w:sz w:val="21"/>
          <w:szCs w:val="21"/>
        </w:rPr>
        <w:t> </w:t>
      </w:r>
      <w:r>
        <w:rPr>
          <w:rFonts w:ascii="宋体" w:hAnsi="宋体" w:cs="宋体" w:eastAsia="宋体" w:hint="default"/>
          <w:sz w:val="21"/>
          <w:szCs w:val="21"/>
        </w:rPr>
        <w:t>的</w:t>
      </w:r>
      <w:r>
        <w:rPr>
          <w:rFonts w:ascii="宋体" w:hAnsi="宋体" w:cs="宋体" w:eastAsia="宋体" w:hint="default"/>
          <w:spacing w:val="-52"/>
          <w:sz w:val="21"/>
          <w:szCs w:val="21"/>
        </w:rPr>
        <w:t> </w:t>
      </w:r>
      <w:r>
        <w:rPr>
          <w:rFonts w:ascii="宋体" w:hAnsi="宋体" w:cs="宋体" w:eastAsia="宋体" w:hint="default"/>
          <w:sz w:val="21"/>
          <w:szCs w:val="21"/>
        </w:rPr>
        <w:t>净</w:t>
      </w:r>
      <w:r>
        <w:rPr>
          <w:rFonts w:ascii="宋体" w:hAnsi="宋体" w:cs="宋体" w:eastAsia="宋体" w:hint="default"/>
          <w:spacing w:val="-52"/>
          <w:sz w:val="21"/>
          <w:szCs w:val="21"/>
        </w:rPr>
        <w:t> </w:t>
      </w:r>
      <w:r>
        <w:rPr>
          <w:rFonts w:ascii="宋体" w:hAnsi="宋体" w:cs="宋体" w:eastAsia="宋体" w:hint="default"/>
          <w:sz w:val="21"/>
          <w:szCs w:val="21"/>
        </w:rPr>
        <w:t>利</w:t>
      </w:r>
      <w:r>
        <w:rPr>
          <w:rFonts w:ascii="宋体" w:hAnsi="宋体" w:cs="宋体" w:eastAsia="宋体" w:hint="default"/>
          <w:spacing w:val="-54"/>
          <w:sz w:val="21"/>
          <w:szCs w:val="21"/>
        </w:rPr>
        <w:t> </w:t>
      </w:r>
      <w:r>
        <w:rPr>
          <w:rFonts w:ascii="宋体" w:hAnsi="宋体" w:cs="宋体" w:eastAsia="宋体" w:hint="default"/>
          <w:sz w:val="21"/>
          <w:szCs w:val="21"/>
        </w:rPr>
        <w:t>润</w:t>
      </w:r>
      <w:r>
        <w:rPr>
          <w:rFonts w:ascii="宋体" w:hAnsi="宋体" w:cs="宋体" w:eastAsia="宋体" w:hint="default"/>
          <w:spacing w:val="-52"/>
          <w:sz w:val="21"/>
          <w:szCs w:val="21"/>
        </w:rPr>
        <w:t> </w:t>
      </w:r>
      <w:r>
        <w:rPr>
          <w:rFonts w:ascii="宋体" w:hAnsi="宋体" w:cs="宋体" w:eastAsia="宋体" w:hint="default"/>
          <w:sz w:val="21"/>
          <w:szCs w:val="21"/>
        </w:rPr>
        <w:t>加</w:t>
      </w:r>
      <w:r>
        <w:rPr>
          <w:rFonts w:ascii="宋体" w:hAnsi="宋体" w:cs="宋体" w:eastAsia="宋体" w:hint="default"/>
          <w:spacing w:val="-52"/>
          <w:sz w:val="21"/>
          <w:szCs w:val="21"/>
        </w:rPr>
        <w:t> </w:t>
      </w:r>
      <w:r>
        <w:rPr>
          <w:rFonts w:ascii="宋体" w:hAnsi="宋体" w:cs="宋体" w:eastAsia="宋体" w:hint="default"/>
          <w:sz w:val="21"/>
          <w:szCs w:val="21"/>
        </w:rPr>
        <w:t>权</w:t>
      </w:r>
      <w:r>
        <w:rPr>
          <w:rFonts w:ascii="宋体" w:hAnsi="宋体" w:cs="宋体" w:eastAsia="宋体" w:hint="default"/>
          <w:spacing w:val="-54"/>
          <w:sz w:val="21"/>
          <w:szCs w:val="21"/>
        </w:rPr>
        <w:t> </w:t>
      </w:r>
      <w:r>
        <w:rPr>
          <w:rFonts w:ascii="宋体" w:hAnsi="宋体" w:cs="宋体" w:eastAsia="宋体" w:hint="default"/>
          <w:sz w:val="21"/>
          <w:szCs w:val="21"/>
        </w:rPr>
        <w:t>平</w:t>
      </w:r>
      <w:r>
        <w:rPr>
          <w:rFonts w:ascii="宋体" w:hAnsi="宋体" w:cs="宋体" w:eastAsia="宋体" w:hint="default"/>
          <w:spacing w:val="-52"/>
          <w:sz w:val="21"/>
          <w:szCs w:val="21"/>
        </w:rPr>
        <w:t> </w:t>
      </w:r>
      <w:r>
        <w:rPr>
          <w:rFonts w:ascii="宋体" w:hAnsi="宋体" w:cs="宋体" w:eastAsia="宋体" w:hint="default"/>
          <w:sz w:val="21"/>
          <w:szCs w:val="21"/>
        </w:rPr>
        <w:t>均</w:t>
      </w:r>
      <w:r>
        <w:rPr>
          <w:rFonts w:ascii="宋体" w:hAnsi="宋体" w:cs="宋体" w:eastAsia="宋体" w:hint="default"/>
          <w:spacing w:val="-52"/>
          <w:sz w:val="21"/>
          <w:szCs w:val="21"/>
        </w:rPr>
        <w:t> </w:t>
      </w:r>
      <w:r>
        <w:rPr>
          <w:rFonts w:ascii="宋体" w:hAnsi="宋体" w:cs="宋体" w:eastAsia="宋体" w:hint="default"/>
          <w:sz w:val="21"/>
          <w:szCs w:val="21"/>
        </w:rPr>
        <w:t>净</w:t>
      </w:r>
      <w:r>
        <w:rPr>
          <w:rFonts w:ascii="宋体" w:hAnsi="宋体" w:cs="宋体" w:eastAsia="宋体" w:hint="default"/>
          <w:spacing w:val="-52"/>
          <w:sz w:val="21"/>
          <w:szCs w:val="21"/>
        </w:rPr>
        <w:t> </w:t>
      </w:r>
      <w:r>
        <w:rPr>
          <w:rFonts w:ascii="宋体" w:hAnsi="宋体" w:cs="宋体" w:eastAsia="宋体" w:hint="default"/>
          <w:sz w:val="21"/>
          <w:szCs w:val="21"/>
        </w:rPr>
        <w:t>资</w:t>
      </w:r>
      <w:r>
        <w:rPr>
          <w:rFonts w:ascii="宋体" w:hAnsi="宋体" w:cs="宋体" w:eastAsia="宋体" w:hint="default"/>
          <w:spacing w:val="-52"/>
          <w:sz w:val="21"/>
          <w:szCs w:val="21"/>
        </w:rPr>
        <w:t> </w:t>
      </w:r>
      <w:r>
        <w:rPr>
          <w:rFonts w:ascii="宋体" w:hAnsi="宋体" w:cs="宋体" w:eastAsia="宋体" w:hint="default"/>
          <w:sz w:val="21"/>
          <w:szCs w:val="21"/>
        </w:rPr>
        <w:t>产</w:t>
      </w:r>
      <w:r>
        <w:rPr>
          <w:rFonts w:ascii="宋体" w:hAnsi="宋体" w:cs="宋体" w:eastAsia="宋体" w:hint="default"/>
          <w:spacing w:val="-54"/>
          <w:sz w:val="21"/>
          <w:szCs w:val="21"/>
        </w:rPr>
        <w:t> </w:t>
      </w:r>
      <w:r>
        <w:rPr>
          <w:rFonts w:ascii="宋体" w:hAnsi="宋体" w:cs="宋体" w:eastAsia="宋体" w:hint="default"/>
          <w:sz w:val="21"/>
          <w:szCs w:val="21"/>
        </w:rPr>
        <w:t>收</w:t>
      </w:r>
      <w:r>
        <w:rPr>
          <w:rFonts w:ascii="宋体" w:hAnsi="宋体" w:cs="宋体" w:eastAsia="宋体" w:hint="default"/>
          <w:spacing w:val="-52"/>
          <w:sz w:val="21"/>
          <w:szCs w:val="21"/>
        </w:rPr>
        <w:t> </w:t>
      </w:r>
      <w:r>
        <w:rPr>
          <w:rFonts w:ascii="宋体" w:hAnsi="宋体" w:cs="宋体" w:eastAsia="宋体" w:hint="default"/>
          <w:sz w:val="21"/>
          <w:szCs w:val="21"/>
        </w:rPr>
        <w:t>益</w:t>
      </w:r>
      <w:r>
        <w:rPr>
          <w:rFonts w:ascii="宋体" w:hAnsi="宋体" w:cs="宋体" w:eastAsia="宋体" w:hint="default"/>
          <w:spacing w:val="-52"/>
          <w:sz w:val="21"/>
          <w:szCs w:val="21"/>
        </w:rPr>
        <w:t> </w:t>
      </w:r>
      <w:r>
        <w:rPr>
          <w:rFonts w:ascii="宋体" w:hAnsi="宋体" w:cs="宋体" w:eastAsia="宋体" w:hint="default"/>
          <w:sz w:val="21"/>
          <w:szCs w:val="21"/>
        </w:rPr>
        <w:t>率</w:t>
      </w:r>
    </w:p>
    <w:p>
      <w:pPr>
        <w:spacing w:after="0"/>
        <w:jc w:val="left"/>
        <w:rPr>
          <w:rFonts w:ascii="宋体" w:hAnsi="宋体" w:cs="宋体" w:eastAsia="宋体" w:hint="default"/>
          <w:sz w:val="21"/>
          <w:szCs w:val="21"/>
        </w:rPr>
        <w:sectPr>
          <w:pgSz w:w="11910" w:h="16840"/>
          <w:pgMar w:header="920" w:footer="936" w:top="1140" w:bottom="1140" w:left="1020" w:right="0"/>
        </w:sectPr>
      </w:pPr>
    </w:p>
    <w:p>
      <w:pPr>
        <w:spacing w:line="357" w:lineRule="auto" w:before="25"/>
        <w:ind w:left="652" w:right="1122" w:firstLine="0"/>
        <w:jc w:val="left"/>
        <w:rPr>
          <w:rFonts w:ascii="宋体" w:hAnsi="宋体" w:cs="宋体" w:eastAsia="宋体" w:hint="default"/>
          <w:sz w:val="21"/>
          <w:szCs w:val="21"/>
        </w:rPr>
      </w:pPr>
      <w:r>
        <w:rPr>
          <w:rFonts w:ascii="宋体"/>
          <w:spacing w:val="-1"/>
          <w:sz w:val="21"/>
        </w:rPr>
        <w:t>=376,477,152.83/(1,957,085,365.01+388,993,128.37/2-1,166,863.70/2-64,200,000.00*6/12-224,70</w:t>
      </w:r>
      <w:r>
        <w:rPr>
          <w:rFonts w:ascii="宋体"/>
          <w:spacing w:val="-27"/>
          <w:sz w:val="21"/>
        </w:rPr>
        <w:t> </w:t>
      </w:r>
      <w:r>
        <w:rPr>
          <w:rFonts w:ascii="宋体"/>
          <w:spacing w:val="-27"/>
          <w:sz w:val="21"/>
        </w:rPr>
      </w:r>
      <w:r>
        <w:rPr>
          <w:rFonts w:ascii="宋体"/>
          <w:sz w:val="21"/>
        </w:rPr>
        <w:t>0,000.00*3/12)=18.25%</w:t>
      </w:r>
    </w:p>
    <w:p>
      <w:pPr>
        <w:spacing w:line="357" w:lineRule="auto" w:before="70"/>
        <w:ind w:left="652" w:right="1126" w:firstLine="420"/>
        <w:jc w:val="both"/>
        <w:rPr>
          <w:rFonts w:ascii="宋体" w:hAnsi="宋体" w:cs="宋体" w:eastAsia="宋体" w:hint="default"/>
          <w:sz w:val="21"/>
          <w:szCs w:val="21"/>
        </w:rPr>
      </w:pPr>
      <w:r>
        <w:rPr>
          <w:rFonts w:ascii="宋体" w:hAnsi="宋体" w:cs="宋体" w:eastAsia="宋体" w:hint="default"/>
          <w:spacing w:val="-1"/>
          <w:position w:val="1"/>
          <w:sz w:val="21"/>
          <w:szCs w:val="21"/>
        </w:rPr>
        <w:t>其中：</w:t>
      </w:r>
      <w:r>
        <w:rPr>
          <w:rFonts w:ascii="宋体" w:hAnsi="宋体" w:cs="宋体" w:eastAsia="宋体" w:hint="default"/>
          <w:spacing w:val="-1"/>
          <w:position w:val="1"/>
          <w:sz w:val="21"/>
          <w:szCs w:val="21"/>
        </w:rPr>
        <w:t>P</w:t>
      </w:r>
      <w:r>
        <w:rPr>
          <w:rFonts w:ascii="宋体" w:hAnsi="宋体" w:cs="宋体" w:eastAsia="宋体" w:hint="default"/>
          <w:spacing w:val="-1"/>
          <w:sz w:val="11"/>
          <w:szCs w:val="11"/>
        </w:rPr>
        <w:t>0</w:t>
      </w:r>
      <w:r>
        <w:rPr>
          <w:rFonts w:ascii="宋体" w:hAnsi="宋体" w:cs="宋体" w:eastAsia="宋体" w:hint="default"/>
          <w:spacing w:val="16"/>
          <w:sz w:val="11"/>
          <w:szCs w:val="11"/>
        </w:rPr>
        <w:t> </w:t>
      </w:r>
      <w:r>
        <w:rPr>
          <w:rFonts w:ascii="宋体" w:hAnsi="宋体" w:cs="宋体" w:eastAsia="宋体" w:hint="default"/>
          <w:spacing w:val="-2"/>
          <w:position w:val="1"/>
          <w:sz w:val="21"/>
          <w:szCs w:val="21"/>
        </w:rPr>
        <w:t>分别对应于归属于公司普通股股东的净利润、扣除非经常性损益后归属于公司普通股股东的</w:t>
      </w:r>
      <w:r>
        <w:rPr>
          <w:rFonts w:ascii="宋体" w:hAnsi="宋体" w:cs="宋体" w:eastAsia="宋体" w:hint="default"/>
          <w:w w:val="100"/>
          <w:position w:val="1"/>
          <w:sz w:val="21"/>
          <w:szCs w:val="21"/>
        </w:rPr>
        <w:t> </w:t>
      </w:r>
      <w:r>
        <w:rPr>
          <w:rFonts w:ascii="宋体" w:hAnsi="宋体" w:cs="宋体" w:eastAsia="宋体" w:hint="default"/>
          <w:spacing w:val="-3"/>
          <w:position w:val="1"/>
          <w:sz w:val="21"/>
          <w:szCs w:val="21"/>
        </w:rPr>
        <w:t>净利润；</w:t>
      </w:r>
      <w:r>
        <w:rPr>
          <w:rFonts w:ascii="宋体" w:hAnsi="宋体" w:cs="宋体" w:eastAsia="宋体" w:hint="default"/>
          <w:spacing w:val="-3"/>
          <w:position w:val="1"/>
          <w:sz w:val="21"/>
          <w:szCs w:val="21"/>
        </w:rPr>
        <w:t>NP</w:t>
      </w:r>
      <w:r>
        <w:rPr>
          <w:rFonts w:ascii="宋体" w:hAnsi="宋体" w:cs="宋体" w:eastAsia="宋体" w:hint="default"/>
          <w:spacing w:val="-61"/>
          <w:position w:val="1"/>
          <w:sz w:val="21"/>
          <w:szCs w:val="21"/>
        </w:rPr>
        <w:t> </w:t>
      </w:r>
      <w:r>
        <w:rPr>
          <w:rFonts w:ascii="宋体" w:hAnsi="宋体" w:cs="宋体" w:eastAsia="宋体" w:hint="default"/>
          <w:position w:val="1"/>
          <w:sz w:val="21"/>
          <w:szCs w:val="21"/>
        </w:rPr>
        <w:t>为归属于公司普通股股东的净利润；</w:t>
      </w:r>
      <w:r>
        <w:rPr>
          <w:rFonts w:ascii="宋体" w:hAnsi="宋体" w:cs="宋体" w:eastAsia="宋体" w:hint="default"/>
          <w:position w:val="1"/>
          <w:sz w:val="21"/>
          <w:szCs w:val="21"/>
        </w:rPr>
        <w:t>E</w:t>
      </w:r>
      <w:r>
        <w:rPr>
          <w:rFonts w:ascii="宋体" w:hAnsi="宋体" w:cs="宋体" w:eastAsia="宋体" w:hint="default"/>
          <w:sz w:val="11"/>
          <w:szCs w:val="11"/>
        </w:rPr>
        <w:t>0</w:t>
      </w:r>
      <w:r>
        <w:rPr>
          <w:rFonts w:ascii="宋体" w:hAnsi="宋体" w:cs="宋体" w:eastAsia="宋体" w:hint="default"/>
          <w:spacing w:val="-35"/>
          <w:sz w:val="11"/>
          <w:szCs w:val="11"/>
        </w:rPr>
        <w:t> </w:t>
      </w:r>
      <w:r>
        <w:rPr>
          <w:rFonts w:ascii="宋体" w:hAnsi="宋体" w:cs="宋体" w:eastAsia="宋体" w:hint="default"/>
          <w:position w:val="1"/>
          <w:sz w:val="21"/>
          <w:szCs w:val="21"/>
        </w:rPr>
        <w:t>为归属于公司普通股股东的期初净资产；</w:t>
      </w:r>
      <w:r>
        <w:rPr>
          <w:rFonts w:ascii="宋体" w:hAnsi="宋体" w:cs="宋体" w:eastAsia="宋体" w:hint="default"/>
          <w:position w:val="1"/>
          <w:sz w:val="21"/>
          <w:szCs w:val="21"/>
        </w:rPr>
        <w:t>E</w:t>
      </w:r>
      <w:r>
        <w:rPr>
          <w:rFonts w:ascii="宋体" w:hAnsi="宋体" w:cs="宋体" w:eastAsia="宋体" w:hint="default"/>
          <w:sz w:val="11"/>
          <w:szCs w:val="11"/>
        </w:rPr>
        <w:t>i</w:t>
      </w:r>
      <w:r>
        <w:rPr>
          <w:rFonts w:ascii="宋体" w:hAnsi="宋体" w:cs="宋体" w:eastAsia="宋体" w:hint="default"/>
          <w:spacing w:val="-33"/>
          <w:sz w:val="11"/>
          <w:szCs w:val="11"/>
        </w:rPr>
        <w:t> </w:t>
      </w:r>
      <w:r>
        <w:rPr>
          <w:rFonts w:ascii="宋体" w:hAnsi="宋体" w:cs="宋体" w:eastAsia="宋体" w:hint="default"/>
          <w:position w:val="1"/>
          <w:sz w:val="21"/>
          <w:szCs w:val="21"/>
        </w:rPr>
        <w:t>为报告期发</w:t>
      </w:r>
      <w:r>
        <w:rPr>
          <w:rFonts w:ascii="宋体" w:hAnsi="宋体" w:cs="宋体" w:eastAsia="宋体" w:hint="default"/>
          <w:w w:val="100"/>
          <w:position w:val="1"/>
          <w:sz w:val="21"/>
          <w:szCs w:val="21"/>
        </w:rPr>
        <w:t> </w:t>
      </w:r>
      <w:r>
        <w:rPr>
          <w:rFonts w:ascii="宋体" w:hAnsi="宋体" w:cs="宋体" w:eastAsia="宋体" w:hint="default"/>
          <w:spacing w:val="-2"/>
          <w:position w:val="1"/>
          <w:sz w:val="21"/>
          <w:szCs w:val="21"/>
        </w:rPr>
        <w:t>行新股或债转股等新增的、归属于公司普通股股东的净资产；</w:t>
      </w:r>
      <w:r>
        <w:rPr>
          <w:rFonts w:ascii="宋体" w:hAnsi="宋体" w:cs="宋体" w:eastAsia="宋体" w:hint="default"/>
          <w:spacing w:val="-2"/>
          <w:position w:val="1"/>
          <w:sz w:val="21"/>
          <w:szCs w:val="21"/>
        </w:rPr>
        <w:t>E</w:t>
      </w:r>
      <w:r>
        <w:rPr>
          <w:rFonts w:ascii="宋体" w:hAnsi="宋体" w:cs="宋体" w:eastAsia="宋体" w:hint="default"/>
          <w:spacing w:val="-2"/>
          <w:sz w:val="11"/>
          <w:szCs w:val="11"/>
        </w:rPr>
        <w:t>j</w:t>
      </w:r>
      <w:r>
        <w:rPr>
          <w:rFonts w:ascii="宋体" w:hAnsi="宋体" w:cs="宋体" w:eastAsia="宋体" w:hint="default"/>
          <w:sz w:val="11"/>
          <w:szCs w:val="11"/>
        </w:rPr>
        <w:t> </w:t>
      </w:r>
      <w:r>
        <w:rPr>
          <w:rFonts w:ascii="宋体" w:hAnsi="宋体" w:cs="宋体" w:eastAsia="宋体" w:hint="default"/>
          <w:spacing w:val="-2"/>
          <w:position w:val="1"/>
          <w:sz w:val="21"/>
          <w:szCs w:val="21"/>
        </w:rPr>
        <w:t>为报告期回购或现金分红等减少的、归属</w:t>
      </w:r>
      <w:r>
        <w:rPr>
          <w:rFonts w:ascii="宋体" w:hAnsi="宋体" w:cs="宋体" w:eastAsia="宋体" w:hint="default"/>
          <w:spacing w:val="-44"/>
          <w:position w:val="1"/>
          <w:sz w:val="21"/>
          <w:szCs w:val="21"/>
        </w:rPr>
        <w:t> </w:t>
      </w:r>
      <w:r>
        <w:rPr>
          <w:rFonts w:ascii="宋体" w:hAnsi="宋体" w:cs="宋体" w:eastAsia="宋体" w:hint="default"/>
          <w:spacing w:val="-44"/>
          <w:position w:val="1"/>
          <w:sz w:val="21"/>
          <w:szCs w:val="21"/>
        </w:rPr>
      </w:r>
      <w:r>
        <w:rPr>
          <w:rFonts w:ascii="宋体" w:hAnsi="宋体" w:cs="宋体" w:eastAsia="宋体" w:hint="default"/>
          <w:position w:val="1"/>
          <w:sz w:val="21"/>
          <w:szCs w:val="21"/>
        </w:rPr>
        <w:t>于公司普通股股东的净资产；</w:t>
      </w:r>
      <w:r>
        <w:rPr>
          <w:rFonts w:ascii="宋体" w:hAnsi="宋体" w:cs="宋体" w:eastAsia="宋体" w:hint="default"/>
          <w:position w:val="1"/>
          <w:sz w:val="21"/>
          <w:szCs w:val="21"/>
        </w:rPr>
        <w:t>M</w:t>
      </w:r>
      <w:r>
        <w:rPr>
          <w:rFonts w:ascii="宋体" w:hAnsi="宋体" w:cs="宋体" w:eastAsia="宋体" w:hint="default"/>
          <w:sz w:val="11"/>
          <w:szCs w:val="11"/>
        </w:rPr>
        <w:t>0</w:t>
      </w:r>
      <w:r>
        <w:rPr>
          <w:rFonts w:ascii="宋体" w:hAnsi="宋体" w:cs="宋体" w:eastAsia="宋体" w:hint="default"/>
          <w:spacing w:val="-15"/>
          <w:sz w:val="11"/>
          <w:szCs w:val="11"/>
        </w:rPr>
        <w:t> </w:t>
      </w:r>
      <w:r>
        <w:rPr>
          <w:rFonts w:ascii="宋体" w:hAnsi="宋体" w:cs="宋体" w:eastAsia="宋体" w:hint="default"/>
          <w:position w:val="1"/>
          <w:sz w:val="21"/>
          <w:szCs w:val="21"/>
        </w:rPr>
        <w:t>为报告期月份数；</w:t>
      </w:r>
      <w:r>
        <w:rPr>
          <w:rFonts w:ascii="宋体" w:hAnsi="宋体" w:cs="宋体" w:eastAsia="宋体" w:hint="default"/>
          <w:position w:val="1"/>
          <w:sz w:val="21"/>
          <w:szCs w:val="21"/>
        </w:rPr>
        <w:t>M</w:t>
      </w:r>
      <w:r>
        <w:rPr>
          <w:rFonts w:ascii="宋体" w:hAnsi="宋体" w:cs="宋体" w:eastAsia="宋体" w:hint="default"/>
          <w:sz w:val="11"/>
          <w:szCs w:val="11"/>
        </w:rPr>
        <w:t>i</w:t>
      </w:r>
      <w:r>
        <w:rPr>
          <w:rFonts w:ascii="宋体" w:hAnsi="宋体" w:cs="宋体" w:eastAsia="宋体" w:hint="default"/>
          <w:spacing w:val="-15"/>
          <w:sz w:val="11"/>
          <w:szCs w:val="11"/>
        </w:rPr>
        <w:t> </w:t>
      </w:r>
      <w:r>
        <w:rPr>
          <w:rFonts w:ascii="宋体" w:hAnsi="宋体" w:cs="宋体" w:eastAsia="宋体" w:hint="default"/>
          <w:position w:val="1"/>
          <w:sz w:val="21"/>
          <w:szCs w:val="21"/>
        </w:rPr>
        <w:t>为新增净资产次月起至报告期期末的累计月数；</w:t>
      </w:r>
      <w:r>
        <w:rPr>
          <w:rFonts w:ascii="宋体" w:hAnsi="宋体" w:cs="宋体" w:eastAsia="宋体" w:hint="default"/>
          <w:position w:val="1"/>
          <w:sz w:val="21"/>
          <w:szCs w:val="21"/>
        </w:rPr>
        <w:t>M</w:t>
      </w:r>
      <w:r>
        <w:rPr>
          <w:rFonts w:ascii="宋体" w:hAnsi="宋体" w:cs="宋体" w:eastAsia="宋体" w:hint="default"/>
          <w:sz w:val="11"/>
          <w:szCs w:val="11"/>
        </w:rPr>
        <w:t>j</w:t>
      </w:r>
      <w:r>
        <w:rPr>
          <w:rFonts w:ascii="宋体" w:hAnsi="宋体" w:cs="宋体" w:eastAsia="宋体" w:hint="default"/>
          <w:spacing w:val="-18"/>
          <w:sz w:val="11"/>
          <w:szCs w:val="11"/>
        </w:rPr>
        <w:t> </w:t>
      </w:r>
      <w:r>
        <w:rPr>
          <w:rFonts w:ascii="宋体" w:hAnsi="宋体" w:cs="宋体" w:eastAsia="宋体" w:hint="default"/>
          <w:position w:val="1"/>
          <w:sz w:val="21"/>
          <w:szCs w:val="21"/>
        </w:rPr>
        <w:t>为</w:t>
      </w:r>
      <w:r>
        <w:rPr>
          <w:rFonts w:ascii="宋体" w:hAnsi="宋体" w:cs="宋体" w:eastAsia="宋体" w:hint="default"/>
          <w:w w:val="100"/>
          <w:position w:val="1"/>
          <w:sz w:val="21"/>
          <w:szCs w:val="21"/>
        </w:rPr>
        <w:t> </w:t>
      </w:r>
      <w:r>
        <w:rPr>
          <w:rFonts w:ascii="宋体" w:hAnsi="宋体" w:cs="宋体" w:eastAsia="宋体" w:hint="default"/>
          <w:spacing w:val="-2"/>
          <w:position w:val="1"/>
          <w:sz w:val="21"/>
          <w:szCs w:val="21"/>
        </w:rPr>
        <w:t>减少净资产次月起至报告期期末的累计月数；</w:t>
      </w:r>
      <w:r>
        <w:rPr>
          <w:rFonts w:ascii="宋体" w:hAnsi="宋体" w:cs="宋体" w:eastAsia="宋体" w:hint="default"/>
          <w:spacing w:val="-2"/>
          <w:position w:val="1"/>
          <w:sz w:val="21"/>
          <w:szCs w:val="21"/>
        </w:rPr>
        <w:t>E</w:t>
      </w:r>
      <w:r>
        <w:rPr>
          <w:rFonts w:ascii="宋体" w:hAnsi="宋体" w:cs="宋体" w:eastAsia="宋体" w:hint="default"/>
          <w:spacing w:val="-2"/>
          <w:sz w:val="11"/>
          <w:szCs w:val="11"/>
        </w:rPr>
        <w:t>k</w:t>
      </w:r>
      <w:r>
        <w:rPr>
          <w:rFonts w:ascii="宋体" w:hAnsi="宋体" w:cs="宋体" w:eastAsia="宋体" w:hint="default"/>
          <w:sz w:val="11"/>
          <w:szCs w:val="11"/>
        </w:rPr>
        <w:t> </w:t>
      </w:r>
      <w:r>
        <w:rPr>
          <w:rFonts w:ascii="宋体" w:hAnsi="宋体" w:cs="宋体" w:eastAsia="宋体" w:hint="default"/>
          <w:spacing w:val="-2"/>
          <w:position w:val="1"/>
          <w:sz w:val="21"/>
          <w:szCs w:val="21"/>
        </w:rPr>
        <w:t>为因其他交易或事项引起的、归属于公司普通股股东的净</w:t>
      </w:r>
      <w:r>
        <w:rPr>
          <w:rFonts w:ascii="宋体" w:hAnsi="宋体" w:cs="宋体" w:eastAsia="宋体" w:hint="default"/>
          <w:spacing w:val="-44"/>
          <w:position w:val="1"/>
          <w:sz w:val="21"/>
          <w:szCs w:val="21"/>
        </w:rPr>
        <w:t> </w:t>
      </w:r>
      <w:r>
        <w:rPr>
          <w:rFonts w:ascii="宋体" w:hAnsi="宋体" w:cs="宋体" w:eastAsia="宋体" w:hint="default"/>
          <w:spacing w:val="-44"/>
          <w:position w:val="1"/>
          <w:sz w:val="21"/>
          <w:szCs w:val="21"/>
        </w:rPr>
      </w:r>
      <w:r>
        <w:rPr>
          <w:rFonts w:ascii="宋体" w:hAnsi="宋体" w:cs="宋体" w:eastAsia="宋体" w:hint="default"/>
          <w:spacing w:val="-1"/>
          <w:position w:val="1"/>
          <w:sz w:val="21"/>
          <w:szCs w:val="21"/>
        </w:rPr>
        <w:t>资产增减变动；</w:t>
      </w:r>
      <w:r>
        <w:rPr>
          <w:rFonts w:ascii="宋体" w:hAnsi="宋体" w:cs="宋体" w:eastAsia="宋体" w:hint="default"/>
          <w:spacing w:val="-1"/>
          <w:position w:val="1"/>
          <w:sz w:val="21"/>
          <w:szCs w:val="21"/>
        </w:rPr>
        <w:t>M</w:t>
      </w:r>
      <w:r>
        <w:rPr>
          <w:rFonts w:ascii="宋体" w:hAnsi="宋体" w:cs="宋体" w:eastAsia="宋体" w:hint="default"/>
          <w:spacing w:val="-1"/>
          <w:sz w:val="11"/>
          <w:szCs w:val="11"/>
        </w:rPr>
        <w:t>k</w:t>
      </w:r>
      <w:r>
        <w:rPr>
          <w:rFonts w:ascii="宋体" w:hAnsi="宋体" w:cs="宋体" w:eastAsia="宋体" w:hint="default"/>
          <w:spacing w:val="30"/>
          <w:sz w:val="11"/>
          <w:szCs w:val="11"/>
        </w:rPr>
        <w:t> </w:t>
      </w:r>
      <w:r>
        <w:rPr>
          <w:rFonts w:ascii="宋体" w:hAnsi="宋体" w:cs="宋体" w:eastAsia="宋体" w:hint="default"/>
          <w:spacing w:val="-2"/>
          <w:position w:val="1"/>
          <w:sz w:val="21"/>
          <w:szCs w:val="21"/>
        </w:rPr>
        <w:t>为发生其他净资产增减变动次月起至报告期期末的累计月数。</w:t>
      </w:r>
      <w:r>
        <w:rPr>
          <w:rFonts w:ascii="宋体" w:hAnsi="宋体" w:cs="宋体" w:eastAsia="宋体" w:hint="default"/>
          <w:spacing w:val="-2"/>
          <w:sz w:val="21"/>
          <w:szCs w:val="21"/>
        </w:rPr>
      </w:r>
    </w:p>
    <w:p>
      <w:pPr>
        <w:spacing w:line="357" w:lineRule="auto" w:before="71"/>
        <w:ind w:left="6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报告期发生同一控制下企业合并的，计算加权平均净资产收益率时，被合并方的净资产从报告期期初</w:t>
      </w:r>
      <w:r>
        <w:rPr>
          <w:rFonts w:ascii="宋体" w:hAnsi="宋体" w:cs="宋体" w:eastAsia="宋体" w:hint="default"/>
          <w:w w:val="100"/>
          <w:sz w:val="21"/>
          <w:szCs w:val="21"/>
        </w:rPr>
        <w:t> </w:t>
      </w:r>
      <w:r>
        <w:rPr>
          <w:rFonts w:ascii="宋体" w:hAnsi="宋体" w:cs="宋体" w:eastAsia="宋体" w:hint="default"/>
          <w:spacing w:val="-2"/>
          <w:sz w:val="21"/>
          <w:szCs w:val="21"/>
        </w:rPr>
        <w:t>起进行加权；计算扣除非经常性损益后的加权平均净资产收益率时，被合并方的净资产从合并日的次月起</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进行加权。计算比较期间的加权平均净资产收益率时，被合并方的净利润、净资产均从比较期间期初起进</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行加权；计算比较期间扣除非经常性损益后的加权平均净资产收益率时，被合并方的净资产不予加权计算</w:t>
      </w:r>
    </w:p>
    <w:p>
      <w:pPr>
        <w:spacing w:before="28"/>
        <w:ind w:left="652" w:right="1122" w:firstLine="0"/>
        <w:jc w:val="left"/>
        <w:rPr>
          <w:rFonts w:ascii="宋体" w:hAnsi="宋体" w:cs="宋体" w:eastAsia="宋体" w:hint="default"/>
          <w:sz w:val="21"/>
          <w:szCs w:val="21"/>
        </w:rPr>
      </w:pPr>
      <w:r>
        <w:rPr>
          <w:rFonts w:ascii="宋体" w:hAnsi="宋体" w:cs="宋体" w:eastAsia="宋体" w:hint="default"/>
          <w:w w:val="100"/>
          <w:sz w:val="21"/>
          <w:szCs w:val="21"/>
        </w:rPr>
        <w:t>（权</w:t>
      </w:r>
      <w:r>
        <w:rPr>
          <w:rFonts w:ascii="宋体" w:hAnsi="宋体" w:cs="宋体" w:eastAsia="宋体" w:hint="default"/>
          <w:spacing w:val="-3"/>
          <w:w w:val="100"/>
          <w:sz w:val="21"/>
          <w:szCs w:val="21"/>
        </w:rPr>
        <w:t>重</w:t>
      </w:r>
      <w:r>
        <w:rPr>
          <w:rFonts w:ascii="宋体" w:hAnsi="宋体" w:cs="宋体" w:eastAsia="宋体" w:hint="default"/>
          <w:w w:val="100"/>
          <w:sz w:val="21"/>
          <w:szCs w:val="21"/>
        </w:rPr>
        <w:t>为</w:t>
      </w:r>
      <w:r>
        <w:rPr>
          <w:rFonts w:ascii="宋体" w:hAnsi="宋体" w:cs="宋体" w:eastAsia="宋体" w:hint="default"/>
          <w:spacing w:val="-3"/>
          <w:w w:val="100"/>
          <w:sz w:val="21"/>
          <w:szCs w:val="21"/>
        </w:rPr>
        <w:t>零</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374" w:lineRule="auto" w:before="174"/>
        <w:ind w:left="1073" w:right="645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、每股收益计算过程如下：</w:t>
      </w:r>
      <w:r>
        <w:rPr>
          <w:rFonts w:ascii="宋体" w:hAnsi="宋体" w:cs="宋体" w:eastAsia="宋体" w:hint="default"/>
          <w:w w:val="100"/>
          <w:sz w:val="21"/>
          <w:szCs w:val="21"/>
        </w:rPr>
        <w:t> </w:t>
      </w:r>
      <w:r>
        <w:rPr>
          <w:rFonts w:ascii="宋体" w:hAnsi="宋体" w:cs="宋体" w:eastAsia="宋体" w:hint="default"/>
          <w:sz w:val="21"/>
          <w:szCs w:val="21"/>
        </w:rPr>
        <w:t>基本每股收益=P0÷S</w:t>
      </w:r>
      <w:r>
        <w:rPr>
          <w:rFonts w:ascii="宋体" w:hAnsi="宋体" w:cs="宋体" w:eastAsia="宋体" w:hint="default"/>
          <w:w w:val="100"/>
          <w:sz w:val="21"/>
          <w:szCs w:val="21"/>
        </w:rPr>
        <w:t> </w:t>
      </w:r>
      <w:r>
        <w:rPr>
          <w:rFonts w:ascii="宋体" w:hAnsi="宋体" w:cs="宋体" w:eastAsia="宋体" w:hint="default"/>
          <w:sz w:val="21"/>
          <w:szCs w:val="21"/>
        </w:rPr>
        <w:t>S</w:t>
      </w:r>
      <w:r>
        <w:rPr>
          <w:rFonts w:ascii="宋体" w:hAnsi="宋体" w:cs="宋体" w:eastAsia="宋体" w:hint="default"/>
          <w:sz w:val="21"/>
          <w:szCs w:val="21"/>
        </w:rPr>
        <w:t>＝</w:t>
      </w:r>
      <w:r>
        <w:rPr>
          <w:rFonts w:ascii="宋体" w:hAnsi="宋体" w:cs="宋体" w:eastAsia="宋体" w:hint="default"/>
          <w:sz w:val="21"/>
          <w:szCs w:val="21"/>
        </w:rPr>
        <w:t>S0</w:t>
      </w:r>
      <w:r>
        <w:rPr>
          <w:rFonts w:ascii="宋体" w:hAnsi="宋体" w:cs="宋体" w:eastAsia="宋体" w:hint="default"/>
          <w:sz w:val="21"/>
          <w:szCs w:val="21"/>
        </w:rPr>
        <w:t>＋</w:t>
      </w:r>
      <w:r>
        <w:rPr>
          <w:rFonts w:ascii="宋体" w:hAnsi="宋体" w:cs="宋体" w:eastAsia="宋体" w:hint="default"/>
          <w:sz w:val="21"/>
          <w:szCs w:val="21"/>
        </w:rPr>
        <w:t>S1</w:t>
      </w:r>
      <w:r>
        <w:rPr>
          <w:rFonts w:ascii="宋体" w:hAnsi="宋体" w:cs="宋体" w:eastAsia="宋体" w:hint="default"/>
          <w:sz w:val="21"/>
          <w:szCs w:val="21"/>
        </w:rPr>
        <w:t>＋Si×Mi÷M0–</w:t>
      </w:r>
      <w:r>
        <w:rPr>
          <w:rFonts w:ascii="宋体" w:hAnsi="宋体" w:cs="宋体" w:eastAsia="宋体" w:hint="default"/>
          <w:spacing w:val="-7"/>
          <w:sz w:val="21"/>
          <w:szCs w:val="21"/>
        </w:rPr>
        <w:t> </w:t>
      </w:r>
      <w:r>
        <w:rPr>
          <w:rFonts w:ascii="宋体" w:hAnsi="宋体" w:cs="宋体" w:eastAsia="宋体" w:hint="default"/>
          <w:sz w:val="21"/>
          <w:szCs w:val="21"/>
        </w:rPr>
        <w:t>Sj×Mj÷M0</w:t>
      </w:r>
      <w:r>
        <w:rPr>
          <w:rFonts w:ascii="宋体" w:hAnsi="宋体" w:cs="宋体" w:eastAsia="宋体" w:hint="default"/>
          <w:sz w:val="21"/>
          <w:szCs w:val="21"/>
        </w:rPr>
        <w:t>-Sk</w:t>
      </w:r>
    </w:p>
    <w:p>
      <w:pPr>
        <w:spacing w:before="56"/>
        <w:ind w:left="1178" w:right="1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642,000,000.00</w:t>
      </w:r>
    </w:p>
    <w:p>
      <w:pPr>
        <w:spacing w:before="174"/>
        <w:ind w:left="1073" w:right="1122" w:firstLine="0"/>
        <w:jc w:val="left"/>
        <w:rPr>
          <w:rFonts w:ascii="宋体" w:hAnsi="宋体" w:cs="宋体" w:eastAsia="宋体" w:hint="default"/>
          <w:sz w:val="21"/>
          <w:szCs w:val="21"/>
        </w:rPr>
      </w:pPr>
      <w:r>
        <w:rPr>
          <w:rFonts w:ascii="宋体" w:hAnsi="宋体" w:cs="宋体" w:eastAsia="宋体" w:hint="default"/>
          <w:sz w:val="21"/>
          <w:szCs w:val="21"/>
        </w:rPr>
        <w:t>①、归属于公司普通股股东的净利润基本每股收益</w:t>
      </w:r>
    </w:p>
    <w:p>
      <w:pPr>
        <w:spacing w:before="174"/>
        <w:ind w:left="1581" w:right="5919"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388,993,128.37/642,000,000.00</w:t>
      </w:r>
      <w:r>
        <w:rPr>
          <w:rFonts w:ascii="宋体" w:hAnsi="宋体" w:cs="宋体" w:eastAsia="宋体" w:hint="default"/>
          <w:sz w:val="21"/>
          <w:szCs w:val="21"/>
        </w:rPr>
        <w:t>＝</w:t>
      </w:r>
      <w:r>
        <w:rPr>
          <w:rFonts w:ascii="宋体" w:hAnsi="宋体" w:cs="宋体" w:eastAsia="宋体" w:hint="default"/>
          <w:sz w:val="21"/>
          <w:szCs w:val="21"/>
        </w:rPr>
        <w:t>0.61</w:t>
      </w:r>
    </w:p>
    <w:p>
      <w:pPr>
        <w:spacing w:before="174"/>
        <w:ind w:left="1073" w:right="1122" w:firstLine="0"/>
        <w:jc w:val="left"/>
        <w:rPr>
          <w:rFonts w:ascii="宋体" w:hAnsi="宋体" w:cs="宋体" w:eastAsia="宋体" w:hint="default"/>
          <w:sz w:val="21"/>
          <w:szCs w:val="21"/>
        </w:rPr>
      </w:pPr>
      <w:r>
        <w:rPr>
          <w:rFonts w:ascii="宋体" w:hAnsi="宋体" w:cs="宋体" w:eastAsia="宋体" w:hint="default"/>
          <w:sz w:val="21"/>
          <w:szCs w:val="21"/>
        </w:rPr>
        <w:t>②、归属于公司普通股股东的净利润稀释基本每股收益</w:t>
      </w:r>
    </w:p>
    <w:p>
      <w:pPr>
        <w:spacing w:before="174"/>
        <w:ind w:left="1581" w:right="5919"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388,993,128.37/642,000,000.00</w:t>
      </w:r>
      <w:r>
        <w:rPr>
          <w:rFonts w:ascii="宋体" w:hAnsi="宋体" w:cs="宋体" w:eastAsia="宋体" w:hint="default"/>
          <w:sz w:val="21"/>
          <w:szCs w:val="21"/>
        </w:rPr>
        <w:t>＝</w:t>
      </w:r>
      <w:r>
        <w:rPr>
          <w:rFonts w:ascii="宋体" w:hAnsi="宋体" w:cs="宋体" w:eastAsia="宋体" w:hint="default"/>
          <w:sz w:val="21"/>
          <w:szCs w:val="21"/>
        </w:rPr>
        <w:t>0.61</w:t>
      </w:r>
    </w:p>
    <w:p>
      <w:pPr>
        <w:spacing w:before="174"/>
        <w:ind w:left="1073" w:right="1122" w:firstLine="0"/>
        <w:jc w:val="left"/>
        <w:rPr>
          <w:rFonts w:ascii="宋体" w:hAnsi="宋体" w:cs="宋体" w:eastAsia="宋体" w:hint="default"/>
          <w:sz w:val="21"/>
          <w:szCs w:val="21"/>
        </w:rPr>
      </w:pPr>
      <w:r>
        <w:rPr>
          <w:rFonts w:ascii="宋体" w:hAnsi="宋体" w:cs="宋体" w:eastAsia="宋体" w:hint="default"/>
          <w:sz w:val="21"/>
          <w:szCs w:val="21"/>
        </w:rPr>
        <w:t>③、扣除非经常性损益后归属于公司普通股股东的净利润基本每股收益</w:t>
      </w:r>
    </w:p>
    <w:p>
      <w:pPr>
        <w:spacing w:before="171"/>
        <w:ind w:left="1581" w:right="5919"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376,477,152.83/642,000,000.00</w:t>
      </w:r>
      <w:r>
        <w:rPr>
          <w:rFonts w:ascii="宋体" w:hAnsi="宋体" w:cs="宋体" w:eastAsia="宋体" w:hint="default"/>
          <w:sz w:val="21"/>
          <w:szCs w:val="21"/>
        </w:rPr>
        <w:t>＝</w:t>
      </w:r>
      <w:r>
        <w:rPr>
          <w:rFonts w:ascii="宋体" w:hAnsi="宋体" w:cs="宋体" w:eastAsia="宋体" w:hint="default"/>
          <w:sz w:val="21"/>
          <w:szCs w:val="21"/>
        </w:rPr>
        <w:t>0.59</w:t>
      </w:r>
    </w:p>
    <w:p>
      <w:pPr>
        <w:spacing w:before="174"/>
        <w:ind w:left="1073" w:right="1122" w:firstLine="0"/>
        <w:jc w:val="left"/>
        <w:rPr>
          <w:rFonts w:ascii="宋体" w:hAnsi="宋体" w:cs="宋体" w:eastAsia="宋体" w:hint="default"/>
          <w:sz w:val="21"/>
          <w:szCs w:val="21"/>
        </w:rPr>
      </w:pPr>
      <w:r>
        <w:rPr>
          <w:rFonts w:ascii="宋体" w:hAnsi="宋体" w:cs="宋体" w:eastAsia="宋体" w:hint="default"/>
          <w:sz w:val="21"/>
          <w:szCs w:val="21"/>
        </w:rPr>
        <w:t>④、归属于公司普通股股东的净利润稀释基本每股收益</w:t>
      </w:r>
    </w:p>
    <w:p>
      <w:pPr>
        <w:spacing w:before="174"/>
        <w:ind w:left="1581" w:right="5919"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376,477,152.83/642,000,000.00</w:t>
      </w:r>
      <w:r>
        <w:rPr>
          <w:rFonts w:ascii="宋体" w:hAnsi="宋体" w:cs="宋体" w:eastAsia="宋体" w:hint="default"/>
          <w:sz w:val="21"/>
          <w:szCs w:val="21"/>
        </w:rPr>
        <w:t>＝</w:t>
      </w:r>
      <w:r>
        <w:rPr>
          <w:rFonts w:ascii="宋体" w:hAnsi="宋体" w:cs="宋体" w:eastAsia="宋体" w:hint="default"/>
          <w:sz w:val="21"/>
          <w:szCs w:val="21"/>
        </w:rPr>
        <w:t>0.59</w:t>
      </w:r>
    </w:p>
    <w:p>
      <w:pPr>
        <w:spacing w:line="237" w:lineRule="auto" w:before="179"/>
        <w:ind w:left="652" w:right="1122" w:firstLine="0"/>
        <w:jc w:val="left"/>
        <w:rPr>
          <w:rFonts w:ascii="宋体" w:hAnsi="宋体" w:cs="宋体" w:eastAsia="宋体" w:hint="default"/>
          <w:sz w:val="21"/>
          <w:szCs w:val="21"/>
        </w:rPr>
      </w:pPr>
      <w:r>
        <w:rPr>
          <w:rFonts w:ascii="宋体" w:hAnsi="宋体" w:cs="宋体" w:eastAsia="宋体" w:hint="default"/>
          <w:spacing w:val="-3"/>
          <w:sz w:val="21"/>
          <w:szCs w:val="21"/>
        </w:rPr>
        <w:t>其中：</w:t>
      </w:r>
      <w:r>
        <w:rPr>
          <w:rFonts w:ascii="宋体" w:hAnsi="宋体" w:cs="宋体" w:eastAsia="宋体" w:hint="default"/>
          <w:spacing w:val="-3"/>
          <w:sz w:val="21"/>
          <w:szCs w:val="21"/>
        </w:rPr>
        <w:t>P0</w:t>
      </w:r>
      <w:r>
        <w:rPr>
          <w:rFonts w:ascii="宋体" w:hAnsi="宋体" w:cs="宋体" w:eastAsia="宋体" w:hint="default"/>
          <w:spacing w:val="-58"/>
          <w:sz w:val="21"/>
          <w:szCs w:val="21"/>
        </w:rPr>
        <w:t> </w:t>
      </w:r>
      <w:r>
        <w:rPr>
          <w:rFonts w:ascii="宋体" w:hAnsi="宋体" w:cs="宋体" w:eastAsia="宋体" w:hint="default"/>
          <w:sz w:val="21"/>
          <w:szCs w:val="21"/>
        </w:rPr>
        <w:t>为归属于公司普通股股东的净利润或扣除非经常性损益后归属于普通股股东的净利润；</w:t>
      </w:r>
      <w:r>
        <w:rPr>
          <w:rFonts w:ascii="宋体" w:hAnsi="宋体" w:cs="宋体" w:eastAsia="宋体" w:hint="default"/>
          <w:sz w:val="21"/>
          <w:szCs w:val="21"/>
        </w:rPr>
        <w:t>S</w:t>
      </w:r>
      <w:r>
        <w:rPr>
          <w:rFonts w:ascii="宋体" w:hAnsi="宋体" w:cs="宋体" w:eastAsia="宋体" w:hint="default"/>
          <w:spacing w:val="-60"/>
          <w:sz w:val="21"/>
          <w:szCs w:val="21"/>
        </w:rPr>
        <w:t> </w:t>
      </w:r>
      <w:r>
        <w:rPr>
          <w:rFonts w:ascii="宋体" w:hAnsi="宋体" w:cs="宋体" w:eastAsia="宋体" w:hint="default"/>
          <w:sz w:val="21"/>
          <w:szCs w:val="21"/>
        </w:rPr>
        <w:t>为发行</w:t>
      </w:r>
      <w:r>
        <w:rPr>
          <w:rFonts w:ascii="宋体" w:hAnsi="宋体" w:cs="宋体" w:eastAsia="宋体" w:hint="default"/>
          <w:w w:val="100"/>
          <w:sz w:val="21"/>
          <w:szCs w:val="21"/>
        </w:rPr>
        <w:t> </w:t>
      </w:r>
      <w:r>
        <w:rPr>
          <w:rFonts w:ascii="宋体" w:hAnsi="宋体" w:cs="宋体" w:eastAsia="宋体" w:hint="default"/>
          <w:sz w:val="21"/>
          <w:szCs w:val="21"/>
        </w:rPr>
        <w:t>在外的普通股加权平均数；</w:t>
      </w:r>
      <w:r>
        <w:rPr>
          <w:rFonts w:ascii="宋体" w:hAnsi="宋体" w:cs="宋体" w:eastAsia="宋体" w:hint="default"/>
          <w:sz w:val="21"/>
          <w:szCs w:val="21"/>
        </w:rPr>
        <w:t>S0</w:t>
      </w:r>
      <w:r>
        <w:rPr>
          <w:rFonts w:ascii="宋体" w:hAnsi="宋体" w:cs="宋体" w:eastAsia="宋体" w:hint="default"/>
          <w:spacing w:val="-55"/>
          <w:sz w:val="21"/>
          <w:szCs w:val="21"/>
        </w:rPr>
        <w:t> </w:t>
      </w:r>
      <w:r>
        <w:rPr>
          <w:rFonts w:ascii="宋体" w:hAnsi="宋体" w:cs="宋体" w:eastAsia="宋体" w:hint="default"/>
          <w:sz w:val="21"/>
          <w:szCs w:val="21"/>
        </w:rPr>
        <w:t>为期初股份总数；</w:t>
      </w:r>
      <w:r>
        <w:rPr>
          <w:rFonts w:ascii="宋体" w:hAnsi="宋体" w:cs="宋体" w:eastAsia="宋体" w:hint="default"/>
          <w:sz w:val="21"/>
          <w:szCs w:val="21"/>
        </w:rPr>
        <w:t>S1</w:t>
      </w:r>
      <w:r>
        <w:rPr>
          <w:rFonts w:ascii="宋体" w:hAnsi="宋体" w:cs="宋体" w:eastAsia="宋体" w:hint="default"/>
          <w:spacing w:val="-56"/>
          <w:sz w:val="21"/>
          <w:szCs w:val="21"/>
        </w:rPr>
        <w:t> </w:t>
      </w:r>
      <w:r>
        <w:rPr>
          <w:rFonts w:ascii="宋体" w:hAnsi="宋体" w:cs="宋体" w:eastAsia="宋体" w:hint="default"/>
          <w:sz w:val="21"/>
          <w:szCs w:val="21"/>
        </w:rPr>
        <w:t>为报告期因公积金转增股本或股票股利分配等增加股</w:t>
      </w:r>
      <w:r>
        <w:rPr>
          <w:rFonts w:ascii="宋体" w:hAnsi="宋体" w:cs="宋体" w:eastAsia="宋体" w:hint="default"/>
          <w:w w:val="100"/>
          <w:sz w:val="21"/>
          <w:szCs w:val="21"/>
        </w:rPr>
        <w:t> </w:t>
      </w:r>
      <w:r>
        <w:rPr>
          <w:rFonts w:ascii="宋体" w:hAnsi="宋体" w:cs="宋体" w:eastAsia="宋体" w:hint="default"/>
          <w:sz w:val="21"/>
          <w:szCs w:val="21"/>
        </w:rPr>
        <w:t>份数；</w:t>
      </w:r>
      <w:r>
        <w:rPr>
          <w:rFonts w:ascii="宋体" w:hAnsi="宋体" w:cs="宋体" w:eastAsia="宋体" w:hint="default"/>
          <w:sz w:val="21"/>
          <w:szCs w:val="21"/>
        </w:rPr>
        <w:t>Si</w:t>
      </w:r>
      <w:r>
        <w:rPr>
          <w:rFonts w:ascii="宋体" w:hAnsi="宋体" w:cs="宋体" w:eastAsia="宋体" w:hint="default"/>
          <w:spacing w:val="-58"/>
          <w:sz w:val="21"/>
          <w:szCs w:val="21"/>
        </w:rPr>
        <w:t> </w:t>
      </w:r>
      <w:r>
        <w:rPr>
          <w:rFonts w:ascii="宋体" w:hAnsi="宋体" w:cs="宋体" w:eastAsia="宋体" w:hint="default"/>
          <w:sz w:val="21"/>
          <w:szCs w:val="21"/>
        </w:rPr>
        <w:t>为报告期因发行新股或债转股等增加股份数；</w:t>
      </w:r>
      <w:r>
        <w:rPr>
          <w:rFonts w:ascii="宋体" w:hAnsi="宋体" w:cs="宋体" w:eastAsia="宋体" w:hint="default"/>
          <w:sz w:val="21"/>
          <w:szCs w:val="21"/>
        </w:rPr>
        <w:t>Sj</w:t>
      </w:r>
      <w:r>
        <w:rPr>
          <w:rFonts w:ascii="宋体" w:hAnsi="宋体" w:cs="宋体" w:eastAsia="宋体" w:hint="default"/>
          <w:spacing w:val="-55"/>
          <w:sz w:val="21"/>
          <w:szCs w:val="21"/>
        </w:rPr>
        <w:t> </w:t>
      </w:r>
      <w:r>
        <w:rPr>
          <w:rFonts w:ascii="宋体" w:hAnsi="宋体" w:cs="宋体" w:eastAsia="宋体" w:hint="default"/>
          <w:sz w:val="21"/>
          <w:szCs w:val="21"/>
        </w:rPr>
        <w:t>为报告期因回购等减少股份数；</w:t>
      </w:r>
      <w:r>
        <w:rPr>
          <w:rFonts w:ascii="宋体" w:hAnsi="宋体" w:cs="宋体" w:eastAsia="宋体" w:hint="default"/>
          <w:sz w:val="21"/>
          <w:szCs w:val="21"/>
        </w:rPr>
        <w:t>Sk</w:t>
      </w:r>
      <w:r>
        <w:rPr>
          <w:rFonts w:ascii="宋体" w:hAnsi="宋体" w:cs="宋体" w:eastAsia="宋体" w:hint="default"/>
          <w:spacing w:val="-56"/>
          <w:sz w:val="21"/>
          <w:szCs w:val="21"/>
        </w:rPr>
        <w:t> </w:t>
      </w:r>
      <w:r>
        <w:rPr>
          <w:rFonts w:ascii="宋体" w:hAnsi="宋体" w:cs="宋体" w:eastAsia="宋体" w:hint="default"/>
          <w:sz w:val="21"/>
          <w:szCs w:val="21"/>
        </w:rPr>
        <w:t>为报告期缩</w:t>
      </w:r>
      <w:r>
        <w:rPr>
          <w:rFonts w:ascii="宋体" w:hAnsi="宋体" w:cs="宋体" w:eastAsia="宋体" w:hint="default"/>
          <w:w w:val="100"/>
          <w:sz w:val="21"/>
          <w:szCs w:val="21"/>
        </w:rPr>
        <w:t> </w:t>
      </w:r>
      <w:r>
        <w:rPr>
          <w:rFonts w:ascii="宋体" w:hAnsi="宋体" w:cs="宋体" w:eastAsia="宋体" w:hint="default"/>
          <w:sz w:val="21"/>
          <w:szCs w:val="21"/>
        </w:rPr>
        <w:t>股数；</w:t>
      </w:r>
      <w:r>
        <w:rPr>
          <w:rFonts w:ascii="宋体" w:hAnsi="宋体" w:cs="宋体" w:eastAsia="宋体" w:hint="default"/>
          <w:sz w:val="21"/>
          <w:szCs w:val="21"/>
        </w:rPr>
        <w:t>M0</w:t>
      </w:r>
      <w:r>
        <w:rPr>
          <w:rFonts w:ascii="宋体" w:hAnsi="宋体" w:cs="宋体" w:eastAsia="宋体" w:hint="default"/>
          <w:spacing w:val="-57"/>
          <w:sz w:val="21"/>
          <w:szCs w:val="21"/>
        </w:rPr>
        <w:t> </w:t>
      </w:r>
      <w:r>
        <w:rPr>
          <w:rFonts w:ascii="宋体" w:hAnsi="宋体" w:cs="宋体" w:eastAsia="宋体" w:hint="default"/>
          <w:sz w:val="21"/>
          <w:szCs w:val="21"/>
        </w:rPr>
        <w:t>报告期月份数；</w:t>
      </w:r>
      <w:r>
        <w:rPr>
          <w:rFonts w:ascii="宋体" w:hAnsi="宋体" w:cs="宋体" w:eastAsia="宋体" w:hint="default"/>
          <w:sz w:val="21"/>
          <w:szCs w:val="21"/>
        </w:rPr>
        <w:t>Mi</w:t>
      </w:r>
      <w:r>
        <w:rPr>
          <w:rFonts w:ascii="宋体" w:hAnsi="宋体" w:cs="宋体" w:eastAsia="宋体" w:hint="default"/>
          <w:spacing w:val="-55"/>
          <w:sz w:val="21"/>
          <w:szCs w:val="21"/>
        </w:rPr>
        <w:t> </w:t>
      </w:r>
      <w:r>
        <w:rPr>
          <w:rFonts w:ascii="宋体" w:hAnsi="宋体" w:cs="宋体" w:eastAsia="宋体" w:hint="default"/>
          <w:sz w:val="21"/>
          <w:szCs w:val="21"/>
        </w:rPr>
        <w:t>为增加股份次月起至报告期期末的累计月数；</w:t>
      </w:r>
      <w:r>
        <w:rPr>
          <w:rFonts w:ascii="宋体" w:hAnsi="宋体" w:cs="宋体" w:eastAsia="宋体" w:hint="default"/>
          <w:sz w:val="21"/>
          <w:szCs w:val="21"/>
        </w:rPr>
        <w:t>Mj</w:t>
      </w:r>
      <w:r>
        <w:rPr>
          <w:rFonts w:ascii="宋体" w:hAnsi="宋体" w:cs="宋体" w:eastAsia="宋体" w:hint="default"/>
          <w:spacing w:val="-57"/>
          <w:sz w:val="21"/>
          <w:szCs w:val="21"/>
        </w:rPr>
        <w:t> </w:t>
      </w:r>
      <w:r>
        <w:rPr>
          <w:rFonts w:ascii="宋体" w:hAnsi="宋体" w:cs="宋体" w:eastAsia="宋体" w:hint="default"/>
          <w:sz w:val="21"/>
          <w:szCs w:val="21"/>
        </w:rPr>
        <w:t>为减少股份次月起至报告期</w:t>
      </w:r>
      <w:r>
        <w:rPr>
          <w:rFonts w:ascii="宋体" w:hAnsi="宋体" w:cs="宋体" w:eastAsia="宋体" w:hint="default"/>
          <w:w w:val="100"/>
          <w:sz w:val="21"/>
          <w:szCs w:val="21"/>
        </w:rPr>
        <w:t> </w:t>
      </w:r>
      <w:r>
        <w:rPr>
          <w:rFonts w:ascii="宋体" w:hAnsi="宋体" w:cs="宋体" w:eastAsia="宋体" w:hint="default"/>
          <w:sz w:val="21"/>
          <w:szCs w:val="21"/>
        </w:rPr>
        <w:t>期末的累计月数。</w:t>
      </w:r>
    </w:p>
    <w:p>
      <w:pPr>
        <w:spacing w:line="240" w:lineRule="auto" w:before="10"/>
        <w:rPr>
          <w:rFonts w:ascii="宋体" w:hAnsi="宋体" w:cs="宋体" w:eastAsia="宋体" w:hint="default"/>
          <w:sz w:val="21"/>
          <w:szCs w:val="21"/>
        </w:rPr>
      </w:pPr>
    </w:p>
    <w:p>
      <w:pPr>
        <w:pStyle w:val="Heading2"/>
        <w:tabs>
          <w:tab w:pos="1493" w:val="left" w:leader="none"/>
        </w:tabs>
        <w:spacing w:line="240" w:lineRule="auto"/>
        <w:ind w:left="652" w:right="1122"/>
        <w:jc w:val="left"/>
        <w:rPr>
          <w:b w:val="0"/>
          <w:bCs w:val="0"/>
        </w:rPr>
      </w:pPr>
      <w:r>
        <w:rPr>
          <w:w w:val="95"/>
        </w:rPr>
        <w:t>五、</w:t>
        <w:tab/>
      </w:r>
      <w:r>
        <w:rPr/>
        <w:t>报告期内股东权益变动情况</w:t>
      </w:r>
      <w:r>
        <w:rPr>
          <w:b w:val="0"/>
          <w:bCs w:val="0"/>
        </w:rPr>
      </w:r>
    </w:p>
    <w:p>
      <w:pPr>
        <w:spacing w:line="240" w:lineRule="auto" w:before="7"/>
        <w:rPr>
          <w:rFonts w:ascii="宋体" w:hAnsi="宋体" w:cs="宋体" w:eastAsia="宋体" w:hint="default"/>
          <w:b/>
          <w:bCs/>
          <w:sz w:val="23"/>
          <w:szCs w:val="23"/>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1"/>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681"/>
        <w:gridCol w:w="1560"/>
        <w:gridCol w:w="1561"/>
        <w:gridCol w:w="1558"/>
        <w:gridCol w:w="1560"/>
        <w:gridCol w:w="1561"/>
        <w:gridCol w:w="1699"/>
      </w:tblGrid>
      <w:tr>
        <w:trPr>
          <w:trHeight w:val="557" w:hRule="exact"/>
        </w:trPr>
        <w:tc>
          <w:tcPr>
            <w:tcW w:w="6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2"/>
              <w:ind w:left="683" w:right="146" w:hanging="540"/>
              <w:jc w:val="left"/>
              <w:rPr>
                <w:rFonts w:ascii="宋体" w:hAnsi="宋体" w:cs="宋体" w:eastAsia="宋体" w:hint="default"/>
                <w:sz w:val="18"/>
                <w:szCs w:val="18"/>
              </w:rPr>
            </w:pPr>
            <w:r>
              <w:rPr>
                <w:rFonts w:ascii="宋体" w:hAnsi="宋体" w:cs="宋体" w:eastAsia="宋体" w:hint="default"/>
                <w:sz w:val="18"/>
                <w:szCs w:val="18"/>
              </w:rPr>
              <w:t>外币报表折算差 额</w:t>
            </w:r>
          </w:p>
        </w:tc>
        <w:tc>
          <w:tcPr>
            <w:tcW w:w="1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2"/>
              <w:ind w:left="395" w:right="122" w:hanging="272"/>
              <w:jc w:val="left"/>
              <w:rPr>
                <w:rFonts w:ascii="宋体" w:hAnsi="宋体" w:cs="宋体" w:eastAsia="宋体" w:hint="default"/>
                <w:sz w:val="18"/>
                <w:szCs w:val="18"/>
              </w:rPr>
            </w:pPr>
            <w:r>
              <w:rPr>
                <w:rFonts w:ascii="宋体" w:hAnsi="宋体" w:cs="宋体" w:eastAsia="宋体" w:hint="default"/>
                <w:sz w:val="18"/>
                <w:szCs w:val="18"/>
              </w:rPr>
              <w:t>归属于母公司所有 者权益合计</w:t>
            </w:r>
          </w:p>
        </w:tc>
      </w:tr>
      <w:tr>
        <w:trPr>
          <w:trHeight w:val="324" w:hRule="exact"/>
        </w:trPr>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642,000,000.00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 w:right="0"/>
              <w:jc w:val="center"/>
              <w:rPr>
                <w:rFonts w:ascii="宋体" w:hAnsi="宋体" w:cs="宋体" w:eastAsia="宋体" w:hint="default"/>
                <w:sz w:val="18"/>
                <w:szCs w:val="18"/>
              </w:rPr>
            </w:pPr>
            <w:r>
              <w:rPr>
                <w:rFonts w:ascii="宋体"/>
                <w:sz w:val="18"/>
              </w:rPr>
              <w:t>461,763,092.78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 w:right="0"/>
              <w:jc w:val="center"/>
              <w:rPr>
                <w:rFonts w:ascii="宋体" w:hAnsi="宋体" w:cs="宋体" w:eastAsia="宋体" w:hint="default"/>
                <w:sz w:val="18"/>
                <w:szCs w:val="18"/>
              </w:rPr>
            </w:pPr>
            <w:r>
              <w:rPr>
                <w:rFonts w:ascii="宋体"/>
                <w:sz w:val="18"/>
              </w:rPr>
              <w:t>124,080,076.90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733,050,101.97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5" w:right="0"/>
              <w:jc w:val="left"/>
              <w:rPr>
                <w:rFonts w:ascii="宋体" w:hAnsi="宋体" w:cs="宋体" w:eastAsia="宋体" w:hint="default"/>
                <w:sz w:val="18"/>
                <w:szCs w:val="18"/>
              </w:rPr>
            </w:pPr>
            <w:r>
              <w:rPr>
                <w:rFonts w:ascii="宋体"/>
                <w:sz w:val="18"/>
              </w:rPr>
              <w:t>-3,807,906.64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sz w:val="18"/>
              </w:rPr>
              <w:t>1,957,085,365.01</w:t>
            </w:r>
          </w:p>
        </w:tc>
      </w:tr>
    </w:tbl>
    <w:p>
      <w:pPr>
        <w:spacing w:after="0" w:line="240" w:lineRule="auto"/>
        <w:jc w:val="left"/>
        <w:rPr>
          <w:rFonts w:ascii="宋体" w:hAnsi="宋体" w:cs="宋体" w:eastAsia="宋体" w:hint="default"/>
          <w:sz w:val="18"/>
          <w:szCs w:val="18"/>
        </w:rPr>
        <w:sectPr>
          <w:pgSz w:w="11910" w:h="16840"/>
          <w:pgMar w:header="920" w:footer="936" w:top="1140" w:bottom="1140" w:left="480" w:right="0"/>
        </w:sectPr>
      </w:pPr>
    </w:p>
    <w:p>
      <w:pPr>
        <w:spacing w:line="240" w:lineRule="auto" w:before="2"/>
        <w:rPr>
          <w:rFonts w:ascii="Times New Roman" w:hAnsi="Times New Roman" w:cs="Times New Roman" w:eastAsia="Times New Roman"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682"/>
        <w:gridCol w:w="1560"/>
        <w:gridCol w:w="1561"/>
        <w:gridCol w:w="1558"/>
        <w:gridCol w:w="1560"/>
        <w:gridCol w:w="1561"/>
        <w:gridCol w:w="1699"/>
      </w:tblGrid>
      <w:tr>
        <w:trPr>
          <w:trHeight w:val="28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155" w:right="154"/>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7"/>
              <w:jc w:val="right"/>
              <w:rPr>
                <w:rFonts w:ascii="宋体" w:hAnsi="宋体" w:cs="宋体" w:eastAsia="宋体" w:hint="default"/>
                <w:sz w:val="18"/>
                <w:szCs w:val="18"/>
              </w:rPr>
            </w:pPr>
            <w:r>
              <w:rPr>
                <w:rFonts w:ascii="宋体"/>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4,332.93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8"/>
              <w:jc w:val="right"/>
              <w:rPr>
                <w:rFonts w:ascii="宋体" w:hAnsi="宋体" w:cs="宋体" w:eastAsia="宋体" w:hint="default"/>
                <w:sz w:val="18"/>
                <w:szCs w:val="18"/>
              </w:rPr>
            </w:pPr>
            <w:r>
              <w:rPr>
                <w:rFonts w:ascii="宋体"/>
                <w:spacing w:val="-1"/>
                <w:sz w:val="18"/>
              </w:rPr>
              <w:t>25,494,958.39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7"/>
              <w:jc w:val="right"/>
              <w:rPr>
                <w:rFonts w:ascii="宋体" w:hAnsi="宋体" w:cs="宋体" w:eastAsia="宋体" w:hint="default"/>
                <w:sz w:val="18"/>
                <w:szCs w:val="18"/>
              </w:rPr>
            </w:pPr>
            <w:r>
              <w:rPr>
                <w:rFonts w:ascii="宋体"/>
                <w:spacing w:val="-1"/>
                <w:sz w:val="18"/>
              </w:rPr>
              <w:t>388,993,128.37</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8"/>
              <w:jc w:val="right"/>
              <w:rPr>
                <w:rFonts w:ascii="宋体" w:hAnsi="宋体" w:cs="宋体" w:eastAsia="宋体" w:hint="default"/>
                <w:sz w:val="18"/>
                <w:szCs w:val="18"/>
              </w:rPr>
            </w:pPr>
            <w:r>
              <w:rPr>
                <w:rFonts w:ascii="宋体"/>
                <w:spacing w:val="-1"/>
                <w:sz w:val="18"/>
              </w:rPr>
              <w:t>414,492,419.69</w:t>
            </w:r>
          </w:p>
        </w:tc>
      </w:tr>
      <w:tr>
        <w:trPr>
          <w:trHeight w:val="55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55" w:right="154"/>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7"/>
              <w:jc w:val="right"/>
              <w:rPr>
                <w:rFonts w:ascii="宋体" w:hAnsi="宋体" w:cs="宋体" w:eastAsia="宋体" w:hint="default"/>
                <w:sz w:val="18"/>
                <w:szCs w:val="18"/>
              </w:rPr>
            </w:pPr>
            <w:r>
              <w:rPr>
                <w:rFonts w:ascii="宋体"/>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宋体" w:hAnsi="宋体" w:cs="宋体" w:eastAsia="宋体" w:hint="default"/>
                <w:sz w:val="18"/>
                <w:szCs w:val="18"/>
              </w:rPr>
            </w:pPr>
            <w:r>
              <w:rPr>
                <w:rFonts w:ascii="宋体"/>
                <w:sz w:val="18"/>
              </w:rPr>
              <w:t>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宋体" w:hAnsi="宋体" w:cs="宋体" w:eastAsia="宋体" w:hint="default"/>
                <w:sz w:val="18"/>
                <w:szCs w:val="18"/>
              </w:rPr>
            </w:pPr>
            <w:r>
              <w:rPr>
                <w:rFonts w:ascii="宋体"/>
                <w:spacing w:val="-1"/>
                <w:sz w:val="18"/>
              </w:rPr>
              <w:t>314,394,958.39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pacing w:val="-1"/>
                <w:sz w:val="18"/>
              </w:rPr>
              <w:t>1,166,863.70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宋体" w:hAnsi="宋体" w:cs="宋体" w:eastAsia="宋体" w:hint="default"/>
                <w:sz w:val="18"/>
                <w:szCs w:val="18"/>
              </w:rPr>
            </w:pPr>
            <w:r>
              <w:rPr>
                <w:rFonts w:ascii="宋体"/>
                <w:spacing w:val="-1"/>
                <w:sz w:val="18"/>
              </w:rPr>
              <w:t>315,561,822.09</w:t>
            </w:r>
          </w:p>
        </w:tc>
      </w:tr>
      <w:tr>
        <w:trPr>
          <w:trHeight w:val="55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4" w:right="154" w:hanging="89"/>
              <w:jc w:val="left"/>
              <w:rPr>
                <w:rFonts w:ascii="宋体" w:hAnsi="宋体" w:cs="宋体" w:eastAsia="宋体" w:hint="default"/>
                <w:sz w:val="18"/>
                <w:szCs w:val="18"/>
              </w:rPr>
            </w:pPr>
            <w:r>
              <w:rPr>
                <w:rFonts w:ascii="宋体" w:hAnsi="宋体" w:cs="宋体" w:eastAsia="宋体" w:hint="default"/>
                <w:sz w:val="18"/>
                <w:szCs w:val="18"/>
              </w:rPr>
              <w:t>期末 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宋体" w:hAnsi="宋体" w:cs="宋体" w:eastAsia="宋体" w:hint="default"/>
                <w:sz w:val="18"/>
                <w:szCs w:val="18"/>
              </w:rPr>
            </w:pPr>
            <w:r>
              <w:rPr>
                <w:rFonts w:ascii="宋体"/>
                <w:spacing w:val="-1"/>
                <w:sz w:val="18"/>
              </w:rPr>
              <w:t>642,000,000.00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pacing w:val="-1"/>
                <w:sz w:val="18"/>
              </w:rPr>
              <w:t>461,767,425.71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宋体" w:hAnsi="宋体" w:cs="宋体" w:eastAsia="宋体" w:hint="default"/>
                <w:sz w:val="18"/>
                <w:szCs w:val="18"/>
              </w:rPr>
            </w:pPr>
            <w:r>
              <w:rPr>
                <w:rFonts w:ascii="宋体"/>
                <w:spacing w:val="-1"/>
                <w:sz w:val="18"/>
              </w:rPr>
              <w:t>149,575,035.29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宋体" w:hAnsi="宋体" w:cs="宋体" w:eastAsia="宋体" w:hint="default"/>
                <w:sz w:val="18"/>
                <w:szCs w:val="18"/>
              </w:rPr>
            </w:pPr>
            <w:r>
              <w:rPr>
                <w:rFonts w:ascii="宋体"/>
                <w:spacing w:val="-1"/>
                <w:sz w:val="18"/>
              </w:rPr>
              <w:t>807,648,271.95</w:t>
            </w:r>
            <w:r>
              <w:rPr>
                <w:rFonts w:ascii="宋体"/>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pacing w:val="-1"/>
                <w:sz w:val="18"/>
              </w:rPr>
              <w:t>-4,974,770.34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宋体" w:hAnsi="宋体" w:cs="宋体" w:eastAsia="宋体" w:hint="default"/>
                <w:sz w:val="18"/>
                <w:szCs w:val="18"/>
              </w:rPr>
            </w:pPr>
            <w:r>
              <w:rPr>
                <w:rFonts w:ascii="宋体"/>
                <w:spacing w:val="-1"/>
                <w:sz w:val="18"/>
              </w:rPr>
              <w:t>2,056,015,962.61</w:t>
            </w:r>
          </w:p>
        </w:tc>
      </w:tr>
      <w:tr>
        <w:trPr>
          <w:trHeight w:val="125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32" w:lineRule="exact"/>
              <w:ind w:left="155" w:right="154"/>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03" w:right="83"/>
              <w:jc w:val="left"/>
              <w:rPr>
                <w:rFonts w:ascii="宋体" w:hAnsi="宋体" w:cs="宋体" w:eastAsia="宋体" w:hint="default"/>
                <w:sz w:val="18"/>
                <w:szCs w:val="18"/>
              </w:rPr>
            </w:pPr>
            <w:r>
              <w:rPr>
                <w:rFonts w:ascii="宋体" w:hAnsi="宋体" w:cs="宋体" w:eastAsia="宋体" w:hint="default"/>
                <w:spacing w:val="14"/>
                <w:sz w:val="18"/>
                <w:szCs w:val="18"/>
              </w:rPr>
              <w:t>本年利润分配提 </w:t>
            </w:r>
            <w:r>
              <w:rPr>
                <w:rFonts w:ascii="宋体" w:hAnsi="宋体" w:cs="宋体" w:eastAsia="宋体" w:hint="default"/>
                <w:sz w:val="18"/>
                <w:szCs w:val="18"/>
              </w:rPr>
              <w:t>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、本年利润转入</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、分配现金股利</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、提取盈余公积</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、本年利润转入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、分配现金股利</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、提取盈余公积</w:t>
            </w:r>
          </w:p>
          <w:p>
            <w:pPr>
              <w:pStyle w:val="TableParagraph"/>
              <w:spacing w:line="230" w:lineRule="exact" w:before="25"/>
              <w:ind w:left="103" w:right="98"/>
              <w:jc w:val="left"/>
              <w:rPr>
                <w:rFonts w:ascii="宋体" w:hAnsi="宋体" w:cs="宋体" w:eastAsia="宋体" w:hint="default"/>
                <w:sz w:val="18"/>
                <w:szCs w:val="18"/>
              </w:rPr>
            </w:pPr>
            <w:r>
              <w:rPr>
                <w:rFonts w:ascii="宋体" w:hAnsi="宋体" w:cs="宋体" w:eastAsia="宋体" w:hint="default"/>
                <w:spacing w:val="-5"/>
                <w:sz w:val="18"/>
                <w:szCs w:val="18"/>
              </w:rPr>
              <w:t>4</w:t>
            </w:r>
            <w:r>
              <w:rPr>
                <w:rFonts w:ascii="宋体" w:hAnsi="宋体" w:cs="宋体" w:eastAsia="宋体" w:hint="default"/>
                <w:spacing w:val="-5"/>
                <w:sz w:val="18"/>
                <w:szCs w:val="18"/>
              </w:rPr>
              <w:t>、外币报表折算差</w:t>
            </w:r>
            <w:r>
              <w:rPr>
                <w:rFonts w:ascii="宋体" w:hAnsi="宋体" w:cs="宋体" w:eastAsia="宋体" w:hint="default"/>
                <w:sz w:val="18"/>
                <w:szCs w:val="18"/>
              </w:rPr>
              <w:t> 额减少</w:t>
            </w:r>
          </w:p>
        </w:tc>
      </w:tr>
    </w:tbl>
    <w:p>
      <w:pPr>
        <w:spacing w:after="0" w:line="230" w:lineRule="exact"/>
        <w:jc w:val="left"/>
        <w:rPr>
          <w:rFonts w:ascii="宋体" w:hAnsi="宋体" w:cs="宋体" w:eastAsia="宋体" w:hint="default"/>
          <w:sz w:val="18"/>
          <w:szCs w:val="18"/>
        </w:rPr>
        <w:sectPr>
          <w:pgSz w:w="11910" w:h="16840"/>
          <w:pgMar w:header="920" w:footer="936" w:top="1140" w:bottom="1140" w:left="480" w:right="0"/>
        </w:sectPr>
      </w:pPr>
    </w:p>
    <w:p>
      <w:pPr>
        <w:spacing w:line="240" w:lineRule="auto" w:before="11"/>
        <w:rPr>
          <w:rFonts w:ascii="Times New Roman" w:hAnsi="Times New Roman" w:cs="Times New Roman" w:eastAsia="Times New Roman" w:hint="default"/>
          <w:sz w:val="22"/>
          <w:szCs w:val="22"/>
        </w:rPr>
      </w:pPr>
    </w:p>
    <w:p>
      <w:pPr>
        <w:pStyle w:val="Heading1"/>
        <w:tabs>
          <w:tab w:pos="4210" w:val="left" w:leader="none"/>
        </w:tabs>
        <w:spacing w:line="240" w:lineRule="auto"/>
        <w:ind w:left="2773" w:right="0"/>
        <w:jc w:val="left"/>
        <w:rPr>
          <w:rFonts w:ascii="宋体" w:hAnsi="宋体" w:cs="宋体" w:eastAsia="宋体" w:hint="default"/>
        </w:rPr>
      </w:pPr>
      <w:bookmarkStart w:name="_TOC_250008" w:id="3"/>
      <w:r>
        <w:rPr>
          <w:rFonts w:ascii="宋体" w:hAnsi="宋体" w:cs="宋体" w:eastAsia="宋体" w:hint="default"/>
          <w:w w:val="95"/>
        </w:rPr>
        <w:t>第三节</w:t>
        <w:tab/>
      </w:r>
      <w:bookmarkEnd w:id="3"/>
      <w:r>
        <w:rPr>
          <w:rFonts w:ascii="宋体" w:hAnsi="宋体" w:cs="宋体" w:eastAsia="宋体" w:hint="default"/>
        </w:rPr>
        <w:t>股本变动及股东情况</w:t>
      </w:r>
    </w:p>
    <w:p>
      <w:pPr>
        <w:spacing w:line="240" w:lineRule="auto" w:before="4"/>
        <w:rPr>
          <w:rFonts w:ascii="宋体" w:hAnsi="宋体" w:cs="宋体" w:eastAsia="宋体" w:hint="default"/>
          <w:sz w:val="23"/>
          <w:szCs w:val="23"/>
        </w:rPr>
      </w:pPr>
    </w:p>
    <w:p>
      <w:pPr>
        <w:pStyle w:val="Heading2"/>
        <w:tabs>
          <w:tab w:pos="953" w:val="left" w:leader="none"/>
        </w:tabs>
        <w:spacing w:line="240" w:lineRule="auto"/>
        <w:ind w:right="0"/>
        <w:jc w:val="left"/>
        <w:rPr>
          <w:b w:val="0"/>
          <w:bCs w:val="0"/>
        </w:rPr>
      </w:pPr>
      <w:r>
        <w:rPr>
          <w:w w:val="95"/>
        </w:rPr>
        <w:t>一、</w:t>
        <w:tab/>
      </w:r>
      <w:r>
        <w:rPr/>
        <w:t>股份变动情况表</w:t>
      </w:r>
      <w:r>
        <w:rPr>
          <w:b w:val="0"/>
          <w:bCs w:val="0"/>
        </w:rPr>
      </w:r>
    </w:p>
    <w:p>
      <w:pPr>
        <w:spacing w:line="240" w:lineRule="auto" w:before="6"/>
        <w:rPr>
          <w:rFonts w:ascii="宋体" w:hAnsi="宋体" w:cs="宋体" w:eastAsia="宋体" w:hint="default"/>
          <w:b/>
          <w:bCs/>
          <w:sz w:val="23"/>
          <w:szCs w:val="23"/>
        </w:rPr>
      </w:pPr>
    </w:p>
    <w:p>
      <w:pPr>
        <w:tabs>
          <w:tab w:pos="1373" w:val="left" w:leader="none"/>
        </w:tabs>
        <w:spacing w:line="424" w:lineRule="auto" w:before="0"/>
        <w:ind w:left="593" w:right="6211" w:firstLine="0"/>
        <w:jc w:val="left"/>
        <w:rPr>
          <w:rFonts w:ascii="宋体" w:hAnsi="宋体" w:cs="宋体" w:eastAsia="宋体" w:hint="default"/>
          <w:sz w:val="24"/>
          <w:szCs w:val="24"/>
        </w:rPr>
      </w:pPr>
      <w:r>
        <w:rPr/>
        <w:pict>
          <v:shape style="position:absolute;margin-left:57pt;margin-top:48.935627pt;width:446.75pt;height:361.7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6"/>
                    <w:gridCol w:w="1069"/>
                    <w:gridCol w:w="763"/>
                    <w:gridCol w:w="910"/>
                    <w:gridCol w:w="595"/>
                    <w:gridCol w:w="992"/>
                    <w:gridCol w:w="566"/>
                    <w:gridCol w:w="566"/>
                    <w:gridCol w:w="994"/>
                    <w:gridCol w:w="850"/>
                  </w:tblGrid>
                  <w:tr>
                    <w:trPr>
                      <w:trHeight w:val="180"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4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29"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919"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46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44"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832" w:type="dxa"/>
                        <w:gridSpan w:val="2"/>
                        <w:vMerge/>
                        <w:tcBorders>
                          <w:left w:val="single" w:sz="4" w:space="0" w:color="000000"/>
                          <w:bottom w:val="single" w:sz="4" w:space="0" w:color="000000"/>
                          <w:right w:val="single" w:sz="4" w:space="0" w:color="000000"/>
                        </w:tcBorders>
                        <w:shd w:val="clear" w:color="auto" w:fill="DCDCDC"/>
                      </w:tcPr>
                      <w:p>
                        <w:pPr/>
                      </w:p>
                    </w:tc>
                    <w:tc>
                      <w:tcPr>
                        <w:tcW w:w="3629" w:type="dxa"/>
                        <w:gridSpan w:val="5"/>
                        <w:vMerge/>
                        <w:tcBorders>
                          <w:left w:val="single" w:sz="4" w:space="0" w:color="000000"/>
                          <w:bottom w:val="single" w:sz="4" w:space="0" w:color="000000"/>
                          <w:right w:val="single" w:sz="4" w:space="0" w:color="000000"/>
                        </w:tcBorders>
                        <w:shd w:val="clear" w:color="auto" w:fill="DCDCDC"/>
                      </w:tcPr>
                      <w:p>
                        <w:pPr/>
                      </w:p>
                    </w:tc>
                    <w:tc>
                      <w:tcPr>
                        <w:tcW w:w="1844" w:type="dxa"/>
                        <w:gridSpan w:val="2"/>
                        <w:vMerge/>
                        <w:tcBorders>
                          <w:left w:val="single" w:sz="4" w:space="0" w:color="000000"/>
                          <w:bottom w:val="single" w:sz="4" w:space="0" w:color="000000"/>
                          <w:right w:val="single" w:sz="4" w:space="0" w:color="000000"/>
                        </w:tcBorders>
                        <w:shd w:val="clear" w:color="auto" w:fill="DCDCDC"/>
                      </w:tcPr>
                      <w:p>
                        <w:pPr/>
                      </w:p>
                    </w:tc>
                  </w:tr>
                  <w:tr>
                    <w:trPr>
                      <w:trHeight w:val="144" w:hRule="exact"/>
                    </w:trPr>
                    <w:tc>
                      <w:tcPr>
                        <w:tcW w:w="1616" w:type="dxa"/>
                        <w:vMerge/>
                        <w:tcBorders>
                          <w:left w:val="single" w:sz="4" w:space="0" w:color="000000"/>
                          <w:bottom w:val="nil" w:sz="6" w:space="0" w:color="auto"/>
                          <w:right w:val="single" w:sz="4" w:space="0" w:color="000000"/>
                        </w:tcBorders>
                        <w:shd w:val="clear" w:color="auto" w:fill="DCDCDC"/>
                      </w:tcPr>
                      <w:p>
                        <w:pPr/>
                      </w:p>
                    </w:tc>
                    <w:tc>
                      <w:tcPr>
                        <w:tcW w:w="106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3"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9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9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6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80" w:hRule="exact"/>
                    </w:trPr>
                    <w:tc>
                      <w:tcPr>
                        <w:tcW w:w="16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69" w:type="dxa"/>
                        <w:vMerge/>
                        <w:tcBorders>
                          <w:left w:val="single" w:sz="4" w:space="0" w:color="000000"/>
                          <w:bottom w:val="single" w:sz="4" w:space="0" w:color="000000"/>
                          <w:right w:val="single" w:sz="4" w:space="0" w:color="000000"/>
                        </w:tcBorders>
                        <w:shd w:val="clear" w:color="auto" w:fill="DCDCDC"/>
                      </w:tcPr>
                      <w:p>
                        <w:pPr/>
                      </w:p>
                    </w:tc>
                    <w:tc>
                      <w:tcPr>
                        <w:tcW w:w="763"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595"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566" w:type="dxa"/>
                        <w:vMerge/>
                        <w:tcBorders>
                          <w:left w:val="single" w:sz="4" w:space="0" w:color="000000"/>
                          <w:bottom w:val="single" w:sz="4" w:space="0" w:color="000000"/>
                          <w:right w:val="single" w:sz="4" w:space="0" w:color="000000"/>
                        </w:tcBorders>
                        <w:shd w:val="clear" w:color="auto" w:fill="DCDCDC"/>
                      </w:tcPr>
                      <w:p>
                        <w:pPr/>
                      </w:p>
                    </w:tc>
                    <w:tc>
                      <w:tcPr>
                        <w:tcW w:w="566" w:type="dxa"/>
                        <w:vMerge/>
                        <w:tcBorders>
                          <w:left w:val="single" w:sz="4" w:space="0" w:color="000000"/>
                          <w:bottom w:val="single" w:sz="4" w:space="0" w:color="000000"/>
                          <w:right w:val="single" w:sz="4" w:space="0" w:color="000000"/>
                        </w:tcBorders>
                        <w:shd w:val="clear" w:color="auto" w:fill="DCDCDC"/>
                      </w:tcPr>
                      <w:p>
                        <w:pPr/>
                      </w:p>
                    </w:tc>
                    <w:tc>
                      <w:tcPr>
                        <w:tcW w:w="994" w:type="dxa"/>
                        <w:vMerge/>
                        <w:tcBorders>
                          <w:left w:val="single" w:sz="4" w:space="0" w:color="000000"/>
                          <w:bottom w:val="single" w:sz="4" w:space="0" w:color="000000"/>
                          <w:right w:val="single" w:sz="4" w:space="0" w:color="000000"/>
                        </w:tcBorders>
                        <w:shd w:val="clear" w:color="auto" w:fill="DCDCDC"/>
                      </w:tcPr>
                      <w:p>
                        <w:pPr/>
                      </w:p>
                    </w:tc>
                    <w:tc>
                      <w:tcPr>
                        <w:tcW w:w="850"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60" w:firstLine="91"/>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466"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60" w:firstLine="91"/>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466"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642,000,000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642,000,000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642,000,000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642,000,000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69"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642,000,000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642,000,000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
              </w:txbxContent>
            </v:textbox>
            <w10:wrap type="none"/>
          </v:shape>
        </w:pic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股权变动情况表</w:t>
      </w:r>
      <w:r>
        <w:rPr>
          <w:rFonts w:ascii="宋体" w:hAnsi="宋体" w:cs="宋体" w:eastAsia="宋体" w:hint="default"/>
          <w:b/>
          <w:bCs/>
          <w:w w:val="99"/>
          <w:sz w:val="24"/>
          <w:szCs w:val="24"/>
        </w:rPr>
        <w:t> </w:t>
      </w:r>
      <w:r>
        <w:rPr>
          <w:rFonts w:ascii="宋体" w:hAnsi="宋体" w:cs="宋体" w:eastAsia="宋体" w:hint="default"/>
          <w:sz w:val="24"/>
          <w:szCs w:val="24"/>
        </w:rPr>
        <w:t>报告期内公司股权结构没有发生变化。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tabs>
          <w:tab w:pos="1373" w:val="left" w:leader="none"/>
        </w:tabs>
        <w:spacing w:line="424" w:lineRule="auto" w:before="26"/>
        <w:ind w:left="112" w:right="7342" w:firstLine="480"/>
        <w:jc w:val="righ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tab/>
      </w:r>
      <w:r>
        <w:rPr>
          <w:rFonts w:ascii="宋体" w:hAnsi="宋体" w:cs="宋体" w:eastAsia="宋体" w:hint="default"/>
          <w:b/>
          <w:bCs/>
          <w:w w:val="95"/>
          <w:sz w:val="24"/>
          <w:szCs w:val="24"/>
        </w:rPr>
        <w:t>限售股份变动情况表</w:t>
      </w:r>
      <w:r>
        <w:rPr>
          <w:rFonts w:ascii="宋体" w:hAnsi="宋体" w:cs="宋体" w:eastAsia="宋体" w:hint="default"/>
          <w:b/>
          <w:bCs/>
          <w:w w:val="99"/>
          <w:sz w:val="24"/>
          <w:szCs w:val="24"/>
        </w:rPr>
        <w:t> </w:t>
      </w:r>
      <w:r>
        <w:rPr>
          <w:rFonts w:ascii="宋体" w:hAnsi="宋体" w:cs="宋体" w:eastAsia="宋体" w:hint="default"/>
          <w:sz w:val="24"/>
          <w:szCs w:val="24"/>
        </w:rPr>
        <w:t>报告期内公司无限售股份。</w:t>
      </w:r>
    </w:p>
    <w:p>
      <w:pPr>
        <w:spacing w:line="240" w:lineRule="auto" w:before="11"/>
        <w:rPr>
          <w:rFonts w:ascii="宋体" w:hAnsi="宋体" w:cs="宋体" w:eastAsia="宋体" w:hint="default"/>
          <w:sz w:val="34"/>
          <w:szCs w:val="34"/>
        </w:rPr>
      </w:pPr>
    </w:p>
    <w:p>
      <w:pPr>
        <w:pStyle w:val="Heading2"/>
        <w:tabs>
          <w:tab w:pos="840" w:val="left" w:leader="none"/>
        </w:tabs>
        <w:spacing w:line="240" w:lineRule="auto"/>
        <w:ind w:left="0" w:right="7401"/>
        <w:jc w:val="right"/>
        <w:rPr>
          <w:b w:val="0"/>
          <w:bCs w:val="0"/>
        </w:rPr>
      </w:pPr>
      <w:r>
        <w:rPr>
          <w:w w:val="95"/>
        </w:rPr>
        <w:t>二、</w:t>
        <w:tab/>
        <w:t>股票发行与上市情况</w:t>
      </w:r>
      <w:r>
        <w:rPr>
          <w:b w:val="0"/>
          <w:bCs w:val="0"/>
        </w:rPr>
      </w:r>
    </w:p>
    <w:p>
      <w:pPr>
        <w:spacing w:line="240" w:lineRule="auto" w:before="6"/>
        <w:rPr>
          <w:rFonts w:ascii="宋体" w:hAnsi="宋体" w:cs="宋体" w:eastAsia="宋体" w:hint="default"/>
          <w:b/>
          <w:bCs/>
          <w:sz w:val="23"/>
          <w:szCs w:val="23"/>
        </w:rPr>
      </w:pPr>
    </w:p>
    <w:p>
      <w:pPr>
        <w:pStyle w:val="Heading3"/>
        <w:tabs>
          <w:tab w:pos="1373" w:val="left" w:leader="none"/>
        </w:tabs>
        <w:spacing w:line="240" w:lineRule="auto"/>
        <w:ind w:left="593"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公司股票发行与上市情况</w:t>
      </w:r>
      <w:r>
        <w:rPr>
          <w:b w:val="0"/>
          <w:bCs w:val="0"/>
        </w:rPr>
      </w:r>
    </w:p>
    <w:p>
      <w:pPr>
        <w:spacing w:line="240" w:lineRule="auto" w:before="5"/>
        <w:rPr>
          <w:rFonts w:ascii="宋体" w:hAnsi="宋体" w:cs="宋体" w:eastAsia="宋体" w:hint="default"/>
          <w:b/>
          <w:bCs/>
          <w:sz w:val="19"/>
          <w:szCs w:val="19"/>
        </w:rPr>
      </w:pPr>
    </w:p>
    <w:p>
      <w:pPr>
        <w:pStyle w:val="BodyText"/>
        <w:spacing w:line="240" w:lineRule="auto"/>
        <w:ind w:right="0" w:firstLine="480"/>
        <w:jc w:val="left"/>
      </w:pPr>
      <w:r>
        <w:rPr/>
        <w:t>经中国证券监督管理委员会证监发行字</w:t>
      </w:r>
      <w:r>
        <w:rPr>
          <w:rFonts w:ascii="宋体" w:hAnsi="宋体" w:cs="宋体" w:eastAsia="宋体" w:hint="default"/>
        </w:rPr>
        <w:t>[2007]402</w:t>
      </w:r>
      <w:r>
        <w:rPr>
          <w:rFonts w:ascii="宋体" w:hAnsi="宋体" w:cs="宋体" w:eastAsia="宋体" w:hint="default"/>
          <w:spacing w:val="-60"/>
        </w:rPr>
        <w:t> </w:t>
      </w:r>
      <w:r>
        <w:rPr>
          <w:spacing w:val="-3"/>
        </w:rPr>
        <w:t>号文核准，公司于</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w:t>
      </w:r>
    </w:p>
    <w:p>
      <w:pPr>
        <w:pStyle w:val="BodyText"/>
        <w:spacing w:line="460" w:lineRule="atLeast" w:before="8"/>
        <w:ind w:right="1154"/>
        <w:jc w:val="left"/>
      </w:pPr>
      <w:r>
        <w:rPr/>
        <w:t>采用网下向询价对象配售与网上向社会公众投资者定价发行相结合的方式成功发行人民币普 通股（</w:t>
      </w:r>
      <w:r>
        <w:rPr>
          <w:rFonts w:ascii="宋体" w:hAnsi="宋体" w:cs="宋体" w:eastAsia="宋体" w:hint="default"/>
        </w:rPr>
        <w:t>A</w:t>
      </w:r>
      <w:r>
        <w:rPr>
          <w:rFonts w:ascii="宋体" w:hAnsi="宋体" w:cs="宋体" w:eastAsia="宋体" w:hint="default"/>
          <w:spacing w:val="-61"/>
        </w:rPr>
        <w:t> </w:t>
      </w:r>
      <w:r>
        <w:rPr/>
        <w:t>股）</w:t>
      </w:r>
      <w:r>
        <w:rPr>
          <w:rFonts w:ascii="宋体" w:hAnsi="宋体" w:cs="宋体" w:eastAsia="宋体" w:hint="default"/>
        </w:rPr>
        <w:t>6,750</w:t>
      </w:r>
      <w:r>
        <w:rPr>
          <w:rFonts w:ascii="宋体" w:hAnsi="宋体" w:cs="宋体" w:eastAsia="宋体" w:hint="default"/>
          <w:spacing w:val="-60"/>
        </w:rPr>
        <w:t> </w:t>
      </w:r>
      <w:r>
        <w:rPr/>
        <w:t>万股，每股面值</w:t>
      </w:r>
      <w:r>
        <w:rPr>
          <w:spacing w:val="-60"/>
        </w:rPr>
        <w:t> </w:t>
      </w:r>
      <w:r>
        <w:rPr>
          <w:rFonts w:ascii="宋体" w:hAnsi="宋体" w:cs="宋体" w:eastAsia="宋体" w:hint="default"/>
        </w:rPr>
        <w:t>1</w:t>
      </w:r>
      <w:r>
        <w:rPr>
          <w:rFonts w:ascii="宋体" w:hAnsi="宋体" w:cs="宋体" w:eastAsia="宋体" w:hint="default"/>
          <w:spacing w:val="-60"/>
        </w:rPr>
        <w:t> </w:t>
      </w:r>
      <w:r>
        <w:rPr/>
        <w:t>元人民币，发行价为人民币</w:t>
      </w:r>
      <w:r>
        <w:rPr>
          <w:spacing w:val="-60"/>
        </w:rPr>
        <w:t> </w:t>
      </w:r>
      <w:r>
        <w:rPr>
          <w:rFonts w:ascii="宋体" w:hAnsi="宋体" w:cs="宋体" w:eastAsia="宋体" w:hint="default"/>
        </w:rPr>
        <w:t>17.78</w:t>
      </w:r>
      <w:r>
        <w:rPr>
          <w:rFonts w:ascii="宋体" w:hAnsi="宋体" w:cs="宋体" w:eastAsia="宋体" w:hint="default"/>
          <w:spacing w:val="-60"/>
        </w:rPr>
        <w:t> </w:t>
      </w:r>
      <w:r>
        <w:rPr/>
        <w:t>元</w:t>
      </w:r>
      <w:r>
        <w:rPr>
          <w:rFonts w:ascii="宋体" w:hAnsi="宋体" w:cs="宋体" w:eastAsia="宋体" w:hint="default"/>
        </w:rPr>
        <w:t>/</w:t>
      </w:r>
      <w:r>
        <w:rPr/>
        <w:t>股。经深圳证券</w:t>
      </w:r>
    </w:p>
    <w:p>
      <w:pPr>
        <w:spacing w:after="0" w:line="460" w:lineRule="atLeast"/>
        <w:jc w:val="left"/>
        <w:sectPr>
          <w:pgSz w:w="11910" w:h="16840"/>
          <w:pgMar w:header="920" w:footer="936" w:top="1140" w:bottom="1140" w:left="1020" w:right="0"/>
        </w:sectPr>
      </w:pPr>
    </w:p>
    <w:p>
      <w:pPr>
        <w:pStyle w:val="BodyText"/>
        <w:spacing w:line="240" w:lineRule="auto" w:before="19"/>
        <w:ind w:right="0"/>
        <w:jc w:val="left"/>
      </w:pPr>
      <w:r>
        <w:rPr/>
        <w:t>交易所同意，公司社会公众股</w:t>
      </w:r>
      <w:r>
        <w:rPr>
          <w:spacing w:val="-59"/>
        </w:rPr>
        <w:t> </w:t>
      </w:r>
      <w:r>
        <w:rPr>
          <w:rFonts w:ascii="宋体" w:hAnsi="宋体" w:cs="宋体" w:eastAsia="宋体" w:hint="default"/>
        </w:rPr>
        <w:t>6,750</w:t>
      </w:r>
      <w:r>
        <w:rPr>
          <w:rFonts w:ascii="宋体" w:hAnsi="宋体" w:cs="宋体" w:eastAsia="宋体" w:hint="default"/>
          <w:spacing w:val="-60"/>
        </w:rPr>
        <w:t> </w:t>
      </w:r>
      <w:r>
        <w:rPr/>
        <w:t>万股（</w:t>
      </w:r>
      <w:r>
        <w:rPr>
          <w:rFonts w:ascii="宋体" w:hAnsi="宋体" w:cs="宋体" w:eastAsia="宋体" w:hint="default"/>
        </w:rPr>
        <w:t>A</w:t>
      </w:r>
      <w:r>
        <w:rPr>
          <w:rFonts w:ascii="宋体" w:hAnsi="宋体" w:cs="宋体" w:eastAsia="宋体" w:hint="default"/>
          <w:spacing w:val="-60"/>
        </w:rPr>
        <w:t> </w:t>
      </w:r>
      <w:r>
        <w:rPr/>
        <w:t>股）已于</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5</w:t>
      </w:r>
      <w:r>
        <w:rPr>
          <w:rFonts w:ascii="宋体" w:hAnsi="宋体" w:cs="宋体" w:eastAsia="宋体" w:hint="default"/>
          <w:spacing w:val="-60"/>
        </w:rPr>
        <w:t> </w:t>
      </w:r>
      <w:r>
        <w:rPr/>
        <w:t>日在深圳证券交易所</w:t>
      </w:r>
    </w:p>
    <w:p>
      <w:pPr>
        <w:pStyle w:val="BodyText"/>
        <w:spacing w:line="240" w:lineRule="auto" w:before="154"/>
        <w:ind w:right="0"/>
        <w:jc w:val="left"/>
      </w:pPr>
      <w:r>
        <w:rPr/>
        <w:t>挂牌上市，公司股份总数为</w:t>
      </w:r>
      <w:r>
        <w:rPr>
          <w:spacing w:val="-59"/>
        </w:rPr>
        <w:t> </w:t>
      </w:r>
      <w:r>
        <w:rPr>
          <w:rFonts w:ascii="宋体" w:hAnsi="宋体" w:cs="宋体" w:eastAsia="宋体" w:hint="default"/>
        </w:rPr>
        <w:t>26,750</w:t>
      </w:r>
      <w:r>
        <w:rPr>
          <w:rFonts w:ascii="宋体" w:hAnsi="宋体" w:cs="宋体" w:eastAsia="宋体" w:hint="default"/>
          <w:spacing w:val="-60"/>
        </w:rPr>
        <w:t> </w:t>
      </w:r>
      <w:r>
        <w:rPr/>
        <w:t>万股。</w:t>
      </w:r>
    </w:p>
    <w:p>
      <w:pPr>
        <w:pStyle w:val="BodyText"/>
        <w:spacing w:line="240" w:lineRule="auto" w:before="151"/>
        <w:ind w:left="593" w:right="0"/>
        <w:jc w:val="left"/>
      </w:pPr>
      <w:r>
        <w:rPr/>
        <w:t>经</w:t>
      </w:r>
      <w:r>
        <w:rPr>
          <w:spacing w:val="-60"/>
        </w:rPr>
        <w:t> </w:t>
      </w:r>
      <w:r>
        <w:rPr>
          <w:rFonts w:ascii="宋体" w:hAnsi="宋体" w:cs="宋体" w:eastAsia="宋体" w:hint="default"/>
        </w:rPr>
        <w:t>2008</w:t>
      </w:r>
      <w:r>
        <w:rPr>
          <w:rFonts w:ascii="宋体" w:hAnsi="宋体" w:cs="宋体" w:eastAsia="宋体" w:hint="default"/>
          <w:spacing w:val="-61"/>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日召开的</w:t>
      </w:r>
      <w:r>
        <w:rPr>
          <w:spacing w:val="-60"/>
        </w:rPr>
        <w:t> </w:t>
      </w:r>
      <w:r>
        <w:rPr>
          <w:rFonts w:ascii="宋体" w:hAnsi="宋体" w:cs="宋体" w:eastAsia="宋体" w:hint="default"/>
        </w:rPr>
        <w:t>2007</w:t>
      </w:r>
      <w:r>
        <w:rPr>
          <w:rFonts w:ascii="宋体" w:hAnsi="宋体" w:cs="宋体" w:eastAsia="宋体" w:hint="default"/>
          <w:spacing w:val="-60"/>
        </w:rPr>
        <w:t> </w:t>
      </w:r>
      <w:r>
        <w:rPr/>
        <w:t>年年度股东大会审议通过，公司以</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pStyle w:val="BodyText"/>
        <w:spacing w:line="240" w:lineRule="auto" w:before="154"/>
        <w:ind w:right="0"/>
        <w:jc w:val="left"/>
      </w:pPr>
      <w:r>
        <w:rPr/>
        <w:t>总股本</w:t>
      </w:r>
      <w:r>
        <w:rPr>
          <w:spacing w:val="-61"/>
        </w:rPr>
        <w:t> </w:t>
      </w:r>
      <w:r>
        <w:rPr>
          <w:rFonts w:ascii="宋体" w:hAnsi="宋体" w:cs="宋体" w:eastAsia="宋体" w:hint="default"/>
        </w:rPr>
        <w:t>26,750</w:t>
      </w:r>
      <w:r>
        <w:rPr>
          <w:rFonts w:ascii="宋体" w:hAnsi="宋体" w:cs="宋体" w:eastAsia="宋体" w:hint="default"/>
          <w:spacing w:val="-61"/>
        </w:rPr>
        <w:t> </w:t>
      </w:r>
      <w:r>
        <w:rPr/>
        <w:t>万股为基数，以资本公积金转增股本方式向全体股东每</w:t>
      </w:r>
      <w:r>
        <w:rPr>
          <w:spacing w:val="-60"/>
        </w:rPr>
        <w:t> </w:t>
      </w:r>
      <w:r>
        <w:rPr>
          <w:rFonts w:ascii="宋体" w:hAnsi="宋体" w:cs="宋体" w:eastAsia="宋体" w:hint="default"/>
        </w:rPr>
        <w:t>10</w:t>
      </w:r>
      <w:r>
        <w:rPr>
          <w:rFonts w:ascii="宋体" w:hAnsi="宋体" w:cs="宋体" w:eastAsia="宋体" w:hint="default"/>
          <w:spacing w:val="-61"/>
        </w:rPr>
        <w:t> </w:t>
      </w:r>
      <w:r>
        <w:rPr/>
        <w:t>股转增</w:t>
      </w:r>
      <w:r>
        <w:rPr>
          <w:spacing w:val="-61"/>
        </w:rPr>
        <w:t> </w:t>
      </w:r>
      <w:r>
        <w:rPr>
          <w:rFonts w:ascii="宋体" w:hAnsi="宋体" w:cs="宋体" w:eastAsia="宋体" w:hint="default"/>
        </w:rPr>
        <w:t>6</w:t>
      </w:r>
      <w:r>
        <w:rPr>
          <w:rFonts w:ascii="宋体" w:hAnsi="宋体" w:cs="宋体" w:eastAsia="宋体" w:hint="default"/>
          <w:spacing w:val="-61"/>
        </w:rPr>
        <w:t> </w:t>
      </w:r>
      <w:r>
        <w:rPr/>
        <w:t>股，转增</w:t>
      </w:r>
    </w:p>
    <w:p>
      <w:pPr>
        <w:pStyle w:val="BodyText"/>
        <w:spacing w:line="240" w:lineRule="auto" w:before="154"/>
        <w:ind w:right="0"/>
        <w:jc w:val="left"/>
      </w:pPr>
      <w:r>
        <w:rPr/>
        <w:t>后公司总股本由</w:t>
      </w:r>
      <w:r>
        <w:rPr>
          <w:spacing w:val="-59"/>
        </w:rPr>
        <w:t> </w:t>
      </w:r>
      <w:r>
        <w:rPr>
          <w:rFonts w:ascii="宋体" w:hAnsi="宋体" w:cs="宋体" w:eastAsia="宋体" w:hint="default"/>
        </w:rPr>
        <w:t>26,750</w:t>
      </w:r>
      <w:r>
        <w:rPr>
          <w:rFonts w:ascii="宋体" w:hAnsi="宋体" w:cs="宋体" w:eastAsia="宋体" w:hint="default"/>
          <w:spacing w:val="-59"/>
        </w:rPr>
        <w:t> </w:t>
      </w:r>
      <w:r>
        <w:rPr/>
        <w:t>万股增加至</w:t>
      </w:r>
      <w:r>
        <w:rPr>
          <w:spacing w:val="-59"/>
        </w:rPr>
        <w:t> </w:t>
      </w:r>
      <w:r>
        <w:rPr>
          <w:rFonts w:ascii="宋体" w:hAnsi="宋体" w:cs="宋体" w:eastAsia="宋体" w:hint="default"/>
        </w:rPr>
        <w:t>42,800</w:t>
      </w:r>
      <w:r>
        <w:rPr>
          <w:rFonts w:ascii="宋体" w:hAnsi="宋体" w:cs="宋体" w:eastAsia="宋体" w:hint="default"/>
          <w:spacing w:val="-59"/>
        </w:rPr>
        <w:t> </w:t>
      </w:r>
      <w:r>
        <w:rPr>
          <w:spacing w:val="-11"/>
        </w:rPr>
        <w:t>万股。</w:t>
      </w:r>
      <w:r>
        <w:rPr>
          <w:rFonts w:ascii="宋体" w:hAnsi="宋体" w:cs="宋体" w:eastAsia="宋体" w:hint="default"/>
          <w:spacing w:val="-11"/>
        </w:rPr>
        <w:t>2008</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w:t>
      </w:r>
      <w:r>
        <w:rPr>
          <w:spacing w:val="-59"/>
        </w:rPr>
        <w:t> </w:t>
      </w:r>
      <w:r>
        <w:rPr>
          <w:rFonts w:ascii="宋体" w:hAnsi="宋体" w:cs="宋体" w:eastAsia="宋体" w:hint="default"/>
        </w:rPr>
        <w:t>2</w:t>
      </w:r>
      <w:r>
        <w:rPr>
          <w:rFonts w:ascii="宋体" w:hAnsi="宋体" w:cs="宋体" w:eastAsia="宋体" w:hint="default"/>
          <w:spacing w:val="-59"/>
        </w:rPr>
        <w:t> </w:t>
      </w:r>
      <w:r>
        <w:rPr>
          <w:spacing w:val="-6"/>
        </w:rPr>
        <w:t>日，公司实施了该分配方案。</w:t>
      </w:r>
    </w:p>
    <w:p>
      <w:pPr>
        <w:pStyle w:val="BodyText"/>
        <w:spacing w:line="357" w:lineRule="auto" w:before="151"/>
        <w:ind w:right="1118"/>
        <w:jc w:val="left"/>
      </w:pPr>
      <w:r>
        <w:rPr/>
        <w:t>公司注册资本由人民币</w:t>
      </w:r>
      <w:r>
        <w:rPr>
          <w:spacing w:val="-60"/>
        </w:rPr>
        <w:t> </w:t>
      </w:r>
      <w:r>
        <w:rPr>
          <w:rFonts w:ascii="宋体" w:hAnsi="宋体" w:cs="宋体" w:eastAsia="宋体" w:hint="default"/>
        </w:rPr>
        <w:t>27,650</w:t>
      </w:r>
      <w:r>
        <w:rPr>
          <w:rFonts w:ascii="宋体" w:hAnsi="宋体" w:cs="宋体" w:eastAsia="宋体" w:hint="default"/>
          <w:spacing w:val="-60"/>
        </w:rPr>
        <w:t> </w:t>
      </w:r>
      <w:r>
        <w:rPr/>
        <w:t>万元增加至人民币</w:t>
      </w:r>
      <w:r>
        <w:rPr>
          <w:spacing w:val="-60"/>
        </w:rPr>
        <w:t> </w:t>
      </w:r>
      <w:r>
        <w:rPr>
          <w:rFonts w:ascii="宋体" w:hAnsi="宋体" w:cs="宋体" w:eastAsia="宋体" w:hint="default"/>
        </w:rPr>
        <w:t>42,800</w:t>
      </w:r>
      <w:r>
        <w:rPr>
          <w:rFonts w:ascii="宋体" w:hAnsi="宋体" w:cs="宋体" w:eastAsia="宋体" w:hint="default"/>
          <w:spacing w:val="-60"/>
        </w:rPr>
        <w:t> </w:t>
      </w:r>
      <w:r>
        <w:rPr>
          <w:spacing w:val="-14"/>
        </w:rPr>
        <w:t>万元，公司于</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日在 深圳市工商行政管理局办理了变更登记手续。</w:t>
      </w:r>
    </w:p>
    <w:p>
      <w:pPr>
        <w:pStyle w:val="BodyText"/>
        <w:spacing w:line="240" w:lineRule="auto" w:before="34"/>
        <w:ind w:left="593" w:right="0"/>
        <w:jc w:val="left"/>
      </w:pPr>
      <w:r>
        <w:rPr/>
        <w:t>经</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5</w:t>
      </w:r>
      <w:r>
        <w:rPr>
          <w:rFonts w:ascii="宋体" w:hAnsi="宋体" w:cs="宋体" w:eastAsia="宋体" w:hint="default"/>
          <w:spacing w:val="-60"/>
        </w:rPr>
        <w:t> </w:t>
      </w:r>
      <w:r>
        <w:rPr/>
        <w:t>日召开的</w:t>
      </w:r>
      <w:r>
        <w:rPr>
          <w:spacing w:val="-60"/>
        </w:rPr>
        <w:t> </w:t>
      </w:r>
      <w:r>
        <w:rPr>
          <w:rFonts w:ascii="宋体" w:hAnsi="宋体" w:cs="宋体" w:eastAsia="宋体" w:hint="default"/>
        </w:rPr>
        <w:t>2008</w:t>
      </w:r>
      <w:r>
        <w:rPr>
          <w:rFonts w:ascii="宋体" w:hAnsi="宋体" w:cs="宋体" w:eastAsia="宋体" w:hint="default"/>
          <w:spacing w:val="-60"/>
        </w:rPr>
        <w:t> </w:t>
      </w:r>
      <w:r>
        <w:rPr>
          <w:spacing w:val="-6"/>
        </w:rPr>
        <w:t>年年度股东大会审议通过，公司以</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日总</w:t>
      </w:r>
    </w:p>
    <w:p>
      <w:pPr>
        <w:pStyle w:val="BodyText"/>
        <w:spacing w:line="240" w:lineRule="auto" w:before="154"/>
        <w:ind w:right="0"/>
        <w:jc w:val="left"/>
      </w:pPr>
      <w:r>
        <w:rPr/>
        <w:t>股本</w:t>
      </w:r>
      <w:r>
        <w:rPr>
          <w:spacing w:val="-61"/>
        </w:rPr>
        <w:t> </w:t>
      </w:r>
      <w:r>
        <w:rPr>
          <w:rFonts w:ascii="宋体" w:hAnsi="宋体" w:cs="宋体" w:eastAsia="宋体" w:hint="default"/>
        </w:rPr>
        <w:t>42,800</w:t>
      </w:r>
      <w:r>
        <w:rPr>
          <w:rFonts w:ascii="宋体" w:hAnsi="宋体" w:cs="宋体" w:eastAsia="宋体" w:hint="default"/>
          <w:spacing w:val="-61"/>
        </w:rPr>
        <w:t> </w:t>
      </w:r>
      <w:r>
        <w:rPr/>
        <w:t>万股为基数，以资本公积金转增股本方式向全体股东每</w:t>
      </w:r>
      <w:r>
        <w:rPr>
          <w:spacing w:val="-60"/>
        </w:rPr>
        <w:t> </w:t>
      </w:r>
      <w:r>
        <w:rPr>
          <w:rFonts w:ascii="宋体" w:hAnsi="宋体" w:cs="宋体" w:eastAsia="宋体" w:hint="default"/>
        </w:rPr>
        <w:t>10</w:t>
      </w:r>
      <w:r>
        <w:rPr>
          <w:rFonts w:ascii="宋体" w:hAnsi="宋体" w:cs="宋体" w:eastAsia="宋体" w:hint="default"/>
          <w:spacing w:val="-61"/>
        </w:rPr>
        <w:t> </w:t>
      </w:r>
      <w:r>
        <w:rPr/>
        <w:t>股转增</w:t>
      </w:r>
      <w:r>
        <w:rPr>
          <w:spacing w:val="-61"/>
        </w:rPr>
        <w:t> </w:t>
      </w:r>
      <w:r>
        <w:rPr>
          <w:rFonts w:ascii="宋体" w:hAnsi="宋体" w:cs="宋体" w:eastAsia="宋体" w:hint="default"/>
        </w:rPr>
        <w:t>5</w:t>
      </w:r>
      <w:r>
        <w:rPr>
          <w:rFonts w:ascii="宋体" w:hAnsi="宋体" w:cs="宋体" w:eastAsia="宋体" w:hint="default"/>
          <w:spacing w:val="-61"/>
        </w:rPr>
        <w:t> </w:t>
      </w:r>
      <w:r>
        <w:rPr/>
        <w:t>股，转增后</w:t>
      </w:r>
    </w:p>
    <w:p>
      <w:pPr>
        <w:pStyle w:val="BodyText"/>
        <w:spacing w:line="240" w:lineRule="auto" w:before="152"/>
        <w:ind w:right="0"/>
        <w:jc w:val="left"/>
      </w:pPr>
      <w:r>
        <w:rPr/>
        <w:t>公司总股本由</w:t>
      </w:r>
      <w:r>
        <w:rPr>
          <w:spacing w:val="-63"/>
        </w:rPr>
        <w:t> </w:t>
      </w:r>
      <w:r>
        <w:rPr>
          <w:rFonts w:ascii="宋体" w:hAnsi="宋体" w:cs="宋体" w:eastAsia="宋体" w:hint="default"/>
        </w:rPr>
        <w:t>42,800</w:t>
      </w:r>
      <w:r>
        <w:rPr>
          <w:rFonts w:ascii="宋体" w:hAnsi="宋体" w:cs="宋体" w:eastAsia="宋体" w:hint="default"/>
          <w:spacing w:val="-63"/>
        </w:rPr>
        <w:t> </w:t>
      </w:r>
      <w:r>
        <w:rPr/>
        <w:t>万股增加至</w:t>
      </w:r>
      <w:r>
        <w:rPr>
          <w:spacing w:val="-63"/>
        </w:rPr>
        <w:t> </w:t>
      </w:r>
      <w:r>
        <w:rPr>
          <w:rFonts w:ascii="宋体" w:hAnsi="宋体" w:cs="宋体" w:eastAsia="宋体" w:hint="default"/>
        </w:rPr>
        <w:t>64,200</w:t>
      </w:r>
      <w:r>
        <w:rPr>
          <w:rFonts w:ascii="宋体" w:hAnsi="宋体" w:cs="宋体" w:eastAsia="宋体" w:hint="default"/>
          <w:spacing w:val="-63"/>
        </w:rPr>
        <w:t> </w:t>
      </w:r>
      <w:r>
        <w:rPr/>
        <w:t>万股。</w:t>
      </w:r>
      <w:r>
        <w:rPr>
          <w:rFonts w:ascii="宋体" w:hAnsi="宋体" w:cs="宋体" w:eastAsia="宋体" w:hint="default"/>
        </w:rPr>
        <w:t>2009</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20</w:t>
      </w:r>
      <w:r>
        <w:rPr>
          <w:rFonts w:ascii="宋体" w:hAnsi="宋体" w:cs="宋体" w:eastAsia="宋体" w:hint="default"/>
          <w:spacing w:val="-63"/>
        </w:rPr>
        <w:t> </w:t>
      </w:r>
      <w:r>
        <w:rPr/>
        <w:t>日，公司实施了该分配方案。</w:t>
      </w:r>
    </w:p>
    <w:p>
      <w:pPr>
        <w:pStyle w:val="BodyText"/>
        <w:spacing w:line="355" w:lineRule="auto" w:before="154"/>
        <w:ind w:right="1118"/>
        <w:jc w:val="left"/>
      </w:pPr>
      <w:r>
        <w:rPr/>
        <w:t>公司注册资本由人民币</w:t>
      </w:r>
      <w:r>
        <w:rPr>
          <w:spacing w:val="-60"/>
        </w:rPr>
        <w:t> </w:t>
      </w:r>
      <w:r>
        <w:rPr>
          <w:rFonts w:ascii="宋体" w:hAnsi="宋体" w:cs="宋体" w:eastAsia="宋体" w:hint="default"/>
        </w:rPr>
        <w:t>42,800</w:t>
      </w:r>
      <w:r>
        <w:rPr>
          <w:rFonts w:ascii="宋体" w:hAnsi="宋体" w:cs="宋体" w:eastAsia="宋体" w:hint="default"/>
          <w:spacing w:val="-60"/>
        </w:rPr>
        <w:t> </w:t>
      </w:r>
      <w:r>
        <w:rPr/>
        <w:t>万元增加至人民币</w:t>
      </w:r>
      <w:r>
        <w:rPr>
          <w:spacing w:val="-60"/>
        </w:rPr>
        <w:t> </w:t>
      </w:r>
      <w:r>
        <w:rPr>
          <w:rFonts w:ascii="宋体" w:hAnsi="宋体" w:cs="宋体" w:eastAsia="宋体" w:hint="default"/>
        </w:rPr>
        <w:t>64,200</w:t>
      </w:r>
      <w:r>
        <w:rPr>
          <w:rFonts w:ascii="宋体" w:hAnsi="宋体" w:cs="宋体" w:eastAsia="宋体" w:hint="default"/>
          <w:spacing w:val="-60"/>
        </w:rPr>
        <w:t> </w:t>
      </w:r>
      <w:r>
        <w:rPr>
          <w:spacing w:val="-14"/>
        </w:rPr>
        <w:t>万元，公司于</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日在 深圳市工商行政管理局办理了变更登记手续。</w:t>
      </w:r>
    </w:p>
    <w:p>
      <w:pPr>
        <w:spacing w:line="240" w:lineRule="auto" w:before="4"/>
        <w:rPr>
          <w:rFonts w:ascii="宋体" w:hAnsi="宋体" w:cs="宋体" w:eastAsia="宋体" w:hint="default"/>
          <w:sz w:val="21"/>
          <w:szCs w:val="21"/>
        </w:rPr>
      </w:pPr>
    </w:p>
    <w:p>
      <w:pPr>
        <w:tabs>
          <w:tab w:pos="1373" w:val="left" w:leader="none"/>
        </w:tabs>
        <w:spacing w:line="422" w:lineRule="auto" w:before="0"/>
        <w:ind w:left="578" w:right="4933" w:firstLine="14"/>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报告期内公司实施资本公积转增股本的情况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报告期内公司未实施资本公积转增股本。</w:t>
      </w:r>
    </w:p>
    <w:p>
      <w:pPr>
        <w:pStyle w:val="Heading3"/>
        <w:tabs>
          <w:tab w:pos="1373" w:val="left" w:leader="none"/>
        </w:tabs>
        <w:spacing w:line="240" w:lineRule="auto" w:before="211"/>
        <w:ind w:left="593"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报告期内限售股份上市流通情况</w:t>
      </w:r>
      <w:r>
        <w:rPr>
          <w:b w:val="0"/>
          <w:bCs w:val="0"/>
        </w:rPr>
      </w:r>
    </w:p>
    <w:p>
      <w:pPr>
        <w:spacing w:line="240" w:lineRule="auto" w:before="5"/>
        <w:rPr>
          <w:rFonts w:ascii="宋体" w:hAnsi="宋体" w:cs="宋体" w:eastAsia="宋体" w:hint="default"/>
          <w:b/>
          <w:bCs/>
          <w:sz w:val="19"/>
          <w:szCs w:val="19"/>
        </w:rPr>
      </w:pPr>
    </w:p>
    <w:p>
      <w:pPr>
        <w:pStyle w:val="BodyText"/>
        <w:spacing w:line="338" w:lineRule="auto"/>
        <w:ind w:right="1121" w:firstLine="480"/>
        <w:jc w:val="left"/>
      </w:pPr>
      <w:r>
        <w:rPr/>
        <w:t>公司全部限售股份已于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日上市流通。报告期内，公司无限售股份上市流 通情况。</w:t>
      </w:r>
    </w:p>
    <w:p>
      <w:pPr>
        <w:spacing w:line="240" w:lineRule="auto" w:before="5"/>
        <w:rPr>
          <w:rFonts w:ascii="宋体" w:hAnsi="宋体" w:cs="宋体" w:eastAsia="宋体" w:hint="default"/>
          <w:sz w:val="22"/>
          <w:szCs w:val="22"/>
        </w:rPr>
      </w:pPr>
    </w:p>
    <w:p>
      <w:pPr>
        <w:pStyle w:val="Heading3"/>
        <w:tabs>
          <w:tab w:pos="1373" w:val="left" w:leader="none"/>
        </w:tabs>
        <w:spacing w:line="240" w:lineRule="auto"/>
        <w:ind w:left="593" w:right="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公司无内部职工股</w:t>
      </w:r>
      <w:r>
        <w:rPr>
          <w:b w:val="0"/>
          <w:bCs w:val="0"/>
        </w:rPr>
      </w:r>
    </w:p>
    <w:p>
      <w:pPr>
        <w:spacing w:line="240" w:lineRule="auto" w:before="9"/>
        <w:rPr>
          <w:rFonts w:ascii="宋体" w:hAnsi="宋体" w:cs="宋体" w:eastAsia="宋体" w:hint="default"/>
          <w:b/>
          <w:bCs/>
          <w:sz w:val="32"/>
          <w:szCs w:val="32"/>
        </w:rPr>
      </w:pPr>
    </w:p>
    <w:p>
      <w:pPr>
        <w:pStyle w:val="Heading2"/>
        <w:tabs>
          <w:tab w:pos="953" w:val="left" w:leader="none"/>
        </w:tabs>
        <w:spacing w:line="240" w:lineRule="auto"/>
        <w:ind w:right="0"/>
        <w:jc w:val="left"/>
        <w:rPr>
          <w:b w:val="0"/>
          <w:bCs w:val="0"/>
        </w:rPr>
      </w:pPr>
      <w:r>
        <w:rPr>
          <w:w w:val="95"/>
        </w:rPr>
        <w:t>三、</w:t>
        <w:tab/>
      </w:r>
      <w:r>
        <w:rPr/>
        <w:t>股东情况介绍</w:t>
      </w:r>
      <w:r>
        <w:rPr>
          <w:b w:val="0"/>
          <w:bCs w:val="0"/>
        </w:rPr>
      </w:r>
    </w:p>
    <w:p>
      <w:pPr>
        <w:spacing w:line="240" w:lineRule="auto" w:before="6"/>
        <w:rPr>
          <w:rFonts w:ascii="宋体" w:hAnsi="宋体" w:cs="宋体" w:eastAsia="宋体" w:hint="default"/>
          <w:b/>
          <w:bCs/>
          <w:sz w:val="23"/>
          <w:szCs w:val="23"/>
        </w:rPr>
      </w:pPr>
    </w:p>
    <w:p>
      <w:pPr>
        <w:pStyle w:val="Heading3"/>
        <w:tabs>
          <w:tab w:pos="1373" w:val="left" w:leader="none"/>
        </w:tabs>
        <w:spacing w:line="240" w:lineRule="auto"/>
        <w:ind w:left="593"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股东数量及持股情况</w:t>
      </w:r>
      <w:r>
        <w:rPr>
          <w:b w:val="0"/>
          <w:bCs w:val="0"/>
        </w:rPr>
      </w:r>
    </w:p>
    <w:p>
      <w:pPr>
        <w:spacing w:line="240" w:lineRule="auto" w:before="12"/>
        <w:rPr>
          <w:rFonts w:ascii="宋体" w:hAnsi="宋体" w:cs="宋体" w:eastAsia="宋体"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302"/>
        <w:gridCol w:w="1340"/>
        <w:gridCol w:w="1051"/>
        <w:gridCol w:w="247"/>
        <w:gridCol w:w="1301"/>
        <w:gridCol w:w="412"/>
        <w:gridCol w:w="860"/>
        <w:gridCol w:w="1702"/>
      </w:tblGrid>
      <w:tr>
        <w:trPr>
          <w:trHeight w:val="123" w:hRule="exact"/>
        </w:trPr>
        <w:tc>
          <w:tcPr>
            <w:tcW w:w="2302" w:type="dxa"/>
            <w:tcBorders>
              <w:top w:val="single" w:sz="4" w:space="0" w:color="000000"/>
              <w:left w:val="single" w:sz="4" w:space="0" w:color="000000"/>
              <w:bottom w:val="nil" w:sz="6" w:space="0" w:color="auto"/>
              <w:right w:val="single" w:sz="4" w:space="0" w:color="000000"/>
            </w:tcBorders>
            <w:shd w:val="clear" w:color="auto" w:fill="DCDCDC"/>
          </w:tcPr>
          <w:p>
            <w:pPr/>
          </w:p>
        </w:tc>
        <w:tc>
          <w:tcPr>
            <w:tcW w:w="2391" w:type="dxa"/>
            <w:gridSpan w:val="2"/>
            <w:vMerge w:val="restart"/>
            <w:tcBorders>
              <w:top w:val="single" w:sz="4" w:space="0" w:color="000000"/>
              <w:left w:val="single" w:sz="9" w:space="0" w:color="DCDCDC"/>
              <w:right w:val="single" w:sz="13"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30,571</w:t>
            </w:r>
          </w:p>
        </w:tc>
        <w:tc>
          <w:tcPr>
            <w:tcW w:w="196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30" w:lineRule="exact" w:before="37"/>
              <w:ind w:left="345" w:right="75" w:hanging="272"/>
              <w:jc w:val="left"/>
              <w:rPr>
                <w:rFonts w:ascii="宋体" w:hAnsi="宋体" w:cs="宋体" w:eastAsia="宋体" w:hint="default"/>
                <w:sz w:val="18"/>
                <w:szCs w:val="18"/>
              </w:rPr>
            </w:pPr>
            <w:r>
              <w:rPr>
                <w:rFonts w:ascii="宋体" w:hAnsi="宋体" w:cs="宋体" w:eastAsia="宋体" w:hint="default"/>
                <w:sz w:val="18"/>
                <w:szCs w:val="18"/>
              </w:rPr>
              <w:t>本年度报告公布日前一 个月末股东总数</w:t>
            </w:r>
          </w:p>
        </w:tc>
        <w:tc>
          <w:tcPr>
            <w:tcW w:w="2563" w:type="dxa"/>
            <w:gridSpan w:val="2"/>
            <w:vMerge w:val="restart"/>
            <w:tcBorders>
              <w:top w:val="single" w:sz="4" w:space="0" w:color="000000"/>
              <w:left w:val="single" w:sz="10"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29,176</w:t>
            </w:r>
          </w:p>
        </w:tc>
      </w:tr>
      <w:tr>
        <w:trPr>
          <w:trHeight w:val="442" w:hRule="exact"/>
        </w:trPr>
        <w:tc>
          <w:tcPr>
            <w:tcW w:w="230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4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年末股东总数</w:t>
            </w:r>
          </w:p>
        </w:tc>
        <w:tc>
          <w:tcPr>
            <w:tcW w:w="2391" w:type="dxa"/>
            <w:gridSpan w:val="2"/>
            <w:vMerge/>
            <w:tcBorders>
              <w:left w:val="single" w:sz="9" w:space="0" w:color="DCDCDC"/>
              <w:bottom w:val="single" w:sz="4" w:space="0" w:color="000000"/>
              <w:right w:val="single" w:sz="13" w:space="0" w:color="DCDCDC"/>
            </w:tcBorders>
          </w:tcPr>
          <w:p>
            <w:pPr/>
          </w:p>
        </w:tc>
        <w:tc>
          <w:tcPr>
            <w:tcW w:w="1960" w:type="dxa"/>
            <w:gridSpan w:val="3"/>
            <w:vMerge/>
            <w:tcBorders>
              <w:left w:val="single" w:sz="4" w:space="0" w:color="000000"/>
              <w:bottom w:val="single" w:sz="4" w:space="0" w:color="000000"/>
              <w:right w:val="single" w:sz="4" w:space="0" w:color="000000"/>
            </w:tcBorders>
            <w:shd w:val="clear" w:color="auto" w:fill="DCDCDC"/>
          </w:tcPr>
          <w:p>
            <w:pPr/>
          </w:p>
        </w:tc>
        <w:tc>
          <w:tcPr>
            <w:tcW w:w="2563" w:type="dxa"/>
            <w:gridSpan w:val="2"/>
            <w:vMerge/>
            <w:tcBorders>
              <w:left w:val="single" w:sz="10" w:space="0" w:color="DCDCDC"/>
              <w:bottom w:val="single" w:sz="4" w:space="0" w:color="000000"/>
              <w:right w:val="single" w:sz="4" w:space="0" w:color="000000"/>
            </w:tcBorders>
          </w:tcPr>
          <w:p>
            <w:pPr/>
          </w:p>
        </w:tc>
      </w:tr>
      <w:tr>
        <w:trPr>
          <w:trHeight w:val="376" w:hRule="exact"/>
        </w:trPr>
        <w:tc>
          <w:tcPr>
            <w:tcW w:w="9216"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40" w:hRule="exact"/>
        </w:trPr>
        <w:tc>
          <w:tcPr>
            <w:tcW w:w="23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right="28"/>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8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29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8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8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7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4" w:lineRule="exact"/>
              <w:ind w:left="182" w:right="0" w:hanging="92"/>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4" w:lineRule="exact"/>
              <w:ind w:left="4" w:right="0"/>
              <w:jc w:val="center"/>
              <w:rPr>
                <w:rFonts w:ascii="宋体" w:hAnsi="宋体" w:cs="宋体" w:eastAsia="宋体" w:hint="default"/>
                <w:sz w:val="18"/>
                <w:szCs w:val="18"/>
              </w:rPr>
            </w:pPr>
            <w:r>
              <w:rPr>
                <w:rFonts w:ascii="宋体" w:hAnsi="宋体" w:cs="宋体" w:eastAsia="宋体" w:hint="default"/>
                <w:sz w:val="18"/>
                <w:szCs w:val="18"/>
              </w:rPr>
              <w:t>质押或冻结的股份数</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614" w:hRule="exact"/>
        </w:trPr>
        <w:tc>
          <w:tcPr>
            <w:tcW w:w="2302" w:type="dxa"/>
            <w:tcBorders>
              <w:top w:val="single" w:sz="50" w:space="0" w:color="DCDCDC"/>
              <w:left w:val="single" w:sz="4" w:space="0" w:color="000000"/>
              <w:bottom w:val="single" w:sz="4" w:space="0" w:color="000000"/>
              <w:right w:val="single" w:sz="4" w:space="0" w:color="000000"/>
            </w:tcBorders>
          </w:tcPr>
          <w:p>
            <w:pPr>
              <w:pStyle w:val="TableParagraph"/>
              <w:spacing w:line="232" w:lineRule="exact" w:before="33"/>
              <w:ind w:left="24" w:right="106"/>
              <w:jc w:val="left"/>
              <w:rPr>
                <w:rFonts w:ascii="宋体" w:hAnsi="宋体" w:cs="宋体" w:eastAsia="宋体" w:hint="default"/>
                <w:sz w:val="18"/>
                <w:szCs w:val="18"/>
              </w:rPr>
            </w:pPr>
            <w:r>
              <w:rPr>
                <w:rFonts w:ascii="宋体" w:hAnsi="宋体" w:cs="宋体" w:eastAsia="宋体" w:hint="default"/>
                <w:sz w:val="18"/>
                <w:szCs w:val="18"/>
              </w:rPr>
              <w:t>深圳市劲嘉创业投资有限公 司</w:t>
            </w:r>
          </w:p>
        </w:tc>
        <w:tc>
          <w:tcPr>
            <w:tcW w:w="1340"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125"/>
              <w:ind w:left="-1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98" w:type="dxa"/>
            <w:gridSpan w:val="2"/>
            <w:tcBorders>
              <w:top w:val="single" w:sz="50" w:space="0" w:color="DCDCDC"/>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12" w:right="0"/>
              <w:jc w:val="left"/>
              <w:rPr>
                <w:rFonts w:ascii="Times New Roman" w:hAnsi="Times New Roman" w:cs="Times New Roman" w:eastAsia="Times New Roman" w:hint="default"/>
                <w:sz w:val="18"/>
                <w:szCs w:val="18"/>
              </w:rPr>
            </w:pPr>
            <w:r>
              <w:rPr>
                <w:rFonts w:ascii="Times New Roman"/>
                <w:sz w:val="18"/>
              </w:rPr>
              <w:t>32.52%</w:t>
            </w:r>
          </w:p>
        </w:tc>
        <w:tc>
          <w:tcPr>
            <w:tcW w:w="1301" w:type="dxa"/>
            <w:tcBorders>
              <w:top w:val="single" w:sz="50" w:space="0" w:color="DCDCDC"/>
              <w:left w:val="single" w:sz="4" w:space="0" w:color="000000"/>
              <w:bottom w:val="single" w:sz="4" w:space="0" w:color="000000"/>
              <w:right w:val="single" w:sz="13" w:space="0" w:color="DCDCDC"/>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208,784,080</w:t>
            </w:r>
          </w:p>
        </w:tc>
        <w:tc>
          <w:tcPr>
            <w:tcW w:w="1272" w:type="dxa"/>
            <w:gridSpan w:val="2"/>
            <w:tcBorders>
              <w:top w:val="single" w:sz="4" w:space="0" w:color="000000"/>
              <w:left w:val="single" w:sz="13" w:space="0" w:color="DCDCDC"/>
              <w:bottom w:val="single" w:sz="4" w:space="0" w:color="000000"/>
              <w:right w:val="single" w:sz="23" w:space="0" w:color="DCDCDC"/>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23" w:space="0" w:color="DCDCDC"/>
              <w:bottom w:val="single" w:sz="4" w:space="0" w:color="000000"/>
              <w:right w:val="single" w:sz="10" w:space="0" w:color="DCDCDC"/>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太和印刷实业有限公司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12" w:right="0"/>
              <w:jc w:val="left"/>
              <w:rPr>
                <w:rFonts w:ascii="Times New Roman" w:hAnsi="Times New Roman" w:cs="Times New Roman" w:eastAsia="Times New Roman" w:hint="default"/>
                <w:sz w:val="18"/>
                <w:szCs w:val="18"/>
              </w:rPr>
            </w:pPr>
            <w:r>
              <w:rPr>
                <w:rFonts w:ascii="Times New Roman"/>
                <w:sz w:val="18"/>
              </w:rPr>
              <w:t>29.19%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187,386,870</w:t>
            </w:r>
          </w:p>
        </w:tc>
        <w:tc>
          <w:tcPr>
            <w:tcW w:w="12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14,110,000</w:t>
            </w:r>
          </w:p>
        </w:tc>
      </w:tr>
      <w:tr>
        <w:trPr>
          <w:trHeight w:val="557"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06"/>
              <w:jc w:val="left"/>
              <w:rPr>
                <w:rFonts w:ascii="宋体" w:hAnsi="宋体" w:cs="宋体" w:eastAsia="宋体" w:hint="default"/>
                <w:sz w:val="18"/>
                <w:szCs w:val="18"/>
              </w:rPr>
            </w:pPr>
            <w:r>
              <w:rPr>
                <w:rFonts w:ascii="宋体" w:hAnsi="宋体" w:cs="宋体" w:eastAsia="宋体" w:hint="default"/>
                <w:sz w:val="18"/>
                <w:szCs w:val="18"/>
              </w:rPr>
              <w:t>深圳市世纪运通投资有限公 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01" w:right="0"/>
              <w:jc w:val="left"/>
              <w:rPr>
                <w:rFonts w:ascii="Times New Roman" w:hAnsi="Times New Roman" w:cs="Times New Roman" w:eastAsia="Times New Roman" w:hint="default"/>
                <w:sz w:val="18"/>
                <w:szCs w:val="18"/>
              </w:rPr>
            </w:pPr>
            <w:r>
              <w:rPr>
                <w:rFonts w:ascii="Times New Roman"/>
                <w:sz w:val="18"/>
              </w:rPr>
              <w:t>5.23%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33,600,000</w:t>
            </w:r>
          </w:p>
        </w:tc>
        <w:tc>
          <w:tcPr>
            <w:tcW w:w="12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33,600,000</w:t>
            </w:r>
          </w:p>
        </w:tc>
      </w:tr>
      <w:tr>
        <w:trPr>
          <w:trHeight w:val="324"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深圳市特美思经贸有限公司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01" w:right="0"/>
              <w:jc w:val="left"/>
              <w:rPr>
                <w:rFonts w:ascii="Times New Roman" w:hAnsi="Times New Roman" w:cs="Times New Roman" w:eastAsia="Times New Roman" w:hint="default"/>
                <w:sz w:val="18"/>
                <w:szCs w:val="18"/>
              </w:rPr>
            </w:pPr>
            <w:r>
              <w:rPr>
                <w:rFonts w:ascii="Times New Roman"/>
                <w:sz w:val="18"/>
              </w:rPr>
              <w:t>1.56%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10,024,140</w:t>
            </w:r>
          </w:p>
        </w:tc>
        <w:tc>
          <w:tcPr>
            <w:tcW w:w="12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20" w:footer="936" w:top="1140" w:bottom="1140" w:left="1020" w:right="0"/>
        </w:sectPr>
      </w:pPr>
    </w:p>
    <w:p>
      <w:pPr>
        <w:spacing w:line="240" w:lineRule="auto" w:before="7"/>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2304"/>
        <w:gridCol w:w="1337"/>
        <w:gridCol w:w="1298"/>
        <w:gridCol w:w="1301"/>
        <w:gridCol w:w="521"/>
        <w:gridCol w:w="751"/>
        <w:gridCol w:w="1702"/>
      </w:tblGrid>
      <w:tr>
        <w:trPr>
          <w:trHeight w:val="557"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4" w:right="108"/>
              <w:jc w:val="left"/>
              <w:rPr>
                <w:rFonts w:ascii="宋体" w:hAnsi="宋体" w:cs="宋体" w:eastAsia="宋体" w:hint="default"/>
                <w:sz w:val="18"/>
                <w:szCs w:val="18"/>
              </w:rPr>
            </w:pPr>
            <w:r>
              <w:rPr>
                <w:rFonts w:ascii="宋体" w:hAnsi="宋体" w:cs="宋体" w:eastAsia="宋体" w:hint="default"/>
                <w:sz w:val="18"/>
                <w:szCs w:val="18"/>
              </w:rPr>
              <w:t>华泰证券－交行－华泰紫金 新兴产业集合资产管理计划</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4,318,079</w:t>
            </w:r>
          </w:p>
        </w:tc>
        <w:tc>
          <w:tcPr>
            <w:tcW w:w="12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08"/>
              <w:jc w:val="left"/>
              <w:rPr>
                <w:rFonts w:ascii="宋体" w:hAnsi="宋体" w:cs="宋体" w:eastAsia="宋体" w:hint="default"/>
                <w:sz w:val="18"/>
                <w:szCs w:val="18"/>
              </w:rPr>
            </w:pPr>
            <w:r>
              <w:rPr>
                <w:rFonts w:ascii="宋体" w:hAnsi="宋体" w:cs="宋体" w:eastAsia="宋体" w:hint="default"/>
                <w:sz w:val="18"/>
                <w:szCs w:val="18"/>
              </w:rPr>
              <w:t>中国对外经济贸易信托有限 公司－富锦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号信托计划</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3,624,290</w:t>
            </w:r>
          </w:p>
        </w:tc>
        <w:tc>
          <w:tcPr>
            <w:tcW w:w="12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陈薇</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3,270,000</w:t>
            </w:r>
          </w:p>
        </w:tc>
        <w:tc>
          <w:tcPr>
            <w:tcW w:w="12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0.51%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3,260,400</w:t>
            </w:r>
          </w:p>
        </w:tc>
        <w:tc>
          <w:tcPr>
            <w:tcW w:w="12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08"/>
              <w:jc w:val="left"/>
              <w:rPr>
                <w:rFonts w:ascii="宋体" w:hAnsi="宋体" w:cs="宋体" w:eastAsia="宋体" w:hint="default"/>
                <w:sz w:val="18"/>
                <w:szCs w:val="18"/>
              </w:rPr>
            </w:pPr>
            <w:r>
              <w:rPr>
                <w:rFonts w:ascii="宋体" w:hAnsi="宋体" w:cs="宋体" w:eastAsia="宋体" w:hint="default"/>
                <w:sz w:val="18"/>
                <w:szCs w:val="18"/>
              </w:rPr>
              <w:t>中国建设银行－中小企业板 交易型开放式指数基金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2,289,642</w:t>
            </w:r>
          </w:p>
        </w:tc>
        <w:tc>
          <w:tcPr>
            <w:tcW w:w="12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朱广军</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2,180,000</w:t>
            </w:r>
          </w:p>
        </w:tc>
        <w:tc>
          <w:tcPr>
            <w:tcW w:w="12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9216"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45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208,784,080</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太和印刷实业有限公司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187,386,870</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5"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深圳市世纪运通投资有限公司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33,600,000</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深圳市特美思经贸有限公司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10,024,140</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4" w:right="186"/>
              <w:jc w:val="left"/>
              <w:rPr>
                <w:rFonts w:ascii="宋体" w:hAnsi="宋体" w:cs="宋体" w:eastAsia="宋体" w:hint="default"/>
                <w:sz w:val="18"/>
                <w:szCs w:val="18"/>
              </w:rPr>
            </w:pPr>
            <w:r>
              <w:rPr>
                <w:rFonts w:ascii="宋体" w:hAnsi="宋体" w:cs="宋体" w:eastAsia="宋体" w:hint="default"/>
                <w:sz w:val="18"/>
                <w:szCs w:val="18"/>
              </w:rPr>
              <w:t>华泰证券－交行－华泰紫金新兴产业集合资 产管理计划</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4,318,079</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23"/>
              <w:jc w:val="left"/>
              <w:rPr>
                <w:rFonts w:ascii="宋体" w:hAnsi="宋体" w:cs="宋体" w:eastAsia="宋体" w:hint="default"/>
                <w:sz w:val="18"/>
                <w:szCs w:val="18"/>
              </w:rPr>
            </w:pPr>
            <w:r>
              <w:rPr>
                <w:rFonts w:ascii="宋体" w:hAnsi="宋体" w:cs="宋体" w:eastAsia="宋体" w:hint="default"/>
                <w:sz w:val="18"/>
                <w:szCs w:val="18"/>
              </w:rPr>
              <w:t>中国对外经济贸易信托有限公司－富锦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号信 托计划</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3,624,290</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陈薇</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3,270,000</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3,260,400</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86"/>
              <w:jc w:val="left"/>
              <w:rPr>
                <w:rFonts w:ascii="宋体" w:hAnsi="宋体" w:cs="宋体" w:eastAsia="宋体" w:hint="default"/>
                <w:sz w:val="18"/>
                <w:szCs w:val="18"/>
              </w:rPr>
            </w:pPr>
            <w:r>
              <w:rPr>
                <w:rFonts w:ascii="宋体" w:hAnsi="宋体" w:cs="宋体" w:eastAsia="宋体" w:hint="default"/>
                <w:sz w:val="18"/>
                <w:szCs w:val="18"/>
              </w:rPr>
              <w:t>中国建设银行－中小企业板交易型开放式指 数基金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2,289,642</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朱广军</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2,180,000</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258" w:hRule="exact"/>
        </w:trPr>
        <w:tc>
          <w:tcPr>
            <w:tcW w:w="23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8"/>
              <w:ind w:left="806" w:right="46" w:hanging="721"/>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6911" w:type="dxa"/>
            <w:gridSpan w:val="6"/>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59" w:right="20"/>
              <w:jc w:val="left"/>
              <w:rPr>
                <w:rFonts w:ascii="宋体" w:hAnsi="宋体" w:cs="宋体" w:eastAsia="宋体" w:hint="default"/>
                <w:sz w:val="18"/>
                <w:szCs w:val="18"/>
              </w:rPr>
            </w:pPr>
            <w:r>
              <w:rPr>
                <w:rFonts w:ascii="宋体" w:hAnsi="宋体" w:cs="宋体" w:eastAsia="宋体" w:hint="default"/>
                <w:spacing w:val="-1"/>
                <w:sz w:val="18"/>
                <w:szCs w:val="18"/>
              </w:rPr>
              <w:t>深圳市劲嘉创业投资有限公司与深圳市世纪运通投资有限公司存在如下关联关系：乔鲁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予持有深圳市劲嘉创业投资有限公司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的股份，持有深圳市世纪运通投资有限公司 </w:t>
            </w:r>
            <w:r>
              <w:rPr>
                <w:rFonts w:ascii="Times New Roman" w:hAnsi="Times New Roman" w:cs="Times New Roman" w:eastAsia="Times New Roman" w:hint="default"/>
                <w:spacing w:val="-1"/>
                <w:sz w:val="18"/>
                <w:szCs w:val="18"/>
              </w:rPr>
              <w:t>71.44%</w:t>
            </w:r>
            <w:r>
              <w:rPr>
                <w:rFonts w:ascii="宋体" w:hAnsi="宋体" w:cs="宋体" w:eastAsia="宋体" w:hint="default"/>
                <w:spacing w:val="-1"/>
                <w:sz w:val="18"/>
                <w:szCs w:val="18"/>
              </w:rPr>
              <w:t>的股份。其余前十名无限售股股东之间，未知是否存在关联关系，也未知该无限</w:t>
            </w:r>
            <w:r>
              <w:rPr>
                <w:rFonts w:ascii="宋体" w:hAnsi="宋体" w:cs="宋体" w:eastAsia="宋体" w:hint="default"/>
                <w:sz w:val="18"/>
                <w:szCs w:val="18"/>
              </w:rPr>
              <w:t> </w:t>
            </w:r>
            <w:r>
              <w:rPr>
                <w:rFonts w:ascii="宋体" w:hAnsi="宋体" w:cs="宋体" w:eastAsia="宋体" w:hint="default"/>
                <w:spacing w:val="-1"/>
                <w:sz w:val="18"/>
                <w:szCs w:val="18"/>
              </w:rPr>
              <w:t>售条件股股东之间是否属于《上市公司股东持股变动信息披露管理办法》规定的一致行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动人。</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1373" w:val="left" w:leader="none"/>
        </w:tabs>
        <w:spacing w:line="240" w:lineRule="auto" w:before="168"/>
        <w:ind w:left="593"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控股股东及实际控制人情况介绍</w:t>
      </w:r>
      <w:r>
        <w:rPr>
          <w:b w:val="0"/>
          <w:bCs w:val="0"/>
        </w:rPr>
      </w:r>
    </w:p>
    <w:p>
      <w:pPr>
        <w:spacing w:line="240" w:lineRule="auto" w:before="0"/>
        <w:rPr>
          <w:rFonts w:ascii="宋体" w:hAnsi="宋体" w:cs="宋体" w:eastAsia="宋体" w:hint="default"/>
          <w:b/>
          <w:bCs/>
          <w:sz w:val="24"/>
          <w:szCs w:val="24"/>
        </w:rPr>
      </w:pPr>
    </w:p>
    <w:p>
      <w:pPr>
        <w:pStyle w:val="BodyText"/>
        <w:spacing w:line="364" w:lineRule="auto" w:before="181"/>
        <w:ind w:left="953" w:right="0" w:hanging="557"/>
        <w:jc w:val="left"/>
      </w:pPr>
      <w:r>
        <w:rPr>
          <w:rFonts w:ascii="Times New Roman" w:hAnsi="Times New Roman" w:cs="Times New Roman" w:eastAsia="Times New Roman" w:hint="default"/>
        </w:rPr>
        <w:t>1</w:t>
      </w:r>
      <w:r>
        <w:rPr/>
        <w:t>、</w:t>
      </w:r>
      <w:r>
        <w:rPr>
          <w:spacing w:val="76"/>
        </w:rPr>
        <w:t> </w:t>
      </w:r>
      <w:r>
        <w:rPr/>
        <w:t>公司控股股东情况</w:t>
      </w:r>
      <w:r>
        <w:rPr/>
        <w:t> </w:t>
      </w:r>
      <w:r>
        <w:rPr>
          <w:spacing w:val="-9"/>
        </w:rPr>
        <w:t>公司控股股东为深圳市劲嘉创业投资有限公司（以下简称“劲嘉创投”），持有本公司</w:t>
      </w:r>
    </w:p>
    <w:p>
      <w:pPr>
        <w:pStyle w:val="BodyText"/>
        <w:spacing w:line="240" w:lineRule="auto" w:before="29"/>
        <w:ind w:left="473" w:right="0"/>
        <w:jc w:val="left"/>
      </w:pPr>
      <w:r>
        <w:rPr>
          <w:rFonts w:ascii="Times New Roman" w:hAnsi="Times New Roman" w:cs="Times New Roman" w:eastAsia="Times New Roman" w:hint="default"/>
        </w:rPr>
        <w:t>32.52%</w:t>
      </w:r>
      <w:r>
        <w:rPr/>
        <w:t>股份。</w:t>
      </w:r>
    </w:p>
    <w:p>
      <w:pPr>
        <w:pStyle w:val="BodyText"/>
        <w:spacing w:line="374" w:lineRule="auto" w:before="174"/>
        <w:ind w:left="941" w:right="5611" w:firstLine="12"/>
        <w:jc w:val="left"/>
      </w:pPr>
      <w:r>
        <w:rPr/>
        <w:t>公司名称：深圳市劲嘉创业投资有限公司 公司成立日期：</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 组织机构代码证：</w:t>
      </w:r>
      <w:r>
        <w:rPr>
          <w:rFonts w:ascii="Times New Roman" w:hAnsi="Times New Roman" w:cs="Times New Roman" w:eastAsia="Times New Roman" w:hint="default"/>
        </w:rPr>
        <w:t>75048240-8 </w:t>
      </w:r>
      <w:r>
        <w:rPr/>
        <w:t>法定代表人：乔鲁予</w:t>
      </w:r>
    </w:p>
    <w:p>
      <w:pPr>
        <w:pStyle w:val="BodyText"/>
        <w:spacing w:line="364" w:lineRule="auto" w:before="58"/>
        <w:ind w:left="941" w:right="1119"/>
        <w:jc w:val="left"/>
      </w:pPr>
      <w:r>
        <w:rPr/>
        <w:t>注册资金：</w:t>
      </w:r>
      <w:r>
        <w:rPr>
          <w:rFonts w:ascii="Times New Roman" w:hAnsi="Times New Roman" w:cs="Times New Roman" w:eastAsia="Times New Roman" w:hint="default"/>
        </w:rPr>
        <w:t>3,000 </w:t>
      </w:r>
      <w:r>
        <w:rPr/>
        <w:t>万元人民币 </w:t>
      </w:r>
      <w:r>
        <w:rPr>
          <w:spacing w:val="-2"/>
        </w:rPr>
        <w:t>经营范围：直接投资高新技术产业和其他技术创新产业；受托管理和经营其他创业投</w:t>
      </w:r>
    </w:p>
    <w:p>
      <w:pPr>
        <w:spacing w:after="0" w:line="364" w:lineRule="auto"/>
        <w:jc w:val="left"/>
        <w:sectPr>
          <w:pgSz w:w="11910" w:h="16840"/>
          <w:pgMar w:header="920" w:footer="936" w:top="1140" w:bottom="1140" w:left="1020" w:right="0"/>
        </w:sectPr>
      </w:pPr>
    </w:p>
    <w:p>
      <w:pPr>
        <w:pStyle w:val="BodyText"/>
        <w:spacing w:line="357" w:lineRule="auto" w:before="19"/>
        <w:ind w:left="473" w:right="1128"/>
        <w:jc w:val="both"/>
      </w:pPr>
      <w:r>
        <w:rPr>
          <w:spacing w:val="-3"/>
        </w:rPr>
        <w:t>资公司的创业资本；投资咨询业务；直接投资或参与企业孵化器的建设；法律和行政法规</w:t>
      </w:r>
      <w:r>
        <w:rPr>
          <w:spacing w:val="-83"/>
        </w:rPr>
        <w:t> </w:t>
      </w:r>
      <w:r>
        <w:rPr>
          <w:spacing w:val="-83"/>
        </w:rPr>
      </w:r>
      <w:r>
        <w:rPr>
          <w:spacing w:val="-3"/>
        </w:rPr>
        <w:t>允许的其他业务；国内商业、物资供销业（不含专营、专控、专卖产品）；货物进出口、</w:t>
      </w:r>
      <w:r>
        <w:rPr>
          <w:spacing w:val="-96"/>
        </w:rPr>
        <w:t> </w:t>
      </w:r>
      <w:r>
        <w:rPr>
          <w:spacing w:val="-96"/>
        </w:rPr>
      </w:r>
      <w:r>
        <w:rPr>
          <w:spacing w:val="-3"/>
        </w:rPr>
        <w:t>技术进出口（法律、行政法规禁止的项目除外；法律行政法规限制的项目须取得许可后方</w:t>
      </w:r>
      <w:r>
        <w:rPr>
          <w:spacing w:val="-87"/>
        </w:rPr>
        <w:t> </w:t>
      </w:r>
      <w:r>
        <w:rPr>
          <w:spacing w:val="-87"/>
        </w:rPr>
      </w:r>
      <w:r>
        <w:rPr/>
        <w:t>可经营）</w:t>
      </w:r>
    </w:p>
    <w:p>
      <w:pPr>
        <w:pStyle w:val="BodyText"/>
        <w:spacing w:line="357" w:lineRule="auto" w:before="74"/>
        <w:ind w:left="473" w:right="1119" w:firstLine="468"/>
        <w:jc w:val="left"/>
      </w:pPr>
      <w:r>
        <w:rPr/>
        <w:t>截至</w:t>
      </w:r>
      <w:r>
        <w:rPr>
          <w:spacing w:val="-54"/>
        </w:rPr>
        <w:t> </w:t>
      </w: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日该公司持有本公司股份</w:t>
      </w:r>
      <w:r>
        <w:rPr>
          <w:spacing w:val="-54"/>
        </w:rPr>
        <w:t> </w:t>
      </w:r>
      <w:r>
        <w:rPr>
          <w:rFonts w:ascii="宋体" w:hAnsi="宋体" w:cs="宋体" w:eastAsia="宋体" w:hint="default"/>
        </w:rPr>
        <w:t>208,784,080</w:t>
      </w:r>
      <w:r>
        <w:rPr>
          <w:rFonts w:ascii="宋体" w:hAnsi="宋体" w:cs="宋体" w:eastAsia="宋体" w:hint="default"/>
          <w:spacing w:val="-54"/>
        </w:rPr>
        <w:t> </w:t>
      </w:r>
      <w:r>
        <w:rPr/>
        <w:t>股，占本公司股本总额 的</w:t>
      </w:r>
      <w:r>
        <w:rPr>
          <w:spacing w:val="-61"/>
        </w:rPr>
        <w:t> </w:t>
      </w:r>
      <w:r>
        <w:rPr>
          <w:rFonts w:ascii="宋体" w:hAnsi="宋体" w:cs="宋体" w:eastAsia="宋体" w:hint="default"/>
        </w:rPr>
        <w:t>32.52%</w:t>
      </w:r>
      <w:r>
        <w:rPr/>
        <w:t>。本公司董事长乔鲁予持有该公司</w:t>
      </w:r>
      <w:r>
        <w:rPr>
          <w:spacing w:val="-61"/>
        </w:rPr>
        <w:t> </w:t>
      </w:r>
      <w:r>
        <w:rPr>
          <w:rFonts w:ascii="宋体" w:hAnsi="宋体" w:cs="宋体" w:eastAsia="宋体" w:hint="default"/>
        </w:rPr>
        <w:t>90%</w:t>
      </w:r>
      <w:r>
        <w:rPr/>
        <w:t>的股权。</w:t>
      </w:r>
    </w:p>
    <w:p>
      <w:pPr>
        <w:spacing w:line="240" w:lineRule="auto" w:before="1"/>
        <w:rPr>
          <w:rFonts w:ascii="宋体" w:hAnsi="宋体" w:cs="宋体" w:eastAsia="宋体" w:hint="default"/>
          <w:sz w:val="30"/>
          <w:szCs w:val="30"/>
        </w:rPr>
      </w:pPr>
    </w:p>
    <w:p>
      <w:pPr>
        <w:pStyle w:val="BodyText"/>
        <w:spacing w:line="364" w:lineRule="auto"/>
        <w:ind w:left="593" w:right="0" w:hanging="197"/>
        <w:jc w:val="left"/>
      </w:pPr>
      <w:r>
        <w:rPr>
          <w:rFonts w:ascii="Times New Roman" w:hAnsi="Times New Roman" w:cs="Times New Roman" w:eastAsia="Times New Roman" w:hint="default"/>
        </w:rPr>
        <w:t>2</w:t>
      </w:r>
      <w:r>
        <w:rPr/>
        <w:t>、</w:t>
      </w:r>
      <w:r>
        <w:rPr>
          <w:spacing w:val="76"/>
        </w:rPr>
        <w:t> </w:t>
      </w:r>
      <w:r>
        <w:rPr/>
        <w:t>公司实际控制人情况</w:t>
      </w:r>
      <w:r>
        <w:rPr/>
        <w:t> </w:t>
      </w:r>
      <w:r>
        <w:rPr>
          <w:spacing w:val="6"/>
        </w:rPr>
        <w:t>乔鲁予先生为本公司实际控制人。乔鲁予先生分别持有深圳市劲嘉创业投资有限公司</w:t>
      </w:r>
    </w:p>
    <w:p>
      <w:pPr>
        <w:pStyle w:val="BodyText"/>
        <w:spacing w:line="364" w:lineRule="auto" w:before="29"/>
        <w:ind w:left="593" w:right="1119" w:hanging="481"/>
        <w:jc w:val="left"/>
      </w:pPr>
      <w:r>
        <w:rPr>
          <w:rFonts w:ascii="Times New Roman" w:hAnsi="Times New Roman" w:cs="Times New Roman" w:eastAsia="Times New Roman" w:hint="default"/>
        </w:rPr>
        <w:t>90%</w:t>
      </w:r>
      <w:r>
        <w:rPr/>
        <w:t>股权和深圳市世纪运通投资有限公司</w:t>
      </w:r>
      <w:r>
        <w:rPr>
          <w:spacing w:val="-61"/>
        </w:rPr>
        <w:t> </w:t>
      </w:r>
      <w:r>
        <w:rPr>
          <w:rFonts w:ascii="Times New Roman" w:hAnsi="Times New Roman" w:cs="Times New Roman" w:eastAsia="Times New Roman" w:hint="default"/>
        </w:rPr>
        <w:t>71.44%</w:t>
      </w:r>
      <w:r>
        <w:rPr/>
        <w:t>股权，间接持有本公司合计</w:t>
      </w:r>
      <w:r>
        <w:rPr>
          <w:spacing w:val="-61"/>
        </w:rPr>
        <w:t> </w:t>
      </w:r>
      <w:r>
        <w:rPr>
          <w:rFonts w:ascii="Times New Roman" w:hAnsi="Times New Roman" w:cs="Times New Roman" w:eastAsia="Times New Roman" w:hint="default"/>
        </w:rPr>
        <w:t>37.75%</w:t>
      </w:r>
      <w:r>
        <w:rPr/>
        <w:t>股份。</w:t>
      </w:r>
      <w:r>
        <w:rPr>
          <w:w w:val="99"/>
        </w:rPr>
        <w:t> </w:t>
      </w:r>
      <w:r>
        <w:rPr>
          <w:spacing w:val="-5"/>
        </w:rPr>
        <w:t>乔鲁予先生，</w:t>
      </w:r>
      <w:r>
        <w:rPr>
          <w:rFonts w:ascii="Times New Roman" w:hAnsi="Times New Roman" w:cs="Times New Roman" w:eastAsia="Times New Roman" w:hint="default"/>
          <w:spacing w:val="-5"/>
        </w:rPr>
        <w:t>1996</w:t>
      </w:r>
      <w:r>
        <w:rPr>
          <w:rFonts w:ascii="Times New Roman" w:hAnsi="Times New Roman" w:cs="Times New Roman" w:eastAsia="Times New Roman" w:hint="default"/>
          <w:spacing w:val="-6"/>
        </w:rPr>
        <w:t> </w:t>
      </w:r>
      <w:r>
        <w:rPr/>
        <w:t>年至</w:t>
      </w:r>
      <w:r>
        <w:rPr>
          <w:spacing w:val="-66"/>
        </w:rPr>
        <w:t> </w:t>
      </w:r>
      <w:r>
        <w:rPr>
          <w:rFonts w:ascii="Times New Roman" w:hAnsi="Times New Roman" w:cs="Times New Roman" w:eastAsia="Times New Roman" w:hint="default"/>
        </w:rPr>
        <w:t>2003</w:t>
      </w:r>
      <w:r>
        <w:rPr>
          <w:rFonts w:ascii="Times New Roman" w:hAnsi="Times New Roman" w:cs="Times New Roman" w:eastAsia="Times New Roman" w:hint="default"/>
          <w:spacing w:val="-6"/>
        </w:rPr>
        <w:t> </w:t>
      </w:r>
      <w:r>
        <w:rPr/>
        <w:t>年任深圳劲嘉彩印集团有限公司董事长，</w:t>
      </w:r>
      <w:r>
        <w:rPr>
          <w:rFonts w:ascii="Times New Roman" w:hAnsi="Times New Roman" w:cs="Times New Roman" w:eastAsia="Times New Roman" w:hint="default"/>
        </w:rPr>
        <w:t>2003</w:t>
      </w:r>
      <w:r>
        <w:rPr>
          <w:rFonts w:ascii="Times New Roman" w:hAnsi="Times New Roman" w:cs="Times New Roman" w:eastAsia="Times New Roman" w:hint="default"/>
          <w:spacing w:val="-6"/>
        </w:rPr>
        <w:t> </w:t>
      </w:r>
      <w:r>
        <w:rPr/>
        <w:t>年至</w:t>
      </w:r>
      <w:r>
        <w:rPr>
          <w:spacing w:val="-6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w:t>
      </w:r>
    </w:p>
    <w:p>
      <w:pPr>
        <w:pStyle w:val="BodyText"/>
        <w:spacing w:line="422" w:lineRule="auto"/>
        <w:ind w:left="470" w:right="1935" w:hanging="359"/>
        <w:jc w:val="left"/>
      </w:pPr>
      <w:r>
        <w:rPr/>
        <w:t>任本公司董事长，</w:t>
      </w:r>
      <w:r>
        <w:rPr>
          <w:rFonts w:ascii="Times New Roman" w:hAnsi="Times New Roman" w:cs="Times New Roman" w:eastAsia="Times New Roman" w:hint="default"/>
        </w:rPr>
        <w:t>2006 </w:t>
      </w:r>
      <w:r>
        <w:rPr/>
        <w:t>年至</w:t>
      </w:r>
      <w:r>
        <w:rPr>
          <w:spacing w:val="-60"/>
        </w:rPr>
        <w:t> </w:t>
      </w:r>
      <w:r>
        <w:rPr>
          <w:rFonts w:ascii="Times New Roman" w:hAnsi="Times New Roman" w:cs="Times New Roman" w:eastAsia="Times New Roman" w:hint="default"/>
        </w:rPr>
        <w:t>2010 </w:t>
      </w:r>
      <w:r>
        <w:rPr/>
        <w:t>年任本公司董事长、总经理，现任本公司董事长。 本公司与实际控制人之间的产权及控制关系的方框图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tabs>
          <w:tab w:pos="6783" w:val="left" w:leader="none"/>
        </w:tabs>
        <w:spacing w:before="0"/>
        <w:ind w:left="1697" w:right="0" w:firstLine="0"/>
        <w:jc w:val="left"/>
        <w:rPr>
          <w:rFonts w:ascii="Times New Roman" w:hAnsi="Times New Roman" w:cs="Times New Roman" w:eastAsia="Times New Roman" w:hint="default"/>
          <w:sz w:val="18"/>
          <w:szCs w:val="18"/>
        </w:rPr>
      </w:pPr>
      <w:r>
        <w:rPr/>
        <w:pict>
          <v:group style="position:absolute;margin-left:101.699997pt;margin-top:-87.067657pt;width:359.25pt;height:139.5pt;mso-position-horizontal-relative:page;mso-position-vertical-relative:paragraph;z-index:-928648" coordorigin="2034,-1741" coordsize="7185,2790">
            <v:group style="position:absolute;left:3594;top:-271;width:4065;height:2" coordorigin="3594,-271" coordsize="4065,2">
              <v:shape style="position:absolute;left:3594;top:-271;width:4065;height:2" coordorigin="3594,-271" coordsize="4065,0" path="m3594,-271l7659,-271e" filled="false" stroked="true" strokeweight=".75pt" strokecolor="#000000">
                <v:path arrowok="t"/>
              </v:shape>
            </v:group>
            <v:group style="position:absolute;left:5514;top:-1198;width:15;height:927" coordorigin="5514,-1198" coordsize="15,927">
              <v:shape style="position:absolute;left:5514;top:-1198;width:15;height:927" coordorigin="5514,-1198" coordsize="15,927" path="m5514,-1198l5529,-271e" filled="false" stroked="true" strokeweight=".75pt" strokecolor="#000000">
                <v:path arrowok="t"/>
              </v:shape>
            </v:group>
            <v:group style="position:absolute;left:3534;top:-281;width:120;height:737" coordorigin="3534,-281" coordsize="120,737">
              <v:shape style="position:absolute;left:3534;top:-281;width:120;height:737" coordorigin="3534,-281" coordsize="120,737" path="m3584,336l3534,336,3594,456,3639,366,3588,366,3584,361,3584,336xe" filled="true" fillcolor="#000000" stroked="false">
                <v:path arrowok="t"/>
                <v:fill type="solid"/>
              </v:shape>
              <v:shape style="position:absolute;left:3534;top:-281;width:120;height:737" coordorigin="3534,-281" coordsize="120,737" path="m3600,-281l3588,-281,3584,-277,3584,361,3588,366,3600,366,3604,361,3604,-277,3600,-281xe" filled="true" fillcolor="#000000" stroked="false">
                <v:path arrowok="t"/>
                <v:fill type="solid"/>
              </v:shape>
              <v:shape style="position:absolute;left:3534;top:-281;width:120;height:737" coordorigin="3534,-281" coordsize="120,737" path="m3654,336l3604,336,3604,361,3600,366,3639,366,3654,336xe" filled="true" fillcolor="#000000" stroked="false">
                <v:path arrowok="t"/>
                <v:fill type="solid"/>
              </v:shape>
            </v:group>
            <v:group style="position:absolute;left:7599;top:-281;width:120;height:737" coordorigin="7599,-281" coordsize="120,737">
              <v:shape style="position:absolute;left:7599;top:-281;width:120;height:737" coordorigin="7599,-281" coordsize="120,737" path="m7649,336l7599,336,7659,456,7704,366,7653,366,7649,361,7649,336xe" filled="true" fillcolor="#000000" stroked="false">
                <v:path arrowok="t"/>
                <v:fill type="solid"/>
              </v:shape>
              <v:shape style="position:absolute;left:7599;top:-281;width:120;height:737" coordorigin="7599,-281" coordsize="120,737" path="m7665,-281l7653,-281,7649,-277,7649,361,7653,366,7665,366,7669,361,7669,-277,7665,-281xe" filled="true" fillcolor="#000000" stroked="false">
                <v:path arrowok="t"/>
                <v:fill type="solid"/>
              </v:shape>
              <v:shape style="position:absolute;left:7599;top:-281;width:120;height:737" coordorigin="7599,-281" coordsize="120,737" path="m7719,336l7669,336,7669,361,7665,366,7704,366,7719,336xe" filled="true" fillcolor="#000000" stroked="false">
                <v:path arrowok="t"/>
                <v:fill type="solid"/>
              </v:shape>
              <v:shape style="position:absolute;left:4082;top:-1741;width:2872;height:543" type="#_x0000_t202" filled="false" stroked="true" strokeweight=".75pt" strokecolor="#000000">
                <v:textbox inset="0,0,0,0">
                  <w:txbxContent>
                    <w:p>
                      <w:pPr>
                        <w:spacing w:before="81"/>
                        <w:ind w:left="0" w:right="1" w:firstLine="0"/>
                        <w:jc w:val="center"/>
                        <w:rPr>
                          <w:rFonts w:ascii="宋体" w:hAnsi="宋体" w:cs="宋体" w:eastAsia="宋体" w:hint="default"/>
                          <w:sz w:val="18"/>
                          <w:szCs w:val="18"/>
                        </w:rPr>
                      </w:pPr>
                      <w:r>
                        <w:rPr>
                          <w:rFonts w:ascii="宋体" w:hAnsi="宋体" w:cs="宋体" w:eastAsia="宋体" w:hint="default"/>
                          <w:sz w:val="18"/>
                          <w:szCs w:val="18"/>
                        </w:rPr>
                        <w:t>乔鲁予</w:t>
                      </w:r>
                    </w:p>
                  </w:txbxContent>
                </v:textbox>
                <w10:wrap type="none"/>
              </v:shape>
              <v:shape style="position:absolute;left:2034;top:456;width:3120;height:593" type="#_x0000_t202" filled="false" stroked="true" strokeweight=".75pt" strokecolor="#000000">
                <v:textbox inset="0,0,0,0">
                  <w:txbxContent>
                    <w:p>
                      <w:pPr>
                        <w:spacing w:before="85"/>
                        <w:ind w:left="382" w:right="0" w:firstLine="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xbxContent>
                </v:textbox>
                <w10:wrap type="none"/>
              </v:shape>
              <v:shape style="position:absolute;left:6102;top:456;width:3117;height:593" type="#_x0000_t202" filled="false" stroked="true" strokeweight=".75pt" strokecolor="#000000">
                <v:textbox inset="0,0,0,0">
                  <w:txbxContent>
                    <w:p>
                      <w:pPr>
                        <w:spacing w:before="85"/>
                        <w:ind w:left="381" w:right="0" w:firstLine="0"/>
                        <w:jc w:val="left"/>
                        <w:rPr>
                          <w:rFonts w:ascii="宋体" w:hAnsi="宋体" w:cs="宋体" w:eastAsia="宋体" w:hint="default"/>
                          <w:sz w:val="18"/>
                          <w:szCs w:val="18"/>
                        </w:rPr>
                      </w:pPr>
                      <w:r>
                        <w:rPr>
                          <w:rFonts w:ascii="宋体" w:hAnsi="宋体" w:cs="宋体" w:eastAsia="宋体" w:hint="default"/>
                          <w:sz w:val="18"/>
                          <w:szCs w:val="18"/>
                        </w:rPr>
                        <w:t>深圳市世纪运通投资有限公司</w:t>
                      </w:r>
                    </w:p>
                  </w:txbxContent>
                </v:textbox>
                <w10:wrap type="none"/>
              </v:shape>
            </v:group>
            <w10:wrap type="none"/>
          </v:group>
        </w:pict>
      </w:r>
      <w:r>
        <w:rPr>
          <w:rFonts w:ascii="Times New Roman"/>
          <w:sz w:val="18"/>
        </w:rPr>
        <w:t>90%</w:t>
        <w:tab/>
        <w:t>71.44%</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5"/>
          <w:szCs w:val="25"/>
        </w:rPr>
      </w:pPr>
    </w:p>
    <w:p>
      <w:pPr>
        <w:tabs>
          <w:tab w:pos="6303" w:val="left" w:leader="none"/>
        </w:tabs>
        <w:spacing w:before="76"/>
        <w:ind w:left="1937" w:right="0" w:firstLine="0"/>
        <w:jc w:val="left"/>
        <w:rPr>
          <w:rFonts w:ascii="Times New Roman" w:hAnsi="Times New Roman" w:cs="Times New Roman" w:eastAsia="Times New Roman" w:hint="default"/>
          <w:sz w:val="18"/>
          <w:szCs w:val="18"/>
        </w:rPr>
      </w:pPr>
      <w:r>
        <w:rPr/>
        <w:pict>
          <v:group style="position:absolute;margin-left:207.389999pt;margin-top:-42.187653pt;width:6pt;height:81.5pt;mso-position-horizontal-relative:page;mso-position-vertical-relative:paragraph;z-index:-928624" coordorigin="4148,-844" coordsize="120,1630">
            <v:shape style="position:absolute;left:4148;top:-844;width:120;height:1630" coordorigin="4148,-844" coordsize="120,1630" path="m4198,666l4148,667,4209,786,4253,696,4203,696,4198,692,4198,686,4198,666xe" filled="true" fillcolor="#000000" stroked="false">
              <v:path arrowok="t"/>
              <v:fill type="solid"/>
            </v:shape>
            <v:shape style="position:absolute;left:4148;top:-844;width:120;height:1630" coordorigin="4148,-844" coordsize="120,1630" path="m4218,666l4198,666,4198,686,4198,692,4203,696,4214,696,4218,692,4218,666xe" filled="true" fillcolor="#000000" stroked="false">
              <v:path arrowok="t"/>
              <v:fill type="solid"/>
            </v:shape>
            <v:shape style="position:absolute;left:4148;top:-844;width:120;height:1630" coordorigin="4148,-844" coordsize="120,1630" path="m4268,666l4218,666,4218,692,4214,696,4253,696,4268,666xe" filled="true" fillcolor="#000000" stroked="false">
              <v:path arrowok="t"/>
              <v:fill type="solid"/>
            </v:shape>
            <v:shape style="position:absolute;left:4148;top:-844;width:120;height:1630" coordorigin="4148,-844" coordsize="120,1630" path="m4199,-844l4188,-844,4184,-839,4184,-834,4198,666,4218,666,4204,-834,4204,-839,4199,-844xe" filled="true" fillcolor="#000000" stroked="false">
              <v:path arrowok="t"/>
              <v:fill type="solid"/>
            </v:shape>
            <w10:wrap type="none"/>
          </v:group>
        </w:pict>
      </w:r>
      <w:r>
        <w:rPr/>
        <w:pict>
          <v:group style="position:absolute;margin-left:344.640015pt;margin-top:-42.187653pt;width:6pt;height:81.5pt;mso-position-horizontal-relative:page;mso-position-vertical-relative:paragraph;z-index:-928600" coordorigin="6893,-844" coordsize="120,1630">
            <v:shape style="position:absolute;left:6893;top:-844;width:120;height:1630" coordorigin="6893,-844" coordsize="120,1630" path="m6943,666l6893,667,6954,786,6998,696,6948,696,6943,692,6943,686,6943,666xe" filled="true" fillcolor="#000000" stroked="false">
              <v:path arrowok="t"/>
              <v:fill type="solid"/>
            </v:shape>
            <v:shape style="position:absolute;left:6893;top:-844;width:120;height:1630" coordorigin="6893,-844" coordsize="120,1630" path="m6963,666l6943,666,6943,686,6943,692,6948,696,6959,696,6963,692,6963,686,6963,666xe" filled="true" fillcolor="#000000" stroked="false">
              <v:path arrowok="t"/>
              <v:fill type="solid"/>
            </v:shape>
            <v:shape style="position:absolute;left:6893;top:-844;width:120;height:1630" coordorigin="6893,-844" coordsize="120,1630" path="m7013,666l6963,666,6963,692,6959,696,6998,696,7013,666xe" filled="true" fillcolor="#000000" stroked="false">
              <v:path arrowok="t"/>
              <v:fill type="solid"/>
            </v:shape>
            <v:shape style="position:absolute;left:6893;top:-844;width:120;height:1630" coordorigin="6893,-844" coordsize="120,1630" path="m6944,-844l6933,-844,6929,-839,6929,-834,6943,666,6963,666,6949,-834,6949,-839,6944,-844xe" filled="true" fillcolor="#000000" stroked="false">
              <v:path arrowok="t"/>
              <v:fill type="solid"/>
            </v:shape>
            <w10:wrap type="none"/>
          </v:group>
        </w:pict>
      </w:r>
      <w:r>
        <w:rPr>
          <w:rFonts w:ascii="Times New Roman"/>
          <w:sz w:val="18"/>
        </w:rPr>
        <w:t>32.52%</w:t>
        <w:tab/>
        <w:t>5.23%</w: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3"/>
          <w:szCs w:val="23"/>
        </w:rPr>
      </w:pPr>
    </w:p>
    <w:p>
      <w:pPr>
        <w:spacing w:line="593" w:lineRule="exact"/>
        <w:ind w:left="257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shape style="width:202.5pt;height:29.65pt;mso-position-horizontal-relative:char;mso-position-vertical-relative:line" type="#_x0000_t202" filled="false" stroked="true" strokeweight=".75pt" strokecolor="#000000">
            <w10:anchorlock/>
            <v:textbox inset="0,0,0,0">
              <w:txbxContent>
                <w:p>
                  <w:pPr>
                    <w:spacing w:before="85"/>
                    <w:ind w:left="753" w:right="0" w:firstLine="0"/>
                    <w:jc w:val="left"/>
                    <w:rPr>
                      <w:rFonts w:ascii="宋体" w:hAnsi="宋体" w:cs="宋体" w:eastAsia="宋体" w:hint="default"/>
                      <w:sz w:val="18"/>
                      <w:szCs w:val="18"/>
                    </w:rPr>
                  </w:pPr>
                  <w:r>
                    <w:rPr>
                      <w:rFonts w:ascii="宋体" w:hAnsi="宋体" w:cs="宋体" w:eastAsia="宋体" w:hint="default"/>
                      <w:b/>
                      <w:bCs/>
                      <w:sz w:val="18"/>
                      <w:szCs w:val="18"/>
                    </w:rPr>
                    <w:t>深圳劲嘉彩印集团股份有限公司</w:t>
                  </w:r>
                  <w:r>
                    <w:rPr>
                      <w:rFonts w:ascii="宋体" w:hAnsi="宋体" w:cs="宋体" w:eastAsia="宋体" w:hint="default"/>
                      <w:sz w:val="18"/>
                      <w:szCs w:val="18"/>
                    </w:rPr>
                  </w:r>
                </w:p>
              </w:txbxContent>
            </v:textbox>
          </v:shape>
        </w:pict>
      </w:r>
      <w:r>
        <w:rPr>
          <w:rFonts w:ascii="Times New Roman" w:hAnsi="Times New Roman" w:cs="Times New Roman" w:eastAsia="Times New Roman" w:hint="default"/>
          <w:position w:val="-11"/>
          <w:sz w:val="20"/>
          <w:szCs w:val="20"/>
        </w:rPr>
      </w:r>
    </w:p>
    <w:p>
      <w:pPr>
        <w:spacing w:line="240" w:lineRule="auto" w:before="9"/>
        <w:rPr>
          <w:rFonts w:ascii="Times New Roman" w:hAnsi="Times New Roman" w:cs="Times New Roman" w:eastAsia="Times New Roman" w:hint="default"/>
          <w:sz w:val="29"/>
          <w:szCs w:val="29"/>
        </w:rPr>
      </w:pPr>
    </w:p>
    <w:p>
      <w:pPr>
        <w:pStyle w:val="Heading3"/>
        <w:tabs>
          <w:tab w:pos="1373" w:val="left" w:leader="none"/>
        </w:tabs>
        <w:spacing w:line="240" w:lineRule="auto" w:before="26"/>
        <w:ind w:left="593"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其他持股在</w:t>
      </w:r>
      <w:r>
        <w:rPr>
          <w:spacing w:val="-63"/>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19"/>
          <w:szCs w:val="19"/>
        </w:rPr>
      </w:pPr>
    </w:p>
    <w:p>
      <w:pPr>
        <w:pStyle w:val="BodyText"/>
        <w:spacing w:line="338" w:lineRule="auto"/>
        <w:ind w:right="1130" w:firstLine="480"/>
        <w:jc w:val="both"/>
      </w:pPr>
      <w:r>
        <w:rPr/>
        <w:t>截至</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日，太和印刷实业有限公司持有本公司股份</w:t>
      </w:r>
      <w:r>
        <w:rPr>
          <w:spacing w:val="-56"/>
        </w:rPr>
        <w:t> </w:t>
      </w:r>
      <w:r>
        <w:rPr>
          <w:rFonts w:ascii="Times New Roman" w:hAnsi="Times New Roman" w:cs="Times New Roman" w:eastAsia="Times New Roman" w:hint="default"/>
        </w:rPr>
        <w:t>187,386,870</w:t>
      </w:r>
      <w:r>
        <w:rPr>
          <w:rFonts w:ascii="Times New Roman" w:hAnsi="Times New Roman" w:cs="Times New Roman" w:eastAsia="Times New Roman" w:hint="default"/>
          <w:spacing w:val="5"/>
        </w:rPr>
        <w:t> </w:t>
      </w:r>
      <w:r>
        <w:rPr/>
        <w:t>股，占总 股本的</w:t>
      </w:r>
      <w:r>
        <w:rPr>
          <w:spacing w:val="-58"/>
        </w:rPr>
        <w:t> </w:t>
      </w:r>
      <w:r>
        <w:rPr>
          <w:rFonts w:ascii="宋体" w:hAnsi="宋体" w:cs="宋体" w:eastAsia="宋体" w:hint="default"/>
          <w:spacing w:val="-6"/>
        </w:rPr>
        <w:t>29.19%</w:t>
      </w:r>
      <w:r>
        <w:rPr>
          <w:spacing w:val="-6"/>
        </w:rPr>
        <w:t>，为本公司第二大股东。该公司前身为太和印刷公司（</w:t>
      </w:r>
      <w:r>
        <w:rPr>
          <w:rFonts w:ascii="Times New Roman" w:hAnsi="Times New Roman" w:cs="Times New Roman" w:eastAsia="Times New Roman" w:hint="default"/>
          <w:spacing w:val="-6"/>
        </w:rPr>
        <w:t>Tai</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6"/>
        </w:rPr>
        <w:t>Woo</w:t>
      </w:r>
      <w:r>
        <w:rPr>
          <w:rFonts w:ascii="Times New Roman" w:hAnsi="Times New Roman" w:cs="Times New Roman" w:eastAsia="Times New Roman" w:hint="default"/>
          <w:spacing w:val="2"/>
        </w:rPr>
        <w:t> </w:t>
      </w:r>
      <w:r>
        <w:rPr>
          <w:rFonts w:ascii="Times New Roman" w:hAnsi="Times New Roman" w:cs="Times New Roman" w:eastAsia="Times New Roman" w:hint="default"/>
        </w:rPr>
        <w:t>pringting</w:t>
      </w:r>
      <w:r>
        <w:rPr>
          <w:rFonts w:ascii="Times New Roman" w:hAnsi="Times New Roman" w:cs="Times New Roman" w:eastAsia="Times New Roman" w:hint="default"/>
          <w:spacing w:val="-1"/>
        </w:rPr>
        <w:t> </w:t>
      </w:r>
      <w:r>
        <w:rPr>
          <w:rFonts w:ascii="Times New Roman" w:hAnsi="Times New Roman" w:cs="Times New Roman" w:eastAsia="Times New Roman" w:hint="default"/>
        </w:rPr>
        <w:t>Co.O/B</w:t>
      </w:r>
      <w:r>
        <w:rPr>
          <w:rFonts w:ascii="Times New Roman" w:hAnsi="Times New Roman" w:cs="Times New Roman" w:eastAsia="Times New Roman" w:hint="default"/>
        </w:rPr>
        <w:t> </w:t>
      </w:r>
      <w:r>
        <w:rPr>
          <w:rFonts w:ascii="Times New Roman" w:hAnsi="Times New Roman" w:cs="Times New Roman" w:eastAsia="Times New Roman" w:hint="default"/>
          <w:spacing w:val="-1"/>
          <w:w w:val="99"/>
        </w:rPr>
        <w:t>Great</w:t>
      </w:r>
      <w:r>
        <w:rPr>
          <w:rFonts w:ascii="Times New Roman" w:hAnsi="Times New Roman" w:cs="Times New Roman" w:eastAsia="Times New Roman" w:hint="default"/>
          <w:spacing w:val="15"/>
          <w:w w:val="99"/>
        </w:rPr>
        <w:t> </w:t>
      </w:r>
      <w:r>
        <w:rPr>
          <w:rFonts w:ascii="Times New Roman" w:hAnsi="Times New Roman" w:cs="Times New Roman" w:eastAsia="Times New Roman" w:hint="default"/>
        </w:rPr>
        <w:t>Motion</w:t>
      </w:r>
      <w:r>
        <w:rPr>
          <w:rFonts w:ascii="Times New Roman" w:hAnsi="Times New Roman" w:cs="Times New Roman" w:eastAsia="Times New Roman" w:hint="default"/>
          <w:spacing w:val="15"/>
        </w:rPr>
        <w:t> </w:t>
      </w:r>
      <w:r>
        <w:rPr>
          <w:rFonts w:ascii="Times New Roman" w:hAnsi="Times New Roman" w:cs="Times New Roman" w:eastAsia="Times New Roman" w:hint="default"/>
        </w:rPr>
        <w:t>Company</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1"/>
        </w:rPr>
        <w:t>Limited</w:t>
      </w:r>
      <w:r>
        <w:rPr>
          <w:spacing w:val="-11"/>
        </w:rPr>
        <w:t>），成立于</w:t>
      </w:r>
      <w:r>
        <w:rPr>
          <w:spacing w:val="-59"/>
        </w:rPr>
        <w:t> </w:t>
      </w:r>
      <w:r>
        <w:rPr>
          <w:rFonts w:ascii="Times New Roman" w:hAnsi="Times New Roman" w:cs="Times New Roman" w:eastAsia="Times New Roman" w:hint="default"/>
        </w:rPr>
        <w:t>1982</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日，是按照香港公司条例成立的企业</w:t>
      </w:r>
    </w:p>
    <w:p>
      <w:pPr>
        <w:spacing w:after="0" w:line="338" w:lineRule="auto"/>
        <w:jc w:val="both"/>
        <w:sectPr>
          <w:pgSz w:w="11910" w:h="16840"/>
          <w:pgMar w:header="920" w:footer="936" w:top="1140" w:bottom="1140" w:left="1020" w:right="0"/>
        </w:sectPr>
      </w:pPr>
    </w:p>
    <w:p>
      <w:pPr>
        <w:pStyle w:val="BodyText"/>
        <w:spacing w:line="240" w:lineRule="auto" w:before="19"/>
        <w:ind w:right="0"/>
        <w:jc w:val="left"/>
      </w:pPr>
      <w:r>
        <w:rPr/>
        <w:t>法人，</w:t>
      </w:r>
      <w:r>
        <w:rPr>
          <w:rFonts w:ascii="Times New Roman" w:hAnsi="Times New Roman" w:cs="Times New Roman" w:eastAsia="Times New Roman" w:hint="default"/>
        </w:rPr>
        <w:t>1999</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日更名为太和印刷实业有限公司；注册地址为香港北角健康东街</w:t>
      </w:r>
      <w:r>
        <w:rPr>
          <w:spacing w:val="-45"/>
        </w:rPr>
        <w:t> </w:t>
      </w:r>
      <w:r>
        <w:rPr>
          <w:rFonts w:ascii="Times New Roman" w:hAnsi="Times New Roman" w:cs="Times New Roman" w:eastAsia="Times New Roman" w:hint="default"/>
        </w:rPr>
        <w:t>39</w:t>
      </w:r>
      <w:r>
        <w:rPr>
          <w:rFonts w:ascii="Times New Roman" w:hAnsi="Times New Roman" w:cs="Times New Roman" w:eastAsia="Times New Roman" w:hint="default"/>
          <w:spacing w:val="14"/>
        </w:rPr>
        <w:t> </w:t>
      </w:r>
      <w:r>
        <w:rPr/>
        <w:t>号</w:t>
      </w:r>
    </w:p>
    <w:p>
      <w:pPr>
        <w:pStyle w:val="BodyText"/>
        <w:spacing w:line="240" w:lineRule="auto" w:before="136"/>
        <w:ind w:right="0"/>
        <w:jc w:val="left"/>
      </w:pPr>
      <w:r>
        <w:rPr/>
        <w:t>柯达大厦</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期</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楼</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室，现发行普通股</w:t>
      </w:r>
      <w:r>
        <w:rPr>
          <w:spacing w:val="-48"/>
        </w:rPr>
        <w:t> </w:t>
      </w:r>
      <w:r>
        <w:rPr>
          <w:rFonts w:ascii="Times New Roman" w:hAnsi="Times New Roman" w:cs="Times New Roman" w:eastAsia="Times New Roman" w:hint="default"/>
        </w:rPr>
        <w:t>480,000</w:t>
      </w:r>
      <w:r>
        <w:rPr>
          <w:rFonts w:ascii="Times New Roman" w:hAnsi="Times New Roman" w:cs="Times New Roman" w:eastAsia="Times New Roman" w:hint="default"/>
          <w:spacing w:val="12"/>
        </w:rPr>
        <w:t> </w:t>
      </w:r>
      <w:r>
        <w:rPr/>
        <w:t>股；股东为庄德智、庄青黎、庄小铭，各持</w:t>
      </w:r>
    </w:p>
    <w:p>
      <w:pPr>
        <w:pStyle w:val="BodyText"/>
        <w:spacing w:line="240" w:lineRule="auto" w:before="133"/>
        <w:ind w:right="0"/>
        <w:jc w:val="left"/>
      </w:pPr>
      <w:r>
        <w:rPr/>
        <w:t>有该公司</w:t>
      </w:r>
      <w:r>
        <w:rPr>
          <w:spacing w:val="-60"/>
        </w:rPr>
        <w:t> </w:t>
      </w:r>
      <w:r>
        <w:rPr>
          <w:rFonts w:ascii="Times New Roman" w:hAnsi="Times New Roman" w:cs="Times New Roman" w:eastAsia="Times New Roman" w:hint="default"/>
        </w:rPr>
        <w:t>160,000 </w:t>
      </w:r>
      <w:r>
        <w:rPr/>
        <w:t>股；董事庄德智、庄青黎、庄小铭三人之间是兄弟关系。</w:t>
      </w:r>
    </w:p>
    <w:p>
      <w:pPr>
        <w:spacing w:after="0" w:line="240" w:lineRule="auto"/>
        <w:jc w:val="left"/>
        <w:sectPr>
          <w:headerReference w:type="default" r:id="rId13"/>
          <w:pgSz w:w="11910" w:h="16840"/>
          <w:pgMar w:header="920" w:footer="936" w:top="1140" w:bottom="114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1"/>
        <w:tabs>
          <w:tab w:pos="3651" w:val="left" w:leader="none"/>
        </w:tabs>
        <w:spacing w:line="240" w:lineRule="auto"/>
        <w:ind w:left="2371" w:right="0"/>
        <w:jc w:val="left"/>
        <w:rPr>
          <w:rFonts w:ascii="宋体" w:hAnsi="宋体" w:cs="宋体" w:eastAsia="宋体" w:hint="default"/>
        </w:rPr>
      </w:pPr>
      <w:bookmarkStart w:name="_TOC_250007" w:id="4"/>
      <w:r>
        <w:rPr>
          <w:rFonts w:ascii="宋体" w:hAnsi="宋体" w:cs="宋体" w:eastAsia="宋体" w:hint="default"/>
          <w:w w:val="95"/>
        </w:rPr>
        <w:t>第四节</w:t>
        <w:tab/>
      </w:r>
      <w:bookmarkEnd w:id="4"/>
      <w:r>
        <w:rPr>
          <w:rFonts w:ascii="宋体" w:hAnsi="宋体" w:cs="宋体" w:eastAsia="宋体" w:hint="default"/>
        </w:rPr>
        <w:t>董事、监事和高级管理人员</w:t>
      </w:r>
    </w:p>
    <w:p>
      <w:pPr>
        <w:spacing w:line="240" w:lineRule="auto" w:before="4"/>
        <w:rPr>
          <w:rFonts w:ascii="宋体" w:hAnsi="宋体" w:cs="宋体" w:eastAsia="宋体" w:hint="default"/>
          <w:sz w:val="23"/>
          <w:szCs w:val="23"/>
        </w:rPr>
      </w:pPr>
    </w:p>
    <w:p>
      <w:pPr>
        <w:pStyle w:val="Heading2"/>
        <w:tabs>
          <w:tab w:pos="953" w:val="left" w:leader="none"/>
        </w:tabs>
        <w:spacing w:line="240" w:lineRule="auto"/>
        <w:ind w:right="0"/>
        <w:jc w:val="left"/>
        <w:rPr>
          <w:b w:val="0"/>
          <w:bCs w:val="0"/>
        </w:rPr>
      </w:pPr>
      <w:r>
        <w:rPr>
          <w:w w:val="95"/>
        </w:rPr>
        <w:t>一、</w:t>
        <w:tab/>
      </w:r>
      <w:r>
        <w:rPr/>
        <w:t>董事、监事和高级管理人员情况</w:t>
      </w:r>
      <w:r>
        <w:rPr>
          <w:b w:val="0"/>
          <w:bCs w:val="0"/>
        </w:rPr>
      </w:r>
    </w:p>
    <w:p>
      <w:pPr>
        <w:spacing w:line="240" w:lineRule="auto" w:before="3"/>
        <w:rPr>
          <w:rFonts w:ascii="宋体" w:hAnsi="宋体" w:cs="宋体" w:eastAsia="宋体" w:hint="default"/>
          <w:b/>
          <w:bCs/>
          <w:sz w:val="23"/>
          <w:szCs w:val="23"/>
        </w:rPr>
      </w:pPr>
    </w:p>
    <w:p>
      <w:pPr>
        <w:pStyle w:val="Heading3"/>
        <w:tabs>
          <w:tab w:pos="1373" w:val="left" w:leader="none"/>
        </w:tabs>
        <w:spacing w:line="240" w:lineRule="auto"/>
        <w:ind w:left="593"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董事、监事和高级管理人员持股变动及报酬情况</w:t>
      </w:r>
      <w:r>
        <w:rPr>
          <w:b w:val="0"/>
          <w:bCs w:val="0"/>
        </w:rPr>
      </w:r>
    </w:p>
    <w:p>
      <w:pPr>
        <w:spacing w:line="240" w:lineRule="auto" w:before="8"/>
        <w:rPr>
          <w:rFonts w:ascii="宋体" w:hAnsi="宋体" w:cs="宋体" w:eastAsia="宋体" w:hint="default"/>
          <w:b/>
          <w:bCs/>
          <w:sz w:val="22"/>
          <w:szCs w:val="22"/>
        </w:rPr>
      </w:pPr>
    </w:p>
    <w:tbl>
      <w:tblPr>
        <w:tblW w:w="0" w:type="auto"/>
        <w:jc w:val="left"/>
        <w:tblInd w:w="108" w:type="dxa"/>
        <w:tblLayout w:type="fixed"/>
        <w:tblCellMar>
          <w:top w:w="0" w:type="dxa"/>
          <w:left w:w="0" w:type="dxa"/>
          <w:bottom w:w="0" w:type="dxa"/>
          <w:right w:w="0" w:type="dxa"/>
        </w:tblCellMar>
        <w:tblLook w:val="01E0"/>
      </w:tblPr>
      <w:tblGrid>
        <w:gridCol w:w="780"/>
        <w:gridCol w:w="1039"/>
        <w:gridCol w:w="521"/>
        <w:gridCol w:w="521"/>
        <w:gridCol w:w="1169"/>
        <w:gridCol w:w="1172"/>
        <w:gridCol w:w="754"/>
        <w:gridCol w:w="708"/>
        <w:gridCol w:w="850"/>
        <w:gridCol w:w="853"/>
        <w:gridCol w:w="850"/>
      </w:tblGrid>
      <w:tr>
        <w:trPr>
          <w:trHeight w:val="1491"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4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4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7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32" w:lineRule="exact"/>
              <w:ind w:left="191" w:right="98" w:hanging="89"/>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7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32" w:lineRule="exact"/>
              <w:ind w:left="170" w:right="77" w:hanging="92"/>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8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62" w:right="58"/>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总额（万 </w:t>
            </w:r>
            <w:r>
              <w:rPr>
                <w:rFonts w:ascii="宋体" w:hAnsi="宋体" w:cs="宋体" w:eastAsia="宋体" w:hint="default"/>
                <w:spacing w:val="-23"/>
                <w:sz w:val="18"/>
                <w:szCs w:val="18"/>
              </w:rPr>
              <w:t>元）（税</w:t>
            </w:r>
            <w:r>
              <w:rPr>
                <w:rFonts w:ascii="宋体" w:hAnsi="宋体" w:cs="宋体" w:eastAsia="宋体" w:hint="default"/>
                <w:sz w:val="18"/>
                <w:szCs w:val="18"/>
              </w:rPr>
              <w:t> 前）</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8"/>
              <w:ind w:left="60" w:right="59"/>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乔鲁予</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56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庄德智</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49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张明义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71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侯旭东</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51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李德华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44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蒋 </w:t>
            </w:r>
            <w:r>
              <w:rPr>
                <w:rFonts w:ascii="宋体" w:hAnsi="宋体" w:cs="宋体" w:eastAsia="宋体" w:hint="default"/>
                <w:spacing w:val="2"/>
                <w:sz w:val="18"/>
                <w:szCs w:val="18"/>
              </w:rPr>
              <w:t> </w:t>
            </w:r>
            <w:r>
              <w:rPr>
                <w:rFonts w:ascii="宋体" w:hAnsi="宋体" w:cs="宋体" w:eastAsia="宋体" w:hint="default"/>
                <w:sz w:val="18"/>
                <w:szCs w:val="18"/>
              </w:rPr>
              <w:t>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48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杨启瑞</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sz w:val="18"/>
              </w:rPr>
              <w:t>34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 w:right="0"/>
              <w:jc w:val="center"/>
              <w:rPr>
                <w:rFonts w:ascii="宋体" w:hAnsi="宋体" w:cs="宋体" w:eastAsia="宋体" w:hint="default"/>
                <w:sz w:val="18"/>
                <w:szCs w:val="18"/>
              </w:rPr>
            </w:pPr>
            <w:r>
              <w:rPr>
                <w:rFonts w:ascii="宋体"/>
                <w:sz w:val="18"/>
              </w:rPr>
              <w:t>25.45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李鹏志</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43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龙 </w:t>
            </w:r>
            <w:r>
              <w:rPr>
                <w:rFonts w:ascii="宋体" w:hAnsi="宋体" w:cs="宋体" w:eastAsia="宋体" w:hint="default"/>
                <w:spacing w:val="2"/>
                <w:sz w:val="18"/>
                <w:szCs w:val="18"/>
              </w:rPr>
              <w:t> </w:t>
            </w:r>
            <w:r>
              <w:rPr>
                <w:rFonts w:ascii="宋体" w:hAnsi="宋体" w:cs="宋体" w:eastAsia="宋体" w:hint="default"/>
                <w:sz w:val="18"/>
                <w:szCs w:val="18"/>
              </w:rPr>
              <w:t>隆</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57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李新中</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54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0"/>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王忠年</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45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0"/>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职慧</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43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李青山</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39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sz w:val="18"/>
              </w:rPr>
              <w:t>21.28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9"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曾国波</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38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sz w:val="18"/>
              </w:rPr>
              <w:t>35.54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谭毅</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sz w:val="18"/>
              </w:rPr>
              <w:t>35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 w:right="0"/>
              <w:jc w:val="center"/>
              <w:rPr>
                <w:rFonts w:ascii="宋体" w:hAnsi="宋体" w:cs="宋体" w:eastAsia="宋体" w:hint="default"/>
                <w:sz w:val="18"/>
                <w:szCs w:val="18"/>
              </w:rPr>
            </w:pPr>
            <w:r>
              <w:rPr>
                <w:rFonts w:ascii="宋体"/>
                <w:sz w:val="18"/>
              </w:rPr>
              <w:t>13.32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万春秀</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sz w:val="18"/>
              </w:rPr>
              <w:t>29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宋体"/>
                <w:sz w:val="18"/>
              </w:rPr>
              <w:t>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侯旭东</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51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 w:right="0"/>
              <w:jc w:val="center"/>
              <w:rPr>
                <w:rFonts w:ascii="宋体" w:hAnsi="宋体" w:cs="宋体" w:eastAsia="宋体" w:hint="default"/>
                <w:sz w:val="18"/>
                <w:szCs w:val="18"/>
              </w:rPr>
            </w:pPr>
            <w:r>
              <w:rPr>
                <w:rFonts w:ascii="宋体"/>
                <w:sz w:val="18"/>
              </w:rPr>
              <w:t>74.69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张明义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24" w:right="62" w:hanging="360"/>
              <w:jc w:val="left"/>
              <w:rPr>
                <w:rFonts w:ascii="宋体" w:hAnsi="宋体" w:cs="宋体" w:eastAsia="宋体" w:hint="default"/>
                <w:sz w:val="18"/>
                <w:szCs w:val="18"/>
              </w:rPr>
            </w:pPr>
            <w:r>
              <w:rPr>
                <w:rFonts w:ascii="宋体" w:hAnsi="宋体" w:cs="宋体" w:eastAsia="宋体" w:hint="default"/>
                <w:sz w:val="18"/>
                <w:szCs w:val="18"/>
              </w:rPr>
              <w:t>常务副总经 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71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 w:right="0"/>
              <w:jc w:val="center"/>
              <w:rPr>
                <w:rFonts w:ascii="宋体" w:hAnsi="宋体" w:cs="宋体" w:eastAsia="宋体" w:hint="default"/>
                <w:sz w:val="18"/>
                <w:szCs w:val="18"/>
              </w:rPr>
            </w:pPr>
            <w:r>
              <w:rPr>
                <w:rFonts w:ascii="宋体"/>
                <w:sz w:val="18"/>
              </w:rPr>
              <w:t>73.65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920" w:footer="936" w:top="1140" w:bottom="1140" w:left="1020" w:right="0"/>
        </w:sectPr>
      </w:pPr>
    </w:p>
    <w:p>
      <w:pPr>
        <w:spacing w:line="240" w:lineRule="auto" w:before="7"/>
        <w:rPr>
          <w:rFonts w:ascii="宋体" w:hAnsi="宋体" w:cs="宋体" w:eastAsia="宋体" w:hint="default"/>
          <w:b/>
          <w:bCs/>
          <w:sz w:val="4"/>
          <w:szCs w:val="4"/>
        </w:rPr>
      </w:pPr>
    </w:p>
    <w:tbl>
      <w:tblPr>
        <w:tblW w:w="0" w:type="auto"/>
        <w:jc w:val="left"/>
        <w:tblInd w:w="207" w:type="dxa"/>
        <w:tblLayout w:type="fixed"/>
        <w:tblCellMar>
          <w:top w:w="0" w:type="dxa"/>
          <w:left w:w="0" w:type="dxa"/>
          <w:bottom w:w="0" w:type="dxa"/>
          <w:right w:w="0" w:type="dxa"/>
        </w:tblCellMar>
        <w:tblLook w:val="01E0"/>
      </w:tblPr>
      <w:tblGrid>
        <w:gridCol w:w="780"/>
        <w:gridCol w:w="1039"/>
        <w:gridCol w:w="521"/>
        <w:gridCol w:w="521"/>
        <w:gridCol w:w="1169"/>
        <w:gridCol w:w="1172"/>
        <w:gridCol w:w="754"/>
        <w:gridCol w:w="708"/>
        <w:gridCol w:w="850"/>
        <w:gridCol w:w="853"/>
        <w:gridCol w:w="850"/>
      </w:tblGrid>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李德华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44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0"/>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1"/>
              <w:jc w:val="right"/>
              <w:rPr>
                <w:rFonts w:ascii="宋体" w:hAnsi="宋体" w:cs="宋体" w:eastAsia="宋体" w:hint="default"/>
                <w:sz w:val="18"/>
                <w:szCs w:val="18"/>
              </w:rPr>
            </w:pPr>
            <w:r>
              <w:rPr>
                <w:rFonts w:ascii="宋体"/>
                <w:sz w:val="18"/>
              </w:rPr>
              <w:t>66.76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森</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sz w:val="18"/>
              </w:rPr>
              <w:t>55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1"/>
              <w:jc w:val="right"/>
              <w:rPr>
                <w:rFonts w:ascii="宋体" w:hAnsi="宋体" w:cs="宋体" w:eastAsia="宋体" w:hint="default"/>
                <w:sz w:val="18"/>
                <w:szCs w:val="18"/>
              </w:rPr>
            </w:pPr>
            <w:r>
              <w:rPr>
                <w:rFonts w:ascii="宋体"/>
                <w:sz w:val="18"/>
              </w:rPr>
              <w:t>59.85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富培军</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44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1"/>
              <w:jc w:val="right"/>
              <w:rPr>
                <w:rFonts w:ascii="宋体" w:hAnsi="宋体" w:cs="宋体" w:eastAsia="宋体" w:hint="default"/>
                <w:sz w:val="18"/>
                <w:szCs w:val="18"/>
              </w:rPr>
            </w:pPr>
            <w:r>
              <w:rPr>
                <w:rFonts w:ascii="宋体"/>
                <w:sz w:val="18"/>
              </w:rPr>
              <w:t>40.96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9"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蒋辉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48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7"/>
              <w:jc w:val="right"/>
              <w:rPr>
                <w:rFonts w:ascii="宋体" w:hAnsi="宋体" w:cs="宋体" w:eastAsia="宋体" w:hint="default"/>
                <w:sz w:val="18"/>
                <w:szCs w:val="18"/>
              </w:rPr>
            </w:pPr>
            <w:r>
              <w:rPr>
                <w:rFonts w:ascii="宋体"/>
                <w:sz w:val="18"/>
              </w:rPr>
              <w:t>42.7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6"/>
              <w:jc w:val="right"/>
              <w:rPr>
                <w:rFonts w:ascii="宋体" w:hAnsi="宋体" w:cs="宋体" w:eastAsia="宋体" w:hint="default"/>
                <w:sz w:val="18"/>
                <w:szCs w:val="18"/>
              </w:rPr>
            </w:pPr>
            <w:r>
              <w:rPr>
                <w:rFonts w:ascii="宋体"/>
                <w:spacing w:val="-1"/>
                <w:sz w:val="18"/>
              </w:rPr>
              <w:t>499.20</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b/>
          <w:bCs/>
          <w:sz w:val="20"/>
          <w:szCs w:val="20"/>
        </w:rPr>
      </w:pPr>
    </w:p>
    <w:p>
      <w:pPr>
        <w:pStyle w:val="Heading3"/>
        <w:tabs>
          <w:tab w:pos="1473" w:val="left" w:leader="none"/>
        </w:tabs>
        <w:spacing w:line="240" w:lineRule="auto" w:before="185"/>
        <w:ind w:left="693" w:right="111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本公司董事、监事在股东单位任职情况</w:t>
      </w:r>
      <w:r>
        <w:rPr>
          <w:b w:val="0"/>
          <w:bCs w:val="0"/>
        </w:rPr>
      </w:r>
    </w:p>
    <w:p>
      <w:pPr>
        <w:spacing w:line="240" w:lineRule="auto" w:before="8"/>
        <w:rPr>
          <w:rFonts w:ascii="宋体" w:hAnsi="宋体" w:cs="宋体" w:eastAsia="宋体" w:hint="default"/>
          <w:b/>
          <w:bCs/>
          <w:sz w:val="22"/>
          <w:szCs w:val="22"/>
        </w:rPr>
      </w:pPr>
    </w:p>
    <w:tbl>
      <w:tblPr>
        <w:tblW w:w="0" w:type="auto"/>
        <w:jc w:val="left"/>
        <w:tblInd w:w="100" w:type="dxa"/>
        <w:tblLayout w:type="fixed"/>
        <w:tblCellMar>
          <w:top w:w="0" w:type="dxa"/>
          <w:left w:w="0" w:type="dxa"/>
          <w:bottom w:w="0" w:type="dxa"/>
          <w:right w:w="0" w:type="dxa"/>
        </w:tblCellMar>
        <w:tblLook w:val="01E0"/>
      </w:tblPr>
      <w:tblGrid>
        <w:gridCol w:w="960"/>
        <w:gridCol w:w="3301"/>
        <w:gridCol w:w="2132"/>
        <w:gridCol w:w="2132"/>
      </w:tblGrid>
      <w:tr>
        <w:trPr>
          <w:trHeight w:val="43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黑体" w:hAnsi="黑体" w:cs="黑体" w:eastAsia="黑体" w:hint="default"/>
                <w:sz w:val="24"/>
                <w:szCs w:val="24"/>
              </w:rPr>
            </w:pPr>
            <w:r>
              <w:rPr>
                <w:rFonts w:ascii="黑体" w:hAnsi="黑体" w:cs="黑体" w:eastAsia="黑体" w:hint="default"/>
                <w:sz w:val="24"/>
                <w:szCs w:val="24"/>
              </w:rPr>
              <w:t>姓名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黑体" w:hAnsi="黑体" w:cs="黑体" w:eastAsia="黑体" w:hint="default"/>
                <w:sz w:val="24"/>
                <w:szCs w:val="24"/>
              </w:rPr>
            </w:pPr>
            <w:r>
              <w:rPr>
                <w:rFonts w:ascii="黑体" w:hAnsi="黑体" w:cs="黑体" w:eastAsia="黑体" w:hint="default"/>
                <w:sz w:val="24"/>
                <w:szCs w:val="24"/>
              </w:rPr>
              <w:t>任职股东单位</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黑体" w:hAnsi="黑体" w:cs="黑体" w:eastAsia="黑体" w:hint="default"/>
                <w:sz w:val="24"/>
                <w:szCs w:val="24"/>
              </w:rPr>
            </w:pPr>
            <w:r>
              <w:rPr>
                <w:rFonts w:ascii="黑体" w:hAnsi="黑体" w:cs="黑体" w:eastAsia="黑体" w:hint="default"/>
                <w:sz w:val="24"/>
                <w:szCs w:val="24"/>
              </w:rPr>
              <w:t>职务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黑体" w:hAnsi="黑体" w:cs="黑体" w:eastAsia="黑体" w:hint="default"/>
                <w:sz w:val="24"/>
                <w:szCs w:val="24"/>
              </w:rPr>
            </w:pPr>
            <w:r>
              <w:rPr>
                <w:rFonts w:ascii="黑体" w:hAnsi="黑体" w:cs="黑体" w:eastAsia="黑体" w:hint="default"/>
                <w:sz w:val="24"/>
                <w:szCs w:val="24"/>
              </w:rPr>
              <w:t>任职起止时间</w:t>
            </w:r>
          </w:p>
        </w:tc>
      </w:tr>
      <w:tr>
        <w:trPr>
          <w:trHeight w:val="43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乔鲁予</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深圳市劲嘉创业投资有限公司</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bl>
    <w:p>
      <w:pPr>
        <w:spacing w:line="240" w:lineRule="auto" w:before="4"/>
        <w:rPr>
          <w:rFonts w:ascii="宋体" w:hAnsi="宋体" w:cs="宋体" w:eastAsia="宋体" w:hint="default"/>
          <w:b/>
          <w:bCs/>
          <w:sz w:val="13"/>
          <w:szCs w:val="13"/>
        </w:rPr>
      </w:pPr>
    </w:p>
    <w:p>
      <w:pPr>
        <w:pStyle w:val="Heading3"/>
        <w:tabs>
          <w:tab w:pos="1473" w:val="left" w:leader="none"/>
        </w:tabs>
        <w:spacing w:line="240" w:lineRule="auto" w:before="26"/>
        <w:ind w:left="693" w:right="111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现任董事、监事、高级管理人员的主要工作经历</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1"/>
        <w:ind w:left="496" w:right="1116"/>
        <w:jc w:val="left"/>
      </w:pPr>
      <w:r>
        <w:rPr>
          <w:rFonts w:ascii="Times New Roman" w:hAnsi="Times New Roman" w:cs="Times New Roman" w:eastAsia="Times New Roman" w:hint="default"/>
        </w:rPr>
        <w:t>1</w:t>
      </w:r>
      <w:r>
        <w:rPr/>
        <w:t>、</w:t>
      </w:r>
      <w:r>
        <w:rPr>
          <w:spacing w:val="75"/>
        </w:rPr>
        <w:t> </w:t>
      </w:r>
      <w:r>
        <w:rPr/>
        <w:t>董事主要工作经历</w:t>
      </w:r>
    </w:p>
    <w:p>
      <w:pPr>
        <w:pStyle w:val="BodyText"/>
        <w:spacing w:line="357" w:lineRule="auto" w:before="174"/>
        <w:ind w:left="212" w:right="1116" w:firstLine="480"/>
        <w:jc w:val="left"/>
      </w:pPr>
      <w:r>
        <w:rPr/>
        <w:t>乔鲁予，男，</w:t>
      </w:r>
      <w:r>
        <w:rPr>
          <w:rFonts w:ascii="宋体" w:hAnsi="宋体" w:cs="宋体" w:eastAsia="宋体" w:hint="default"/>
        </w:rPr>
        <w:t>1956 </w:t>
      </w:r>
      <w:r>
        <w:rPr/>
        <w:t>年出生，中国籍，澳大利亚长期居住权，高中学历。</w:t>
      </w:r>
      <w:r>
        <w:rPr>
          <w:rFonts w:ascii="宋体" w:hAnsi="宋体" w:cs="宋体" w:eastAsia="宋体" w:hint="default"/>
        </w:rPr>
        <w:t>2003 </w:t>
      </w:r>
      <w:r>
        <w:rPr/>
        <w:t>年至</w:t>
      </w:r>
      <w:r>
        <w:rPr>
          <w:spacing w:val="-82"/>
        </w:rPr>
        <w:t> </w:t>
      </w:r>
      <w:r>
        <w:rPr>
          <w:rFonts w:ascii="宋体" w:hAnsi="宋体" w:cs="宋体" w:eastAsia="宋体" w:hint="default"/>
        </w:rPr>
        <w:t>2006 </w:t>
      </w:r>
      <w:r>
        <w:rPr/>
        <w:t>年，任本公司董事长；</w:t>
      </w:r>
      <w:r>
        <w:rPr>
          <w:rFonts w:ascii="宋体" w:hAnsi="宋体" w:cs="宋体" w:eastAsia="宋体" w:hint="default"/>
        </w:rPr>
        <w:t>2006</w:t>
      </w:r>
      <w:r>
        <w:rPr>
          <w:rFonts w:ascii="宋体" w:hAnsi="宋体" w:cs="宋体" w:eastAsia="宋体" w:hint="default"/>
          <w:spacing w:val="-61"/>
        </w:rPr>
        <w:t> </w:t>
      </w:r>
      <w:r>
        <w:rPr/>
        <w:t>年至</w:t>
      </w:r>
      <w:r>
        <w:rPr>
          <w:spacing w:val="-61"/>
        </w:rPr>
        <w:t> </w:t>
      </w:r>
      <w:r>
        <w:rPr>
          <w:rFonts w:ascii="宋体" w:hAnsi="宋体" w:cs="宋体" w:eastAsia="宋体" w:hint="default"/>
        </w:rPr>
        <w:t>2010</w:t>
      </w:r>
      <w:r>
        <w:rPr>
          <w:rFonts w:ascii="宋体" w:hAnsi="宋体" w:cs="宋体" w:eastAsia="宋体" w:hint="default"/>
          <w:spacing w:val="-61"/>
        </w:rPr>
        <w:t> </w:t>
      </w:r>
      <w:r>
        <w:rPr/>
        <w:t>年任本公司董事长、总经理；现任本公司董事长。</w:t>
      </w:r>
    </w:p>
    <w:p>
      <w:pPr>
        <w:pStyle w:val="BodyText"/>
        <w:spacing w:line="357" w:lineRule="auto" w:before="34"/>
        <w:ind w:left="212" w:right="1131" w:firstLine="482"/>
        <w:jc w:val="both"/>
      </w:pPr>
      <w:r>
        <w:rPr/>
        <w:t>张明义，男，</w:t>
      </w:r>
      <w:r>
        <w:rPr>
          <w:rFonts w:ascii="宋体" w:hAnsi="宋体" w:cs="宋体" w:eastAsia="宋体" w:hint="default"/>
        </w:rPr>
        <w:t>1941</w:t>
      </w:r>
      <w:r>
        <w:rPr>
          <w:rFonts w:ascii="宋体" w:hAnsi="宋体" w:cs="宋体" w:eastAsia="宋体" w:hint="default"/>
          <w:spacing w:val="-84"/>
        </w:rPr>
        <w:t> </w:t>
      </w:r>
      <w:r>
        <w:rPr/>
        <w:t>年出生，中国籍，无永久境外居留权，大专学历，高级经济师。</w:t>
      </w:r>
      <w:r>
        <w:rPr>
          <w:rFonts w:ascii="宋体" w:hAnsi="宋体" w:cs="宋体" w:eastAsia="宋体" w:hint="default"/>
        </w:rPr>
        <w:t>2003 </w:t>
      </w:r>
      <w:r>
        <w:rPr/>
        <w:t>年至</w:t>
      </w:r>
      <w:r>
        <w:rPr>
          <w:spacing w:val="-52"/>
        </w:rPr>
        <w:t> </w:t>
      </w:r>
      <w:r>
        <w:rPr>
          <w:rFonts w:ascii="宋体" w:hAnsi="宋体" w:cs="宋体" w:eastAsia="宋体" w:hint="default"/>
        </w:rPr>
        <w:t>2010</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月任本公司董事、副总经理；</w:t>
      </w:r>
      <w:r>
        <w:rPr>
          <w:rFonts w:ascii="宋体" w:hAnsi="宋体" w:cs="宋体" w:eastAsia="宋体" w:hint="default"/>
        </w:rPr>
        <w:t>2011</w:t>
      </w:r>
      <w:r>
        <w:rPr>
          <w:rFonts w:ascii="宋体" w:hAnsi="宋体" w:cs="宋体" w:eastAsia="宋体" w:hint="default"/>
          <w:spacing w:val="-51"/>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t>月至</w:t>
      </w:r>
      <w:r>
        <w:rPr>
          <w:spacing w:val="-52"/>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月任本公司董事、总 经理；现任本公司董事、常务副总经理。</w:t>
      </w:r>
    </w:p>
    <w:p>
      <w:pPr>
        <w:pStyle w:val="BodyText"/>
        <w:spacing w:line="355" w:lineRule="auto" w:before="36"/>
        <w:ind w:left="212" w:right="997" w:firstLine="482"/>
        <w:jc w:val="left"/>
      </w:pPr>
      <w:r>
        <w:rPr/>
        <w:t>侯旭东，男，</w:t>
      </w:r>
      <w:r>
        <w:rPr>
          <w:rFonts w:ascii="宋体" w:hAnsi="宋体" w:cs="宋体" w:eastAsia="宋体" w:hint="default"/>
        </w:rPr>
        <w:t>1961</w:t>
      </w:r>
      <w:r>
        <w:rPr>
          <w:rFonts w:ascii="宋体" w:hAnsi="宋体" w:cs="宋体" w:eastAsia="宋体" w:hint="default"/>
          <w:spacing w:val="-69"/>
        </w:rPr>
        <w:t> </w:t>
      </w:r>
      <w:r>
        <w:rPr/>
        <w:t>年出生，中国籍，无永久境外居留权，中专学历，高级经济师。</w:t>
      </w:r>
      <w:r>
        <w:rPr>
          <w:rFonts w:ascii="宋体" w:hAnsi="宋体" w:cs="宋体" w:eastAsia="宋体" w:hint="default"/>
        </w:rPr>
        <w:t>2003 </w:t>
      </w:r>
      <w:r>
        <w:rPr/>
        <w:t>年至</w:t>
      </w:r>
      <w:r>
        <w:rPr>
          <w:spacing w:val="-62"/>
        </w:rPr>
        <w:t> </w:t>
      </w:r>
      <w:r>
        <w:rPr>
          <w:rFonts w:ascii="宋体" w:hAnsi="宋体" w:cs="宋体" w:eastAsia="宋体" w:hint="default"/>
        </w:rPr>
        <w:t>2007</w:t>
      </w:r>
      <w:r>
        <w:rPr>
          <w:rFonts w:ascii="宋体" w:hAnsi="宋体" w:cs="宋体" w:eastAsia="宋体" w:hint="default"/>
          <w:spacing w:val="-63"/>
        </w:rPr>
        <w:t> </w:t>
      </w:r>
      <w:r>
        <w:rPr/>
        <w:t>年</w:t>
      </w:r>
      <w:r>
        <w:rPr>
          <w:spacing w:val="-62"/>
        </w:rPr>
        <w:t> </w:t>
      </w:r>
      <w:r>
        <w:rPr>
          <w:rFonts w:ascii="宋体" w:hAnsi="宋体" w:cs="宋体" w:eastAsia="宋体" w:hint="default"/>
        </w:rPr>
        <w:t>5</w:t>
      </w:r>
      <w:r>
        <w:rPr>
          <w:rFonts w:ascii="宋体" w:hAnsi="宋体" w:cs="宋体" w:eastAsia="宋体" w:hint="default"/>
          <w:spacing w:val="-62"/>
        </w:rPr>
        <w:t> </w:t>
      </w:r>
      <w:r>
        <w:rPr/>
        <w:t>月，任本公司董事、副总经理；</w:t>
      </w:r>
      <w:r>
        <w:rPr>
          <w:rFonts w:ascii="宋体" w:hAnsi="宋体" w:cs="宋体" w:eastAsia="宋体" w:hint="default"/>
        </w:rPr>
        <w:t>2007</w:t>
      </w:r>
      <w:r>
        <w:rPr>
          <w:rFonts w:ascii="宋体" w:hAnsi="宋体" w:cs="宋体" w:eastAsia="宋体" w:hint="default"/>
          <w:spacing w:val="-62"/>
        </w:rPr>
        <w:t> </w:t>
      </w:r>
      <w:r>
        <w:rPr/>
        <w:t>年</w:t>
      </w:r>
      <w:r>
        <w:rPr>
          <w:spacing w:val="-62"/>
        </w:rPr>
        <w:t> </w:t>
      </w:r>
      <w:r>
        <w:rPr>
          <w:rFonts w:ascii="宋体" w:hAnsi="宋体" w:cs="宋体" w:eastAsia="宋体" w:hint="default"/>
        </w:rPr>
        <w:t>5</w:t>
      </w:r>
      <w:r>
        <w:rPr>
          <w:rFonts w:ascii="宋体" w:hAnsi="宋体" w:cs="宋体" w:eastAsia="宋体" w:hint="default"/>
          <w:spacing w:val="-62"/>
        </w:rPr>
        <w:t> </w:t>
      </w:r>
      <w:r>
        <w:rPr/>
        <w:t>月至</w:t>
      </w:r>
      <w:r>
        <w:rPr>
          <w:spacing w:val="-62"/>
        </w:rPr>
        <w:t> </w:t>
      </w: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月，任本公司董事、</w:t>
      </w:r>
    </w:p>
    <w:p>
      <w:pPr>
        <w:pStyle w:val="BodyText"/>
        <w:spacing w:line="355" w:lineRule="auto" w:before="38"/>
        <w:ind w:left="212" w:right="1118"/>
        <w:jc w:val="left"/>
      </w:pPr>
      <w:r>
        <w:rPr/>
        <w:t>安徽安泰新型包装材料有限公司总经理；</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6"/>
        </w:rPr>
        <w:t> </w:t>
      </w:r>
      <w:r>
        <w:rPr/>
        <w:t>月至</w:t>
      </w:r>
      <w:r>
        <w:rPr>
          <w:spacing w:val="-46"/>
        </w:rPr>
        <w:t> </w:t>
      </w:r>
      <w:r>
        <w:rPr>
          <w:rFonts w:ascii="宋体" w:hAnsi="宋体" w:cs="宋体" w:eastAsia="宋体" w:hint="default"/>
        </w:rPr>
        <w:t>2012</w:t>
      </w:r>
      <w:r>
        <w:rPr>
          <w:rFonts w:ascii="宋体" w:hAnsi="宋体" w:cs="宋体" w:eastAsia="宋体" w:hint="default"/>
          <w:spacing w:val="-46"/>
        </w:rPr>
        <w:t> </w:t>
      </w:r>
      <w:r>
        <w:rPr/>
        <w:t>年</w:t>
      </w:r>
      <w:r>
        <w:rPr>
          <w:spacing w:val="-46"/>
        </w:rPr>
        <w:t> </w:t>
      </w:r>
      <w:r>
        <w:rPr>
          <w:rFonts w:ascii="宋体" w:hAnsi="宋体" w:cs="宋体" w:eastAsia="宋体" w:hint="default"/>
        </w:rPr>
        <w:t>2</w:t>
      </w:r>
      <w:r>
        <w:rPr>
          <w:rFonts w:ascii="宋体" w:hAnsi="宋体" w:cs="宋体" w:eastAsia="宋体" w:hint="default"/>
          <w:spacing w:val="-48"/>
        </w:rPr>
        <w:t> </w:t>
      </w:r>
      <w:r>
        <w:rPr/>
        <w:t>月任本公司董事、副总经 理；现任本公司董事、总经理。</w:t>
      </w:r>
    </w:p>
    <w:p>
      <w:pPr>
        <w:pStyle w:val="BodyText"/>
        <w:spacing w:line="355" w:lineRule="auto" w:before="38"/>
        <w:ind w:left="212" w:right="1120" w:firstLine="559"/>
        <w:jc w:val="left"/>
      </w:pPr>
      <w:r>
        <w:rPr/>
        <w:t>李德华，男，</w:t>
      </w:r>
      <w:r>
        <w:rPr>
          <w:rFonts w:ascii="宋体" w:hAnsi="宋体" w:cs="宋体" w:eastAsia="宋体" w:hint="default"/>
        </w:rPr>
        <w:t>1968 </w:t>
      </w:r>
      <w:r>
        <w:rPr/>
        <w:t>年出生，中国籍，无永久境外居留权，高中文化。</w:t>
      </w:r>
      <w:r>
        <w:rPr>
          <w:rFonts w:ascii="宋体" w:hAnsi="宋体" w:cs="宋体" w:eastAsia="宋体" w:hint="default"/>
        </w:rPr>
        <w:t>1996</w:t>
      </w:r>
      <w:r>
        <w:rPr>
          <w:rFonts w:ascii="宋体" w:hAnsi="宋体" w:cs="宋体" w:eastAsia="宋体" w:hint="default"/>
          <w:spacing w:val="-45"/>
        </w:rPr>
        <w:t> </w:t>
      </w:r>
      <w:r>
        <w:rPr/>
        <w:t>年至今任职 于深圳劲嘉彩印集团有限公司，现任公司董事、副总经理、生产营销事业部总经理。</w:t>
      </w:r>
    </w:p>
    <w:p>
      <w:pPr>
        <w:pStyle w:val="BodyText"/>
        <w:spacing w:line="355" w:lineRule="auto" w:before="39"/>
        <w:ind w:left="212" w:right="1120" w:firstLine="482"/>
        <w:jc w:val="left"/>
      </w:pPr>
      <w:r>
        <w:rPr>
          <w:spacing w:val="-4"/>
        </w:rPr>
        <w:t>蒋辉，男，</w:t>
      </w:r>
      <w:r>
        <w:rPr>
          <w:rFonts w:ascii="宋体" w:hAnsi="宋体" w:cs="宋体" w:eastAsia="宋体" w:hint="default"/>
          <w:spacing w:val="-4"/>
        </w:rPr>
        <w:t>1964</w:t>
      </w:r>
      <w:r>
        <w:rPr>
          <w:rFonts w:ascii="宋体" w:hAnsi="宋体" w:cs="宋体" w:eastAsia="宋体" w:hint="default"/>
          <w:spacing w:val="-73"/>
        </w:rPr>
        <w:t> </w:t>
      </w:r>
      <w:r>
        <w:rPr/>
        <w:t>年出生，中国籍，无永久境外居留权，硕士研究生学历。</w:t>
      </w:r>
      <w:r>
        <w:rPr>
          <w:rFonts w:ascii="宋体" w:hAnsi="宋体" w:cs="宋体" w:eastAsia="宋体" w:hint="default"/>
        </w:rPr>
        <w:t>2006</w:t>
      </w:r>
      <w:r>
        <w:rPr>
          <w:rFonts w:ascii="宋体" w:hAnsi="宋体" w:cs="宋体" w:eastAsia="宋体" w:hint="default"/>
          <w:spacing w:val="-73"/>
        </w:rPr>
        <w:t> </w:t>
      </w:r>
      <w:r>
        <w:rPr/>
        <w:t>年</w:t>
      </w:r>
      <w:r>
        <w:rPr>
          <w:spacing w:val="-73"/>
        </w:rPr>
        <w:t> </w:t>
      </w:r>
      <w:r>
        <w:rPr>
          <w:rFonts w:ascii="宋体" w:hAnsi="宋体" w:cs="宋体" w:eastAsia="宋体" w:hint="default"/>
        </w:rPr>
        <w:t>8</w:t>
      </w:r>
      <w:r>
        <w:rPr>
          <w:rFonts w:ascii="宋体" w:hAnsi="宋体" w:cs="宋体" w:eastAsia="宋体" w:hint="default"/>
          <w:spacing w:val="-73"/>
        </w:rPr>
        <w:t> </w:t>
      </w:r>
      <w:r>
        <w:rPr/>
        <w:t>月加 入本公司，现任本公司董事、董事会秘书。</w:t>
      </w:r>
    </w:p>
    <w:p>
      <w:pPr>
        <w:pStyle w:val="BodyText"/>
        <w:spacing w:line="357" w:lineRule="auto" w:before="38"/>
        <w:ind w:left="212" w:right="1122" w:firstLine="482"/>
        <w:jc w:val="left"/>
      </w:pPr>
      <w:r>
        <w:rPr>
          <w:spacing w:val="-3"/>
        </w:rPr>
        <w:t>杨启瑞，男，</w:t>
      </w:r>
      <w:r>
        <w:rPr>
          <w:rFonts w:ascii="宋体" w:hAnsi="宋体" w:cs="宋体" w:eastAsia="宋体" w:hint="default"/>
          <w:spacing w:val="-3"/>
        </w:rPr>
        <w:t>1978 </w:t>
      </w:r>
      <w:r>
        <w:rPr>
          <w:spacing w:val="-3"/>
        </w:rPr>
        <w:t>年出生，中国香港籍，无永久境外居留权，大学学历。</w:t>
      </w:r>
      <w:r>
        <w:rPr>
          <w:rFonts w:ascii="宋体" w:hAnsi="宋体" w:cs="宋体" w:eastAsia="宋体" w:hint="default"/>
          <w:spacing w:val="-3"/>
        </w:rPr>
        <w:t>2005</w:t>
      </w:r>
      <w:r>
        <w:rPr>
          <w:rFonts w:ascii="宋体" w:hAnsi="宋体" w:cs="宋体" w:eastAsia="宋体" w:hint="default"/>
          <w:spacing w:val="-93"/>
        </w:rPr>
        <w:t> </w:t>
      </w:r>
      <w:r>
        <w:rPr/>
        <w:t>年至今任 中华香港国际烟草集团有限公司财务负责人。</w:t>
      </w:r>
    </w:p>
    <w:p>
      <w:pPr>
        <w:pStyle w:val="BodyText"/>
        <w:spacing w:line="357" w:lineRule="auto" w:before="34"/>
        <w:ind w:left="212" w:right="1124" w:firstLine="482"/>
        <w:jc w:val="left"/>
      </w:pPr>
      <w:r>
        <w:rPr/>
        <w:t>李鹏志，男，</w:t>
      </w:r>
      <w:r>
        <w:rPr>
          <w:rFonts w:ascii="宋体" w:hAnsi="宋体" w:cs="宋体" w:eastAsia="宋体" w:hint="default"/>
        </w:rPr>
        <w:t>1969 </w:t>
      </w:r>
      <w:r>
        <w:rPr/>
        <w:t>年出生，中国籍，无永久境外居留权，博士。</w:t>
      </w:r>
      <w:r>
        <w:rPr>
          <w:rFonts w:ascii="宋体" w:hAnsi="宋体" w:cs="宋体" w:eastAsia="宋体" w:hint="default"/>
        </w:rPr>
        <w:t>2000</w:t>
      </w:r>
      <w:r>
        <w:rPr>
          <w:rFonts w:ascii="宋体" w:hAnsi="宋体" w:cs="宋体" w:eastAsia="宋体" w:hint="default"/>
          <w:spacing w:val="28"/>
        </w:rPr>
        <w:t> </w:t>
      </w:r>
      <w:r>
        <w:rPr/>
        <w:t>年至今，任芬兰 </w:t>
      </w:r>
      <w:r>
        <w:rPr>
          <w:rFonts w:ascii="宋体" w:hAnsi="宋体" w:cs="宋体" w:eastAsia="宋体" w:hint="default"/>
        </w:rPr>
        <w:t>SALCOMP</w:t>
      </w:r>
      <w:r>
        <w:rPr>
          <w:rFonts w:ascii="宋体" w:hAnsi="宋体" w:cs="宋体" w:eastAsia="宋体" w:hint="default"/>
          <w:spacing w:val="-61"/>
        </w:rPr>
        <w:t> </w:t>
      </w:r>
      <w:r>
        <w:rPr/>
        <w:t>深圳公司财务总监、财务资讯部总经理；现任本公司董事。</w:t>
      </w:r>
    </w:p>
    <w:p>
      <w:pPr>
        <w:pStyle w:val="BodyText"/>
        <w:spacing w:line="240" w:lineRule="auto" w:before="74"/>
        <w:ind w:left="693" w:right="1116"/>
        <w:jc w:val="left"/>
      </w:pPr>
      <w:r>
        <w:rPr/>
        <w:t>龙隆，男，</w:t>
      </w:r>
      <w:r>
        <w:rPr>
          <w:rFonts w:ascii="宋体" w:hAnsi="宋体" w:cs="宋体" w:eastAsia="宋体" w:hint="default"/>
        </w:rPr>
        <w:t>1955</w:t>
      </w:r>
      <w:r>
        <w:rPr>
          <w:rFonts w:ascii="宋体" w:hAnsi="宋体" w:cs="宋体" w:eastAsia="宋体" w:hint="default"/>
          <w:spacing w:val="-92"/>
        </w:rPr>
        <w:t> </w:t>
      </w:r>
      <w:r>
        <w:rPr/>
        <w:t>年出生，中国籍，无永久境外居留权，本科学历。</w:t>
      </w:r>
      <w:r>
        <w:rPr>
          <w:rFonts w:ascii="宋体" w:hAnsi="宋体" w:cs="宋体" w:eastAsia="宋体" w:hint="default"/>
        </w:rPr>
        <w:t>1990</w:t>
      </w:r>
      <w:r>
        <w:rPr>
          <w:rFonts w:ascii="宋体" w:hAnsi="宋体" w:cs="宋体" w:eastAsia="宋体" w:hint="default"/>
          <w:spacing w:val="-92"/>
        </w:rPr>
        <w:t> </w:t>
      </w:r>
      <w:r>
        <w:rPr/>
        <w:t>年至今，历任</w:t>
      </w:r>
    </w:p>
    <w:p>
      <w:pPr>
        <w:spacing w:after="0" w:line="240" w:lineRule="auto"/>
        <w:jc w:val="left"/>
        <w:sectPr>
          <w:pgSz w:w="11910" w:h="16840"/>
          <w:pgMar w:header="920" w:footer="936" w:top="1140" w:bottom="1140" w:left="920" w:right="0"/>
        </w:sectPr>
      </w:pPr>
    </w:p>
    <w:p>
      <w:pPr>
        <w:pStyle w:val="BodyText"/>
        <w:spacing w:line="357" w:lineRule="auto" w:before="19"/>
        <w:ind w:right="0"/>
        <w:jc w:val="left"/>
      </w:pPr>
      <w:r>
        <w:rPr/>
        <w:t>综合开发研究院（中国·深圳）周边地区研究中心副主任、开放政策研究所所长等职；现</w:t>
      </w:r>
      <w:r>
        <w:rPr>
          <w:spacing w:val="-58"/>
        </w:rPr>
        <w:t> </w:t>
      </w:r>
      <w:r>
        <w:rPr>
          <w:spacing w:val="-58"/>
        </w:rPr>
      </w:r>
      <w:r>
        <w:rPr/>
        <w:t>任综合开发研究院（中国·深圳）理事、产业经济研究中心主任、本公司独立董事。</w:t>
      </w:r>
    </w:p>
    <w:p>
      <w:pPr>
        <w:pStyle w:val="BodyText"/>
        <w:spacing w:line="357" w:lineRule="auto" w:before="74"/>
        <w:ind w:right="1332" w:firstLine="480"/>
        <w:jc w:val="left"/>
        <w:rPr>
          <w:rFonts w:ascii="宋体" w:hAnsi="宋体" w:cs="宋体" w:eastAsia="宋体" w:hint="default"/>
        </w:rPr>
      </w:pPr>
      <w:r>
        <w:rPr/>
        <w:t>李新中，男，</w:t>
      </w:r>
      <w:r>
        <w:rPr>
          <w:rFonts w:ascii="宋体" w:hAnsi="宋体" w:cs="宋体" w:eastAsia="宋体" w:hint="default"/>
        </w:rPr>
        <w:t>1958</w:t>
      </w:r>
      <w:r>
        <w:rPr>
          <w:rFonts w:ascii="宋体" w:hAnsi="宋体" w:cs="宋体" w:eastAsia="宋体" w:hint="default"/>
          <w:spacing w:val="-58"/>
        </w:rPr>
        <w:t> </w:t>
      </w:r>
      <w:r>
        <w:rPr/>
        <w:t>年出生，中国籍，中国香港特别行政区永久居民，硕士学历。</w:t>
      </w:r>
      <w:r>
        <w:rPr>
          <w:rFonts w:ascii="宋体" w:hAnsi="宋体" w:cs="宋体" w:eastAsia="宋体" w:hint="default"/>
        </w:rPr>
        <w:t>2004 </w:t>
      </w:r>
      <w:r>
        <w:rPr/>
        <w:t>年</w:t>
      </w:r>
      <w:r>
        <w:rPr>
          <w:spacing w:val="-68"/>
        </w:rPr>
        <w:t> </w:t>
      </w:r>
      <w:r>
        <w:rPr>
          <w:rFonts w:ascii="宋体" w:hAnsi="宋体" w:cs="宋体" w:eastAsia="宋体" w:hint="default"/>
        </w:rPr>
        <w:t>6</w:t>
      </w:r>
      <w:r>
        <w:rPr>
          <w:rFonts w:ascii="宋体" w:hAnsi="宋体" w:cs="宋体" w:eastAsia="宋体" w:hint="default"/>
          <w:spacing w:val="-68"/>
        </w:rPr>
        <w:t> </w:t>
      </w:r>
      <w:r>
        <w:rPr/>
        <w:t>月至</w:t>
      </w:r>
      <w:r>
        <w:rPr>
          <w:spacing w:val="-68"/>
        </w:rPr>
        <w:t> </w:t>
      </w:r>
      <w:r>
        <w:rPr>
          <w:rFonts w:ascii="宋体" w:hAnsi="宋体" w:cs="宋体" w:eastAsia="宋体" w:hint="default"/>
        </w:rPr>
        <w:t>2008</w:t>
      </w:r>
      <w:r>
        <w:rPr>
          <w:rFonts w:ascii="宋体" w:hAnsi="宋体" w:cs="宋体" w:eastAsia="宋体" w:hint="default"/>
          <w:spacing w:val="-68"/>
        </w:rPr>
        <w:t> </w:t>
      </w:r>
      <w:r>
        <w:rPr/>
        <w:t>年</w:t>
      </w:r>
      <w:r>
        <w:rPr>
          <w:spacing w:val="-68"/>
        </w:rPr>
        <w:t> </w:t>
      </w:r>
      <w:r>
        <w:rPr>
          <w:rFonts w:ascii="宋体" w:hAnsi="宋体" w:cs="宋体" w:eastAsia="宋体" w:hint="default"/>
        </w:rPr>
        <w:t>2</w:t>
      </w:r>
      <w:r>
        <w:rPr>
          <w:rFonts w:ascii="宋体" w:hAnsi="宋体" w:cs="宋体" w:eastAsia="宋体" w:hint="default"/>
          <w:spacing w:val="-68"/>
        </w:rPr>
        <w:t> </w:t>
      </w:r>
      <w:r>
        <w:rPr/>
        <w:t>月任星展亚洲融资有限公司高级副总裁、中国并购业务主管；</w:t>
      </w:r>
      <w:r>
        <w:rPr>
          <w:rFonts w:ascii="宋体" w:hAnsi="宋体" w:cs="宋体" w:eastAsia="宋体" w:hint="default"/>
        </w:rPr>
        <w:t>2008</w:t>
      </w:r>
      <w:r>
        <w:rPr>
          <w:rFonts w:ascii="宋体" w:hAnsi="宋体" w:cs="宋体" w:eastAsia="宋体" w:hint="default"/>
          <w:spacing w:val="-68"/>
        </w:rPr>
        <w:t> </w:t>
      </w:r>
      <w:r>
        <w:rPr/>
        <w:t>年</w:t>
      </w:r>
      <w:r>
        <w:rPr>
          <w:spacing w:val="-68"/>
        </w:rPr>
        <w:t> </w:t>
      </w:r>
      <w:r>
        <w:rPr>
          <w:rFonts w:ascii="宋体" w:hAnsi="宋体" w:cs="宋体" w:eastAsia="宋体" w:hint="default"/>
        </w:rPr>
        <w:t>3</w:t>
      </w:r>
    </w:p>
    <w:p>
      <w:pPr>
        <w:pStyle w:val="BodyText"/>
        <w:spacing w:line="357" w:lineRule="auto" w:before="34"/>
        <w:ind w:right="1334"/>
        <w:jc w:val="left"/>
      </w:pPr>
      <w:r>
        <w:rPr/>
        <w:t>月至</w:t>
      </w:r>
      <w:r>
        <w:rPr>
          <w:spacing w:val="-59"/>
        </w:rPr>
        <w:t> </w:t>
      </w:r>
      <w:r>
        <w:rPr>
          <w:rFonts w:ascii="宋体" w:hAnsi="宋体" w:cs="宋体" w:eastAsia="宋体" w:hint="default"/>
        </w:rPr>
        <w:t>2009</w:t>
      </w:r>
      <w:r>
        <w:rPr>
          <w:rFonts w:ascii="宋体" w:hAnsi="宋体" w:cs="宋体" w:eastAsia="宋体" w:hint="default"/>
          <w:spacing w:val="-60"/>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spacing w:val="-6"/>
        </w:rPr>
        <w:t>月任香港软银亚科有限公司高级顾问；</w:t>
      </w:r>
      <w:r>
        <w:rPr>
          <w:rFonts w:ascii="宋体" w:hAnsi="宋体" w:cs="宋体" w:eastAsia="宋体" w:hint="default"/>
          <w:spacing w:val="-6"/>
        </w:rPr>
        <w:t>2009</w:t>
      </w:r>
      <w:r>
        <w:rPr>
          <w:rFonts w:ascii="宋体" w:hAnsi="宋体" w:cs="宋体" w:eastAsia="宋体" w:hint="default"/>
          <w:spacing w:val="-59"/>
        </w:rPr>
        <w:t> </w:t>
      </w:r>
      <w:r>
        <w:rPr/>
        <w:t>年</w:t>
      </w:r>
      <w:r>
        <w:rPr>
          <w:spacing w:val="-59"/>
        </w:rPr>
        <w:t> </w:t>
      </w:r>
      <w:r>
        <w:rPr>
          <w:rFonts w:ascii="宋体" w:hAnsi="宋体" w:cs="宋体" w:eastAsia="宋体" w:hint="default"/>
        </w:rPr>
        <w:t>9</w:t>
      </w:r>
      <w:r>
        <w:rPr>
          <w:rFonts w:ascii="宋体" w:hAnsi="宋体" w:cs="宋体" w:eastAsia="宋体" w:hint="default"/>
          <w:spacing w:val="-59"/>
        </w:rPr>
        <w:t> </w:t>
      </w:r>
      <w:r>
        <w:rPr/>
        <w:t>月至今任渤海产业投资基金 管理有限公司执行董事；现任本公司独立董事。</w:t>
      </w:r>
    </w:p>
    <w:p>
      <w:pPr>
        <w:pStyle w:val="BodyText"/>
        <w:spacing w:line="355" w:lineRule="auto" w:before="74"/>
        <w:ind w:right="1334" w:firstLine="480"/>
        <w:jc w:val="left"/>
      </w:pPr>
      <w:r>
        <w:rPr/>
        <w:t>王忠年，男，</w:t>
      </w:r>
      <w:r>
        <w:rPr>
          <w:rFonts w:ascii="宋体" w:hAnsi="宋体" w:cs="宋体" w:eastAsia="宋体" w:hint="default"/>
        </w:rPr>
        <w:t>1967</w:t>
      </w:r>
      <w:r>
        <w:rPr>
          <w:rFonts w:ascii="宋体" w:hAnsi="宋体" w:cs="宋体" w:eastAsia="宋体" w:hint="default"/>
          <w:spacing w:val="-75"/>
        </w:rPr>
        <w:t> </w:t>
      </w:r>
      <w:r>
        <w:rPr/>
        <w:t>年出生，中国籍，大学学历。</w:t>
      </w:r>
      <w:r>
        <w:rPr>
          <w:rFonts w:ascii="宋体" w:hAnsi="宋体" w:cs="宋体" w:eastAsia="宋体" w:hint="default"/>
        </w:rPr>
        <w:t>2005</w:t>
      </w:r>
      <w:r>
        <w:rPr>
          <w:rFonts w:ascii="宋体" w:hAnsi="宋体" w:cs="宋体" w:eastAsia="宋体" w:hint="default"/>
          <w:spacing w:val="-75"/>
        </w:rPr>
        <w:t> </w:t>
      </w:r>
      <w:r>
        <w:rPr/>
        <w:t>年</w:t>
      </w:r>
      <w:r>
        <w:rPr>
          <w:spacing w:val="-75"/>
        </w:rPr>
        <w:t> </w:t>
      </w:r>
      <w:r>
        <w:rPr>
          <w:rFonts w:ascii="宋体" w:hAnsi="宋体" w:cs="宋体" w:eastAsia="宋体" w:hint="default"/>
        </w:rPr>
        <w:t>5</w:t>
      </w:r>
      <w:r>
        <w:rPr>
          <w:rFonts w:ascii="宋体" w:hAnsi="宋体" w:cs="宋体" w:eastAsia="宋体" w:hint="default"/>
          <w:spacing w:val="-75"/>
        </w:rPr>
        <w:t> </w:t>
      </w:r>
      <w:r>
        <w:rPr/>
        <w:t>月至今，深圳中联岳华会计 师事务所（普通合伙）合伙人；现任本公司独立董事。</w:t>
      </w:r>
    </w:p>
    <w:p>
      <w:pPr>
        <w:pStyle w:val="BodyText"/>
        <w:spacing w:line="357" w:lineRule="auto" w:before="79"/>
        <w:ind w:right="1345" w:firstLine="480"/>
        <w:jc w:val="both"/>
      </w:pPr>
      <w:r>
        <w:rPr/>
        <w:t>职慧，女，</w:t>
      </w:r>
      <w:r>
        <w:rPr>
          <w:rFonts w:ascii="宋体" w:hAnsi="宋体" w:cs="宋体" w:eastAsia="宋体" w:hint="default"/>
        </w:rPr>
        <w:t>1969</w:t>
      </w:r>
      <w:r>
        <w:rPr>
          <w:rFonts w:ascii="宋体" w:hAnsi="宋体" w:cs="宋体" w:eastAsia="宋体" w:hint="default"/>
          <w:spacing w:val="-45"/>
        </w:rPr>
        <w:t> </w:t>
      </w:r>
      <w:r>
        <w:rPr/>
        <w:t>年出生，中国籍，硕士学历。</w:t>
      </w:r>
      <w:r>
        <w:rPr>
          <w:rFonts w:ascii="宋体" w:hAnsi="宋体" w:cs="宋体" w:eastAsia="宋体" w:hint="default"/>
        </w:rPr>
        <w:t>2005</w:t>
      </w:r>
      <w:r>
        <w:rPr>
          <w:rFonts w:ascii="宋体" w:hAnsi="宋体" w:cs="宋体" w:eastAsia="宋体" w:hint="default"/>
          <w:spacing w:val="-45"/>
        </w:rPr>
        <w:t> </w:t>
      </w:r>
      <w:r>
        <w:rPr/>
        <w:t>年至</w:t>
      </w:r>
      <w:r>
        <w:rPr>
          <w:spacing w:val="-45"/>
        </w:rPr>
        <w:t> </w:t>
      </w:r>
      <w:r>
        <w:rPr>
          <w:rFonts w:ascii="宋体" w:hAnsi="宋体" w:cs="宋体" w:eastAsia="宋体" w:hint="default"/>
        </w:rPr>
        <w:t>2008</w:t>
      </w:r>
      <w:r>
        <w:rPr>
          <w:rFonts w:ascii="宋体" w:hAnsi="宋体" w:cs="宋体" w:eastAsia="宋体" w:hint="default"/>
          <w:spacing w:val="-45"/>
        </w:rPr>
        <w:t> </w:t>
      </w:r>
      <w:r>
        <w:rPr/>
        <w:t>年，中伦金通律师事务 所合伙人律师；</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月至今，中伦律师事务所（更名）合伙人律师。现任本公司独立 董事。</w:t>
      </w:r>
    </w:p>
    <w:p>
      <w:pPr>
        <w:spacing w:line="240" w:lineRule="auto" w:before="1"/>
        <w:rPr>
          <w:rFonts w:ascii="宋体" w:hAnsi="宋体" w:cs="宋体" w:eastAsia="宋体" w:hint="default"/>
          <w:sz w:val="30"/>
          <w:szCs w:val="30"/>
        </w:rPr>
      </w:pPr>
    </w:p>
    <w:p>
      <w:pPr>
        <w:pStyle w:val="BodyText"/>
        <w:spacing w:line="240" w:lineRule="auto"/>
        <w:ind w:left="396" w:right="0"/>
        <w:jc w:val="left"/>
      </w:pPr>
      <w:r>
        <w:rPr>
          <w:rFonts w:ascii="Times New Roman" w:hAnsi="Times New Roman" w:cs="Times New Roman" w:eastAsia="Times New Roman" w:hint="default"/>
        </w:rPr>
        <w:t>2</w:t>
      </w:r>
      <w:r>
        <w:rPr/>
        <w:t>、</w:t>
      </w:r>
      <w:r>
        <w:rPr>
          <w:spacing w:val="75"/>
        </w:rPr>
        <w:t> </w:t>
      </w:r>
      <w:r>
        <w:rPr/>
        <w:t>监事主要工作经历</w:t>
      </w:r>
    </w:p>
    <w:p>
      <w:pPr>
        <w:pStyle w:val="BodyText"/>
        <w:spacing w:line="357" w:lineRule="auto" w:before="174"/>
        <w:ind w:right="1131" w:firstLine="482"/>
        <w:jc w:val="both"/>
      </w:pPr>
      <w:r>
        <w:rPr/>
        <w:t>李青山，男，</w:t>
      </w:r>
      <w:r>
        <w:rPr>
          <w:rFonts w:ascii="宋体" w:hAnsi="宋体" w:cs="宋体" w:eastAsia="宋体" w:hint="default"/>
        </w:rPr>
        <w:t>1973 </w:t>
      </w:r>
      <w:r>
        <w:rPr/>
        <w:t>年出生，中国籍，无永久境外居留权，研究生学历。</w:t>
      </w:r>
      <w:r>
        <w:rPr>
          <w:rFonts w:ascii="宋体" w:hAnsi="宋体" w:cs="宋体" w:eastAsia="宋体" w:hint="default"/>
        </w:rPr>
        <w:t>2005 </w:t>
      </w:r>
      <w:r>
        <w:rPr/>
        <w:t>年至</w:t>
      </w:r>
      <w:r>
        <w:rPr>
          <w:spacing w:val="-87"/>
        </w:rPr>
        <w:t> </w:t>
      </w:r>
      <w:r>
        <w:rPr>
          <w:rFonts w:ascii="宋体" w:hAnsi="宋体" w:cs="宋体" w:eastAsia="宋体" w:hint="default"/>
        </w:rPr>
        <w:t>2007 </w:t>
      </w:r>
      <w:r>
        <w:rPr/>
        <w:t>年，任职于中国燃气控股集团股份有限公司。</w:t>
      </w:r>
      <w:r>
        <w:rPr>
          <w:rFonts w:ascii="宋体" w:hAnsi="宋体" w:cs="宋体" w:eastAsia="宋体" w:hint="default"/>
        </w:rPr>
        <w:t>2007</w:t>
      </w:r>
      <w:r>
        <w:rPr>
          <w:rFonts w:ascii="宋体" w:hAnsi="宋体" w:cs="宋体" w:eastAsia="宋体" w:hint="default"/>
          <w:spacing w:val="-80"/>
        </w:rPr>
        <w:t> </w:t>
      </w:r>
      <w:r>
        <w:rPr/>
        <w:t>年至今，任职于深圳劲嘉彩印集团股份有 限公司人力资源部，现任本公司人力资源部总监。</w:t>
      </w:r>
    </w:p>
    <w:p>
      <w:pPr>
        <w:pStyle w:val="BodyText"/>
        <w:spacing w:line="338" w:lineRule="auto" w:before="36"/>
        <w:ind w:right="1119" w:firstLine="482"/>
        <w:jc w:val="left"/>
      </w:pPr>
      <w:r>
        <w:rPr/>
        <w:t>谭毅，男，</w:t>
      </w:r>
      <w:r>
        <w:rPr>
          <w:rFonts w:ascii="Arial" w:hAnsi="Arial" w:cs="Arial" w:eastAsia="Arial" w:hint="default"/>
        </w:rPr>
        <w:t>1977 </w:t>
      </w:r>
      <w:r>
        <w:rPr/>
        <w:t>年出生，中国籍，无永久境外居留权，本科学历。</w:t>
      </w:r>
      <w:r>
        <w:rPr>
          <w:rFonts w:ascii="Arial" w:hAnsi="Arial" w:cs="Arial" w:eastAsia="Arial" w:hint="default"/>
        </w:rPr>
        <w:t>2002</w:t>
      </w:r>
      <w:r>
        <w:rPr>
          <w:rFonts w:ascii="Arial" w:hAnsi="Arial" w:cs="Arial" w:eastAsia="Arial" w:hint="default"/>
          <w:spacing w:val="32"/>
        </w:rPr>
        <w:t> </w:t>
      </w:r>
      <w:r>
        <w:rPr/>
        <w:t>年至今，任职 于深圳劲嘉彩印集团股份有限公司财金资源部，现任本公司财金资源部副经理。</w:t>
      </w:r>
    </w:p>
    <w:p>
      <w:pPr>
        <w:pStyle w:val="BodyText"/>
        <w:spacing w:line="357" w:lineRule="auto" w:before="53"/>
        <w:ind w:right="1122" w:firstLine="482"/>
        <w:jc w:val="left"/>
      </w:pPr>
      <w:r>
        <w:rPr>
          <w:spacing w:val="-3"/>
        </w:rPr>
        <w:t>万春秀，女，</w:t>
      </w:r>
      <w:r>
        <w:rPr>
          <w:rFonts w:ascii="宋体" w:hAnsi="宋体" w:cs="宋体" w:eastAsia="宋体" w:hint="default"/>
          <w:spacing w:val="-3"/>
        </w:rPr>
        <w:t>1983</w:t>
      </w:r>
      <w:r>
        <w:rPr>
          <w:rFonts w:ascii="宋体" w:hAnsi="宋体" w:cs="宋体" w:eastAsia="宋体" w:hint="default"/>
          <w:spacing w:val="-57"/>
        </w:rPr>
        <w:t> </w:t>
      </w:r>
      <w:r>
        <w:rPr>
          <w:spacing w:val="-3"/>
        </w:rPr>
        <w:t>年出生，中国籍，无永久境外居留权，大专。</w:t>
      </w:r>
      <w:r>
        <w:rPr>
          <w:rFonts w:ascii="宋体" w:hAnsi="宋体" w:cs="宋体" w:eastAsia="宋体" w:hint="default"/>
          <w:spacing w:val="-3"/>
        </w:rPr>
        <w:t>2002</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月至今在公司 生产事业部任职，现任公司生产事业部总经办秘书、工会副主席。</w:t>
      </w:r>
    </w:p>
    <w:p>
      <w:pPr>
        <w:pStyle w:val="BodyText"/>
        <w:spacing w:line="357" w:lineRule="auto" w:before="34"/>
        <w:ind w:left="595" w:right="4751"/>
        <w:jc w:val="left"/>
      </w:pPr>
      <w:r>
        <w:rPr>
          <w:rFonts w:ascii="宋体" w:hAnsi="宋体" w:cs="宋体" w:eastAsia="宋体" w:hint="default"/>
        </w:rPr>
        <w:t>3</w:t>
      </w:r>
      <w:r>
        <w:rPr/>
        <w:t>、高级管理人员主要工作经历 侯旭东，公司总经理，简介见前述董事介绍。 张明义，公司常务副总经理，简介见前述董事介绍。 李德华，公司副总经理，简介见前述董事介绍。 蒋辉，董事会秘书，简介见前述董事介绍。</w:t>
      </w:r>
    </w:p>
    <w:p>
      <w:pPr>
        <w:pStyle w:val="BodyText"/>
        <w:spacing w:line="240" w:lineRule="auto" w:before="77"/>
        <w:ind w:left="593" w:right="0"/>
        <w:jc w:val="left"/>
        <w:rPr>
          <w:rFonts w:ascii="宋体" w:hAnsi="宋体" w:cs="宋体" w:eastAsia="宋体" w:hint="default"/>
        </w:rPr>
      </w:pPr>
      <w:r>
        <w:rPr/>
        <w:t>张森，男，</w:t>
      </w:r>
      <w:r>
        <w:rPr>
          <w:rFonts w:ascii="宋体" w:hAnsi="宋体" w:cs="宋体" w:eastAsia="宋体" w:hint="default"/>
        </w:rPr>
        <w:t>1957</w:t>
      </w:r>
      <w:r>
        <w:rPr>
          <w:rFonts w:ascii="宋体" w:hAnsi="宋体" w:cs="宋体" w:eastAsia="宋体" w:hint="default"/>
          <w:spacing w:val="-61"/>
        </w:rPr>
        <w:t> </w:t>
      </w:r>
      <w:r>
        <w:rPr/>
        <w:t>年出生，中国籍，无永久境外居留权，大专学历。</w:t>
      </w:r>
      <w:r>
        <w:rPr>
          <w:rFonts w:ascii="宋体" w:hAnsi="宋体" w:cs="宋体" w:eastAsia="宋体" w:hint="default"/>
        </w:rPr>
        <w:t>2002</w:t>
      </w:r>
      <w:r>
        <w:rPr>
          <w:rFonts w:ascii="宋体" w:hAnsi="宋体" w:cs="宋体" w:eastAsia="宋体" w:hint="default"/>
          <w:spacing w:val="-61"/>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月至</w:t>
      </w:r>
      <w:r>
        <w:rPr>
          <w:spacing w:val="-61"/>
        </w:rPr>
        <w:t> </w:t>
      </w:r>
      <w:r>
        <w:rPr>
          <w:rFonts w:ascii="宋体" w:hAnsi="宋体" w:cs="宋体" w:eastAsia="宋体" w:hint="default"/>
        </w:rPr>
        <w:t>2004</w:t>
      </w:r>
    </w:p>
    <w:p>
      <w:pPr>
        <w:pStyle w:val="BodyText"/>
        <w:spacing w:line="357" w:lineRule="auto" w:before="151"/>
        <w:ind w:right="1214"/>
        <w:jc w:val="left"/>
      </w:pPr>
      <w:r>
        <w:rPr/>
        <w:t>年</w:t>
      </w:r>
      <w:r>
        <w:rPr>
          <w:spacing w:val="-60"/>
        </w:rPr>
        <w:t> </w:t>
      </w:r>
      <w:r>
        <w:rPr>
          <w:rFonts w:ascii="宋体" w:hAnsi="宋体" w:cs="宋体" w:eastAsia="宋体" w:hint="default"/>
        </w:rPr>
        <w:t>10</w:t>
      </w:r>
      <w:r>
        <w:rPr>
          <w:rFonts w:ascii="宋体" w:hAnsi="宋体" w:cs="宋体" w:eastAsia="宋体" w:hint="default"/>
          <w:spacing w:val="-60"/>
        </w:rPr>
        <w:t> </w:t>
      </w:r>
      <w:r>
        <w:rPr/>
        <w:t>月任本公司副总经理。</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月任安徽安泰新型包装材料有限公司总 经理。</w:t>
      </w:r>
      <w:r>
        <w:rPr>
          <w:rFonts w:ascii="宋体" w:hAnsi="宋体" w:cs="宋体" w:eastAsia="宋体" w:hint="default"/>
        </w:rPr>
        <w:t>2007</w:t>
      </w:r>
      <w:r>
        <w:rPr>
          <w:rFonts w:ascii="宋体" w:hAnsi="宋体" w:cs="宋体" w:eastAsia="宋体" w:hint="default"/>
          <w:spacing w:val="-61"/>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月至今任本公司副总经理。</w:t>
      </w:r>
    </w:p>
    <w:p>
      <w:pPr>
        <w:pStyle w:val="BodyText"/>
        <w:spacing w:line="355" w:lineRule="auto" w:before="74"/>
        <w:ind w:right="1084" w:firstLine="480"/>
        <w:jc w:val="left"/>
      </w:pPr>
      <w:r>
        <w:rPr>
          <w:spacing w:val="-3"/>
        </w:rPr>
        <w:t>富培军，男，</w:t>
      </w:r>
      <w:r>
        <w:rPr>
          <w:rFonts w:ascii="宋体" w:hAnsi="宋体" w:cs="宋体" w:eastAsia="宋体" w:hint="default"/>
          <w:spacing w:val="-3"/>
        </w:rPr>
        <w:t>1968</w:t>
      </w:r>
      <w:r>
        <w:rPr>
          <w:rFonts w:ascii="宋体" w:hAnsi="宋体" w:cs="宋体" w:eastAsia="宋体" w:hint="default"/>
          <w:spacing w:val="-58"/>
        </w:rPr>
        <w:t> </w:t>
      </w:r>
      <w:r>
        <w:rPr>
          <w:spacing w:val="-3"/>
        </w:rPr>
        <w:t>年生，中国籍，无永久境外居留权，大学本科学历，会计师、注册会</w:t>
      </w:r>
      <w:r>
        <w:rPr/>
        <w:t> </w:t>
      </w:r>
      <w:r>
        <w:rPr>
          <w:spacing w:val="-9"/>
        </w:rPr>
        <w:t>计师、注册税务师。</w:t>
      </w:r>
      <w:r>
        <w:rPr>
          <w:rFonts w:ascii="宋体" w:hAnsi="宋体" w:cs="宋体" w:eastAsia="宋体" w:hint="default"/>
          <w:spacing w:val="-9"/>
        </w:rPr>
        <w:t>2006</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月至</w:t>
      </w:r>
      <w:r>
        <w:rPr>
          <w:spacing w:val="-59"/>
        </w:rPr>
        <w:t> </w:t>
      </w: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9</w:t>
      </w:r>
      <w:r>
        <w:rPr>
          <w:rFonts w:ascii="宋体" w:hAnsi="宋体" w:cs="宋体" w:eastAsia="宋体" w:hint="default"/>
          <w:spacing w:val="-59"/>
        </w:rPr>
        <w:t> </w:t>
      </w:r>
      <w:r>
        <w:rPr/>
        <w:t>月任广东新会美达锦纶股份有限公司财务总监；</w:t>
      </w:r>
    </w:p>
    <w:p>
      <w:pPr>
        <w:pStyle w:val="BodyText"/>
        <w:spacing w:line="240" w:lineRule="auto" w:before="38"/>
        <w:ind w:right="0"/>
        <w:jc w:val="left"/>
      </w:pP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1"/>
        </w:rPr>
        <w:t> </w:t>
      </w:r>
      <w:r>
        <w:rPr/>
        <w:t>月至今任本公司财务总监。</w:t>
      </w:r>
    </w:p>
    <w:p>
      <w:pPr>
        <w:spacing w:after="0" w:line="240" w:lineRule="auto"/>
        <w:jc w:val="left"/>
        <w:sectPr>
          <w:pgSz w:w="11910" w:h="16840"/>
          <w:pgMar w:header="920" w:footer="936" w:top="1140" w:bottom="1140" w:left="102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tabs>
          <w:tab w:pos="1253" w:val="left" w:leader="none"/>
        </w:tabs>
        <w:spacing w:line="240" w:lineRule="auto" w:before="26"/>
        <w:ind w:left="473" w:right="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董事、监事、高级管理人员除在股东单位外的其他单位任职或兼职情况</w:t>
      </w:r>
      <w:r>
        <w:rPr>
          <w:b w:val="0"/>
          <w:bCs w:val="0"/>
        </w:rPr>
      </w:r>
    </w:p>
    <w:p>
      <w:pPr>
        <w:spacing w:line="240" w:lineRule="auto" w:before="6"/>
        <w:rPr>
          <w:rFonts w:ascii="宋体" w:hAnsi="宋体" w:cs="宋体" w:eastAsia="宋体" w:hint="default"/>
          <w:b/>
          <w:bCs/>
          <w:sz w:val="22"/>
          <w:szCs w:val="22"/>
        </w:rPr>
      </w:pPr>
    </w:p>
    <w:tbl>
      <w:tblPr>
        <w:tblW w:w="0" w:type="auto"/>
        <w:jc w:val="left"/>
        <w:tblInd w:w="112" w:type="dxa"/>
        <w:tblLayout w:type="fixed"/>
        <w:tblCellMar>
          <w:top w:w="0" w:type="dxa"/>
          <w:left w:w="0" w:type="dxa"/>
          <w:bottom w:w="0" w:type="dxa"/>
          <w:right w:w="0" w:type="dxa"/>
        </w:tblCellMar>
        <w:tblLook w:val="01E0"/>
      </w:tblPr>
      <w:tblGrid>
        <w:gridCol w:w="840"/>
        <w:gridCol w:w="1212"/>
        <w:gridCol w:w="1887"/>
        <w:gridCol w:w="5276"/>
      </w:tblGrid>
      <w:tr>
        <w:trPr>
          <w:trHeight w:val="521" w:hRule="exact"/>
        </w:trPr>
        <w:tc>
          <w:tcPr>
            <w:tcW w:w="840" w:type="dxa"/>
            <w:vMerge w:val="restart"/>
            <w:tcBorders>
              <w:top w:val="single" w:sz="17" w:space="0" w:color="000000"/>
              <w:left w:val="single" w:sz="17"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w w:val="100"/>
                <w:sz w:val="21"/>
                <w:szCs w:val="21"/>
              </w:rPr>
              <w:t>董</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121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88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
              <w:ind w:left="5" w:right="0"/>
              <w:jc w:val="center"/>
              <w:rPr>
                <w:rFonts w:ascii="宋体" w:hAnsi="宋体" w:cs="宋体" w:eastAsia="宋体" w:hint="default"/>
                <w:sz w:val="21"/>
                <w:szCs w:val="21"/>
              </w:rPr>
            </w:pPr>
            <w:r>
              <w:rPr>
                <w:rFonts w:ascii="宋体" w:hAnsi="宋体" w:cs="宋体" w:eastAsia="宋体" w:hint="default"/>
                <w:sz w:val="21"/>
                <w:szCs w:val="21"/>
              </w:rPr>
              <w:t>任职</w:t>
            </w:r>
          </w:p>
        </w:tc>
        <w:tc>
          <w:tcPr>
            <w:tcW w:w="5276" w:type="dxa"/>
            <w:tcBorders>
              <w:top w:val="single" w:sz="17" w:space="0" w:color="000000"/>
              <w:left w:val="single" w:sz="6" w:space="0" w:color="000000"/>
              <w:bottom w:val="single" w:sz="6" w:space="0" w:color="000000"/>
              <w:right w:val="single" w:sz="17" w:space="0" w:color="000000"/>
            </w:tcBorders>
          </w:tcPr>
          <w:p>
            <w:pPr>
              <w:pStyle w:val="TableParagraph"/>
              <w:spacing w:line="240" w:lineRule="auto" w:before="6"/>
              <w:ind w:left="19" w:right="0"/>
              <w:jc w:val="center"/>
              <w:rPr>
                <w:rFonts w:ascii="宋体" w:hAnsi="宋体" w:cs="宋体" w:eastAsia="宋体" w:hint="default"/>
                <w:sz w:val="21"/>
                <w:szCs w:val="21"/>
              </w:rPr>
            </w:pPr>
            <w:r>
              <w:rPr>
                <w:rFonts w:ascii="宋体" w:hAnsi="宋体" w:cs="宋体" w:eastAsia="宋体" w:hint="default"/>
                <w:sz w:val="21"/>
                <w:szCs w:val="21"/>
              </w:rPr>
              <w:t>兼职</w:t>
            </w:r>
          </w:p>
        </w:tc>
      </w:tr>
      <w:tr>
        <w:trPr>
          <w:trHeight w:val="2866"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乔鲁予</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、深圳市劲嘉房地产开发有限公司董事长；</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、贵州劲嘉房地产开发有限公司董事长；</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、深圳市华旭科技开发有限公司董事；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、深圳嘉美达印务有限公司执行董事；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、中华香港国际烟草集团有限公司董事；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、贵州劲嘉新型包装材料有限公司董事长；</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、安徽安泰新型包装材料有限公司董事；</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、东方英莎特有限公司董事；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、重庆宏声印务有限责任公司董事长。</w:t>
            </w:r>
          </w:p>
        </w:tc>
      </w:tr>
      <w:tr>
        <w:trPr>
          <w:trHeight w:val="953"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张明义</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4"/>
              <w:ind w:left="307" w:right="300" w:firstLine="315"/>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常务副总经理</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、中丰田光电科技（珠海）有限公司董事长。</w:t>
            </w:r>
          </w:p>
        </w:tc>
      </w:tr>
      <w:tr>
        <w:trPr>
          <w:trHeight w:val="679"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侯旭东</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、安徽安泰新型包装材料有限公司董事长；</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、重庆宏声印务有限责任公司董事。</w:t>
            </w:r>
          </w:p>
        </w:tc>
      </w:tr>
      <w:tr>
        <w:trPr>
          <w:trHeight w:val="991"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李德华</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60"/>
                <w:sz w:val="21"/>
                <w:szCs w:val="21"/>
              </w:rPr>
              <w:t> </w:t>
            </w:r>
            <w:r>
              <w:rPr>
                <w:rFonts w:ascii="宋体" w:hAnsi="宋体" w:cs="宋体" w:eastAsia="宋体" w:hint="default"/>
                <w:sz w:val="21"/>
                <w:szCs w:val="21"/>
              </w:rPr>
              <w:t>昆明彩印有限责任公司董事；</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江西丰彩丽印刷包装有限公司董事长；</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重庆宏声印务有限责任公司董事。</w:t>
            </w:r>
          </w:p>
        </w:tc>
      </w:tr>
      <w:tr>
        <w:trPr>
          <w:trHeight w:val="953"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蒋</w:t>
            </w:r>
            <w:r>
              <w:rPr>
                <w:rFonts w:ascii="宋体" w:hAnsi="宋体" w:cs="宋体" w:eastAsia="宋体" w:hint="default"/>
                <w:spacing w:val="2"/>
                <w:sz w:val="21"/>
                <w:szCs w:val="21"/>
              </w:rPr>
              <w:t> </w:t>
            </w:r>
            <w:r>
              <w:rPr>
                <w:rFonts w:ascii="宋体" w:hAnsi="宋体" w:cs="宋体" w:eastAsia="宋体" w:hint="default"/>
                <w:sz w:val="21"/>
                <w:szCs w:val="21"/>
              </w:rPr>
              <w:t>辉</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4"/>
              <w:ind w:left="412" w:right="404" w:firstLine="209"/>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董事会秘书</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04"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杨启瑞</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、中华香港国际烟草集团有限公司财务负责人。</w:t>
            </w:r>
          </w:p>
        </w:tc>
      </w:tr>
      <w:tr>
        <w:trPr>
          <w:trHeight w:val="1303"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李鹏志</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tabs>
                <w:tab w:pos="1094" w:val="left" w:leader="none"/>
              </w:tabs>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z w:val="21"/>
                <w:szCs w:val="21"/>
              </w:rPr>
              <w:t>WELL</w:t>
              <w:tab/>
              <w:t>CHANNEL(HK) CO.,</w:t>
            </w:r>
            <w:r>
              <w:rPr>
                <w:rFonts w:ascii="宋体" w:hAnsi="宋体" w:cs="宋体" w:eastAsia="宋体" w:hint="default"/>
                <w:spacing w:val="-3"/>
                <w:sz w:val="21"/>
                <w:szCs w:val="21"/>
              </w:rPr>
              <w:t> </w:t>
            </w:r>
            <w:r>
              <w:rPr>
                <w:rFonts w:ascii="宋体" w:hAnsi="宋体" w:cs="宋体" w:eastAsia="宋体" w:hint="default"/>
                <w:sz w:val="21"/>
                <w:szCs w:val="21"/>
              </w:rPr>
              <w:t>LTD</w:t>
            </w:r>
            <w:r>
              <w:rPr>
                <w:rFonts w:ascii="宋体" w:hAnsi="宋体" w:cs="宋体" w:eastAsia="宋体" w:hint="default"/>
                <w:sz w:val="21"/>
                <w:szCs w:val="21"/>
              </w:rPr>
              <w:t>董事；</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 芬兰</w:t>
            </w:r>
            <w:r>
              <w:rPr>
                <w:rFonts w:ascii="宋体" w:hAnsi="宋体" w:cs="宋体" w:eastAsia="宋体" w:hint="default"/>
                <w:sz w:val="21"/>
                <w:szCs w:val="21"/>
              </w:rPr>
              <w:t>NALTI</w:t>
            </w:r>
            <w:r>
              <w:rPr>
                <w:rFonts w:ascii="宋体" w:hAnsi="宋体" w:cs="宋体" w:eastAsia="宋体" w:hint="default"/>
                <w:spacing w:val="-59"/>
                <w:sz w:val="21"/>
                <w:szCs w:val="21"/>
              </w:rPr>
              <w:t> </w:t>
            </w:r>
            <w:r>
              <w:rPr>
                <w:rFonts w:ascii="宋体" w:hAnsi="宋体" w:cs="宋体" w:eastAsia="宋体" w:hint="default"/>
                <w:sz w:val="21"/>
                <w:szCs w:val="21"/>
              </w:rPr>
              <w:t>OY</w:t>
            </w:r>
            <w:r>
              <w:rPr>
                <w:rFonts w:ascii="宋体" w:hAnsi="宋体" w:cs="宋体" w:eastAsia="宋体" w:hint="default"/>
                <w:sz w:val="21"/>
                <w:szCs w:val="21"/>
              </w:rPr>
              <w:t>公司董事；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深圳市税务学会常务理事；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深圳市沙井商会常务理事。</w:t>
            </w:r>
          </w:p>
        </w:tc>
      </w:tr>
      <w:tr>
        <w:trPr>
          <w:trHeight w:val="991"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tabs>
                <w:tab w:pos="429" w:val="left" w:leader="none"/>
              </w:tabs>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龙</w:t>
              <w:tab/>
              <w:t>隆</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6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广东世荣兆业股份有限公司董事；</w:t>
            </w:r>
          </w:p>
          <w:p>
            <w:pPr>
              <w:pStyle w:val="TableParagraph"/>
              <w:spacing w:line="240" w:lineRule="auto" w:before="39"/>
              <w:ind w:left="6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贵州华能焦化股份有限公司独立董事；</w:t>
            </w:r>
          </w:p>
          <w:p>
            <w:pPr>
              <w:pStyle w:val="TableParagraph"/>
              <w:spacing w:line="240" w:lineRule="auto" w:before="37"/>
              <w:ind w:left="6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60"/>
                <w:sz w:val="21"/>
                <w:szCs w:val="21"/>
              </w:rPr>
              <w:t> </w:t>
            </w:r>
            <w:r>
              <w:rPr>
                <w:rFonts w:ascii="宋体" w:hAnsi="宋体" w:cs="宋体" w:eastAsia="宋体" w:hint="default"/>
                <w:sz w:val="21"/>
                <w:szCs w:val="21"/>
              </w:rPr>
              <w:t>中国南玻集团股份有限公司监事会主席。</w:t>
            </w:r>
          </w:p>
        </w:tc>
      </w:tr>
      <w:tr>
        <w:trPr>
          <w:trHeight w:val="505"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7" w:right="0"/>
              <w:jc w:val="center"/>
              <w:rPr>
                <w:rFonts w:ascii="宋体" w:hAnsi="宋体" w:cs="宋体" w:eastAsia="宋体" w:hint="default"/>
                <w:sz w:val="21"/>
                <w:szCs w:val="21"/>
              </w:rPr>
            </w:pPr>
            <w:r>
              <w:rPr>
                <w:rFonts w:ascii="宋体" w:hAnsi="宋体" w:cs="宋体" w:eastAsia="宋体" w:hint="default"/>
                <w:sz w:val="21"/>
                <w:szCs w:val="21"/>
              </w:rPr>
              <w:t>李新中</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、天年生物控股有限公司独立非执行董事。</w:t>
            </w:r>
          </w:p>
        </w:tc>
      </w:tr>
      <w:tr>
        <w:trPr>
          <w:trHeight w:val="912"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王忠年</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深圳注册会计师协会理事；</w:t>
            </w:r>
          </w:p>
          <w:p>
            <w:pPr>
              <w:pStyle w:val="TableParagraph"/>
              <w:spacing w:line="272" w:lineRule="exact" w:before="65"/>
              <w:ind w:left="463" w:right="77" w:hanging="36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45"/>
                <w:sz w:val="21"/>
                <w:szCs w:val="21"/>
              </w:rPr>
              <w:t> </w:t>
            </w:r>
            <w:r>
              <w:rPr>
                <w:rFonts w:ascii="宋体" w:hAnsi="宋体" w:cs="宋体" w:eastAsia="宋体" w:hint="default"/>
                <w:spacing w:val="2"/>
                <w:sz w:val="21"/>
                <w:szCs w:val="21"/>
              </w:rPr>
              <w:t>深圳市人民政府文化产业发展办公室专家评审会成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员。</w:t>
            </w:r>
          </w:p>
        </w:tc>
      </w:tr>
      <w:tr>
        <w:trPr>
          <w:trHeight w:val="679" w:hRule="exact"/>
        </w:trPr>
        <w:tc>
          <w:tcPr>
            <w:tcW w:w="840" w:type="dxa"/>
            <w:vMerge/>
            <w:tcBorders>
              <w:left w:val="single" w:sz="17"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职慧</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、中华全国律师协会会员；</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、深圳市人大常委会常委法律助理。</w:t>
            </w:r>
          </w:p>
        </w:tc>
      </w:tr>
      <w:tr>
        <w:trPr>
          <w:trHeight w:val="682" w:hRule="exact"/>
        </w:trPr>
        <w:tc>
          <w:tcPr>
            <w:tcW w:w="840" w:type="dxa"/>
            <w:vMerge w:val="restart"/>
            <w:tcBorders>
              <w:top w:val="single" w:sz="6" w:space="0" w:color="000000"/>
              <w:left w:val="single" w:sz="17"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8"/>
                <w:szCs w:val="28"/>
              </w:rPr>
            </w:pPr>
          </w:p>
          <w:p>
            <w:pPr>
              <w:pStyle w:val="TableParagraph"/>
              <w:spacing w:line="184" w:lineRule="auto"/>
              <w:ind w:left="428" w:right="169"/>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w w:val="100"/>
                <w:sz w:val="21"/>
                <w:szCs w:val="21"/>
              </w:rPr>
              <w:t> </w:t>
            </w:r>
            <w:r>
              <w:rPr>
                <w:rFonts w:ascii="宋体" w:hAnsi="宋体" w:cs="宋体" w:eastAsia="宋体" w:hint="default"/>
                <w:sz w:val="21"/>
                <w:szCs w:val="21"/>
              </w:rPr>
              <w:t>事</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李青山</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6"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60"/>
                <w:sz w:val="21"/>
                <w:szCs w:val="21"/>
              </w:rPr>
              <w:t> </w:t>
            </w:r>
            <w:r>
              <w:rPr>
                <w:rFonts w:ascii="宋体" w:hAnsi="宋体" w:cs="宋体" w:eastAsia="宋体" w:hint="default"/>
                <w:sz w:val="21"/>
                <w:szCs w:val="21"/>
              </w:rPr>
              <w:t>昆明彩印有限责任公司董事；</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60"/>
                <w:sz w:val="21"/>
                <w:szCs w:val="21"/>
              </w:rPr>
              <w:t> </w:t>
            </w:r>
            <w:r>
              <w:rPr>
                <w:rFonts w:ascii="宋体" w:hAnsi="宋体" w:cs="宋体" w:eastAsia="宋体" w:hint="default"/>
                <w:sz w:val="21"/>
                <w:szCs w:val="21"/>
              </w:rPr>
              <w:t>深圳市万商物业管理有限公司执行董事。</w:t>
            </w:r>
          </w:p>
        </w:tc>
      </w:tr>
      <w:tr>
        <w:trPr>
          <w:trHeight w:val="518" w:hRule="exact"/>
        </w:trPr>
        <w:tc>
          <w:tcPr>
            <w:tcW w:w="840" w:type="dxa"/>
            <w:vMerge/>
            <w:tcBorders>
              <w:left w:val="single" w:sz="17" w:space="0" w:color="000000"/>
              <w:bottom w:val="single" w:sz="17" w:space="0" w:color="000000"/>
              <w:right w:val="single" w:sz="6" w:space="0" w:color="000000"/>
            </w:tcBorders>
          </w:tcPr>
          <w:p>
            <w:pPr/>
          </w:p>
        </w:tc>
        <w:tc>
          <w:tcPr>
            <w:tcW w:w="1212" w:type="dxa"/>
            <w:tcBorders>
              <w:top w:val="single" w:sz="6" w:space="0" w:color="000000"/>
              <w:left w:val="single" w:sz="6" w:space="0" w:color="000000"/>
              <w:bottom w:val="single" w:sz="17" w:space="0" w:color="000000"/>
              <w:right w:val="single" w:sz="6" w:space="0" w:color="000000"/>
            </w:tcBorders>
          </w:tcPr>
          <w:p>
            <w:pPr>
              <w:pStyle w:val="TableParagraph"/>
              <w:tabs>
                <w:tab w:pos="429" w:val="left" w:leader="none"/>
              </w:tabs>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谭</w:t>
              <w:tab/>
              <w:t>毅</w:t>
            </w:r>
          </w:p>
        </w:tc>
        <w:tc>
          <w:tcPr>
            <w:tcW w:w="1887"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276"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1910" w:h="16840"/>
          <w:pgMar w:header="920" w:footer="936" w:top="1140" w:bottom="1140" w:left="1140" w:right="0"/>
        </w:sectPr>
      </w:pPr>
    </w:p>
    <w:p>
      <w:pPr>
        <w:spacing w:line="240" w:lineRule="auto" w:before="7"/>
        <w:rPr>
          <w:rFonts w:ascii="宋体" w:hAnsi="宋体" w:cs="宋体" w:eastAsia="宋体" w:hint="default"/>
          <w:b/>
          <w:bCs/>
          <w:sz w:val="4"/>
          <w:szCs w:val="4"/>
        </w:rPr>
      </w:pPr>
    </w:p>
    <w:tbl>
      <w:tblPr>
        <w:tblW w:w="0" w:type="auto"/>
        <w:jc w:val="left"/>
        <w:tblInd w:w="232" w:type="dxa"/>
        <w:tblLayout w:type="fixed"/>
        <w:tblCellMar>
          <w:top w:w="0" w:type="dxa"/>
          <w:left w:w="0" w:type="dxa"/>
          <w:bottom w:w="0" w:type="dxa"/>
          <w:right w:w="0" w:type="dxa"/>
        </w:tblCellMar>
        <w:tblLook w:val="01E0"/>
      </w:tblPr>
      <w:tblGrid>
        <w:gridCol w:w="840"/>
        <w:gridCol w:w="1212"/>
        <w:gridCol w:w="1887"/>
        <w:gridCol w:w="5276"/>
      </w:tblGrid>
      <w:tr>
        <w:trPr>
          <w:trHeight w:val="521" w:hRule="exact"/>
        </w:trPr>
        <w:tc>
          <w:tcPr>
            <w:tcW w:w="840" w:type="dxa"/>
            <w:tcBorders>
              <w:top w:val="single" w:sz="17" w:space="0" w:color="000000"/>
              <w:left w:val="single" w:sz="17" w:space="0" w:color="000000"/>
              <w:bottom w:val="single" w:sz="6" w:space="0" w:color="000000"/>
              <w:right w:val="single" w:sz="6" w:space="0" w:color="000000"/>
            </w:tcBorders>
          </w:tcPr>
          <w:p>
            <w:pPr/>
          </w:p>
        </w:tc>
        <w:tc>
          <w:tcPr>
            <w:tcW w:w="121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万春秀</w:t>
            </w:r>
          </w:p>
        </w:tc>
        <w:tc>
          <w:tcPr>
            <w:tcW w:w="188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5276" w:type="dxa"/>
            <w:tcBorders>
              <w:top w:val="single" w:sz="17" w:space="0" w:color="000000"/>
              <w:left w:val="single" w:sz="6" w:space="0" w:color="000000"/>
              <w:bottom w:val="single" w:sz="6" w:space="0" w:color="000000"/>
              <w:right w:val="single" w:sz="17"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02" w:hRule="exact"/>
        </w:trPr>
        <w:tc>
          <w:tcPr>
            <w:tcW w:w="840" w:type="dxa"/>
            <w:vMerge w:val="restart"/>
            <w:tcBorders>
              <w:top w:val="single" w:sz="6" w:space="0" w:color="000000"/>
              <w:left w:val="single" w:sz="17"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7"/>
                <w:szCs w:val="27"/>
              </w:rPr>
            </w:pPr>
          </w:p>
          <w:p>
            <w:pPr>
              <w:pStyle w:val="TableParagraph"/>
              <w:spacing w:line="184" w:lineRule="auto"/>
              <w:ind w:left="428" w:right="169"/>
              <w:jc w:val="both"/>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w w:val="100"/>
                <w:sz w:val="21"/>
                <w:szCs w:val="21"/>
              </w:rPr>
              <w:t> </w:t>
            </w:r>
            <w:r>
              <w:rPr>
                <w:rFonts w:ascii="宋体" w:hAnsi="宋体" w:cs="宋体" w:eastAsia="宋体" w:hint="default"/>
                <w:sz w:val="21"/>
                <w:szCs w:val="21"/>
              </w:rPr>
              <w:t>级</w:t>
            </w:r>
            <w:r>
              <w:rPr>
                <w:rFonts w:ascii="宋体" w:hAnsi="宋体" w:cs="宋体" w:eastAsia="宋体" w:hint="default"/>
                <w:w w:val="100"/>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员</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侯旭东</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见前述董事介绍</w:t>
            </w:r>
          </w:p>
        </w:tc>
      </w:tr>
      <w:tr>
        <w:trPr>
          <w:trHeight w:val="504"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张明义</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常务副总经理</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见前述董事介绍</w:t>
            </w:r>
          </w:p>
        </w:tc>
      </w:tr>
      <w:tr>
        <w:trPr>
          <w:trHeight w:val="504"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李德华</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见前述董事介绍</w:t>
            </w:r>
          </w:p>
        </w:tc>
      </w:tr>
      <w:tr>
        <w:trPr>
          <w:trHeight w:val="1618"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张</w:t>
            </w:r>
            <w:r>
              <w:rPr>
                <w:rFonts w:ascii="宋体" w:hAnsi="宋体" w:cs="宋体" w:eastAsia="宋体" w:hint="default"/>
                <w:spacing w:val="2"/>
                <w:sz w:val="21"/>
                <w:szCs w:val="21"/>
              </w:rPr>
              <w:t> </w:t>
            </w:r>
            <w:r>
              <w:rPr>
                <w:rFonts w:ascii="宋体" w:hAnsi="宋体" w:cs="宋体" w:eastAsia="宋体" w:hint="default"/>
                <w:sz w:val="21"/>
                <w:szCs w:val="21"/>
              </w:rPr>
              <w:t>森</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、安徽安泰新型包装材料有限公司董事；</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、安徽万捷防伪科技有限公司董事；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、江苏劲嘉新型包装材料有限公司董事长；</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、淮安华丰彩印有限公司董事长；</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、淮安新劲嘉新型包装材料有限公司董事长。</w:t>
            </w:r>
          </w:p>
        </w:tc>
      </w:tr>
      <w:tr>
        <w:trPr>
          <w:trHeight w:val="2554" w:hRule="exact"/>
        </w:trPr>
        <w:tc>
          <w:tcPr>
            <w:tcW w:w="840" w:type="dxa"/>
            <w:vMerge/>
            <w:tcBorders>
              <w:left w:val="single" w:sz="17"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富培军</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财务负责人</w:t>
            </w:r>
          </w:p>
        </w:tc>
        <w:tc>
          <w:tcPr>
            <w:tcW w:w="52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、江苏劲嘉新型包装材料有限公司董事；</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、淮安华丰彩印有限公司董事；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、淮安新劲嘉新型包装材料有限公司董事；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、安徽安泰新型包装材料有限公司董事；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、深圳市劲嘉科技有限公司执行董事；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、深圳市劲嘉物业管理有限公司执行董事；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、重庆宏声印务有限责任公司监事；</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、昆明彩印有限责任公司董事。</w:t>
            </w:r>
          </w:p>
        </w:tc>
      </w:tr>
      <w:tr>
        <w:trPr>
          <w:trHeight w:val="518" w:hRule="exact"/>
        </w:trPr>
        <w:tc>
          <w:tcPr>
            <w:tcW w:w="840" w:type="dxa"/>
            <w:vMerge/>
            <w:tcBorders>
              <w:left w:val="single" w:sz="17" w:space="0" w:color="000000"/>
              <w:bottom w:val="single" w:sz="17" w:space="0" w:color="000000"/>
              <w:right w:val="single" w:sz="6" w:space="0" w:color="000000"/>
            </w:tcBorders>
          </w:tcPr>
          <w:p>
            <w:pPr/>
          </w:p>
        </w:tc>
        <w:tc>
          <w:tcPr>
            <w:tcW w:w="121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蒋</w:t>
            </w:r>
            <w:r>
              <w:rPr>
                <w:rFonts w:ascii="宋体" w:hAnsi="宋体" w:cs="宋体" w:eastAsia="宋体" w:hint="default"/>
                <w:spacing w:val="2"/>
                <w:sz w:val="21"/>
                <w:szCs w:val="21"/>
              </w:rPr>
              <w:t> </w:t>
            </w:r>
            <w:r>
              <w:rPr>
                <w:rFonts w:ascii="宋体" w:hAnsi="宋体" w:cs="宋体" w:eastAsia="宋体" w:hint="default"/>
                <w:sz w:val="21"/>
                <w:szCs w:val="21"/>
              </w:rPr>
              <w:t>辉</w:t>
            </w:r>
          </w:p>
        </w:tc>
        <w:tc>
          <w:tcPr>
            <w:tcW w:w="1887"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5276"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见前述董事介绍</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pStyle w:val="Heading3"/>
        <w:tabs>
          <w:tab w:pos="1373" w:val="left" w:leader="none"/>
        </w:tabs>
        <w:spacing w:line="240" w:lineRule="auto" w:before="26"/>
        <w:ind w:left="593" w:right="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tab/>
      </w:r>
      <w:r>
        <w:rPr/>
        <w:t>公司董事、监事、高级管理人员变动情况</w:t>
      </w:r>
      <w:r>
        <w:rPr>
          <w:b w:val="0"/>
          <w:bCs w:val="0"/>
        </w:rPr>
      </w:r>
    </w:p>
    <w:p>
      <w:pPr>
        <w:spacing w:line="240" w:lineRule="auto" w:before="5"/>
        <w:rPr>
          <w:rFonts w:ascii="宋体" w:hAnsi="宋体" w:cs="宋体" w:eastAsia="宋体" w:hint="default"/>
          <w:b/>
          <w:bCs/>
          <w:sz w:val="19"/>
          <w:szCs w:val="19"/>
        </w:rPr>
      </w:pPr>
    </w:p>
    <w:p>
      <w:pPr>
        <w:pStyle w:val="BodyText"/>
        <w:spacing w:line="348" w:lineRule="auto"/>
        <w:ind w:right="1132"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26"/>
        </w:rPr>
        <w:t> </w:t>
      </w:r>
      <w:r>
        <w:rPr/>
        <w:t>日，公司收到第三届监事会监事曾国波的辞职报告。因个人原因，曾 国波先生提出辞去公司第三届监事会监事职务。由于曾国波先生辞职后导致公司监事会成员</w:t>
      </w:r>
      <w:r>
        <w:rPr>
          <w:spacing w:val="-88"/>
        </w:rPr>
        <w:t> </w:t>
      </w:r>
      <w:r>
        <w:rPr>
          <w:spacing w:val="-88"/>
        </w:rPr>
      </w:r>
      <w:r>
        <w:rPr>
          <w:spacing w:val="-9"/>
        </w:rPr>
        <w:t>低于法定人数，根据《公司法》、《公司章程》的规定，曾国波先生履行监事职责直到</w:t>
      </w:r>
      <w:r>
        <w:rPr>
          <w:spacing w:val="-52"/>
        </w:rPr>
        <w:t> </w:t>
      </w:r>
      <w:r>
        <w:rPr>
          <w:rFonts w:ascii="宋体" w:hAnsi="宋体" w:cs="宋体" w:eastAsia="宋体" w:hint="default"/>
        </w:rPr>
        <w:t>2011</w:t>
      </w:r>
      <w:r>
        <w:rPr>
          <w:rFonts w:ascii="宋体" w:hAnsi="宋体" w:cs="宋体" w:eastAsia="宋体" w:hint="default"/>
          <w:spacing w:val="-52"/>
        </w:rPr>
        <w:t> </w:t>
      </w:r>
      <w:r>
        <w:rPr/>
        <w:t>年</w:t>
      </w:r>
    </w:p>
    <w:p>
      <w:pPr>
        <w:pStyle w:val="BodyText"/>
        <w:spacing w:line="240" w:lineRule="auto" w:before="46"/>
        <w:ind w:left="0" w:right="4717"/>
        <w:jc w:val="center"/>
      </w:pP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日公司</w:t>
      </w:r>
      <w:r>
        <w:rPr>
          <w:spacing w:val="-61"/>
        </w:rPr>
        <w:t> </w:t>
      </w:r>
      <w:r>
        <w:rPr>
          <w:rFonts w:ascii="宋体" w:hAnsi="宋体" w:cs="宋体" w:eastAsia="宋体" w:hint="default"/>
        </w:rPr>
        <w:t>2010</w:t>
      </w:r>
      <w:r>
        <w:rPr>
          <w:rFonts w:ascii="宋体" w:hAnsi="宋体" w:cs="宋体" w:eastAsia="宋体" w:hint="default"/>
          <w:spacing w:val="-60"/>
        </w:rPr>
        <w:t> </w:t>
      </w:r>
      <w:r>
        <w:rPr/>
        <w:t>年年度股东大会选举新任监事为止。</w:t>
      </w:r>
    </w:p>
    <w:p>
      <w:pPr>
        <w:pStyle w:val="BodyText"/>
        <w:spacing w:line="350" w:lineRule="auto" w:before="192"/>
        <w:ind w:right="1131" w:firstLine="480"/>
        <w:jc w:val="both"/>
      </w:pPr>
      <w:r>
        <w:rPr>
          <w:rFonts w:ascii="Times New Roman" w:hAnsi="Times New Roman" w:cs="Times New Roman" w:eastAsia="Times New Roman" w:hint="default"/>
        </w:rPr>
        <w:t>2</w:t>
      </w:r>
      <w:r>
        <w:rPr/>
        <w:t>、</w:t>
      </w: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4</w:t>
      </w:r>
      <w:r>
        <w:rPr>
          <w:rFonts w:ascii="宋体" w:hAnsi="宋体" w:cs="宋体" w:eastAsia="宋体" w:hint="default"/>
          <w:spacing w:val="-65"/>
        </w:rPr>
        <w:t> </w:t>
      </w:r>
      <w:r>
        <w:rPr/>
        <w:t>月</w:t>
      </w:r>
      <w:r>
        <w:rPr>
          <w:spacing w:val="-65"/>
        </w:rPr>
        <w:t> </w:t>
      </w:r>
      <w:r>
        <w:rPr>
          <w:rFonts w:ascii="宋体" w:hAnsi="宋体" w:cs="宋体" w:eastAsia="宋体" w:hint="default"/>
        </w:rPr>
        <w:t>28</w:t>
      </w:r>
      <w:r>
        <w:rPr>
          <w:rFonts w:ascii="宋体" w:hAnsi="宋体" w:cs="宋体" w:eastAsia="宋体" w:hint="default"/>
          <w:spacing w:val="-65"/>
        </w:rPr>
        <w:t> </w:t>
      </w:r>
      <w:r>
        <w:rPr/>
        <w:t>日，公司收到第三届董事会副董事长庄德智的辞职报告。辞职时间自 辞职报告送达董事会之日起生效。庄德智先生因个人原因提出辞去公司第三届董事会副董事</w:t>
      </w:r>
      <w:r>
        <w:rPr>
          <w:spacing w:val="-91"/>
        </w:rPr>
        <w:t> </w:t>
      </w:r>
      <w:r>
        <w:rPr>
          <w:spacing w:val="-91"/>
        </w:rPr>
      </w:r>
      <w:r>
        <w:rPr/>
        <w:t>长、董事职务及下属子公司所有相关职务。辞职后，庄德智先生不再担任公司及下属子公司</w:t>
      </w:r>
      <w:r>
        <w:rPr>
          <w:spacing w:val="-91"/>
        </w:rPr>
        <w:t> </w:t>
      </w:r>
      <w:r>
        <w:rPr>
          <w:spacing w:val="-91"/>
        </w:rPr>
      </w:r>
      <w:r>
        <w:rPr/>
        <w:t>的任何职务。</w:t>
      </w:r>
    </w:p>
    <w:p>
      <w:pPr>
        <w:pStyle w:val="BodyText"/>
        <w:spacing w:line="338" w:lineRule="auto" w:before="82"/>
        <w:ind w:right="1131" w:firstLine="480"/>
        <w:jc w:val="both"/>
      </w:pPr>
      <w:r>
        <w:rPr>
          <w:rFonts w:ascii="Times New Roman" w:hAnsi="Times New Roman" w:cs="Times New Roman" w:eastAsia="Times New Roman" w:hint="default"/>
        </w:rPr>
        <w:t>3</w:t>
      </w:r>
      <w:r>
        <w:rPr/>
        <w:t>、经</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t>日召开的公司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年年度股东大会审议通过，选举李鹏志先生为 公司第三届董事会董事、谭毅先生为公司第三届监事会监事。</w:t>
      </w:r>
    </w:p>
    <w:p>
      <w:pPr>
        <w:spacing w:line="240" w:lineRule="auto" w:before="0"/>
        <w:rPr>
          <w:rFonts w:ascii="宋体" w:hAnsi="宋体" w:cs="宋体" w:eastAsia="宋体" w:hint="default"/>
          <w:sz w:val="24"/>
          <w:szCs w:val="24"/>
        </w:rPr>
      </w:pPr>
    </w:p>
    <w:p>
      <w:pPr>
        <w:tabs>
          <w:tab w:pos="1373" w:val="left" w:leader="none"/>
        </w:tabs>
        <w:spacing w:line="570" w:lineRule="atLeast" w:before="195"/>
        <w:ind w:left="593" w:right="113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六</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报告期内，董事、监事和高级管理人员从公司获得报酬的情况</w:t>
      </w:r>
      <w:r>
        <w:rPr>
          <w:rFonts w:ascii="宋体" w:hAnsi="宋体" w:cs="宋体" w:eastAsia="宋体" w:hint="default"/>
          <w:b/>
          <w:bCs/>
          <w:w w:val="99"/>
          <w:sz w:val="24"/>
          <w:szCs w:val="24"/>
        </w:rPr>
        <w:t> </w:t>
      </w:r>
      <w:r>
        <w:rPr>
          <w:rFonts w:ascii="宋体" w:hAnsi="宋体" w:cs="宋体" w:eastAsia="宋体" w:hint="default"/>
          <w:sz w:val="24"/>
          <w:szCs w:val="24"/>
        </w:rPr>
        <w:t>公司按照《公司章程》的规定确定董事、监事和高级管理人员的报酬。公司独立董事实</w:t>
      </w:r>
    </w:p>
    <w:p>
      <w:pPr>
        <w:spacing w:after="0" w:line="570" w:lineRule="atLeast"/>
        <w:jc w:val="left"/>
        <w:rPr>
          <w:rFonts w:ascii="宋体" w:hAnsi="宋体" w:cs="宋体" w:eastAsia="宋体" w:hint="default"/>
          <w:sz w:val="24"/>
          <w:szCs w:val="24"/>
        </w:rPr>
        <w:sectPr>
          <w:pgSz w:w="11910" w:h="16840"/>
          <w:pgMar w:header="920" w:footer="936" w:top="1140" w:bottom="1140" w:left="1020" w:right="0"/>
        </w:sectPr>
      </w:pPr>
    </w:p>
    <w:p>
      <w:pPr>
        <w:pStyle w:val="BodyText"/>
        <w:spacing w:line="357" w:lineRule="auto" w:before="19"/>
        <w:ind w:left="232" w:right="1133"/>
        <w:jc w:val="both"/>
      </w:pPr>
      <w:r>
        <w:rPr/>
        <w:t>行津贴制，报酬和支付方法由股东大会确定，其他董事、监事无津贴；公司高级管理人员实</w:t>
      </w:r>
      <w:r>
        <w:rPr>
          <w:spacing w:val="-86"/>
        </w:rPr>
        <w:t> </w:t>
      </w:r>
      <w:r>
        <w:rPr>
          <w:spacing w:val="-86"/>
        </w:rPr>
      </w:r>
      <w:r>
        <w:rPr/>
        <w:t>行年薪制，按照绩效考核情况确定基本年薪和绩效薪酬，总报酬和支付方式由董事会确定。</w:t>
      </w:r>
      <w:r>
        <w:rPr>
          <w:spacing w:val="-87"/>
        </w:rPr>
        <w:t> </w:t>
      </w:r>
      <w:r>
        <w:rPr>
          <w:spacing w:val="-87"/>
        </w:rPr>
      </w:r>
      <w:r>
        <w:rPr/>
        <w:t>公司以行业薪酬水平、经济发展状况、居民生活标准、公司经营业绩、岗位职责要求等为依</w:t>
      </w:r>
      <w:r>
        <w:rPr>
          <w:spacing w:val="-91"/>
        </w:rPr>
        <w:t> </w:t>
      </w:r>
      <w:r>
        <w:rPr>
          <w:spacing w:val="-91"/>
        </w:rPr>
      </w:r>
      <w:r>
        <w:rPr/>
        <w:t>据，在充分协商的前提下确定董事、监事和高级管理人员的年度薪酬，公司董事会将逐步完</w:t>
      </w:r>
      <w:r>
        <w:rPr>
          <w:spacing w:val="-86"/>
        </w:rPr>
        <w:t> </w:t>
      </w:r>
      <w:r>
        <w:rPr>
          <w:spacing w:val="-86"/>
        </w:rPr>
      </w:r>
      <w:r>
        <w:rPr/>
        <w:t>善高级管理人员的薪酬考核体系和激励约束机制。</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5"/>
          <w:szCs w:val="35"/>
        </w:rPr>
      </w:pPr>
    </w:p>
    <w:p>
      <w:pPr>
        <w:pStyle w:val="Heading2"/>
        <w:spacing w:line="240" w:lineRule="auto"/>
        <w:ind w:left="232" w:right="0"/>
        <w:jc w:val="both"/>
        <w:rPr>
          <w:b w:val="0"/>
          <w:bCs w:val="0"/>
        </w:rPr>
      </w:pPr>
      <w:r>
        <w:rPr/>
        <w:t>二、</w:t>
      </w:r>
      <w:r>
        <w:rPr>
          <w:spacing w:val="137"/>
        </w:rPr>
        <w:t> </w:t>
      </w:r>
      <w:r>
        <w:rPr/>
        <w:t>员工情况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713" w:right="1133"/>
        <w:jc w:val="left"/>
      </w:pPr>
      <w:r>
        <w:rPr/>
        <w:t>截至报告期末，公司现有员工</w:t>
      </w:r>
      <w:r>
        <w:rPr>
          <w:spacing w:val="-60"/>
        </w:rPr>
        <w:t> </w:t>
      </w:r>
      <w:r>
        <w:rPr>
          <w:rFonts w:ascii="Times New Roman" w:hAnsi="Times New Roman" w:cs="Times New Roman" w:eastAsia="Times New Roman" w:hint="default"/>
        </w:rPr>
        <w:t>2703 </w:t>
      </w:r>
      <w:r>
        <w:rPr/>
        <w:t>人，其专业构成、教育程度如下：</w:t>
      </w:r>
    </w:p>
    <w:p>
      <w:pPr>
        <w:spacing w:line="240" w:lineRule="auto" w:before="6"/>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1964"/>
        <w:gridCol w:w="1964"/>
        <w:gridCol w:w="1712"/>
        <w:gridCol w:w="2885"/>
      </w:tblGrid>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9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b/>
                <w:bCs/>
                <w:sz w:val="24"/>
                <w:szCs w:val="24"/>
              </w:rPr>
              <w:t>分类</w:t>
            </w:r>
            <w:r>
              <w:rPr>
                <w:rFonts w:ascii="宋体" w:hAnsi="宋体" w:cs="宋体" w:eastAsia="宋体" w:hint="default"/>
                <w:sz w:val="24"/>
                <w:szCs w:val="24"/>
              </w:rPr>
            </w:r>
          </w:p>
        </w:tc>
        <w:tc>
          <w:tcPr>
            <w:tcW w:w="17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b/>
                <w:bCs/>
                <w:sz w:val="24"/>
                <w:szCs w:val="24"/>
              </w:rPr>
              <w:t>人数（人）</w:t>
            </w:r>
            <w:r>
              <w:rPr>
                <w:rFonts w:ascii="宋体" w:hAnsi="宋体" w:cs="宋体" w:eastAsia="宋体" w:hint="default"/>
                <w:sz w:val="24"/>
                <w:szCs w:val="24"/>
              </w:rPr>
            </w:r>
          </w:p>
        </w:tc>
        <w:tc>
          <w:tcPr>
            <w:tcW w:w="28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b/>
                <w:bCs/>
                <w:sz w:val="24"/>
                <w:szCs w:val="24"/>
              </w:rPr>
              <w:t>占公司总人数百分比</w:t>
            </w:r>
            <w:r>
              <w:rPr>
                <w:rFonts w:ascii="宋体" w:hAnsi="宋体" w:cs="宋体" w:eastAsia="宋体" w:hint="default"/>
                <w:sz w:val="24"/>
                <w:szCs w:val="24"/>
              </w:rPr>
            </w:r>
          </w:p>
        </w:tc>
      </w:tr>
      <w:tr>
        <w:trPr>
          <w:trHeight w:val="401" w:hRule="exact"/>
        </w:trPr>
        <w:tc>
          <w:tcPr>
            <w:tcW w:w="19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497" w:right="0"/>
              <w:jc w:val="left"/>
              <w:rPr>
                <w:rFonts w:ascii="宋体" w:hAnsi="宋体" w:cs="宋体" w:eastAsia="宋体" w:hint="default"/>
                <w:sz w:val="24"/>
                <w:szCs w:val="24"/>
              </w:rPr>
            </w:pPr>
            <w:r>
              <w:rPr>
                <w:rFonts w:ascii="宋体" w:hAnsi="宋体" w:cs="宋体" w:eastAsia="宋体" w:hint="default"/>
                <w:sz w:val="24"/>
                <w:szCs w:val="24"/>
              </w:rPr>
              <w:t>专业构成</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专业技术人员</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1"/>
                <w:szCs w:val="21"/>
              </w:rPr>
            </w:pPr>
            <w:r>
              <w:rPr>
                <w:rFonts w:ascii="宋体"/>
                <w:sz w:val="21"/>
              </w:rPr>
              <w:t>274</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10.14%</w:t>
            </w:r>
          </w:p>
        </w:tc>
      </w:tr>
      <w:tr>
        <w:trPr>
          <w:trHeight w:val="401" w:hRule="exact"/>
        </w:trPr>
        <w:tc>
          <w:tcPr>
            <w:tcW w:w="1964" w:type="dxa"/>
            <w:vMerge/>
            <w:tcBorders>
              <w:left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管理人员</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1"/>
                <w:szCs w:val="21"/>
              </w:rPr>
            </w:pPr>
            <w:r>
              <w:rPr>
                <w:rFonts w:ascii="宋体"/>
                <w:sz w:val="21"/>
              </w:rPr>
              <w:t>234</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8.66%</w:t>
            </w:r>
          </w:p>
        </w:tc>
      </w:tr>
      <w:tr>
        <w:trPr>
          <w:trHeight w:val="401" w:hRule="exact"/>
        </w:trPr>
        <w:tc>
          <w:tcPr>
            <w:tcW w:w="1964" w:type="dxa"/>
            <w:vMerge/>
            <w:tcBorders>
              <w:left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1"/>
                <w:szCs w:val="21"/>
              </w:rPr>
            </w:pPr>
            <w:r>
              <w:rPr>
                <w:rFonts w:ascii="宋体"/>
                <w:sz w:val="21"/>
              </w:rPr>
              <w:t>1841</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68.11%</w:t>
            </w:r>
          </w:p>
        </w:tc>
      </w:tr>
      <w:tr>
        <w:trPr>
          <w:trHeight w:val="401" w:hRule="exact"/>
        </w:trPr>
        <w:tc>
          <w:tcPr>
            <w:tcW w:w="1964" w:type="dxa"/>
            <w:vMerge/>
            <w:tcBorders>
              <w:left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81</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3.00%</w:t>
            </w:r>
          </w:p>
        </w:tc>
      </w:tr>
      <w:tr>
        <w:trPr>
          <w:trHeight w:val="402" w:hRule="exact"/>
        </w:trPr>
        <w:tc>
          <w:tcPr>
            <w:tcW w:w="1964" w:type="dxa"/>
            <w:vMerge/>
            <w:tcBorders>
              <w:left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行政后勤</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273</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10.10%</w:t>
            </w:r>
          </w:p>
        </w:tc>
      </w:tr>
      <w:tr>
        <w:trPr>
          <w:trHeight w:val="402" w:hRule="exact"/>
        </w:trPr>
        <w:tc>
          <w:tcPr>
            <w:tcW w:w="1964" w:type="dxa"/>
            <w:vMerge/>
            <w:tcBorders>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4"/>
              <w:ind w:left="1" w:right="0"/>
              <w:jc w:val="center"/>
              <w:rPr>
                <w:rFonts w:ascii="宋体" w:hAnsi="宋体" w:cs="宋体" w:eastAsia="宋体" w:hint="default"/>
                <w:sz w:val="21"/>
                <w:szCs w:val="21"/>
              </w:rPr>
            </w:pPr>
            <w:r>
              <w:rPr>
                <w:rFonts w:ascii="宋体"/>
                <w:sz w:val="21"/>
              </w:rPr>
              <w:t>2703</w:t>
            </w:r>
          </w:p>
        </w:tc>
        <w:tc>
          <w:tcPr>
            <w:tcW w:w="28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4"/>
              <w:ind w:left="1" w:right="0"/>
              <w:jc w:val="center"/>
              <w:rPr>
                <w:rFonts w:ascii="宋体" w:hAnsi="宋体" w:cs="宋体" w:eastAsia="宋体" w:hint="default"/>
                <w:sz w:val="21"/>
                <w:szCs w:val="21"/>
              </w:rPr>
            </w:pPr>
            <w:r>
              <w:rPr>
                <w:rFonts w:ascii="宋体"/>
                <w:sz w:val="21"/>
              </w:rPr>
              <w:t>100.00%</w:t>
            </w:r>
          </w:p>
        </w:tc>
      </w:tr>
      <w:tr>
        <w:trPr>
          <w:trHeight w:val="401" w:hRule="exact"/>
        </w:trPr>
        <w:tc>
          <w:tcPr>
            <w:tcW w:w="19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4"/>
              <w:ind w:left="497" w:right="0"/>
              <w:jc w:val="left"/>
              <w:rPr>
                <w:rFonts w:ascii="宋体" w:hAnsi="宋体" w:cs="宋体" w:eastAsia="宋体" w:hint="default"/>
                <w:sz w:val="24"/>
                <w:szCs w:val="24"/>
              </w:rPr>
            </w:pPr>
            <w:r>
              <w:rPr>
                <w:rFonts w:ascii="宋体" w:hAnsi="宋体" w:cs="宋体" w:eastAsia="宋体" w:hint="default"/>
                <w:sz w:val="24"/>
                <w:szCs w:val="24"/>
              </w:rPr>
              <w:t>教育程度</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硕士以上</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16</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0.59%</w:t>
            </w:r>
          </w:p>
        </w:tc>
      </w:tr>
      <w:tr>
        <w:trPr>
          <w:trHeight w:val="401" w:hRule="exact"/>
        </w:trPr>
        <w:tc>
          <w:tcPr>
            <w:tcW w:w="1964" w:type="dxa"/>
            <w:vMerge/>
            <w:tcBorders>
              <w:left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sz w:val="21"/>
              </w:rPr>
              <w:t>284</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sz w:val="21"/>
              </w:rPr>
              <w:t>10.51%</w:t>
            </w:r>
          </w:p>
        </w:tc>
      </w:tr>
      <w:tr>
        <w:trPr>
          <w:trHeight w:val="401" w:hRule="exact"/>
        </w:trPr>
        <w:tc>
          <w:tcPr>
            <w:tcW w:w="1964" w:type="dxa"/>
            <w:vMerge/>
            <w:tcBorders>
              <w:left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1"/>
                <w:szCs w:val="21"/>
              </w:rPr>
            </w:pPr>
            <w:r>
              <w:rPr>
                <w:rFonts w:ascii="宋体"/>
                <w:sz w:val="21"/>
              </w:rPr>
              <w:t>383</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14.17%</w:t>
            </w:r>
          </w:p>
        </w:tc>
      </w:tr>
      <w:tr>
        <w:trPr>
          <w:trHeight w:val="402" w:hRule="exact"/>
        </w:trPr>
        <w:tc>
          <w:tcPr>
            <w:tcW w:w="1964" w:type="dxa"/>
            <w:vMerge/>
            <w:tcBorders>
              <w:left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1"/>
                <w:szCs w:val="21"/>
              </w:rPr>
            </w:pPr>
            <w:r>
              <w:rPr>
                <w:rFonts w:ascii="宋体"/>
                <w:sz w:val="21"/>
              </w:rPr>
              <w:t>2020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74.73%</w:t>
            </w:r>
          </w:p>
        </w:tc>
      </w:tr>
      <w:tr>
        <w:trPr>
          <w:trHeight w:val="402" w:hRule="exact"/>
        </w:trPr>
        <w:tc>
          <w:tcPr>
            <w:tcW w:w="1964" w:type="dxa"/>
            <w:vMerge/>
            <w:tcBorders>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4"/>
              <w:ind w:left="1" w:right="0"/>
              <w:jc w:val="center"/>
              <w:rPr>
                <w:rFonts w:ascii="宋体" w:hAnsi="宋体" w:cs="宋体" w:eastAsia="宋体" w:hint="default"/>
                <w:sz w:val="21"/>
                <w:szCs w:val="21"/>
              </w:rPr>
            </w:pPr>
            <w:r>
              <w:rPr>
                <w:rFonts w:ascii="宋体"/>
                <w:sz w:val="21"/>
              </w:rPr>
              <w:t>2703</w:t>
            </w:r>
          </w:p>
        </w:tc>
        <w:tc>
          <w:tcPr>
            <w:tcW w:w="28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4"/>
              <w:ind w:left="1" w:right="0"/>
              <w:jc w:val="center"/>
              <w:rPr>
                <w:rFonts w:ascii="宋体" w:hAnsi="宋体" w:cs="宋体" w:eastAsia="宋体" w:hint="default"/>
                <w:sz w:val="21"/>
                <w:szCs w:val="21"/>
              </w:rPr>
            </w:pPr>
            <w:r>
              <w:rPr>
                <w:rFonts w:ascii="宋体"/>
                <w:sz w:val="21"/>
              </w:rPr>
              <w:t>100.00%</w:t>
            </w:r>
          </w:p>
        </w:tc>
      </w:tr>
    </w:tbl>
    <w:p>
      <w:pPr>
        <w:spacing w:line="240" w:lineRule="auto" w:before="11"/>
        <w:rPr>
          <w:rFonts w:ascii="宋体" w:hAnsi="宋体" w:cs="宋体" w:eastAsia="宋体" w:hint="default"/>
          <w:sz w:val="7"/>
          <w:szCs w:val="7"/>
        </w:rPr>
      </w:pPr>
    </w:p>
    <w:p>
      <w:pPr>
        <w:spacing w:line="3044" w:lineRule="exact"/>
        <w:ind w:left="116" w:right="0" w:firstLine="0"/>
        <w:rPr>
          <w:rFonts w:ascii="宋体" w:hAnsi="宋体" w:cs="宋体" w:eastAsia="宋体" w:hint="default"/>
          <w:sz w:val="20"/>
          <w:szCs w:val="20"/>
        </w:rPr>
      </w:pPr>
      <w:r>
        <w:rPr>
          <w:rFonts w:ascii="宋体"/>
          <w:position w:val="-60"/>
          <w:sz w:val="20"/>
        </w:rPr>
        <w:drawing>
          <wp:inline distT="0" distB="0" distL="0" distR="0">
            <wp:extent cx="2875841" cy="1933098"/>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2875841" cy="1933098"/>
                    </a:xfrm>
                    <a:prstGeom prst="rect">
                      <a:avLst/>
                    </a:prstGeom>
                  </pic:spPr>
                </pic:pic>
              </a:graphicData>
            </a:graphic>
          </wp:inline>
        </w:drawing>
      </w:r>
      <w:r>
        <w:rPr>
          <w:rFonts w:ascii="宋体"/>
          <w:position w:val="-60"/>
          <w:sz w:val="20"/>
        </w:rPr>
      </w:r>
      <w:r>
        <w:rPr>
          <w:rFonts w:ascii="Times New Roman"/>
          <w:spacing w:val="26"/>
          <w:position w:val="-60"/>
          <w:sz w:val="20"/>
        </w:rPr>
        <w:t> </w:t>
      </w:r>
      <w:r>
        <w:rPr>
          <w:rFonts w:ascii="宋体"/>
          <w:spacing w:val="26"/>
          <w:position w:val="-60"/>
          <w:sz w:val="20"/>
        </w:rPr>
        <w:drawing>
          <wp:inline distT="0" distB="0" distL="0" distR="0">
            <wp:extent cx="2875841" cy="1933098"/>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2875841" cy="1933098"/>
                    </a:xfrm>
                    <a:prstGeom prst="rect">
                      <a:avLst/>
                    </a:prstGeom>
                  </pic:spPr>
                </pic:pic>
              </a:graphicData>
            </a:graphic>
          </wp:inline>
        </w:drawing>
      </w:r>
      <w:r>
        <w:rPr>
          <w:rFonts w:ascii="宋体"/>
          <w:spacing w:val="26"/>
          <w:position w:val="-60"/>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26"/>
        <w:ind w:left="713" w:right="1133"/>
        <w:jc w:val="left"/>
      </w:pPr>
      <w:r>
        <w:rPr/>
        <w:t>报告期内，公司没有需要承担费用的离退休职工。</w:t>
      </w:r>
    </w:p>
    <w:p>
      <w:pPr>
        <w:spacing w:after="0" w:line="240" w:lineRule="auto"/>
        <w:jc w:val="left"/>
        <w:sectPr>
          <w:pgSz w:w="11910" w:h="16840"/>
          <w:pgMar w:header="920" w:footer="936" w:top="1140" w:bottom="1140" w:left="900" w:right="0"/>
        </w:sectPr>
      </w:pPr>
    </w:p>
    <w:p>
      <w:pPr>
        <w:spacing w:line="240" w:lineRule="auto" w:before="2"/>
        <w:rPr>
          <w:rFonts w:ascii="宋体" w:hAnsi="宋体" w:cs="宋体" w:eastAsia="宋体" w:hint="default"/>
          <w:sz w:val="20"/>
          <w:szCs w:val="20"/>
        </w:rPr>
      </w:pPr>
    </w:p>
    <w:p>
      <w:pPr>
        <w:tabs>
          <w:tab w:pos="4631" w:val="left" w:leader="none"/>
        </w:tabs>
        <w:spacing w:before="0"/>
        <w:ind w:left="3345" w:right="1119" w:firstLine="0"/>
        <w:jc w:val="left"/>
        <w:rPr>
          <w:rFonts w:ascii="宋体" w:hAnsi="宋体" w:cs="宋体" w:eastAsia="宋体" w:hint="default"/>
          <w:sz w:val="32"/>
          <w:szCs w:val="32"/>
        </w:rPr>
      </w:pPr>
      <w:bookmarkStart w:name="_TOC_250006" w:id="5"/>
      <w:r>
        <w:rPr>
          <w:rFonts w:ascii="宋体" w:hAnsi="宋体" w:cs="宋体" w:eastAsia="宋体" w:hint="default"/>
          <w:b/>
          <w:bCs/>
          <w:w w:val="95"/>
          <w:sz w:val="32"/>
          <w:szCs w:val="32"/>
        </w:rPr>
        <w:t>第五节</w:t>
        <w:tab/>
      </w:r>
      <w:r>
        <w:rPr>
          <w:rFonts w:ascii="宋体" w:hAnsi="宋体" w:cs="宋体" w:eastAsia="宋体" w:hint="default"/>
          <w:b/>
          <w:bCs/>
          <w:sz w:val="32"/>
          <w:szCs w:val="32"/>
        </w:rPr>
        <w:t>公司治理结构</w:t>
      </w:r>
      <w:bookmarkEnd w:id="5"/>
      <w:r>
        <w:rPr>
          <w:rFonts w:ascii="宋体" w:hAnsi="宋体" w:cs="宋体" w:eastAsia="宋体" w:hint="default"/>
          <w:sz w:val="32"/>
          <w:szCs w:val="32"/>
        </w:rPr>
      </w:r>
    </w:p>
    <w:p>
      <w:pPr>
        <w:spacing w:line="240" w:lineRule="auto" w:before="3"/>
        <w:rPr>
          <w:rFonts w:ascii="宋体" w:hAnsi="宋体" w:cs="宋体" w:eastAsia="宋体" w:hint="default"/>
          <w:b/>
          <w:bCs/>
          <w:sz w:val="22"/>
          <w:szCs w:val="22"/>
        </w:rPr>
      </w:pPr>
    </w:p>
    <w:p>
      <w:pPr>
        <w:pStyle w:val="BodyText"/>
        <w:spacing w:line="441" w:lineRule="auto" w:before="14"/>
        <w:ind w:left="613" w:right="1119" w:hanging="481"/>
        <w:jc w:val="left"/>
      </w:pPr>
      <w:r>
        <w:rPr>
          <w:rFonts w:ascii="宋体" w:hAnsi="宋体" w:cs="宋体" w:eastAsia="宋体" w:hint="default"/>
          <w:b/>
          <w:bCs/>
        </w:rPr>
        <w:t>一、</w:t>
      </w:r>
      <w:r>
        <w:rPr>
          <w:rFonts w:ascii="宋体" w:hAnsi="宋体" w:cs="宋体" w:eastAsia="宋体" w:hint="default"/>
          <w:b/>
          <w:bCs/>
          <w:spacing w:val="-92"/>
        </w:rPr>
        <w:t> </w:t>
      </w:r>
      <w:r>
        <w:rPr>
          <w:rFonts w:ascii="宋体" w:hAnsi="宋体" w:cs="宋体" w:eastAsia="宋体" w:hint="default"/>
          <w:b/>
          <w:bCs/>
          <w:sz w:val="28"/>
          <w:szCs w:val="28"/>
        </w:rPr>
        <w:t>公司治理情况</w:t>
      </w:r>
      <w:r>
        <w:rPr>
          <w:rFonts w:ascii="宋体" w:hAnsi="宋体" w:cs="宋体" w:eastAsia="宋体" w:hint="default"/>
          <w:b/>
          <w:bCs/>
          <w:w w:val="99"/>
          <w:sz w:val="28"/>
          <w:szCs w:val="28"/>
        </w:rPr>
        <w:t> </w:t>
      </w:r>
      <w:r>
        <w:rPr>
          <w:spacing w:val="-12"/>
        </w:rPr>
        <w:t>报告期内，公司按照《公司法》、《证券法》、《上市公司治理准则》和《深圳证券交易所</w:t>
      </w:r>
    </w:p>
    <w:p>
      <w:pPr>
        <w:pStyle w:val="BodyText"/>
        <w:spacing w:line="266" w:lineRule="exact"/>
        <w:ind w:left="132" w:right="1119"/>
        <w:jc w:val="left"/>
      </w:pPr>
      <w:r>
        <w:rPr/>
        <w:t>股票上市规则》等相关法律、法规和规范性文件的的规定，不断完善公司法人治理结构，内</w:t>
      </w:r>
    </w:p>
    <w:p>
      <w:pPr>
        <w:pStyle w:val="BodyText"/>
        <w:spacing w:line="357" w:lineRule="auto" w:before="151"/>
        <w:ind w:left="132" w:right="1119"/>
        <w:jc w:val="left"/>
      </w:pPr>
      <w:r>
        <w:rPr/>
        <w:t>部控制体系进一步健全，股东大会、董事会、监事会能按各项法律法规和规范性文件的要求</w:t>
      </w:r>
      <w:r>
        <w:rPr>
          <w:spacing w:val="-90"/>
        </w:rPr>
        <w:t> </w:t>
      </w:r>
      <w:r>
        <w:rPr>
          <w:spacing w:val="-90"/>
        </w:rPr>
      </w:r>
      <w:r>
        <w:rPr/>
        <w:t>运作。</w:t>
      </w:r>
    </w:p>
    <w:p>
      <w:pPr>
        <w:pStyle w:val="BodyText"/>
        <w:spacing w:line="357" w:lineRule="auto" w:before="74"/>
        <w:ind w:left="132" w:right="1119" w:firstLine="480"/>
        <w:jc w:val="left"/>
      </w:pPr>
      <w:r>
        <w:rPr/>
        <w:t>按照中国证券监督管理委员会、深圳证券交易所、深圳证监局的要求，报告期内，公司 </w:t>
      </w:r>
      <w:r>
        <w:rPr>
          <w:spacing w:val="-5"/>
        </w:rPr>
        <w:t>及时制定和修订了《深圳劲嘉彩印集团股份有限公司防范股东及关联方资金占用管理制度》、</w:t>
      </w:r>
      <w:r>
        <w:rPr/>
      </w:r>
    </w:p>
    <w:p>
      <w:pPr>
        <w:pStyle w:val="BodyText"/>
        <w:spacing w:line="240" w:lineRule="auto" w:before="34"/>
        <w:ind w:left="132" w:right="1119"/>
        <w:jc w:val="left"/>
      </w:pPr>
      <w:r>
        <w:rPr/>
        <w:t>《公司章</w:t>
      </w:r>
      <w:r>
        <w:rPr>
          <w:spacing w:val="-1"/>
        </w:rPr>
        <w:t>程</w:t>
      </w:r>
      <w:r>
        <w:rPr>
          <w:spacing w:val="-120"/>
        </w:rPr>
        <w:t>》</w:t>
      </w:r>
      <w:r>
        <w:rPr/>
        <w:t>。</w:t>
      </w:r>
    </w:p>
    <w:p>
      <w:pPr>
        <w:pStyle w:val="BodyText"/>
        <w:spacing w:line="388" w:lineRule="auto" w:before="192"/>
        <w:ind w:left="613" w:right="0"/>
        <w:jc w:val="left"/>
      </w:pPr>
      <w:r>
        <w:rPr>
          <w:spacing w:val="-3"/>
        </w:rPr>
        <w:t>报告期内公司没有发生重大会计差错更正，重大遗漏信息补充以及业绩预告修正等情况。</w:t>
      </w:r>
      <w:r>
        <w:rPr>
          <w:spacing w:val="-85"/>
        </w:rPr>
        <w:t> </w:t>
      </w:r>
      <w:r>
        <w:rPr>
          <w:spacing w:val="-85"/>
        </w:rPr>
      </w:r>
      <w:r>
        <w:rPr/>
        <w:t>公司不存在因部分改制、行业特性、国家政策或收购兼并等原因导致的同业竞争和关联</w:t>
      </w:r>
    </w:p>
    <w:p>
      <w:pPr>
        <w:pStyle w:val="BodyText"/>
        <w:spacing w:line="240" w:lineRule="auto" w:before="2"/>
        <w:ind w:left="132" w:right="1119"/>
        <w:jc w:val="left"/>
      </w:pPr>
      <w:r>
        <w:rPr/>
        <w:t>交易问题。</w:t>
      </w:r>
    </w:p>
    <w:p>
      <w:pPr>
        <w:pStyle w:val="BodyText"/>
        <w:spacing w:line="240" w:lineRule="auto" w:before="192"/>
        <w:ind w:left="613" w:right="1119"/>
        <w:jc w:val="left"/>
      </w:pPr>
      <w:r>
        <w:rPr/>
        <w:t>公司已建立的各项基本制度及公开信息披露情况如下表：</w:t>
      </w:r>
    </w:p>
    <w:p>
      <w:pPr>
        <w:spacing w:line="240" w:lineRule="auto" w:before="10"/>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800"/>
        <w:gridCol w:w="4179"/>
        <w:gridCol w:w="3260"/>
      </w:tblGrid>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文件名称</w:t>
            </w:r>
            <w:r>
              <w:rPr>
                <w:rFonts w:ascii="宋体" w:hAnsi="宋体" w:cs="宋体" w:eastAsia="宋体" w:hint="default"/>
                <w:sz w:val="21"/>
                <w:szCs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披露时间</w:t>
            </w:r>
            <w:r>
              <w:rPr>
                <w:rFonts w:ascii="宋体" w:hAnsi="宋体" w:cs="宋体" w:eastAsia="宋体" w:hint="default"/>
                <w:sz w:val="21"/>
                <w:szCs w:val="21"/>
              </w:rPr>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w w:val="100"/>
                <w:sz w:val="21"/>
              </w:rPr>
              <w:t>1</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《深圳劲嘉彩印集团股份有限公司章程》</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1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w w:val="100"/>
                <w:sz w:val="21"/>
              </w:rPr>
              <w:t>2</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3"/>
              <w:ind w:left="105" w:right="276"/>
              <w:jc w:val="left"/>
              <w:rPr>
                <w:rFonts w:ascii="宋体" w:hAnsi="宋体" w:cs="宋体" w:eastAsia="宋体" w:hint="default"/>
                <w:sz w:val="21"/>
                <w:szCs w:val="21"/>
              </w:rPr>
            </w:pPr>
            <w:hyperlink r:id="rId16">
              <w:r>
                <w:rPr>
                  <w:rFonts w:ascii="宋体" w:hAnsi="宋体" w:cs="宋体" w:eastAsia="宋体" w:hint="default"/>
                  <w:spacing w:val="-2"/>
                  <w:sz w:val="21"/>
                  <w:szCs w:val="21"/>
                </w:rPr>
                <w:t>《深圳劲嘉彩印集团股份有限公司股东大</w:t>
              </w:r>
            </w:hyperlink>
            <w:r>
              <w:rPr>
                <w:rFonts w:ascii="宋体" w:hAnsi="宋体" w:cs="宋体" w:eastAsia="宋体" w:hint="default"/>
                <w:spacing w:val="-69"/>
                <w:sz w:val="21"/>
                <w:szCs w:val="21"/>
              </w:rPr>
              <w:t> </w:t>
            </w:r>
            <w:r>
              <w:rPr>
                <w:rFonts w:ascii="宋体" w:hAnsi="宋体" w:cs="宋体" w:eastAsia="宋体" w:hint="default"/>
                <w:spacing w:val="-69"/>
                <w:sz w:val="21"/>
                <w:szCs w:val="21"/>
              </w:rPr>
            </w:r>
            <w:hyperlink r:id="rId16">
              <w:r>
                <w:rPr>
                  <w:rFonts w:ascii="宋体" w:hAnsi="宋体" w:cs="宋体" w:eastAsia="宋体" w:hint="default"/>
                  <w:sz w:val="21"/>
                  <w:szCs w:val="21"/>
                </w:rPr>
                <w:t>会议事规则》</w:t>
              </w:r>
            </w:hyperlink>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w w:val="100"/>
                <w:sz w:val="21"/>
              </w:rPr>
              <w:t>3</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276"/>
              <w:jc w:val="left"/>
              <w:rPr>
                <w:rFonts w:ascii="宋体" w:hAnsi="宋体" w:cs="宋体" w:eastAsia="宋体" w:hint="default"/>
                <w:sz w:val="21"/>
                <w:szCs w:val="21"/>
              </w:rPr>
            </w:pPr>
            <w:hyperlink r:id="rId16">
              <w:r>
                <w:rPr>
                  <w:rFonts w:ascii="宋体" w:hAnsi="宋体" w:cs="宋体" w:eastAsia="宋体" w:hint="default"/>
                  <w:spacing w:val="-2"/>
                  <w:sz w:val="21"/>
                  <w:szCs w:val="21"/>
                </w:rPr>
                <w:t>《深圳劲嘉彩印集团股份有限公司董事会</w:t>
              </w:r>
            </w:hyperlink>
            <w:r>
              <w:rPr>
                <w:rFonts w:ascii="宋体" w:hAnsi="宋体" w:cs="宋体" w:eastAsia="宋体" w:hint="default"/>
                <w:spacing w:val="-69"/>
                <w:sz w:val="21"/>
                <w:szCs w:val="21"/>
              </w:rPr>
              <w:t> </w:t>
            </w:r>
            <w:r>
              <w:rPr>
                <w:rFonts w:ascii="宋体" w:hAnsi="宋体" w:cs="宋体" w:eastAsia="宋体" w:hint="default"/>
                <w:spacing w:val="-69"/>
                <w:sz w:val="21"/>
                <w:szCs w:val="21"/>
              </w:rPr>
            </w:r>
            <w:hyperlink r:id="rId16">
              <w:r>
                <w:rPr>
                  <w:rFonts w:ascii="宋体" w:hAnsi="宋体" w:cs="宋体" w:eastAsia="宋体" w:hint="default"/>
                  <w:sz w:val="21"/>
                  <w:szCs w:val="21"/>
                </w:rPr>
                <w:t>议事规则》</w:t>
              </w:r>
            </w:hyperlink>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w w:val="100"/>
                <w:sz w:val="21"/>
              </w:rPr>
              <w:t>4</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276"/>
              <w:jc w:val="left"/>
              <w:rPr>
                <w:rFonts w:ascii="宋体" w:hAnsi="宋体" w:cs="宋体" w:eastAsia="宋体" w:hint="default"/>
                <w:sz w:val="21"/>
                <w:szCs w:val="21"/>
              </w:rPr>
            </w:pPr>
            <w:hyperlink r:id="rId16">
              <w:r>
                <w:rPr>
                  <w:rFonts w:ascii="宋体" w:hAnsi="宋体" w:cs="宋体" w:eastAsia="宋体" w:hint="default"/>
                  <w:spacing w:val="-2"/>
                  <w:sz w:val="21"/>
                  <w:szCs w:val="21"/>
                </w:rPr>
                <w:t>《深圳劲嘉彩印集团股份有限公司监事会</w:t>
              </w:r>
            </w:hyperlink>
            <w:r>
              <w:rPr>
                <w:rFonts w:ascii="宋体" w:hAnsi="宋体" w:cs="宋体" w:eastAsia="宋体" w:hint="default"/>
                <w:spacing w:val="-69"/>
                <w:sz w:val="21"/>
                <w:szCs w:val="21"/>
              </w:rPr>
              <w:t> </w:t>
            </w:r>
            <w:r>
              <w:rPr>
                <w:rFonts w:ascii="宋体" w:hAnsi="宋体" w:cs="宋体" w:eastAsia="宋体" w:hint="default"/>
                <w:spacing w:val="-69"/>
                <w:sz w:val="21"/>
                <w:szCs w:val="21"/>
              </w:rPr>
            </w:r>
            <w:hyperlink r:id="rId16">
              <w:r>
                <w:rPr>
                  <w:rFonts w:ascii="宋体" w:hAnsi="宋体" w:cs="宋体" w:eastAsia="宋体" w:hint="default"/>
                  <w:sz w:val="21"/>
                  <w:szCs w:val="21"/>
                </w:rPr>
                <w:t>议事规则》</w:t>
              </w:r>
            </w:hyperlink>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1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w w:val="100"/>
                <w:sz w:val="21"/>
              </w:rPr>
              <w:t>5</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3"/>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《深圳劲嘉彩印集团股份有限公司董事会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战略委员会工作细则》</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w w:val="100"/>
                <w:sz w:val="21"/>
              </w:rPr>
              <w:t>6</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《深圳劲嘉彩印集团股份有限公司董事会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提名委员会工作细则》</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w w:val="100"/>
                <w:sz w:val="21"/>
              </w:rPr>
              <w:t>7</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《深圳劲嘉彩印集团股份有限公司董事会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审计委员会工作细则》</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1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w w:val="100"/>
                <w:sz w:val="21"/>
              </w:rPr>
              <w:t>8</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3"/>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《深圳劲嘉彩印集团股份有限公司董事会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薪酬与考核委员会工作细则》</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w w:val="100"/>
                <w:sz w:val="21"/>
              </w:rPr>
              <w:t>9</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《深圳劲嘉彩印集团股份有限公司累积投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票制实施细则》</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920" w:footer="936" w:top="1140" w:bottom="1140" w:left="1000" w:right="0"/>
        </w:sectPr>
      </w:pPr>
    </w:p>
    <w:p>
      <w:pPr>
        <w:spacing w:line="240" w:lineRule="auto" w:before="9"/>
        <w:rPr>
          <w:rFonts w:ascii="Times New Roman" w:hAnsi="Times New Roman" w:cs="Times New Roman" w:eastAsia="Times New Roman"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800"/>
        <w:gridCol w:w="4179"/>
        <w:gridCol w:w="3260"/>
      </w:tblGrid>
      <w:tr>
        <w:trPr>
          <w:trHeight w:val="708"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10</w:t>
            </w:r>
          </w:p>
        </w:tc>
        <w:tc>
          <w:tcPr>
            <w:tcW w:w="41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《深圳劲嘉彩印集团股份有限公司独立董</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事工作条例》</w:t>
            </w: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11</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3"/>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《深圳劲嘉彩印集团股份有限公司独立董</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事年报工作制度》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1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12</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3"/>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《深圳劲嘉彩印集团股份有限公司总经理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工作细则》</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13</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69"/>
              <w:jc w:val="left"/>
              <w:rPr>
                <w:rFonts w:ascii="宋体" w:hAnsi="宋体" w:cs="宋体" w:eastAsia="宋体" w:hint="default"/>
                <w:sz w:val="21"/>
                <w:szCs w:val="21"/>
              </w:rPr>
            </w:pPr>
            <w:r>
              <w:rPr>
                <w:rFonts w:ascii="宋体" w:hAnsi="宋体" w:cs="宋体" w:eastAsia="宋体" w:hint="default"/>
                <w:sz w:val="21"/>
                <w:szCs w:val="21"/>
              </w:rPr>
              <w:t>《深圳劲嘉彩印集团股份有限公司重大投</w:t>
            </w:r>
            <w:r>
              <w:rPr>
                <w:rFonts w:ascii="宋体" w:hAnsi="宋体" w:cs="宋体" w:eastAsia="宋体" w:hint="default"/>
                <w:w w:val="100"/>
                <w:sz w:val="21"/>
                <w:szCs w:val="21"/>
              </w:rPr>
              <w:t> </w:t>
            </w:r>
            <w:r>
              <w:rPr>
                <w:rFonts w:ascii="宋体" w:hAnsi="宋体" w:cs="宋体" w:eastAsia="宋体" w:hint="default"/>
                <w:spacing w:val="-2"/>
                <w:sz w:val="21"/>
                <w:szCs w:val="21"/>
              </w:rPr>
              <w:t>资、重大生产经营及财务决策程序与规则》</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14</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2"/>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《深圳劲嘉彩印集团股份有限公司审计委</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员会年报工作规程》</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1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15</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3"/>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《深圳劲嘉彩印集团股份有限公司内部审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计制度》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16</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《深圳劲嘉彩印集团股份有限公司关联交</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易决策制度》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17</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3"/>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《深圳劲嘉彩印集团股份有限公司公开信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息披露管理制度》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18</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2"/>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《深圳劲嘉彩印集团股份有限公司重大信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息内部报告制度》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19</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《深圳劲嘉彩印集团股份有限公司募集资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金专项存储及使用管理制度》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8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sz w:val="21"/>
              </w:rPr>
              <w:t>20</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《深圳劲嘉彩印集团股份有限公司董事、监</w:t>
            </w:r>
          </w:p>
          <w:p>
            <w:pPr>
              <w:pStyle w:val="TableParagraph"/>
              <w:spacing w:line="272" w:lineRule="exact" w:before="27"/>
              <w:ind w:left="105" w:right="276"/>
              <w:jc w:val="left"/>
              <w:rPr>
                <w:rFonts w:ascii="宋体" w:hAnsi="宋体" w:cs="宋体" w:eastAsia="宋体" w:hint="default"/>
                <w:sz w:val="21"/>
                <w:szCs w:val="21"/>
              </w:rPr>
            </w:pPr>
            <w:r>
              <w:rPr>
                <w:rFonts w:ascii="宋体" w:hAnsi="宋体" w:cs="宋体" w:eastAsia="宋体" w:hint="default"/>
                <w:spacing w:val="-2"/>
                <w:sz w:val="21"/>
                <w:szCs w:val="21"/>
              </w:rPr>
              <w:t>事和高级管理人员所持本公司股份及其变</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动管理办法》</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21</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《深圳劲嘉彩印集团股份有限公司投资者</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关系工作制度》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22</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《深圳劲嘉彩印集团股份有限公司子公司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管理制度》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23</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3"/>
              <w:ind w:left="105" w:right="276"/>
              <w:jc w:val="left"/>
              <w:rPr>
                <w:rFonts w:ascii="宋体" w:hAnsi="宋体" w:cs="宋体" w:eastAsia="宋体" w:hint="default"/>
                <w:sz w:val="21"/>
                <w:szCs w:val="21"/>
              </w:rPr>
            </w:pPr>
            <w:hyperlink r:id="rId16">
              <w:r>
                <w:rPr>
                  <w:rFonts w:ascii="宋体" w:hAnsi="宋体" w:cs="宋体" w:eastAsia="宋体" w:hint="default"/>
                  <w:spacing w:val="-2"/>
                  <w:sz w:val="21"/>
                  <w:szCs w:val="21"/>
                </w:rPr>
                <w:t>《深圳劲嘉彩印集团股份有限公司全面风</w:t>
              </w:r>
            </w:hyperlink>
            <w:r>
              <w:rPr>
                <w:rFonts w:ascii="宋体" w:hAnsi="宋体" w:cs="宋体" w:eastAsia="宋体" w:hint="default"/>
                <w:spacing w:val="-69"/>
                <w:sz w:val="21"/>
                <w:szCs w:val="21"/>
              </w:rPr>
              <w:t> </w:t>
            </w:r>
            <w:r>
              <w:rPr>
                <w:rFonts w:ascii="宋体" w:hAnsi="宋体" w:cs="宋体" w:eastAsia="宋体" w:hint="default"/>
                <w:spacing w:val="-69"/>
                <w:sz w:val="21"/>
                <w:szCs w:val="21"/>
              </w:rPr>
            </w:r>
            <w:hyperlink r:id="rId16">
              <w:r>
                <w:rPr>
                  <w:rFonts w:ascii="宋体" w:hAnsi="宋体" w:cs="宋体" w:eastAsia="宋体" w:hint="default"/>
                  <w:sz w:val="21"/>
                  <w:szCs w:val="21"/>
                </w:rPr>
                <w:t>险管理办法》</w:t>
              </w:r>
            </w:hyperlink>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24</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《深圳劲嘉彩印集团股份有限公司内幕信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息及知情人管理制度》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25</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《深圳劲嘉彩印集团股份有限公司会计师</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事务所选聘制度》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26</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1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27</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《深圳劲嘉彩印集团股份有限公司资产减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值准备管理制度》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
              <w:jc w:val="center"/>
              <w:rPr>
                <w:rFonts w:ascii="宋体" w:hAnsi="宋体" w:cs="宋体" w:eastAsia="宋体" w:hint="default"/>
                <w:sz w:val="21"/>
                <w:szCs w:val="21"/>
              </w:rPr>
            </w:pPr>
            <w:r>
              <w:rPr>
                <w:rFonts w:ascii="宋体"/>
                <w:sz w:val="21"/>
              </w:rPr>
              <w:t>28</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8"/>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《深圳劲嘉彩印集团股份有限公司防范股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东及关联方资金占用管理制度》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7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
              <w:jc w:val="center"/>
              <w:rPr>
                <w:rFonts w:ascii="宋体" w:hAnsi="宋体" w:cs="宋体" w:eastAsia="宋体" w:hint="default"/>
                <w:sz w:val="21"/>
                <w:szCs w:val="21"/>
              </w:rPr>
            </w:pPr>
            <w:r>
              <w:rPr>
                <w:rFonts w:ascii="宋体"/>
                <w:sz w:val="21"/>
              </w:rPr>
              <w:t>29</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276"/>
              <w:jc w:val="left"/>
              <w:rPr>
                <w:rFonts w:ascii="宋体" w:hAnsi="宋体" w:cs="宋体" w:eastAsia="宋体" w:hint="default"/>
                <w:sz w:val="21"/>
                <w:szCs w:val="21"/>
              </w:rPr>
            </w:pPr>
            <w:r>
              <w:rPr>
                <w:rFonts w:ascii="宋体" w:hAnsi="宋体" w:cs="宋体" w:eastAsia="宋体" w:hint="default"/>
                <w:spacing w:val="-2"/>
                <w:sz w:val="21"/>
                <w:szCs w:val="21"/>
              </w:rPr>
              <w:t>《深圳劲嘉彩印集团股份有限公司财务负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责人管理制度》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920" w:footer="936" w:top="1140" w:bottom="114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tabs>
          <w:tab w:pos="1373" w:val="left" w:leader="none"/>
        </w:tabs>
        <w:spacing w:line="422" w:lineRule="auto" w:before="26"/>
        <w:ind w:left="533" w:right="1130"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关于股东与股东大会</w:t>
      </w:r>
      <w:r>
        <w:rPr>
          <w:rFonts w:ascii="宋体" w:hAnsi="宋体" w:cs="宋体" w:eastAsia="宋体" w:hint="default"/>
          <w:b/>
          <w:bCs/>
          <w:w w:val="99"/>
          <w:sz w:val="24"/>
          <w:szCs w:val="24"/>
        </w:rPr>
        <w:t> </w:t>
      </w:r>
      <w:r>
        <w:rPr>
          <w:rFonts w:ascii="宋体" w:hAnsi="宋体" w:cs="宋体" w:eastAsia="宋体" w:hint="default"/>
          <w:spacing w:val="-4"/>
          <w:sz w:val="24"/>
          <w:szCs w:val="24"/>
        </w:rPr>
        <w:t>公司严格按照《上市公司股东大会规范意见》、《公司章程》和《股东大会议事规则》的</w:t>
      </w:r>
      <w:r>
        <w:rPr>
          <w:rFonts w:ascii="宋体" w:hAnsi="宋体" w:cs="宋体" w:eastAsia="宋体" w:hint="default"/>
          <w:sz w:val="24"/>
          <w:szCs w:val="24"/>
        </w:rPr>
      </w:r>
    </w:p>
    <w:p>
      <w:pPr>
        <w:pStyle w:val="BodyText"/>
        <w:spacing w:line="286" w:lineRule="exact"/>
        <w:ind w:right="0"/>
        <w:jc w:val="both"/>
      </w:pPr>
      <w:r>
        <w:rPr/>
        <w:t>规定和规范性要求召开股东大会。公司股东大会的召集、召开、表决程序规范，并由公司律</w:t>
      </w:r>
    </w:p>
    <w:p>
      <w:pPr>
        <w:pStyle w:val="BodyText"/>
        <w:spacing w:line="240" w:lineRule="auto" w:before="151"/>
        <w:ind w:right="0"/>
        <w:jc w:val="both"/>
      </w:pPr>
      <w:r>
        <w:rPr/>
        <w:t>师做现场见证，出具法律意见书。公司平等对待所有股东，确保中小股东能充分行使其权利。</w:t>
      </w:r>
    </w:p>
    <w:p>
      <w:pPr>
        <w:spacing w:line="240" w:lineRule="auto" w:before="1"/>
        <w:rPr>
          <w:rFonts w:ascii="宋体" w:hAnsi="宋体" w:cs="宋体" w:eastAsia="宋体" w:hint="default"/>
          <w:sz w:val="30"/>
          <w:szCs w:val="30"/>
        </w:rPr>
      </w:pPr>
    </w:p>
    <w:p>
      <w:pPr>
        <w:tabs>
          <w:tab w:pos="1373" w:val="left" w:leader="none"/>
        </w:tabs>
        <w:spacing w:line="424" w:lineRule="auto" w:before="0"/>
        <w:ind w:left="533" w:right="1137"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关于控股股东与上市公司的关系</w:t>
      </w:r>
      <w:r>
        <w:rPr>
          <w:rFonts w:ascii="宋体" w:hAnsi="宋体" w:cs="宋体" w:eastAsia="宋体" w:hint="default"/>
          <w:b/>
          <w:bCs/>
          <w:w w:val="99"/>
          <w:sz w:val="24"/>
          <w:szCs w:val="24"/>
        </w:rPr>
        <w:t> </w:t>
      </w:r>
      <w:r>
        <w:rPr>
          <w:rFonts w:ascii="宋体" w:hAnsi="宋体" w:cs="宋体" w:eastAsia="宋体" w:hint="default"/>
          <w:spacing w:val="-10"/>
          <w:sz w:val="24"/>
          <w:szCs w:val="24"/>
        </w:rPr>
        <w:t>公司控股股东严格根据《上市公司治理准则》、《深圳证券交易所股票上市规则》、《公司</w:t>
      </w:r>
    </w:p>
    <w:p>
      <w:pPr>
        <w:pStyle w:val="BodyText"/>
        <w:spacing w:line="281" w:lineRule="exact"/>
        <w:ind w:right="0"/>
        <w:jc w:val="both"/>
      </w:pPr>
      <w:r>
        <w:rPr/>
        <w:t>章程》规范股东行为，通过股东大会行使权利，未发生超越股东大会和董事会而直接或间接</w:t>
      </w:r>
    </w:p>
    <w:p>
      <w:pPr>
        <w:pStyle w:val="BodyText"/>
        <w:spacing w:line="240" w:lineRule="auto" w:before="154"/>
        <w:ind w:right="0"/>
        <w:jc w:val="both"/>
      </w:pPr>
      <w:r>
        <w:rPr/>
        <w:t>干预公司的决策和经营活动的行为。</w:t>
      </w:r>
    </w:p>
    <w:p>
      <w:pPr>
        <w:spacing w:line="240" w:lineRule="auto" w:before="12"/>
        <w:rPr>
          <w:rFonts w:ascii="宋体" w:hAnsi="宋体" w:cs="宋体" w:eastAsia="宋体" w:hint="default"/>
          <w:sz w:val="29"/>
          <w:szCs w:val="29"/>
        </w:rPr>
      </w:pPr>
    </w:p>
    <w:p>
      <w:pPr>
        <w:tabs>
          <w:tab w:pos="1373" w:val="left" w:leader="none"/>
        </w:tabs>
        <w:spacing w:line="424" w:lineRule="auto" w:before="0"/>
        <w:ind w:left="533" w:right="1131"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关于董事和董事会</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报告期内，公司董事会的人数及人员结构符合法律法规和《公司章程》的要求。董事会</w:t>
      </w:r>
      <w:r>
        <w:rPr>
          <w:rFonts w:ascii="宋体" w:hAnsi="宋体" w:cs="宋体" w:eastAsia="宋体" w:hint="default"/>
          <w:sz w:val="24"/>
          <w:szCs w:val="24"/>
        </w:rPr>
      </w:r>
    </w:p>
    <w:p>
      <w:pPr>
        <w:pStyle w:val="BodyText"/>
        <w:spacing w:line="281" w:lineRule="exact"/>
        <w:ind w:right="0"/>
        <w:jc w:val="both"/>
      </w:pPr>
      <w:r>
        <w:rPr/>
        <w:t>召集</w:t>
      </w:r>
      <w:r>
        <w:rPr>
          <w:spacing w:val="2"/>
        </w:rPr>
        <w:t>、</w:t>
      </w:r>
      <w:r>
        <w:rPr/>
        <w:t>召开</w:t>
      </w:r>
      <w:r>
        <w:rPr>
          <w:spacing w:val="2"/>
        </w:rPr>
        <w:t>、</w:t>
      </w:r>
      <w:r>
        <w:rPr/>
        <w:t>表</w:t>
      </w:r>
      <w:r>
        <w:rPr>
          <w:spacing w:val="2"/>
        </w:rPr>
        <w:t>决</w:t>
      </w:r>
      <w:r>
        <w:rPr/>
        <w:t>符</w:t>
      </w:r>
      <w:r>
        <w:rPr>
          <w:spacing w:val="2"/>
        </w:rPr>
        <w:t>合</w:t>
      </w:r>
      <w:r>
        <w:rPr/>
        <w:t>程</w:t>
      </w:r>
      <w:r>
        <w:rPr>
          <w:spacing w:val="1"/>
        </w:rPr>
        <w:t>序</w:t>
      </w:r>
      <w:r>
        <w:rPr>
          <w:spacing w:val="2"/>
        </w:rPr>
        <w:t>、</w:t>
      </w:r>
      <w:r>
        <w:rPr/>
        <w:t>符合</w:t>
      </w:r>
      <w:r>
        <w:rPr>
          <w:spacing w:val="2"/>
        </w:rPr>
        <w:t>《</w:t>
      </w:r>
      <w:r>
        <w:rPr/>
        <w:t>公</w:t>
      </w:r>
      <w:r>
        <w:rPr>
          <w:spacing w:val="2"/>
        </w:rPr>
        <w:t>司</w:t>
      </w:r>
      <w:r>
        <w:rPr/>
        <w:t>章</w:t>
      </w:r>
      <w:r>
        <w:rPr>
          <w:spacing w:val="2"/>
        </w:rPr>
        <w:t>程</w:t>
      </w:r>
      <w:r>
        <w:rPr>
          <w:spacing w:val="-120"/>
        </w:rPr>
        <w:t>》、</w:t>
      </w:r>
      <w:r>
        <w:rPr>
          <w:spacing w:val="2"/>
        </w:rPr>
        <w:t>《</w:t>
      </w:r>
      <w:r>
        <w:rPr/>
        <w:t>董事</w:t>
      </w:r>
      <w:r>
        <w:rPr>
          <w:spacing w:val="2"/>
        </w:rPr>
        <w:t>会</w:t>
      </w:r>
      <w:r>
        <w:rPr/>
        <w:t>议</w:t>
      </w:r>
      <w:r>
        <w:rPr>
          <w:spacing w:val="2"/>
        </w:rPr>
        <w:t>事</w:t>
      </w:r>
      <w:r>
        <w:rPr/>
        <w:t>规则</w:t>
      </w:r>
      <w:r>
        <w:rPr>
          <w:spacing w:val="-118"/>
        </w:rPr>
        <w:t>》、</w:t>
      </w:r>
      <w:r>
        <w:rPr/>
        <w:t>《独</w:t>
      </w:r>
      <w:r>
        <w:rPr>
          <w:spacing w:val="2"/>
        </w:rPr>
        <w:t>立</w:t>
      </w:r>
      <w:r>
        <w:rPr/>
        <w:t>董</w:t>
      </w:r>
      <w:r>
        <w:rPr>
          <w:spacing w:val="2"/>
        </w:rPr>
        <w:t>事工</w:t>
      </w:r>
      <w:r>
        <w:rPr/>
        <w:t>作</w:t>
      </w:r>
      <w:r>
        <w:rPr>
          <w:spacing w:val="2"/>
        </w:rPr>
        <w:t>条</w:t>
      </w:r>
      <w:r>
        <w:rPr/>
        <w:t>例》</w:t>
      </w:r>
    </w:p>
    <w:p>
      <w:pPr>
        <w:pStyle w:val="BodyText"/>
        <w:spacing w:line="357" w:lineRule="auto" w:before="154"/>
        <w:ind w:right="1133"/>
        <w:jc w:val="both"/>
      </w:pPr>
      <w:r>
        <w:rPr/>
        <w:t>和《中小企业板块上市公司规范运作指引》的规定和规范性要求，全体董事能勤勉尽责，认</w:t>
      </w:r>
      <w:r>
        <w:rPr>
          <w:spacing w:val="-88"/>
        </w:rPr>
        <w:t> </w:t>
      </w:r>
      <w:r>
        <w:rPr>
          <w:spacing w:val="-88"/>
        </w:rPr>
      </w:r>
      <w:r>
        <w:rPr/>
        <w:t>真出席董事会和审议各项议案，独立董事独立履行职责，维护公司整体利益，尤其关注公众</w:t>
      </w:r>
      <w:r>
        <w:rPr>
          <w:spacing w:val="-87"/>
        </w:rPr>
        <w:t> </w:t>
      </w:r>
      <w:r>
        <w:rPr>
          <w:spacing w:val="-87"/>
        </w:rPr>
      </w:r>
      <w:r>
        <w:rPr/>
        <w:t>股东的合法权益不受损害，对重要及重大事项发表独立意见。</w:t>
      </w:r>
    </w:p>
    <w:p>
      <w:pPr>
        <w:pStyle w:val="BodyText"/>
        <w:spacing w:line="357" w:lineRule="auto" w:before="74"/>
        <w:ind w:right="1011" w:firstLine="420"/>
        <w:jc w:val="both"/>
      </w:pPr>
      <w:r>
        <w:rPr>
          <w:spacing w:val="2"/>
        </w:rPr>
        <w:t>根据《上市公司治理准则》的要求，本公司董事会下设审计、提名、薪酬与考核和战略</w:t>
      </w:r>
      <w:r>
        <w:rPr/>
        <w:t> </w:t>
      </w:r>
      <w:r>
        <w:rPr>
          <w:spacing w:val="-16"/>
        </w:rPr>
        <w:t>四个专门委员会，制定了《董事会提名委员会工作细则》、《董事会审计委员会工作细则》、《董</w:t>
      </w:r>
      <w:r>
        <w:rPr>
          <w:spacing w:val="-116"/>
        </w:rPr>
        <w:t> </w:t>
      </w:r>
      <w:r>
        <w:rPr>
          <w:spacing w:val="-116"/>
        </w:rPr>
      </w:r>
      <w:r>
        <w:rPr>
          <w:spacing w:val="-14"/>
        </w:rPr>
        <w:t>事会薪酬与考核委员会工作细则》、《董事会战略委员会工作细则》，并按照相应工作细则运作。</w:t>
      </w:r>
    </w:p>
    <w:p>
      <w:pPr>
        <w:spacing w:line="240" w:lineRule="auto" w:before="12"/>
        <w:rPr>
          <w:rFonts w:ascii="宋体" w:hAnsi="宋体" w:cs="宋体" w:eastAsia="宋体" w:hint="default"/>
          <w:sz w:val="20"/>
          <w:szCs w:val="20"/>
        </w:rPr>
      </w:pPr>
    </w:p>
    <w:p>
      <w:pPr>
        <w:tabs>
          <w:tab w:pos="1373" w:val="left" w:leader="none"/>
        </w:tabs>
        <w:spacing w:line="424" w:lineRule="auto" w:before="0"/>
        <w:ind w:left="593" w:right="113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四</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关于监事和监事会</w:t>
      </w:r>
      <w:r>
        <w:rPr>
          <w:rFonts w:ascii="宋体" w:hAnsi="宋体" w:cs="宋体" w:eastAsia="宋体" w:hint="default"/>
          <w:b/>
          <w:bCs/>
          <w:w w:val="99"/>
          <w:sz w:val="24"/>
          <w:szCs w:val="24"/>
        </w:rPr>
        <w:t> </w:t>
      </w:r>
      <w:r>
        <w:rPr>
          <w:rFonts w:ascii="宋体" w:hAnsi="宋体" w:cs="宋体" w:eastAsia="宋体" w:hint="default"/>
          <w:sz w:val="24"/>
          <w:szCs w:val="24"/>
        </w:rPr>
        <w:t>报告期内，公司监事会人数及人员结构符合《公司法》和《公司章程》的要求、监事会</w:t>
      </w:r>
    </w:p>
    <w:p>
      <w:pPr>
        <w:pStyle w:val="BodyText"/>
        <w:spacing w:line="283" w:lineRule="exact"/>
        <w:ind w:right="0"/>
        <w:jc w:val="both"/>
      </w:pPr>
      <w:r>
        <w:rPr/>
        <w:t>的召集、召开、表决程序符合《公司章程》及《监事会议事规则》的规范要求。公司监事能</w:t>
      </w:r>
    </w:p>
    <w:p>
      <w:pPr>
        <w:pStyle w:val="BodyText"/>
        <w:spacing w:line="357" w:lineRule="auto" w:before="152"/>
        <w:ind w:right="0"/>
        <w:jc w:val="left"/>
      </w:pPr>
      <w:r>
        <w:rPr/>
        <w:t>勤勉尽职，认真出席监事会，对公司重大事项、募集资金的使用、财务状况、公司治理等进</w:t>
      </w:r>
      <w:r>
        <w:rPr>
          <w:spacing w:val="-91"/>
        </w:rPr>
        <w:t> </w:t>
      </w:r>
      <w:r>
        <w:rPr>
          <w:spacing w:val="-91"/>
        </w:rPr>
      </w:r>
      <w:r>
        <w:rPr/>
        <w:t>行监督并发表意见。</w:t>
      </w:r>
    </w:p>
    <w:p>
      <w:pPr>
        <w:spacing w:line="240" w:lineRule="auto" w:before="12"/>
        <w:rPr>
          <w:rFonts w:ascii="宋体" w:hAnsi="宋体" w:cs="宋体" w:eastAsia="宋体" w:hint="default"/>
          <w:sz w:val="20"/>
          <w:szCs w:val="20"/>
        </w:rPr>
      </w:pPr>
    </w:p>
    <w:p>
      <w:pPr>
        <w:tabs>
          <w:tab w:pos="1373" w:val="left" w:leader="none"/>
        </w:tabs>
        <w:spacing w:line="424" w:lineRule="auto" w:before="0"/>
        <w:ind w:left="533" w:right="1131"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五</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关于绩效评价与激励约束机制</w:t>
      </w:r>
      <w:r>
        <w:rPr>
          <w:rFonts w:ascii="宋体" w:hAnsi="宋体" w:cs="宋体" w:eastAsia="宋体" w:hint="default"/>
          <w:b/>
          <w:bCs/>
          <w:w w:val="99"/>
          <w:sz w:val="24"/>
          <w:szCs w:val="24"/>
        </w:rPr>
        <w:t> </w:t>
      </w:r>
      <w:r>
        <w:rPr>
          <w:rFonts w:ascii="宋体" w:hAnsi="宋体" w:cs="宋体" w:eastAsia="宋体" w:hint="default"/>
          <w:spacing w:val="2"/>
          <w:sz w:val="24"/>
          <w:szCs w:val="24"/>
        </w:rPr>
        <w:t>公司正逐步建立和完善公开、透明的董事、监事及高级管理人员绩效评价体系和激励约</w:t>
      </w:r>
      <w:r>
        <w:rPr>
          <w:rFonts w:ascii="宋体" w:hAnsi="宋体" w:cs="宋体" w:eastAsia="宋体" w:hint="default"/>
          <w:sz w:val="24"/>
          <w:szCs w:val="24"/>
        </w:rPr>
      </w:r>
    </w:p>
    <w:p>
      <w:pPr>
        <w:pStyle w:val="BodyText"/>
        <w:spacing w:line="281" w:lineRule="exact"/>
        <w:ind w:right="0"/>
        <w:jc w:val="both"/>
      </w:pPr>
      <w:r>
        <w:rPr/>
        <w:t>束机制，公司高级管理人员的聘任公开、透明，符合有关法律法规和上市公司规范运作的要</w:t>
      </w:r>
    </w:p>
    <w:p>
      <w:pPr>
        <w:pStyle w:val="BodyText"/>
        <w:spacing w:line="240" w:lineRule="auto" w:before="154"/>
        <w:ind w:right="0"/>
        <w:jc w:val="both"/>
      </w:pPr>
      <w:r>
        <w:rPr/>
        <w:t>求。</w:t>
      </w:r>
    </w:p>
    <w:p>
      <w:pPr>
        <w:spacing w:after="0" w:line="240" w:lineRule="auto"/>
        <w:jc w:val="both"/>
        <w:sectPr>
          <w:pgSz w:w="11910" w:h="16840"/>
          <w:pgMar w:header="920" w:footer="936" w:top="1140" w:bottom="1140" w:left="1020" w:right="0"/>
        </w:sectPr>
      </w:pPr>
    </w:p>
    <w:p>
      <w:pPr>
        <w:tabs>
          <w:tab w:pos="1373" w:val="left" w:leader="none"/>
        </w:tabs>
        <w:spacing w:line="424" w:lineRule="auto" w:before="19"/>
        <w:ind w:left="533" w:right="1133"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六</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关于相关利益者</w:t>
      </w:r>
      <w:r>
        <w:rPr>
          <w:rFonts w:ascii="宋体" w:hAnsi="宋体" w:cs="宋体" w:eastAsia="宋体" w:hint="default"/>
          <w:b/>
          <w:bCs/>
          <w:w w:val="99"/>
          <w:sz w:val="24"/>
          <w:szCs w:val="24"/>
        </w:rPr>
        <w:t> </w:t>
      </w:r>
      <w:r>
        <w:rPr>
          <w:rFonts w:ascii="宋体" w:hAnsi="宋体" w:cs="宋体" w:eastAsia="宋体" w:hint="default"/>
          <w:spacing w:val="2"/>
          <w:sz w:val="24"/>
          <w:szCs w:val="24"/>
        </w:rPr>
        <w:t>公司能够充分尊重和维护相关利益者的合法权益，积极与相关利益者合作，加强与各方</w:t>
      </w:r>
      <w:r>
        <w:rPr>
          <w:rFonts w:ascii="宋体" w:hAnsi="宋体" w:cs="宋体" w:eastAsia="宋体" w:hint="default"/>
          <w:sz w:val="24"/>
          <w:szCs w:val="24"/>
        </w:rPr>
      </w:r>
    </w:p>
    <w:p>
      <w:pPr>
        <w:pStyle w:val="BodyText"/>
        <w:spacing w:line="281" w:lineRule="exact"/>
        <w:ind w:right="0"/>
        <w:jc w:val="both"/>
      </w:pPr>
      <w:r>
        <w:rPr/>
        <w:t>的沟通和交流，实现社会、股东、员工等各方利益的协调平衡，共同推动公司持续、稳定、</w:t>
      </w:r>
    </w:p>
    <w:p>
      <w:pPr>
        <w:pStyle w:val="BodyText"/>
        <w:spacing w:line="240" w:lineRule="auto" w:before="154"/>
        <w:ind w:right="0"/>
        <w:jc w:val="both"/>
      </w:pPr>
      <w:r>
        <w:rPr/>
        <w:t>健康地发展。</w:t>
      </w:r>
    </w:p>
    <w:p>
      <w:pPr>
        <w:spacing w:line="240" w:lineRule="auto" w:before="12"/>
        <w:rPr>
          <w:rFonts w:ascii="宋体" w:hAnsi="宋体" w:cs="宋体" w:eastAsia="宋体" w:hint="default"/>
          <w:sz w:val="29"/>
          <w:szCs w:val="29"/>
        </w:rPr>
      </w:pPr>
    </w:p>
    <w:p>
      <w:pPr>
        <w:tabs>
          <w:tab w:pos="1373" w:val="left" w:leader="none"/>
        </w:tabs>
        <w:spacing w:line="424" w:lineRule="auto" w:before="0"/>
        <w:ind w:left="533" w:right="1239"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七</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关于信息披露与透明度</w:t>
      </w:r>
      <w:r>
        <w:rPr>
          <w:rFonts w:ascii="宋体" w:hAnsi="宋体" w:cs="宋体" w:eastAsia="宋体" w:hint="default"/>
          <w:b/>
          <w:bCs/>
          <w:w w:val="99"/>
          <w:sz w:val="24"/>
          <w:szCs w:val="24"/>
        </w:rPr>
        <w:t> </w:t>
      </w:r>
      <w:r>
        <w:rPr>
          <w:rFonts w:ascii="宋体" w:hAnsi="宋体" w:cs="宋体" w:eastAsia="宋体" w:hint="default"/>
          <w:spacing w:val="-7"/>
          <w:sz w:val="24"/>
          <w:szCs w:val="24"/>
        </w:rPr>
        <w:t>公司严格按照《深圳证券交易所股票上市规则》、《公开信息披露管理制度》和《投资者</w:t>
      </w:r>
    </w:p>
    <w:p>
      <w:pPr>
        <w:pStyle w:val="BodyText"/>
        <w:spacing w:line="283" w:lineRule="exact"/>
        <w:ind w:right="0"/>
        <w:jc w:val="both"/>
      </w:pPr>
      <w:r>
        <w:rPr>
          <w:spacing w:val="-5"/>
        </w:rPr>
        <w:t>关系工作制度》的要求，指定公司董事会秘书负责信息披露工作、接待投资者的来访和咨询，</w:t>
      </w:r>
    </w:p>
    <w:p>
      <w:pPr>
        <w:pStyle w:val="BodyText"/>
        <w:spacing w:line="357" w:lineRule="auto" w:before="151"/>
        <w:ind w:right="1241"/>
        <w:jc w:val="both"/>
      </w:pPr>
      <w:r>
        <w:rPr>
          <w:spacing w:val="-8"/>
        </w:rPr>
        <w:t>并严格履行真实、准确、完整、及时地披露公司信息的义务，公司指定《中国证券报》、《证</w:t>
      </w:r>
      <w:r>
        <w:rPr>
          <w:spacing w:val="-105"/>
        </w:rPr>
        <w:t> </w:t>
      </w:r>
      <w:r>
        <w:rPr>
          <w:spacing w:val="-105"/>
        </w:rPr>
      </w:r>
      <w:r>
        <w:rPr/>
        <w:t>券时报》及巨潮资讯网站</w:t>
      </w:r>
      <w:r>
        <w:rPr>
          <w:rFonts w:ascii="宋体" w:hAnsi="宋体" w:cs="宋体" w:eastAsia="宋体" w:hint="default"/>
        </w:rPr>
      </w:r>
      <w:hyperlink r:id="rId12">
        <w:r>
          <w:rPr>
            <w:rFonts w:ascii="宋体" w:hAnsi="宋体" w:cs="宋体" w:eastAsia="宋体" w:hint="default"/>
            <w:u w:val="single" w:color="000000"/>
          </w:rPr>
          <w:t>www.cninfo.com.cn</w:t>
        </w:r>
        <w:r>
          <w:rPr>
            <w:rFonts w:ascii="宋体" w:hAnsi="宋体" w:cs="宋体" w:eastAsia="宋体" w:hint="default"/>
            <w:spacing w:val="-67"/>
            <w:u w:val="single" w:color="000000"/>
          </w:rPr>
          <w:t> </w:t>
        </w:r>
        <w:r>
          <w:rPr>
            <w:rFonts w:ascii="宋体" w:hAnsi="宋体" w:cs="宋体" w:eastAsia="宋体" w:hint="default"/>
            <w:spacing w:val="-67"/>
          </w:rPr>
        </w:r>
      </w:hyperlink>
      <w:r>
        <w:rPr/>
        <w:t>为法定公开信息披露渠道，确保公司所有投资 </w:t>
      </w:r>
      <w:r>
        <w:rPr>
          <w:spacing w:val="-2"/>
        </w:rPr>
        <w:t>者能够以平等机会获得信息；为了加强与投资者的双向沟通，在本公司的网站上设立了投资</w:t>
      </w:r>
      <w:r>
        <w:rPr>
          <w:spacing w:val="-111"/>
        </w:rPr>
        <w:t> </w:t>
      </w:r>
      <w:r>
        <w:rPr>
          <w:spacing w:val="-111"/>
        </w:rPr>
      </w:r>
      <w:r>
        <w:rPr/>
        <w:t>者关系栏目，同时依托投资者关系互动平台建立了与投资者的沟通渠道。</w:t>
      </w:r>
    </w:p>
    <w:p>
      <w:pPr>
        <w:pStyle w:val="BodyText"/>
        <w:spacing w:line="357" w:lineRule="auto" w:before="34"/>
        <w:ind w:right="1171" w:firstLine="480"/>
        <w:jc w:val="both"/>
      </w:pPr>
      <w:r>
        <w:rPr/>
        <w:t>在报告期，公司没有向大股东提供未公开的信息；公司大股东、实际控制人没有干预上 市公司生产、经营、管理等情况。公司没有从事期货期权交易、金融资产投资、证券理财等 高风险业务。公司整体运作基本规范、独立性强、信息披露与中国证监会有关上市公司治理 的规范性文件要求基本符合。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206"/>
        <w:ind w:right="0"/>
        <w:jc w:val="both"/>
        <w:rPr>
          <w:b w:val="0"/>
          <w:bCs w:val="0"/>
        </w:rPr>
      </w:pPr>
      <w:r>
        <w:rPr/>
        <w:t>二、</w:t>
      </w:r>
      <w:r>
        <w:rPr>
          <w:spacing w:val="135"/>
        </w:rPr>
        <w:t> </w:t>
      </w:r>
      <w:r>
        <w:rPr/>
        <w:t>董事长、独立董事及其他董事履职情况</w:t>
      </w:r>
      <w:r>
        <w:rPr>
          <w:b w:val="0"/>
          <w:bCs w:val="0"/>
        </w:rPr>
      </w:r>
    </w:p>
    <w:p>
      <w:pPr>
        <w:spacing w:line="240" w:lineRule="auto" w:before="3"/>
        <w:rPr>
          <w:rFonts w:ascii="宋体" w:hAnsi="宋体" w:cs="宋体" w:eastAsia="宋体" w:hint="default"/>
          <w:b/>
          <w:bCs/>
          <w:sz w:val="23"/>
          <w:szCs w:val="23"/>
        </w:rPr>
      </w:pPr>
    </w:p>
    <w:p>
      <w:pPr>
        <w:pStyle w:val="BodyText"/>
        <w:spacing w:line="357" w:lineRule="auto"/>
        <w:ind w:right="0" w:firstLine="420"/>
        <w:jc w:val="left"/>
      </w:pPr>
      <w:r>
        <w:rPr/>
        <w:t>报告期内，公司董事能按照《公司法》、《证券法》、《上市公司治理准则》、《深圳 </w:t>
      </w:r>
      <w:r>
        <w:rPr>
          <w:spacing w:val="-11"/>
        </w:rPr>
        <w:t>证券交易所股票上市规则》以及《中小企业板块上市公司规范运作指引》、《公司章程》、《董</w:t>
      </w:r>
      <w:r>
        <w:rPr>
          <w:spacing w:val="-100"/>
        </w:rPr>
        <w:t> </w:t>
      </w:r>
      <w:r>
        <w:rPr>
          <w:spacing w:val="-100"/>
        </w:rPr>
      </w:r>
      <w:r>
        <w:rPr/>
        <w:t>事会议事规则》等法律、法规及规章制度的要求，诚实守信，发挥各自的专业特长、技能和 经验，积极地履行职责，出席公司相关的会议，认真审议各项董事会议案，切实维护公司及 股东特别是社会公众股股东的权益。</w:t>
      </w:r>
    </w:p>
    <w:p>
      <w:pPr>
        <w:pStyle w:val="BodyText"/>
        <w:spacing w:line="357" w:lineRule="auto" w:before="34"/>
        <w:ind w:right="1170" w:firstLine="420"/>
        <w:jc w:val="both"/>
      </w:pPr>
      <w:r>
        <w:rPr/>
        <w:t>公司董事长能按照各项法律法规的要求，依法行使权力，履行职责，积极推动公司内部 各项制度的制订和完善，加强董事会建设。公司董事长依法召集、主持董事会会议，严格董 事会集体决策机制，并积极督促执行股东大会和董事会的各项决议，保证独立董事和董事会 秘书的知情权，及时将董事会工作运行情况通报所有董事。</w:t>
      </w:r>
    </w:p>
    <w:p>
      <w:pPr>
        <w:pStyle w:val="BodyText"/>
        <w:spacing w:line="240" w:lineRule="auto" w:before="34"/>
        <w:ind w:left="533" w:right="0"/>
        <w:jc w:val="left"/>
      </w:pPr>
      <w:r>
        <w:rPr/>
        <w:t>报告期内</w:t>
      </w:r>
      <w:r>
        <w:rPr>
          <w:spacing w:val="-1"/>
        </w:rPr>
        <w:t>，</w:t>
      </w:r>
      <w:r>
        <w:rPr/>
        <w:t>公司独立董事均能严格按照《公司章程</w:t>
      </w:r>
      <w:r>
        <w:rPr>
          <w:spacing w:val="-120"/>
        </w:rPr>
        <w:t>》、</w:t>
      </w:r>
      <w:r>
        <w:rPr/>
        <w:t>《董事会议事规则</w:t>
      </w:r>
      <w:r>
        <w:rPr>
          <w:spacing w:val="-120"/>
        </w:rPr>
        <w:t>》、</w:t>
      </w:r>
      <w:r>
        <w:rPr/>
        <w:t>《独立董事工</w:t>
      </w:r>
    </w:p>
    <w:p>
      <w:pPr>
        <w:pStyle w:val="BodyText"/>
        <w:spacing w:line="460" w:lineRule="atLeast" w:before="8"/>
        <w:ind w:right="1171"/>
        <w:jc w:val="both"/>
      </w:pPr>
      <w:r>
        <w:rPr/>
        <w:t>作条例》等法律法规和有关规范性文件要求，本着对公司和全体股东诚信、勤勉的态度，忠 实履行职务。</w:t>
      </w:r>
    </w:p>
    <w:p>
      <w:pPr>
        <w:spacing w:after="0" w:line="460" w:lineRule="atLeast"/>
        <w:jc w:val="both"/>
        <w:sectPr>
          <w:pgSz w:w="11910" w:h="16840"/>
          <w:pgMar w:header="920" w:footer="936" w:top="1140" w:bottom="1140" w:left="1020" w:right="0"/>
        </w:sectPr>
      </w:pPr>
    </w:p>
    <w:p>
      <w:pPr>
        <w:pStyle w:val="BodyText"/>
        <w:spacing w:line="357" w:lineRule="auto" w:before="19"/>
        <w:ind w:left="633" w:right="1213"/>
        <w:jc w:val="left"/>
      </w:pPr>
      <w:r>
        <w:rPr/>
        <w:t>报告期内，公司召开一次年度股东大会，两次临时股东大会，独立董事均列席会议。 报告期内，独立董事按时参加了董事会，并对各项议案进行认真审议，对公司与关联方</w:t>
      </w:r>
    </w:p>
    <w:p>
      <w:pPr>
        <w:pStyle w:val="BodyText"/>
        <w:spacing w:line="357" w:lineRule="auto" w:before="34"/>
        <w:ind w:left="212" w:right="1171"/>
        <w:jc w:val="both"/>
      </w:pPr>
      <w:r>
        <w:rPr/>
        <w:t>资金往来、对外担保、内控自我评价报告、续聘会计师事务所、部分闲置募集资金暂时补充 流动资金等事项发表了独立意见，充分发挥了独立董事的作用，维护了公司、全体股东尤其 是公众股东的合法权益，对董事会决策的科学性和客观性及公司的持续、健康、稳定发展起 到了积极的作用。</w:t>
      </w:r>
    </w:p>
    <w:p>
      <w:pPr>
        <w:pStyle w:val="BodyText"/>
        <w:spacing w:line="345" w:lineRule="auto" w:before="77"/>
        <w:ind w:left="212" w:right="1131" w:firstLine="480"/>
        <w:jc w:val="both"/>
      </w:pPr>
      <w:r>
        <w:rPr/>
        <w:t>报告期内，独立董事未对公司董事会审议的议案或其他相关事项提出异议；未提议召开 董事会；同意审计委员会提出的继续聘用深圳市鹏城会计师事务所有限公司为公司</w:t>
      </w:r>
      <w:r>
        <w:rPr>
          <w:spacing w:val="-9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3"/>
        </w:rPr>
        <w:t> </w:t>
      </w:r>
      <w:r>
        <w:rPr/>
        <w:t>年度 的审计机构；未独立聘请外部审计机构和咨询机构。</w:t>
      </w:r>
    </w:p>
    <w:p>
      <w:pPr>
        <w:pStyle w:val="BodyText"/>
        <w:spacing w:line="352" w:lineRule="auto" w:before="89"/>
        <w:ind w:left="212" w:right="1131" w:firstLine="480"/>
        <w:jc w:val="both"/>
      </w:pPr>
      <w:r>
        <w:rPr/>
        <w:t>在年报审计过程中，独立董事与公司经营管理层、审计委员会成员、公司审计监察部以 </w:t>
      </w:r>
      <w:r>
        <w:rPr>
          <w:spacing w:val="-3"/>
        </w:rPr>
        <w:t>及审计师进行了充分的沟通。独立董事在沟通会上听取了公司管理层关于公司</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年度经营</w:t>
      </w:r>
      <w:r>
        <w:rPr>
          <w:spacing w:val="-118"/>
        </w:rPr>
        <w:t> </w:t>
      </w:r>
      <w:r>
        <w:rPr/>
        <w:t>情况和重大事项进展情况的汇报。公司独立董事利用参会时间和业余时间，与公司高管进行</w:t>
      </w:r>
      <w:r>
        <w:rPr>
          <w:spacing w:val="-90"/>
        </w:rPr>
        <w:t> </w:t>
      </w:r>
      <w:r>
        <w:rPr>
          <w:spacing w:val="-90"/>
        </w:rPr>
      </w:r>
      <w:r>
        <w:rPr/>
        <w:t>交流，深入了解公司所处行业整体变化情况、公司生产经营状况、募集资金项目使用情况，</w:t>
      </w:r>
      <w:r>
        <w:rPr>
          <w:spacing w:val="-88"/>
        </w:rPr>
        <w:t> </w:t>
      </w:r>
      <w:r>
        <w:rPr>
          <w:spacing w:val="-88"/>
        </w:rPr>
      </w:r>
      <w:r>
        <w:rPr/>
        <w:t>并提出了一些有价值的意见和建议。</w:t>
      </w:r>
    </w:p>
    <w:p>
      <w:pPr>
        <w:pStyle w:val="BodyText"/>
        <w:spacing w:line="240" w:lineRule="auto" w:before="79"/>
        <w:ind w:left="693" w:right="1116"/>
        <w:jc w:val="left"/>
      </w:pPr>
      <w:r>
        <w:rPr/>
        <w:t>报告期内，独立董事发表独立意见情况如下：</w:t>
      </w:r>
    </w:p>
    <w:p>
      <w:pPr>
        <w:spacing w:line="240" w:lineRule="auto" w:before="10"/>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742"/>
        <w:gridCol w:w="1735"/>
        <w:gridCol w:w="1808"/>
        <w:gridCol w:w="2136"/>
        <w:gridCol w:w="2103"/>
      </w:tblGrid>
      <w:tr>
        <w:trPr>
          <w:trHeight w:val="499"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b/>
                <w:bCs/>
                <w:sz w:val="21"/>
                <w:szCs w:val="21"/>
              </w:rPr>
              <w:t>时间</w:t>
            </w:r>
            <w:r>
              <w:rPr>
                <w:rFonts w:ascii="宋体" w:hAnsi="宋体" w:cs="宋体" w:eastAsia="宋体" w:hint="default"/>
                <w:sz w:val="21"/>
                <w:szCs w:val="21"/>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宋体" w:hAnsi="宋体" w:cs="宋体" w:eastAsia="宋体" w:hint="default"/>
                <w:sz w:val="21"/>
                <w:szCs w:val="21"/>
              </w:rPr>
            </w:pPr>
            <w:r>
              <w:rPr>
                <w:rFonts w:ascii="宋体" w:hAnsi="宋体" w:cs="宋体" w:eastAsia="宋体" w:hint="default"/>
                <w:b/>
                <w:bCs/>
                <w:sz w:val="21"/>
                <w:szCs w:val="21"/>
              </w:rPr>
              <w:t>会议</w:t>
            </w:r>
            <w:r>
              <w:rPr>
                <w:rFonts w:ascii="宋体" w:hAnsi="宋体" w:cs="宋体" w:eastAsia="宋体" w:hint="default"/>
                <w:sz w:val="21"/>
                <w:szCs w:val="21"/>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事项</w:t>
            </w:r>
            <w:r>
              <w:rPr>
                <w:rFonts w:ascii="宋体" w:hAnsi="宋体" w:cs="宋体" w:eastAsia="宋体" w:hint="default"/>
                <w:sz w:val="21"/>
                <w:szCs w:val="21"/>
              </w:rPr>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23" w:right="0"/>
              <w:jc w:val="left"/>
              <w:rPr>
                <w:rFonts w:ascii="宋体" w:hAnsi="宋体" w:cs="宋体" w:eastAsia="宋体" w:hint="default"/>
                <w:sz w:val="21"/>
                <w:szCs w:val="21"/>
              </w:rPr>
            </w:pPr>
            <w:r>
              <w:rPr>
                <w:rFonts w:ascii="宋体" w:hAnsi="宋体" w:cs="宋体" w:eastAsia="宋体" w:hint="default"/>
                <w:b/>
                <w:bCs/>
                <w:sz w:val="21"/>
                <w:szCs w:val="21"/>
              </w:rPr>
              <w:t>意见类型</w:t>
            </w:r>
            <w:r>
              <w:rPr>
                <w:rFonts w:ascii="宋体" w:hAnsi="宋体" w:cs="宋体" w:eastAsia="宋体" w:hint="default"/>
                <w:sz w:val="21"/>
                <w:szCs w:val="21"/>
              </w:rPr>
            </w:r>
          </w:p>
        </w:tc>
      </w:tr>
      <w:tr>
        <w:trPr>
          <w:trHeight w:val="790"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15"/>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52"/>
              <w:ind w:left="105" w:right="96"/>
              <w:jc w:val="left"/>
              <w:rPr>
                <w:rFonts w:ascii="宋体" w:hAnsi="宋体" w:cs="宋体" w:eastAsia="宋体" w:hint="default"/>
                <w:sz w:val="18"/>
                <w:szCs w:val="18"/>
              </w:rPr>
            </w:pPr>
            <w:r>
              <w:rPr>
                <w:rFonts w:ascii="宋体" w:hAnsi="宋体" w:cs="宋体" w:eastAsia="宋体" w:hint="default"/>
                <w:spacing w:val="7"/>
                <w:sz w:val="18"/>
                <w:szCs w:val="18"/>
              </w:rPr>
              <w:t>第三届董事会</w:t>
            </w:r>
            <w:r>
              <w:rPr>
                <w:rFonts w:ascii="宋体" w:hAnsi="宋体" w:cs="宋体" w:eastAsia="宋体" w:hint="default"/>
                <w:spacing w:val="16"/>
                <w:sz w:val="18"/>
                <w:szCs w:val="18"/>
              </w:rPr>
              <w:t> </w:t>
            </w:r>
            <w:r>
              <w:rPr>
                <w:rFonts w:ascii="宋体" w:hAnsi="宋体" w:cs="宋体" w:eastAsia="宋体" w:hint="default"/>
                <w:sz w:val="18"/>
                <w:szCs w:val="18"/>
              </w:rPr>
              <w:t>2011</w:t>
            </w:r>
            <w:r>
              <w:rPr>
                <w:rFonts w:ascii="宋体" w:hAnsi="宋体" w:cs="宋体" w:eastAsia="宋体" w:hint="default"/>
                <w:spacing w:val="1"/>
                <w:sz w:val="18"/>
                <w:szCs w:val="18"/>
              </w:rPr>
              <w:t> </w:t>
            </w:r>
            <w:r>
              <w:rPr>
                <w:rFonts w:ascii="宋体" w:hAnsi="宋体" w:cs="宋体" w:eastAsia="宋体" w:hint="default"/>
                <w:sz w:val="18"/>
                <w:szCs w:val="18"/>
              </w:rPr>
              <w:t>年第一次会议</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100"/>
              <w:jc w:val="both"/>
              <w:rPr>
                <w:rFonts w:ascii="宋体" w:hAnsi="宋体" w:cs="宋体" w:eastAsia="宋体" w:hint="default"/>
                <w:sz w:val="18"/>
                <w:szCs w:val="18"/>
              </w:rPr>
            </w:pPr>
            <w:r>
              <w:rPr>
                <w:rFonts w:ascii="宋体" w:hAnsi="宋体" w:cs="宋体" w:eastAsia="宋体" w:hint="default"/>
                <w:spacing w:val="11"/>
                <w:sz w:val="18"/>
                <w:szCs w:val="18"/>
              </w:rPr>
              <w:t>《关于公司继续使用部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分闲置募集资金补充流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动资金的议案》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1958"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
              <w:jc w:val="center"/>
              <w:rPr>
                <w:rFonts w:ascii="宋体" w:hAnsi="宋体" w:cs="宋体" w:eastAsia="宋体" w:hint="default"/>
                <w:sz w:val="18"/>
                <w:szCs w:val="18"/>
              </w:rPr>
            </w:pPr>
            <w:r>
              <w:rPr>
                <w:rFonts w:ascii="宋体"/>
                <w:sz w:val="18"/>
              </w:rPr>
              <w:t>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15"/>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32" w:lineRule="exact"/>
              <w:ind w:left="105" w:right="96"/>
              <w:jc w:val="left"/>
              <w:rPr>
                <w:rFonts w:ascii="宋体" w:hAnsi="宋体" w:cs="宋体" w:eastAsia="宋体" w:hint="default"/>
                <w:sz w:val="18"/>
                <w:szCs w:val="18"/>
              </w:rPr>
            </w:pPr>
            <w:r>
              <w:rPr>
                <w:rFonts w:ascii="宋体" w:hAnsi="宋体" w:cs="宋体" w:eastAsia="宋体" w:hint="default"/>
                <w:spacing w:val="7"/>
                <w:sz w:val="18"/>
                <w:szCs w:val="18"/>
              </w:rPr>
              <w:t>第三届董事会</w:t>
            </w:r>
            <w:r>
              <w:rPr>
                <w:rFonts w:ascii="宋体" w:hAnsi="宋体" w:cs="宋体" w:eastAsia="宋体" w:hint="default"/>
                <w:spacing w:val="16"/>
                <w:sz w:val="18"/>
                <w:szCs w:val="18"/>
              </w:rPr>
              <w:t> </w:t>
            </w:r>
            <w:r>
              <w:rPr>
                <w:rFonts w:ascii="宋体" w:hAnsi="宋体" w:cs="宋体" w:eastAsia="宋体" w:hint="default"/>
                <w:sz w:val="18"/>
                <w:szCs w:val="18"/>
              </w:rPr>
              <w:t>2011</w:t>
            </w:r>
            <w:r>
              <w:rPr>
                <w:rFonts w:ascii="宋体" w:hAnsi="宋体" w:cs="宋体" w:eastAsia="宋体" w:hint="default"/>
                <w:spacing w:val="1"/>
                <w:sz w:val="18"/>
                <w:szCs w:val="18"/>
              </w:rPr>
              <w:t> </w:t>
            </w:r>
            <w:r>
              <w:rPr>
                <w:rFonts w:ascii="宋体" w:hAnsi="宋体" w:cs="宋体" w:eastAsia="宋体" w:hint="default"/>
                <w:sz w:val="18"/>
                <w:szCs w:val="18"/>
              </w:rPr>
              <w:t>年第三次会议</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98"/>
              <w:jc w:val="both"/>
              <w:rPr>
                <w:rFonts w:ascii="宋体" w:hAnsi="宋体" w:cs="宋体" w:eastAsia="宋体" w:hint="default"/>
                <w:sz w:val="18"/>
                <w:szCs w:val="18"/>
              </w:rPr>
            </w:pPr>
            <w:r>
              <w:rPr>
                <w:rFonts w:ascii="宋体" w:hAnsi="宋体" w:cs="宋体" w:eastAsia="宋体" w:hint="default"/>
                <w:spacing w:val="11"/>
                <w:sz w:val="18"/>
                <w:szCs w:val="18"/>
              </w:rPr>
              <w:t>《关于续聘深圳市鹏城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会计师事务所有限公司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为公司 </w:t>
            </w:r>
            <w:r>
              <w:rPr>
                <w:rFonts w:ascii="宋体" w:hAnsi="宋体" w:cs="宋体" w:eastAsia="宋体" w:hint="default"/>
                <w:sz w:val="18"/>
                <w:szCs w:val="18"/>
              </w:rPr>
              <w:t>2011</w:t>
            </w:r>
            <w:r>
              <w:rPr>
                <w:rFonts w:ascii="宋体" w:hAnsi="宋体" w:cs="宋体" w:eastAsia="宋体" w:hint="default"/>
                <w:spacing w:val="-59"/>
                <w:sz w:val="18"/>
                <w:szCs w:val="18"/>
              </w:rPr>
              <w:t> </w:t>
            </w:r>
            <w:r>
              <w:rPr>
                <w:rFonts w:ascii="宋体" w:hAnsi="宋体" w:cs="宋体" w:eastAsia="宋体" w:hint="default"/>
                <w:sz w:val="18"/>
                <w:szCs w:val="18"/>
              </w:rPr>
              <w:t>年审计会计 </w:t>
            </w:r>
            <w:r>
              <w:rPr>
                <w:rFonts w:ascii="宋体" w:hAnsi="宋体" w:cs="宋体" w:eastAsia="宋体" w:hint="default"/>
                <w:spacing w:val="-18"/>
                <w:sz w:val="18"/>
                <w:szCs w:val="18"/>
              </w:rPr>
              <w:t>师事务所的议案》、《</w:t>
            </w:r>
            <w:r>
              <w:rPr>
                <w:rFonts w:ascii="宋体" w:hAnsi="宋体" w:cs="宋体" w:eastAsia="宋体" w:hint="default"/>
                <w:spacing w:val="-18"/>
                <w:sz w:val="18"/>
                <w:szCs w:val="18"/>
              </w:rPr>
              <w:t>2010</w:t>
            </w:r>
            <w:r>
              <w:rPr>
                <w:rFonts w:ascii="宋体" w:hAnsi="宋体" w:cs="宋体" w:eastAsia="宋体" w:hint="default"/>
                <w:spacing w:val="-78"/>
                <w:sz w:val="18"/>
                <w:szCs w:val="18"/>
              </w:rPr>
              <w:t> </w:t>
            </w:r>
            <w:r>
              <w:rPr>
                <w:rFonts w:ascii="宋体" w:hAnsi="宋体" w:cs="宋体" w:eastAsia="宋体" w:hint="default"/>
                <w:spacing w:val="11"/>
                <w:sz w:val="18"/>
                <w:szCs w:val="18"/>
              </w:rPr>
              <w:t>年度内部控制自我评价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1"/>
                <w:sz w:val="18"/>
                <w:szCs w:val="18"/>
              </w:rPr>
              <w:t>报告》、《公司关联方资金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1"/>
                <w:sz w:val="18"/>
                <w:szCs w:val="18"/>
              </w:rPr>
              <w:t>往来及对外担保情况的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专项说明》</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865" w:hRule="exact"/>
        </w:trPr>
        <w:tc>
          <w:tcPr>
            <w:tcW w:w="7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3</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32" w:lineRule="exact"/>
              <w:ind w:left="105" w:right="96"/>
              <w:jc w:val="left"/>
              <w:rPr>
                <w:rFonts w:ascii="宋体" w:hAnsi="宋体" w:cs="宋体" w:eastAsia="宋体" w:hint="default"/>
                <w:sz w:val="18"/>
                <w:szCs w:val="18"/>
              </w:rPr>
            </w:pPr>
            <w:r>
              <w:rPr>
                <w:rFonts w:ascii="宋体" w:hAnsi="宋体" w:cs="宋体" w:eastAsia="宋体" w:hint="default"/>
                <w:spacing w:val="7"/>
                <w:sz w:val="18"/>
                <w:szCs w:val="18"/>
              </w:rPr>
              <w:t>第三届董事会</w:t>
            </w:r>
            <w:r>
              <w:rPr>
                <w:rFonts w:ascii="宋体" w:hAnsi="宋体" w:cs="宋体" w:eastAsia="宋体" w:hint="default"/>
                <w:spacing w:val="16"/>
                <w:sz w:val="18"/>
                <w:szCs w:val="18"/>
              </w:rPr>
              <w:t> </w:t>
            </w:r>
            <w:r>
              <w:rPr>
                <w:rFonts w:ascii="宋体" w:hAnsi="宋体" w:cs="宋体" w:eastAsia="宋体" w:hint="default"/>
                <w:sz w:val="18"/>
                <w:szCs w:val="18"/>
              </w:rPr>
              <w:t>2011</w:t>
            </w:r>
            <w:r>
              <w:rPr>
                <w:rFonts w:ascii="宋体" w:hAnsi="宋体" w:cs="宋体" w:eastAsia="宋体" w:hint="default"/>
                <w:spacing w:val="1"/>
                <w:sz w:val="18"/>
                <w:szCs w:val="18"/>
              </w:rPr>
              <w:t> </w:t>
            </w:r>
            <w:r>
              <w:rPr>
                <w:rFonts w:ascii="宋体" w:hAnsi="宋体" w:cs="宋体" w:eastAsia="宋体" w:hint="default"/>
                <w:sz w:val="18"/>
                <w:szCs w:val="18"/>
              </w:rPr>
              <w:t>年第七次会议</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6"/>
              <w:ind w:left="103" w:right="100"/>
              <w:jc w:val="both"/>
              <w:rPr>
                <w:rFonts w:ascii="宋体" w:hAnsi="宋体" w:cs="宋体" w:eastAsia="宋体" w:hint="default"/>
                <w:sz w:val="18"/>
                <w:szCs w:val="18"/>
              </w:rPr>
            </w:pPr>
            <w:r>
              <w:rPr>
                <w:rFonts w:ascii="宋体" w:hAnsi="宋体" w:cs="宋体" w:eastAsia="宋体" w:hint="default"/>
                <w:spacing w:val="11"/>
                <w:sz w:val="18"/>
                <w:szCs w:val="18"/>
              </w:rPr>
              <w:t>《关于调整公司第三届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经营管理层部分高级管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理人员薪酬的议案》、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2892" w:hRule="exact"/>
        </w:trPr>
        <w:tc>
          <w:tcPr>
            <w:tcW w:w="742"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c>
          <w:tcPr>
            <w:tcW w:w="1808" w:type="dxa"/>
            <w:vMerge/>
            <w:tcBorders>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7" w:lineRule="auto"/>
              <w:ind w:left="103" w:right="100"/>
              <w:jc w:val="both"/>
              <w:rPr>
                <w:rFonts w:ascii="宋体" w:hAnsi="宋体" w:cs="宋体" w:eastAsia="宋体" w:hint="default"/>
                <w:sz w:val="18"/>
                <w:szCs w:val="18"/>
              </w:rPr>
            </w:pPr>
            <w:r>
              <w:rPr>
                <w:rFonts w:ascii="宋体" w:hAnsi="宋体" w:cs="宋体" w:eastAsia="宋体" w:hint="default"/>
                <w:spacing w:val="11"/>
                <w:sz w:val="18"/>
                <w:szCs w:val="18"/>
              </w:rPr>
              <w:t>对公司控股股东及其他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关联方资金占用和对外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担保情况的专项说明及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独立意见</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92"/>
              <w:jc w:val="both"/>
              <w:rPr>
                <w:rFonts w:ascii="宋体" w:hAnsi="宋体" w:cs="宋体" w:eastAsia="宋体" w:hint="default"/>
                <w:sz w:val="18"/>
                <w:szCs w:val="18"/>
              </w:rPr>
            </w:pPr>
            <w:r>
              <w:rPr>
                <w:rFonts w:ascii="宋体" w:hAnsi="宋体" w:cs="宋体" w:eastAsia="宋体" w:hint="default"/>
                <w:spacing w:val="4"/>
                <w:sz w:val="18"/>
                <w:szCs w:val="18"/>
              </w:rPr>
              <w:t>认为 </w:t>
            </w:r>
            <w:r>
              <w:rPr>
                <w:rFonts w:ascii="宋体" w:hAnsi="宋体" w:cs="宋体" w:eastAsia="宋体" w:hint="default"/>
                <w:sz w:val="18"/>
                <w:szCs w:val="18"/>
              </w:rPr>
              <w:t>2011</w:t>
            </w:r>
            <w:r>
              <w:rPr>
                <w:rFonts w:ascii="宋体" w:hAnsi="宋体" w:cs="宋体" w:eastAsia="宋体" w:hint="default"/>
                <w:spacing w:val="31"/>
                <w:sz w:val="18"/>
                <w:szCs w:val="18"/>
              </w:rPr>
              <w:t> </w:t>
            </w:r>
            <w:r>
              <w:rPr>
                <w:rFonts w:ascii="宋体" w:hAnsi="宋体" w:cs="宋体" w:eastAsia="宋体" w:hint="default"/>
                <w:spacing w:val="9"/>
                <w:sz w:val="18"/>
                <w:szCs w:val="18"/>
              </w:rPr>
              <w:t>年上半年公 司与关联方的累计和当 期资金往来属正常的经 营性资金往来，公司控 股股东及其他关联方不 存在违规占用公司资金 的情况；公司没有发生 上述文件规定的违规对 外担保情况，也不存在 以前年度发生并累计至 </w:t>
            </w:r>
            <w:r>
              <w:rPr>
                <w:rFonts w:ascii="宋体" w:hAnsi="宋体" w:cs="宋体" w:eastAsia="宋体" w:hint="default"/>
                <w:sz w:val="18"/>
                <w:szCs w:val="18"/>
              </w:rPr>
              <w:t>2011</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4"/>
                <w:sz w:val="18"/>
                <w:szCs w:val="18"/>
              </w:rPr>
              <w:t> </w:t>
            </w:r>
            <w:r>
              <w:rPr>
                <w:rFonts w:ascii="宋体" w:hAnsi="宋体" w:cs="宋体" w:eastAsia="宋体" w:hint="default"/>
                <w:sz w:val="18"/>
                <w:szCs w:val="18"/>
              </w:rPr>
              <w:t>日的违规 对外担保情况。</w:t>
            </w:r>
          </w:p>
        </w:tc>
      </w:tr>
    </w:tbl>
    <w:p>
      <w:pPr>
        <w:spacing w:after="0" w:line="237" w:lineRule="auto"/>
        <w:jc w:val="both"/>
        <w:rPr>
          <w:rFonts w:ascii="宋体" w:hAnsi="宋体" w:cs="宋体" w:eastAsia="宋体" w:hint="default"/>
          <w:sz w:val="18"/>
          <w:szCs w:val="18"/>
        </w:rPr>
        <w:sectPr>
          <w:headerReference w:type="default" r:id="rId17"/>
          <w:pgSz w:w="11910" w:h="16840"/>
          <w:pgMar w:header="920" w:footer="936" w:top="1140" w:bottom="1140" w:left="920" w:right="0"/>
        </w:sectPr>
      </w:pPr>
    </w:p>
    <w:p>
      <w:pPr>
        <w:spacing w:line="240" w:lineRule="auto" w:before="7"/>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42"/>
        <w:gridCol w:w="1735"/>
        <w:gridCol w:w="1808"/>
        <w:gridCol w:w="2136"/>
        <w:gridCol w:w="2103"/>
      </w:tblGrid>
      <w:tr>
        <w:trPr>
          <w:trHeight w:val="1258"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46"/>
              <w:ind w:left="105" w:right="96"/>
              <w:jc w:val="left"/>
              <w:rPr>
                <w:rFonts w:ascii="宋体" w:hAnsi="宋体" w:cs="宋体" w:eastAsia="宋体" w:hint="default"/>
                <w:sz w:val="18"/>
                <w:szCs w:val="18"/>
              </w:rPr>
            </w:pPr>
            <w:r>
              <w:rPr>
                <w:rFonts w:ascii="宋体" w:hAnsi="宋体" w:cs="宋体" w:eastAsia="宋体" w:hint="default"/>
                <w:spacing w:val="7"/>
                <w:sz w:val="18"/>
                <w:szCs w:val="18"/>
              </w:rPr>
              <w:t>第三届董事会</w:t>
            </w:r>
            <w:r>
              <w:rPr>
                <w:rFonts w:ascii="宋体" w:hAnsi="宋体" w:cs="宋体" w:eastAsia="宋体" w:hint="default"/>
                <w:spacing w:val="16"/>
                <w:sz w:val="18"/>
                <w:szCs w:val="18"/>
              </w:rPr>
              <w:t> </w:t>
            </w:r>
            <w:r>
              <w:rPr>
                <w:rFonts w:ascii="宋体" w:hAnsi="宋体" w:cs="宋体" w:eastAsia="宋体" w:hint="default"/>
                <w:sz w:val="18"/>
                <w:szCs w:val="18"/>
              </w:rPr>
              <w:t>2011</w:t>
            </w:r>
            <w:r>
              <w:rPr>
                <w:rFonts w:ascii="宋体" w:hAnsi="宋体" w:cs="宋体" w:eastAsia="宋体" w:hint="default"/>
                <w:spacing w:val="1"/>
                <w:sz w:val="18"/>
                <w:szCs w:val="18"/>
              </w:rPr>
              <w:t> </w:t>
            </w:r>
            <w:r>
              <w:rPr>
                <w:rFonts w:ascii="宋体" w:hAnsi="宋体" w:cs="宋体" w:eastAsia="宋体" w:hint="default"/>
                <w:sz w:val="18"/>
                <w:szCs w:val="18"/>
              </w:rPr>
              <w:t>年第八次会议</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103" w:right="100"/>
              <w:jc w:val="both"/>
              <w:rPr>
                <w:rFonts w:ascii="宋体" w:hAnsi="宋体" w:cs="宋体" w:eastAsia="宋体" w:hint="default"/>
                <w:sz w:val="18"/>
                <w:szCs w:val="18"/>
              </w:rPr>
            </w:pPr>
            <w:r>
              <w:rPr>
                <w:rFonts w:ascii="宋体" w:hAnsi="宋体" w:cs="宋体" w:eastAsia="宋体" w:hint="default"/>
                <w:spacing w:val="11"/>
                <w:sz w:val="18"/>
                <w:szCs w:val="18"/>
              </w:rPr>
              <w:t>《关于公司继续使用部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分闲置募集资金补充流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1"/>
                <w:sz w:val="18"/>
                <w:szCs w:val="18"/>
              </w:rPr>
              <w:t>动资金的议案》、《关于调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1"/>
                <w:sz w:val="18"/>
                <w:szCs w:val="18"/>
              </w:rPr>
              <w:t>整公司独立董事薪酬的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同意</w:t>
            </w:r>
          </w:p>
        </w:tc>
      </w:tr>
    </w:tbl>
    <w:p>
      <w:pPr>
        <w:spacing w:line="240" w:lineRule="auto" w:before="0"/>
        <w:rPr>
          <w:rFonts w:ascii="宋体" w:hAnsi="宋体" w:cs="宋体" w:eastAsia="宋体" w:hint="default"/>
          <w:sz w:val="20"/>
          <w:szCs w:val="20"/>
        </w:rPr>
      </w:pPr>
    </w:p>
    <w:p>
      <w:pPr>
        <w:pStyle w:val="BodyText"/>
        <w:spacing w:line="240" w:lineRule="auto" w:before="192"/>
        <w:ind w:left="693" w:right="1116"/>
        <w:jc w:val="left"/>
      </w:pPr>
      <w:r>
        <w:rPr/>
        <w:t>报告期内，公司共召开了十一次董事会会议，各位董事出席情况如下：</w:t>
      </w:r>
    </w:p>
    <w:p>
      <w:pPr>
        <w:spacing w:line="240" w:lineRule="auto" w:before="11"/>
        <w:rPr>
          <w:rFonts w:ascii="宋体" w:hAnsi="宋体" w:cs="宋体" w:eastAsia="宋体" w:hint="default"/>
          <w:sz w:val="17"/>
          <w:szCs w:val="17"/>
        </w:rPr>
      </w:pPr>
    </w:p>
    <w:tbl>
      <w:tblPr>
        <w:tblW w:w="0" w:type="auto"/>
        <w:jc w:val="left"/>
        <w:tblInd w:w="207" w:type="dxa"/>
        <w:tblLayout w:type="fixed"/>
        <w:tblCellMar>
          <w:top w:w="0" w:type="dxa"/>
          <w:left w:w="0" w:type="dxa"/>
          <w:bottom w:w="0" w:type="dxa"/>
          <w:right w:w="0" w:type="dxa"/>
        </w:tblCellMar>
        <w:tblLook w:val="01E0"/>
      </w:tblPr>
      <w:tblGrid>
        <w:gridCol w:w="1044"/>
        <w:gridCol w:w="1046"/>
        <w:gridCol w:w="1121"/>
        <w:gridCol w:w="1046"/>
        <w:gridCol w:w="1047"/>
        <w:gridCol w:w="1044"/>
        <w:gridCol w:w="1046"/>
        <w:gridCol w:w="1047"/>
      </w:tblGrid>
      <w:tr>
        <w:trPr>
          <w:trHeight w:val="1141" w:hRule="exact"/>
        </w:trPr>
        <w:tc>
          <w:tcPr>
            <w:tcW w:w="10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b/>
                <w:bCs/>
                <w:sz w:val="18"/>
                <w:szCs w:val="18"/>
              </w:rPr>
              <w:t>董事姓名</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 w:right="0"/>
              <w:jc w:val="center"/>
              <w:rPr>
                <w:rFonts w:ascii="宋体" w:hAnsi="宋体" w:cs="宋体" w:eastAsia="宋体" w:hint="default"/>
                <w:sz w:val="18"/>
                <w:szCs w:val="18"/>
              </w:rPr>
            </w:pPr>
            <w:r>
              <w:rPr>
                <w:rFonts w:ascii="宋体" w:hAnsi="宋体" w:cs="宋体" w:eastAsia="宋体" w:hint="default"/>
                <w:b/>
                <w:bCs/>
                <w:sz w:val="18"/>
                <w:szCs w:val="18"/>
              </w:rPr>
              <w:t>具体职务</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 w:right="0"/>
              <w:jc w:val="center"/>
              <w:rPr>
                <w:rFonts w:ascii="宋体" w:hAnsi="宋体" w:cs="宋体" w:eastAsia="宋体" w:hint="default"/>
                <w:sz w:val="18"/>
                <w:szCs w:val="18"/>
              </w:rPr>
            </w:pPr>
            <w:r>
              <w:rPr>
                <w:rFonts w:ascii="宋体" w:hAnsi="宋体" w:cs="宋体" w:eastAsia="宋体" w:hint="default"/>
                <w:b/>
                <w:bCs/>
                <w:sz w:val="18"/>
                <w:szCs w:val="18"/>
              </w:rPr>
              <w:t>应出席次数</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4"/>
                <w:szCs w:val="14"/>
              </w:rPr>
            </w:pPr>
          </w:p>
          <w:p>
            <w:pPr>
              <w:pStyle w:val="TableParagraph"/>
              <w:spacing w:line="355" w:lineRule="auto"/>
              <w:ind w:left="429" w:right="65" w:hanging="363"/>
              <w:jc w:val="left"/>
              <w:rPr>
                <w:rFonts w:ascii="宋体" w:hAnsi="宋体" w:cs="宋体" w:eastAsia="宋体" w:hint="default"/>
                <w:sz w:val="18"/>
                <w:szCs w:val="18"/>
              </w:rPr>
            </w:pPr>
            <w:r>
              <w:rPr>
                <w:rFonts w:ascii="宋体" w:hAnsi="宋体" w:cs="宋体" w:eastAsia="宋体" w:hint="default"/>
                <w:b/>
                <w:bCs/>
                <w:sz w:val="18"/>
                <w:szCs w:val="18"/>
              </w:rPr>
              <w:t>现场出席次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5" w:lineRule="auto" w:before="9"/>
              <w:ind w:left="67" w:right="65"/>
              <w:jc w:val="center"/>
              <w:rPr>
                <w:rFonts w:ascii="宋体" w:hAnsi="宋体" w:cs="宋体" w:eastAsia="宋体" w:hint="default"/>
                <w:sz w:val="18"/>
                <w:szCs w:val="18"/>
              </w:rPr>
            </w:pPr>
            <w:r>
              <w:rPr>
                <w:rFonts w:ascii="宋体" w:hAnsi="宋体" w:cs="宋体" w:eastAsia="宋体" w:hint="default"/>
                <w:b/>
                <w:bCs/>
                <w:sz w:val="18"/>
                <w:szCs w:val="18"/>
              </w:rPr>
              <w:t>以通讯方式</w:t>
            </w:r>
            <w:r>
              <w:rPr>
                <w:rFonts w:ascii="宋体" w:hAnsi="宋体" w:cs="宋体" w:eastAsia="宋体" w:hint="default"/>
                <w:b/>
                <w:bCs/>
                <w:w w:val="99"/>
                <w:sz w:val="18"/>
                <w:szCs w:val="18"/>
              </w:rPr>
              <w:t> </w:t>
            </w:r>
            <w:r>
              <w:rPr>
                <w:rFonts w:ascii="宋体" w:hAnsi="宋体" w:cs="宋体" w:eastAsia="宋体" w:hint="default"/>
                <w:b/>
                <w:bCs/>
                <w:sz w:val="18"/>
                <w:szCs w:val="18"/>
              </w:rPr>
              <w:t>参加会议次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4"/>
                <w:szCs w:val="14"/>
              </w:rPr>
            </w:pPr>
          </w:p>
          <w:p>
            <w:pPr>
              <w:pStyle w:val="TableParagraph"/>
              <w:spacing w:line="355" w:lineRule="auto"/>
              <w:ind w:left="429" w:right="63" w:hanging="363"/>
              <w:jc w:val="left"/>
              <w:rPr>
                <w:rFonts w:ascii="宋体" w:hAnsi="宋体" w:cs="宋体" w:eastAsia="宋体" w:hint="default"/>
                <w:sz w:val="18"/>
                <w:szCs w:val="18"/>
              </w:rPr>
            </w:pPr>
            <w:r>
              <w:rPr>
                <w:rFonts w:ascii="宋体" w:hAnsi="宋体" w:cs="宋体" w:eastAsia="宋体" w:hint="default"/>
                <w:b/>
                <w:bCs/>
                <w:sz w:val="18"/>
                <w:szCs w:val="18"/>
              </w:rPr>
              <w:t>委托出席次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b/>
                <w:bCs/>
                <w:sz w:val="18"/>
                <w:szCs w:val="18"/>
              </w:rPr>
              <w:t>缺席次数</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5" w:lineRule="auto" w:before="9"/>
              <w:ind w:left="67" w:right="66"/>
              <w:jc w:val="center"/>
              <w:rPr>
                <w:rFonts w:ascii="宋体" w:hAnsi="宋体" w:cs="宋体" w:eastAsia="宋体" w:hint="default"/>
                <w:sz w:val="18"/>
                <w:szCs w:val="18"/>
              </w:rPr>
            </w:pPr>
            <w:r>
              <w:rPr>
                <w:rFonts w:ascii="宋体" w:hAnsi="宋体" w:cs="宋体" w:eastAsia="宋体" w:hint="default"/>
                <w:b/>
                <w:bCs/>
                <w:sz w:val="18"/>
                <w:szCs w:val="18"/>
              </w:rPr>
              <w:t>是否连续两</w:t>
            </w:r>
            <w:r>
              <w:rPr>
                <w:rFonts w:ascii="宋体" w:hAnsi="宋体" w:cs="宋体" w:eastAsia="宋体" w:hint="default"/>
                <w:b/>
                <w:bCs/>
                <w:w w:val="99"/>
                <w:sz w:val="18"/>
                <w:szCs w:val="18"/>
              </w:rPr>
              <w:t> </w:t>
            </w:r>
            <w:r>
              <w:rPr>
                <w:rFonts w:ascii="宋体" w:hAnsi="宋体" w:cs="宋体" w:eastAsia="宋体" w:hint="default"/>
                <w:b/>
                <w:bCs/>
                <w:sz w:val="18"/>
                <w:szCs w:val="18"/>
              </w:rPr>
              <w:t>次未亲自出</w:t>
            </w:r>
            <w:r>
              <w:rPr>
                <w:rFonts w:ascii="宋体" w:hAnsi="宋体" w:cs="宋体" w:eastAsia="宋体" w:hint="default"/>
                <w:b/>
                <w:bCs/>
                <w:w w:val="99"/>
                <w:sz w:val="18"/>
                <w:szCs w:val="18"/>
              </w:rPr>
              <w:t> </w:t>
            </w:r>
            <w:r>
              <w:rPr>
                <w:rFonts w:ascii="宋体" w:hAnsi="宋体" w:cs="宋体" w:eastAsia="宋体" w:hint="default"/>
                <w:b/>
                <w:bCs/>
                <w:sz w:val="18"/>
                <w:szCs w:val="18"/>
              </w:rPr>
              <w:t>席会议</w:t>
            </w:r>
            <w:r>
              <w:rPr>
                <w:rFonts w:ascii="宋体" w:hAnsi="宋体" w:cs="宋体" w:eastAsia="宋体" w:hint="default"/>
                <w:sz w:val="18"/>
                <w:szCs w:val="18"/>
              </w:rPr>
            </w:r>
          </w:p>
        </w:tc>
      </w:tr>
      <w:tr>
        <w:trPr>
          <w:trHeight w:val="439"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乔鲁予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3"/>
              <w:jc w:val="right"/>
              <w:rPr>
                <w:rFonts w:ascii="宋体" w:hAnsi="宋体" w:cs="宋体" w:eastAsia="宋体" w:hint="default"/>
                <w:sz w:val="21"/>
                <w:szCs w:val="21"/>
              </w:rPr>
            </w:pPr>
            <w:r>
              <w:rPr>
                <w:rFonts w:ascii="宋体"/>
                <w:w w:val="100"/>
                <w:sz w:val="21"/>
              </w:rPr>
              <w:t>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5"/>
              <w:jc w:val="right"/>
              <w:rPr>
                <w:rFonts w:ascii="宋体" w:hAnsi="宋体" w:cs="宋体" w:eastAsia="宋体" w:hint="default"/>
                <w:sz w:val="21"/>
                <w:szCs w:val="21"/>
              </w:rPr>
            </w:pPr>
            <w:r>
              <w:rPr>
                <w:rFonts w:ascii="宋体"/>
                <w:w w:val="100"/>
                <w:sz w:val="21"/>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40"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庄德智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21"/>
                <w:szCs w:val="21"/>
              </w:rPr>
            </w:pPr>
            <w:r>
              <w:rPr>
                <w:rFonts w:ascii="宋体"/>
                <w:w w:val="100"/>
                <w:sz w:val="21"/>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63"/>
              <w:jc w:val="right"/>
              <w:rPr>
                <w:rFonts w:ascii="宋体" w:hAnsi="宋体" w:cs="宋体" w:eastAsia="宋体" w:hint="default"/>
                <w:sz w:val="21"/>
                <w:szCs w:val="21"/>
              </w:rPr>
            </w:pPr>
            <w:r>
              <w:rPr>
                <w:rFonts w:ascii="宋体"/>
                <w:w w:val="100"/>
                <w:sz w:val="21"/>
              </w:rPr>
              <w:t>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65"/>
              <w:jc w:val="right"/>
              <w:rPr>
                <w:rFonts w:ascii="宋体" w:hAnsi="宋体" w:cs="宋体" w:eastAsia="宋体" w:hint="default"/>
                <w:sz w:val="21"/>
                <w:szCs w:val="21"/>
              </w:rPr>
            </w:pPr>
            <w:r>
              <w:rPr>
                <w:rFonts w:ascii="宋体"/>
                <w:w w:val="100"/>
                <w:sz w:val="21"/>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w w:val="100"/>
                <w:sz w:val="21"/>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张明义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sz w:val="21"/>
              </w:rPr>
              <w:t>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3"/>
              <w:jc w:val="right"/>
              <w:rPr>
                <w:rFonts w:ascii="宋体" w:hAnsi="宋体" w:cs="宋体" w:eastAsia="宋体" w:hint="default"/>
                <w:sz w:val="21"/>
                <w:szCs w:val="21"/>
              </w:rPr>
            </w:pPr>
            <w:r>
              <w:rPr>
                <w:rFonts w:ascii="宋体"/>
                <w:w w:val="100"/>
                <w:sz w:val="21"/>
              </w:rPr>
              <w:t>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5"/>
              <w:jc w:val="right"/>
              <w:rPr>
                <w:rFonts w:ascii="宋体" w:hAnsi="宋体" w:cs="宋体" w:eastAsia="宋体" w:hint="default"/>
                <w:sz w:val="21"/>
                <w:szCs w:val="21"/>
              </w:rPr>
            </w:pPr>
            <w:r>
              <w:rPr>
                <w:rFonts w:ascii="宋体"/>
                <w:w w:val="100"/>
                <w:sz w:val="21"/>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39"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侯旭东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3"/>
              <w:jc w:val="right"/>
              <w:rPr>
                <w:rFonts w:ascii="宋体" w:hAnsi="宋体" w:cs="宋体" w:eastAsia="宋体" w:hint="default"/>
                <w:sz w:val="21"/>
                <w:szCs w:val="21"/>
              </w:rPr>
            </w:pPr>
            <w:r>
              <w:rPr>
                <w:rFonts w:ascii="宋体"/>
                <w:w w:val="100"/>
                <w:sz w:val="21"/>
              </w:rPr>
              <w:t>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5"/>
              <w:jc w:val="right"/>
              <w:rPr>
                <w:rFonts w:ascii="宋体" w:hAnsi="宋体" w:cs="宋体" w:eastAsia="宋体" w:hint="default"/>
                <w:sz w:val="21"/>
                <w:szCs w:val="21"/>
              </w:rPr>
            </w:pPr>
            <w:r>
              <w:rPr>
                <w:rFonts w:ascii="宋体"/>
                <w:w w:val="100"/>
                <w:sz w:val="21"/>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李德华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sz w:val="21"/>
              </w:rPr>
              <w:t>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3"/>
              <w:jc w:val="right"/>
              <w:rPr>
                <w:rFonts w:ascii="宋体" w:hAnsi="宋体" w:cs="宋体" w:eastAsia="宋体" w:hint="default"/>
                <w:sz w:val="21"/>
                <w:szCs w:val="21"/>
              </w:rPr>
            </w:pPr>
            <w:r>
              <w:rPr>
                <w:rFonts w:ascii="宋体"/>
                <w:w w:val="100"/>
                <w:sz w:val="21"/>
              </w:rPr>
              <w:t>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5"/>
              <w:jc w:val="right"/>
              <w:rPr>
                <w:rFonts w:ascii="宋体" w:hAnsi="宋体" w:cs="宋体" w:eastAsia="宋体" w:hint="default"/>
                <w:sz w:val="21"/>
                <w:szCs w:val="21"/>
              </w:rPr>
            </w:pPr>
            <w:r>
              <w:rPr>
                <w:rFonts w:ascii="宋体"/>
                <w:w w:val="100"/>
                <w:sz w:val="21"/>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w w:val="100"/>
                <w:sz w:val="21"/>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39"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蒋辉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3"/>
              <w:jc w:val="right"/>
              <w:rPr>
                <w:rFonts w:ascii="宋体" w:hAnsi="宋体" w:cs="宋体" w:eastAsia="宋体" w:hint="default"/>
                <w:sz w:val="21"/>
                <w:szCs w:val="21"/>
              </w:rPr>
            </w:pPr>
            <w:r>
              <w:rPr>
                <w:rFonts w:ascii="宋体"/>
                <w:w w:val="100"/>
                <w:sz w:val="21"/>
              </w:rPr>
              <w:t>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5"/>
              <w:jc w:val="right"/>
              <w:rPr>
                <w:rFonts w:ascii="宋体" w:hAnsi="宋体" w:cs="宋体" w:eastAsia="宋体" w:hint="default"/>
                <w:sz w:val="21"/>
                <w:szCs w:val="21"/>
              </w:rPr>
            </w:pPr>
            <w:r>
              <w:rPr>
                <w:rFonts w:ascii="宋体"/>
                <w:w w:val="100"/>
                <w:sz w:val="21"/>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39"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杨启瑞</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3"/>
              <w:jc w:val="right"/>
              <w:rPr>
                <w:rFonts w:ascii="宋体" w:hAnsi="宋体" w:cs="宋体" w:eastAsia="宋体" w:hint="default"/>
                <w:sz w:val="21"/>
                <w:szCs w:val="21"/>
              </w:rPr>
            </w:pPr>
            <w:r>
              <w:rPr>
                <w:rFonts w:ascii="宋体"/>
                <w:w w:val="100"/>
                <w:sz w:val="21"/>
              </w:rPr>
              <w:t>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5"/>
              <w:jc w:val="right"/>
              <w:rPr>
                <w:rFonts w:ascii="宋体" w:hAnsi="宋体" w:cs="宋体" w:eastAsia="宋体" w:hint="default"/>
                <w:sz w:val="21"/>
                <w:szCs w:val="21"/>
              </w:rPr>
            </w:pPr>
            <w:r>
              <w:rPr>
                <w:rFonts w:ascii="宋体"/>
                <w:w w:val="100"/>
                <w:sz w:val="21"/>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李鹏志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w w:val="100"/>
                <w:sz w:val="21"/>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3"/>
              <w:jc w:val="right"/>
              <w:rPr>
                <w:rFonts w:ascii="宋体" w:hAnsi="宋体" w:cs="宋体" w:eastAsia="宋体" w:hint="default"/>
                <w:sz w:val="21"/>
                <w:szCs w:val="21"/>
              </w:rPr>
            </w:pPr>
            <w:r>
              <w:rPr>
                <w:rFonts w:ascii="宋体"/>
                <w:w w:val="100"/>
                <w:sz w:val="21"/>
              </w:rPr>
              <w:t>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5"/>
              <w:jc w:val="right"/>
              <w:rPr>
                <w:rFonts w:ascii="宋体" w:hAnsi="宋体" w:cs="宋体" w:eastAsia="宋体" w:hint="default"/>
                <w:sz w:val="21"/>
                <w:szCs w:val="21"/>
              </w:rPr>
            </w:pPr>
            <w:r>
              <w:rPr>
                <w:rFonts w:ascii="宋体"/>
                <w:w w:val="100"/>
                <w:sz w:val="21"/>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39"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龙隆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3"/>
              <w:jc w:val="right"/>
              <w:rPr>
                <w:rFonts w:ascii="宋体" w:hAnsi="宋体" w:cs="宋体" w:eastAsia="宋体" w:hint="default"/>
                <w:sz w:val="21"/>
                <w:szCs w:val="21"/>
              </w:rPr>
            </w:pPr>
            <w:r>
              <w:rPr>
                <w:rFonts w:ascii="宋体"/>
                <w:w w:val="100"/>
                <w:sz w:val="21"/>
              </w:rPr>
              <w:t>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5"/>
              <w:jc w:val="right"/>
              <w:rPr>
                <w:rFonts w:ascii="宋体" w:hAnsi="宋体" w:cs="宋体" w:eastAsia="宋体" w:hint="default"/>
                <w:sz w:val="21"/>
                <w:szCs w:val="21"/>
              </w:rPr>
            </w:pPr>
            <w:r>
              <w:rPr>
                <w:rFonts w:ascii="宋体"/>
                <w:w w:val="100"/>
                <w:sz w:val="21"/>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李新中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sz w:val="21"/>
              </w:rPr>
              <w:t>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3"/>
              <w:jc w:val="right"/>
              <w:rPr>
                <w:rFonts w:ascii="宋体" w:hAnsi="宋体" w:cs="宋体" w:eastAsia="宋体" w:hint="default"/>
                <w:sz w:val="21"/>
                <w:szCs w:val="21"/>
              </w:rPr>
            </w:pPr>
            <w:r>
              <w:rPr>
                <w:rFonts w:ascii="宋体"/>
                <w:w w:val="100"/>
                <w:sz w:val="21"/>
              </w:rPr>
              <w:t>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5"/>
              <w:jc w:val="right"/>
              <w:rPr>
                <w:rFonts w:ascii="宋体" w:hAnsi="宋体" w:cs="宋体" w:eastAsia="宋体" w:hint="default"/>
                <w:sz w:val="21"/>
                <w:szCs w:val="21"/>
              </w:rPr>
            </w:pPr>
            <w:r>
              <w:rPr>
                <w:rFonts w:ascii="宋体"/>
                <w:w w:val="100"/>
                <w:sz w:val="21"/>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w w:val="100"/>
                <w:sz w:val="21"/>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39"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王忠年</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3"/>
              <w:jc w:val="right"/>
              <w:rPr>
                <w:rFonts w:ascii="宋体" w:hAnsi="宋体" w:cs="宋体" w:eastAsia="宋体" w:hint="default"/>
                <w:sz w:val="21"/>
                <w:szCs w:val="21"/>
              </w:rPr>
            </w:pPr>
            <w:r>
              <w:rPr>
                <w:rFonts w:ascii="宋体"/>
                <w:w w:val="100"/>
                <w:sz w:val="21"/>
              </w:rPr>
              <w:t>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5"/>
              <w:jc w:val="right"/>
              <w:rPr>
                <w:rFonts w:ascii="宋体" w:hAnsi="宋体" w:cs="宋体" w:eastAsia="宋体" w:hint="default"/>
                <w:sz w:val="21"/>
                <w:szCs w:val="21"/>
              </w:rPr>
            </w:pPr>
            <w:r>
              <w:rPr>
                <w:rFonts w:ascii="宋体"/>
                <w:w w:val="100"/>
                <w:sz w:val="21"/>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4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职慧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3"/>
              <w:jc w:val="right"/>
              <w:rPr>
                <w:rFonts w:ascii="宋体" w:hAnsi="宋体" w:cs="宋体" w:eastAsia="宋体" w:hint="default"/>
                <w:sz w:val="21"/>
                <w:szCs w:val="21"/>
              </w:rPr>
            </w:pPr>
            <w:r>
              <w:rPr>
                <w:rFonts w:ascii="宋体"/>
                <w:w w:val="100"/>
                <w:sz w:val="21"/>
              </w:rPr>
              <w:t>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5"/>
              <w:jc w:val="right"/>
              <w:rPr>
                <w:rFonts w:ascii="宋体" w:hAnsi="宋体" w:cs="宋体" w:eastAsia="宋体" w:hint="default"/>
                <w:sz w:val="21"/>
                <w:szCs w:val="21"/>
              </w:rPr>
            </w:pPr>
            <w:r>
              <w:rPr>
                <w:rFonts w:ascii="宋体"/>
                <w:w w:val="100"/>
                <w:sz w:val="21"/>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1053" w:val="left" w:leader="none"/>
        </w:tabs>
        <w:spacing w:line="240" w:lineRule="auto" w:before="181"/>
        <w:ind w:left="212" w:right="1116"/>
        <w:jc w:val="left"/>
        <w:rPr>
          <w:b w:val="0"/>
          <w:bCs w:val="0"/>
        </w:rPr>
      </w:pPr>
      <w:r>
        <w:rPr>
          <w:w w:val="95"/>
        </w:rPr>
        <w:t>三、</w:t>
        <w:tab/>
      </w:r>
      <w:r>
        <w:rPr/>
        <w:t>公司与控股股东在业务、资产、人员、财务、机构等方面的分开情况</w:t>
      </w:r>
      <w:r>
        <w:rPr>
          <w:b w:val="0"/>
          <w:bCs w:val="0"/>
        </w:rPr>
      </w:r>
    </w:p>
    <w:p>
      <w:pPr>
        <w:spacing w:line="240" w:lineRule="auto" w:before="6"/>
        <w:rPr>
          <w:rFonts w:ascii="宋体" w:hAnsi="宋体" w:cs="宋体" w:eastAsia="宋体" w:hint="default"/>
          <w:b/>
          <w:bCs/>
          <w:sz w:val="23"/>
          <w:szCs w:val="23"/>
        </w:rPr>
      </w:pPr>
    </w:p>
    <w:p>
      <w:pPr>
        <w:pStyle w:val="BodyText"/>
        <w:spacing w:line="355" w:lineRule="auto"/>
        <w:ind w:left="212" w:right="1154" w:firstLine="480"/>
        <w:jc w:val="left"/>
      </w:pPr>
      <w:r>
        <w:rPr/>
        <w:t>公司与控股股东在业务、人员、资产、机构、财务等方面完全分开，公司具有独立完整 组织架构和采购、生产、销售体系，具有独立完整的业务及自主经营能力。</w:t>
      </w:r>
    </w:p>
    <w:p>
      <w:pPr>
        <w:spacing w:line="240" w:lineRule="auto" w:before="5"/>
        <w:rPr>
          <w:rFonts w:ascii="宋体" w:hAnsi="宋体" w:cs="宋体" w:eastAsia="宋体" w:hint="default"/>
          <w:sz w:val="21"/>
          <w:szCs w:val="21"/>
        </w:rPr>
      </w:pPr>
    </w:p>
    <w:p>
      <w:pPr>
        <w:spacing w:line="422" w:lineRule="auto" w:before="0"/>
        <w:ind w:left="693" w:right="997" w:firstLine="86"/>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32"/>
          <w:sz w:val="24"/>
          <w:szCs w:val="24"/>
        </w:rPr>
        <w:t> </w:t>
      </w:r>
      <w:r>
        <w:rPr>
          <w:rFonts w:ascii="宋体" w:hAnsi="宋体" w:cs="宋体" w:eastAsia="宋体" w:hint="default"/>
          <w:b/>
          <w:bCs/>
          <w:sz w:val="24"/>
          <w:szCs w:val="24"/>
        </w:rPr>
        <w:t>公司与控股股东在业务方面分开的情况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公司业务完全独立于控股股东及其下属企业，拥有独立、完整的采购、生产、销售体系，</w:t>
      </w:r>
    </w:p>
    <w:p>
      <w:pPr>
        <w:pStyle w:val="BodyText"/>
        <w:spacing w:line="286" w:lineRule="exact"/>
        <w:ind w:left="212" w:right="1116"/>
        <w:jc w:val="left"/>
      </w:pPr>
      <w:r>
        <w:rPr/>
        <w:t>完全独立开展业务，公司与控股股东及其关联公司不存在同业竞争情况。</w:t>
      </w:r>
    </w:p>
    <w:p>
      <w:pPr>
        <w:spacing w:line="240" w:lineRule="auto" w:before="12"/>
        <w:rPr>
          <w:rFonts w:ascii="宋体" w:hAnsi="宋体" w:cs="宋体" w:eastAsia="宋体" w:hint="default"/>
          <w:sz w:val="29"/>
          <w:szCs w:val="29"/>
        </w:rPr>
      </w:pPr>
    </w:p>
    <w:p>
      <w:pPr>
        <w:tabs>
          <w:tab w:pos="1053" w:val="left" w:leader="none"/>
        </w:tabs>
        <w:spacing w:line="424" w:lineRule="auto" w:before="0"/>
        <w:ind w:left="693" w:right="1169" w:hanging="5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公司与控股股东在资产方面分开的情况</w:t>
      </w:r>
      <w:r>
        <w:rPr>
          <w:rFonts w:ascii="宋体" w:hAnsi="宋体" w:cs="宋体" w:eastAsia="宋体" w:hint="default"/>
          <w:b/>
          <w:bCs/>
          <w:w w:val="99"/>
          <w:sz w:val="24"/>
          <w:szCs w:val="24"/>
        </w:rPr>
        <w:t> </w:t>
      </w:r>
      <w:r>
        <w:rPr>
          <w:rFonts w:ascii="宋体" w:hAnsi="宋体" w:cs="宋体" w:eastAsia="宋体" w:hint="default"/>
          <w:sz w:val="24"/>
          <w:szCs w:val="24"/>
        </w:rPr>
        <w:t>公司与控股股东在资产方面完全分开独立，拥有独立于控股股东的生产经营场所和经营</w:t>
      </w:r>
    </w:p>
    <w:p>
      <w:pPr>
        <w:pStyle w:val="BodyText"/>
        <w:spacing w:line="281" w:lineRule="exact"/>
        <w:ind w:left="212" w:right="1116"/>
        <w:jc w:val="left"/>
      </w:pPr>
      <w:r>
        <w:rPr/>
        <w:t>所需的各项技术、专利和商标，公司资产完整。</w:t>
      </w:r>
    </w:p>
    <w:p>
      <w:pPr>
        <w:spacing w:after="0" w:line="281" w:lineRule="exact"/>
        <w:jc w:val="left"/>
        <w:sectPr>
          <w:pgSz w:w="11910" w:h="16840"/>
          <w:pgMar w:header="920" w:footer="936" w:top="1140" w:bottom="1140" w:left="920" w:right="0"/>
        </w:sectPr>
      </w:pPr>
    </w:p>
    <w:p>
      <w:pPr>
        <w:tabs>
          <w:tab w:pos="953" w:val="left" w:leader="none"/>
        </w:tabs>
        <w:spacing w:line="424" w:lineRule="auto" w:before="19"/>
        <w:ind w:left="533" w:right="1142" w:firstLine="7"/>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公司与控股股东在人员分开方面的情况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公司拥有独立于控股股东的员工队伍，并已建立完善的人事管理制度。公司的总经理、</w:t>
      </w:r>
    </w:p>
    <w:p>
      <w:pPr>
        <w:pStyle w:val="BodyText"/>
        <w:spacing w:line="281" w:lineRule="exact"/>
        <w:ind w:right="0"/>
        <w:jc w:val="both"/>
      </w:pPr>
      <w:r>
        <w:rPr/>
        <w:t>副总经理、董事会秘书、财务总监等高级管理人员专职在本公司工作并领取薪酬，未在控股</w:t>
      </w:r>
    </w:p>
    <w:p>
      <w:pPr>
        <w:pStyle w:val="BodyText"/>
        <w:spacing w:line="240" w:lineRule="auto" w:before="154"/>
        <w:ind w:right="0"/>
        <w:jc w:val="both"/>
      </w:pPr>
      <w:r>
        <w:rPr/>
        <w:t>股东及其下属企业担任除董事、监事以外的任何职务。</w:t>
      </w:r>
    </w:p>
    <w:p>
      <w:pPr>
        <w:spacing w:line="240" w:lineRule="auto" w:before="12"/>
        <w:rPr>
          <w:rFonts w:ascii="宋体" w:hAnsi="宋体" w:cs="宋体" w:eastAsia="宋体" w:hint="default"/>
          <w:sz w:val="29"/>
          <w:szCs w:val="29"/>
        </w:rPr>
      </w:pPr>
    </w:p>
    <w:p>
      <w:pPr>
        <w:tabs>
          <w:tab w:pos="953" w:val="left" w:leader="none"/>
        </w:tabs>
        <w:spacing w:line="424" w:lineRule="auto" w:before="0"/>
        <w:ind w:left="533" w:right="1133" w:firstLine="7"/>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tab/>
      </w:r>
      <w:r>
        <w:rPr>
          <w:rFonts w:ascii="宋体" w:hAnsi="宋体" w:cs="宋体" w:eastAsia="宋体" w:hint="default"/>
          <w:b/>
          <w:bCs/>
          <w:sz w:val="24"/>
          <w:szCs w:val="24"/>
        </w:rPr>
        <w:t>公司与控股股东在财务方面分开的情况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公司设置了独立的财务部门和审计部门，建立了独立的财务核算体系和财务管理制度，</w:t>
      </w:r>
      <w:r>
        <w:rPr>
          <w:rFonts w:ascii="宋体" w:hAnsi="宋体" w:cs="宋体" w:eastAsia="宋体" w:hint="default"/>
          <w:sz w:val="24"/>
          <w:szCs w:val="24"/>
        </w:rPr>
      </w:r>
    </w:p>
    <w:p>
      <w:pPr>
        <w:pStyle w:val="BodyText"/>
        <w:spacing w:line="283" w:lineRule="exact"/>
        <w:ind w:right="0"/>
        <w:jc w:val="both"/>
      </w:pPr>
      <w:r>
        <w:rPr/>
        <w:t>独立进行财务决策。公司拥有独立的银行账户，不存在与控股股东共用账户的情况，并依法</w:t>
      </w:r>
    </w:p>
    <w:p>
      <w:pPr>
        <w:pStyle w:val="BodyText"/>
        <w:spacing w:line="240" w:lineRule="auto" w:before="151"/>
        <w:ind w:right="0"/>
        <w:jc w:val="both"/>
      </w:pPr>
      <w:r>
        <w:rPr/>
        <w:t>独立进行纳税申报和履行缴纳义务。</w:t>
      </w:r>
    </w:p>
    <w:p>
      <w:pPr>
        <w:spacing w:line="240" w:lineRule="auto" w:before="13"/>
        <w:rPr>
          <w:rFonts w:ascii="宋体" w:hAnsi="宋体" w:cs="宋体" w:eastAsia="宋体" w:hint="default"/>
          <w:sz w:val="29"/>
          <w:szCs w:val="29"/>
        </w:rPr>
      </w:pPr>
    </w:p>
    <w:p>
      <w:pPr>
        <w:tabs>
          <w:tab w:pos="953" w:val="left" w:leader="none"/>
        </w:tabs>
        <w:spacing w:line="424" w:lineRule="auto" w:before="0"/>
        <w:ind w:left="593" w:right="1170" w:hanging="5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tab/>
      </w:r>
      <w:r>
        <w:rPr>
          <w:rFonts w:ascii="宋体" w:hAnsi="宋体" w:cs="宋体" w:eastAsia="宋体" w:hint="default"/>
          <w:b/>
          <w:bCs/>
          <w:sz w:val="24"/>
          <w:szCs w:val="24"/>
        </w:rPr>
        <w:t>公司与控股股东在机构方面分开的情况</w:t>
      </w:r>
      <w:r>
        <w:rPr>
          <w:rFonts w:ascii="宋体" w:hAnsi="宋体" w:cs="宋体" w:eastAsia="宋体" w:hint="default"/>
          <w:b/>
          <w:bCs/>
          <w:w w:val="99"/>
          <w:sz w:val="24"/>
          <w:szCs w:val="24"/>
        </w:rPr>
        <w:t> </w:t>
      </w:r>
      <w:r>
        <w:rPr>
          <w:rFonts w:ascii="宋体" w:hAnsi="宋体" w:cs="宋体" w:eastAsia="宋体" w:hint="default"/>
          <w:sz w:val="24"/>
          <w:szCs w:val="24"/>
        </w:rPr>
        <w:t>公司建立了与公司发展相适应的组织机构体系，独立运作，与控股股东之间不存在机构</w:t>
      </w:r>
    </w:p>
    <w:p>
      <w:pPr>
        <w:pStyle w:val="BodyText"/>
        <w:spacing w:line="283" w:lineRule="exact"/>
        <w:ind w:right="0"/>
        <w:jc w:val="both"/>
      </w:pPr>
      <w:r>
        <w:rPr/>
        <w:t>混同的情形，公司的生产经营和办公机构与控股股东完全分开。公司各组织机构的职能明确。</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四、</w:t>
      </w:r>
      <w:r>
        <w:rPr>
          <w:spacing w:val="136"/>
        </w:rPr>
        <w:t> </w:t>
      </w:r>
      <w:r>
        <w:rPr/>
        <w:t>内部控制制度的健全与完善情况</w:t>
      </w:r>
      <w:r>
        <w:rPr>
          <w:b w:val="0"/>
          <w:bCs w:val="0"/>
        </w:rPr>
      </w:r>
    </w:p>
    <w:p>
      <w:pPr>
        <w:spacing w:line="240" w:lineRule="auto" w:before="6"/>
        <w:rPr>
          <w:rFonts w:ascii="宋体" w:hAnsi="宋体" w:cs="宋体" w:eastAsia="宋体" w:hint="default"/>
          <w:b/>
          <w:bCs/>
          <w:sz w:val="23"/>
          <w:szCs w:val="23"/>
        </w:rPr>
      </w:pPr>
    </w:p>
    <w:p>
      <w:pPr>
        <w:pStyle w:val="BodyText"/>
        <w:spacing w:line="357" w:lineRule="auto"/>
        <w:ind w:right="1133" w:firstLine="480"/>
        <w:jc w:val="both"/>
      </w:pPr>
      <w:r>
        <w:rPr/>
        <w:t>为了加强和规范企业内部控制，增强风险防范能力，促进企业持续健康发展，依据《公 </w:t>
      </w:r>
      <w:r>
        <w:rPr>
          <w:spacing w:val="-22"/>
        </w:rPr>
        <w:t>司法》、《证券法》、《上市公司治理准则》、《企业内部控制基本规范》、《中小企业板上市公司</w:t>
      </w:r>
      <w:r>
        <w:rPr>
          <w:spacing w:val="-85"/>
        </w:rPr>
        <w:t> </w:t>
      </w:r>
      <w:r>
        <w:rPr>
          <w:spacing w:val="-85"/>
        </w:rPr>
      </w:r>
      <w:r>
        <w:rPr/>
        <w:t>规范运作指引》等有关法律法规和规范性文件的要求，公司加强内部控制体系建设，保证公</w:t>
      </w:r>
      <w:r>
        <w:rPr>
          <w:spacing w:val="-87"/>
        </w:rPr>
        <w:t> </w:t>
      </w:r>
      <w:r>
        <w:rPr>
          <w:spacing w:val="-87"/>
        </w:rPr>
      </w:r>
      <w:r>
        <w:rPr/>
        <w:t>司资产的安全完整及财务数据的真实、准确和完整。</w:t>
      </w:r>
    </w:p>
    <w:p>
      <w:pPr>
        <w:pStyle w:val="Heading3"/>
        <w:spacing w:line="448" w:lineRule="auto" w:before="154"/>
        <w:ind w:left="586" w:right="6062" w:hanging="474"/>
        <w:jc w:val="left"/>
        <w:rPr>
          <w:b w:val="0"/>
          <w:bCs w:val="0"/>
        </w:rPr>
      </w:pPr>
      <w:r>
        <w:rPr/>
        <w:t>（一）</w:t>
      </w:r>
      <w:r>
        <w:rPr>
          <w:spacing w:val="-7"/>
        </w:rPr>
        <w:t> </w:t>
      </w:r>
      <w:r>
        <w:rPr/>
        <w:t>内部控制制度的建立健全及执行情况</w:t>
      </w:r>
      <w:r>
        <w:rPr>
          <w:w w:val="99"/>
        </w:rPr>
        <w:t> </w:t>
      </w:r>
      <w:r>
        <w:rPr>
          <w:rFonts w:ascii="宋体" w:hAnsi="宋体" w:cs="宋体" w:eastAsia="宋体" w:hint="default"/>
        </w:rPr>
        <w:t>1</w:t>
      </w:r>
      <w:r>
        <w:rPr/>
        <w:t>、控制环境</w:t>
      </w:r>
      <w:r>
        <w:rPr>
          <w:b w:val="0"/>
          <w:bCs w:val="0"/>
        </w:rPr>
      </w:r>
    </w:p>
    <w:p>
      <w:pPr>
        <w:pStyle w:val="BodyText"/>
        <w:tabs>
          <w:tab w:pos="893" w:val="left" w:leader="none"/>
        </w:tabs>
        <w:spacing w:line="367" w:lineRule="auto" w:before="5"/>
        <w:ind w:left="593" w:right="1139" w:hanging="1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法人治理结构 公司按照《公司法》和其他有关法律法规的要求建立了股东大会、董事会、监事会和经</w:t>
      </w:r>
    </w:p>
    <w:p>
      <w:pPr>
        <w:pStyle w:val="BodyText"/>
        <w:spacing w:line="357" w:lineRule="auto" w:before="27"/>
        <w:ind w:right="1135"/>
        <w:jc w:val="both"/>
      </w:pPr>
      <w:r>
        <w:rPr/>
        <w:t>理层的法人治理结构。公司严格按照《股东大会议事规则》、《董事会议事规则》和《监事</w:t>
      </w:r>
      <w:r>
        <w:rPr>
          <w:spacing w:val="-91"/>
        </w:rPr>
        <w:t> </w:t>
      </w:r>
      <w:r>
        <w:rPr>
          <w:spacing w:val="-91"/>
        </w:rPr>
      </w:r>
      <w:r>
        <w:rPr/>
        <w:t>会议事规则》规范运作，经营决策程序合法合规，公司的组织架构设置保证了公司董事会及</w:t>
      </w:r>
      <w:r>
        <w:rPr>
          <w:spacing w:val="-88"/>
        </w:rPr>
        <w:t> </w:t>
      </w:r>
      <w:r>
        <w:rPr>
          <w:spacing w:val="-88"/>
        </w:rPr>
      </w:r>
      <w:r>
        <w:rPr/>
        <w:t>高级管理人员下达的指令被执行，公司内部控制活动基本涵盖了研发、采购、生产、销售、</w:t>
      </w:r>
      <w:r>
        <w:rPr>
          <w:spacing w:val="-91"/>
        </w:rPr>
        <w:t> </w:t>
      </w:r>
      <w:r>
        <w:rPr>
          <w:spacing w:val="-91"/>
        </w:rPr>
      </w:r>
      <w:r>
        <w:rPr/>
        <w:t>财务、人事、控股子公司、重大投资、关联交易、对外担保、募集资金使用、重大信息内部</w:t>
      </w:r>
      <w:r>
        <w:rPr>
          <w:spacing w:val="-91"/>
        </w:rPr>
        <w:t> </w:t>
      </w:r>
      <w:r>
        <w:rPr>
          <w:spacing w:val="-91"/>
        </w:rPr>
      </w:r>
      <w:r>
        <w:rPr/>
        <w:t>报告和信息披露等公司所有运营环节，公司制定的有关印章管理、风险防范、对外投资及担</w:t>
      </w:r>
      <w:r>
        <w:rPr>
          <w:spacing w:val="-91"/>
        </w:rPr>
        <w:t> </w:t>
      </w:r>
      <w:r>
        <w:rPr>
          <w:spacing w:val="-91"/>
        </w:rPr>
      </w:r>
      <w:r>
        <w:rPr/>
        <w:t>保管理、关联交易管理、信息披露管理等内控制度得到了有效贯彻和执行。</w:t>
      </w:r>
    </w:p>
    <w:p>
      <w:pPr>
        <w:spacing w:after="0" w:line="357" w:lineRule="auto"/>
        <w:jc w:val="both"/>
        <w:sectPr>
          <w:pgSz w:w="11910" w:h="16840"/>
          <w:pgMar w:header="920" w:footer="936" w:top="1140" w:bottom="1140" w:left="1020" w:right="0"/>
        </w:sectPr>
      </w:pPr>
    </w:p>
    <w:p>
      <w:pPr>
        <w:pStyle w:val="BodyText"/>
        <w:tabs>
          <w:tab w:pos="893" w:val="left" w:leader="none"/>
        </w:tabs>
        <w:spacing w:line="369" w:lineRule="auto" w:before="19"/>
        <w:ind w:left="593" w:right="1140" w:hanging="1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内部审计 董事会审计委员会指导公司内部审计部门定期对公司内控制度关键环节执行情况进行检</w:t>
      </w:r>
    </w:p>
    <w:p>
      <w:pPr>
        <w:pStyle w:val="BodyText"/>
        <w:spacing w:line="357" w:lineRule="auto" w:before="22"/>
        <w:ind w:right="1139"/>
        <w:jc w:val="both"/>
      </w:pPr>
      <w:r>
        <w:rPr/>
        <w:t>查。公司制定了《董事会审计委员会工作细则》、《审计委员会年报工作规程》、《内部审</w:t>
      </w:r>
      <w:r>
        <w:rPr>
          <w:spacing w:val="-91"/>
        </w:rPr>
        <w:t> </w:t>
      </w:r>
      <w:r>
        <w:rPr>
          <w:spacing w:val="-91"/>
        </w:rPr>
      </w:r>
      <w:r>
        <w:rPr/>
        <w:t>计制度》等规章制度。董事会下设审计委员会，负责公司内、外部审计的沟通、监督和核查</w:t>
      </w:r>
      <w:r>
        <w:rPr>
          <w:spacing w:val="-91"/>
        </w:rPr>
        <w:t> </w:t>
      </w:r>
      <w:r>
        <w:rPr>
          <w:spacing w:val="-91"/>
        </w:rPr>
      </w:r>
      <w:r>
        <w:rPr/>
        <w:t>工作。董事会审计委员会下设审计监察部，设三名专职人员，负责公司内部审计工作，并直</w:t>
      </w:r>
      <w:r>
        <w:rPr>
          <w:spacing w:val="-91"/>
        </w:rPr>
        <w:t> </w:t>
      </w:r>
      <w:r>
        <w:rPr>
          <w:spacing w:val="-91"/>
        </w:rPr>
      </w:r>
      <w:r>
        <w:rPr/>
        <w:t>接向董事会审计委员会汇报工作。审计监察部在董事会审计委员会的监督与指导下不定期对</w:t>
      </w:r>
      <w:r>
        <w:rPr>
          <w:spacing w:val="-91"/>
        </w:rPr>
        <w:t> </w:t>
      </w:r>
      <w:r>
        <w:rPr>
          <w:spacing w:val="-91"/>
        </w:rPr>
      </w:r>
      <w:r>
        <w:rPr/>
        <w:t>公司财务收支、生产经营活动和其他重大事项进行审计、核查，对经济效益的真实性、合法</w:t>
      </w:r>
      <w:r>
        <w:rPr>
          <w:spacing w:val="-91"/>
        </w:rPr>
        <w:t> </w:t>
      </w:r>
      <w:r>
        <w:rPr>
          <w:spacing w:val="-91"/>
        </w:rPr>
      </w:r>
      <w:r>
        <w:rPr/>
        <w:t>性、合理性做出合理评价，对公司内部管理体系以及各单位内部控制情况进行监督检查。</w:t>
      </w:r>
    </w:p>
    <w:p>
      <w:pPr>
        <w:pStyle w:val="BodyText"/>
        <w:tabs>
          <w:tab w:pos="893" w:val="left" w:leader="none"/>
        </w:tabs>
        <w:spacing w:line="367" w:lineRule="auto" w:before="74"/>
        <w:ind w:left="593" w:right="1140" w:hanging="1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内部管理结构与职责 公司设置了行政部、人力资源部、财务部、品质部、设备动力部、生产部、采购部、设</w:t>
      </w:r>
    </w:p>
    <w:p>
      <w:pPr>
        <w:pStyle w:val="BodyText"/>
        <w:spacing w:line="357" w:lineRule="auto" w:before="26"/>
        <w:ind w:right="1139"/>
        <w:jc w:val="both"/>
      </w:pPr>
      <w:r>
        <w:rPr/>
        <w:t>计中心、营销中心、审计监察部、投资部和董事会办公室等职能部门，并制定了相应的岗位</w:t>
      </w:r>
      <w:r>
        <w:rPr>
          <w:spacing w:val="-91"/>
        </w:rPr>
        <w:t> </w:t>
      </w:r>
      <w:r>
        <w:rPr>
          <w:spacing w:val="-91"/>
        </w:rPr>
      </w:r>
      <w:r>
        <w:rPr/>
        <w:t>职责，各职能部门之间职责明确、分工清晰，贯彻不相容职务相分离的原则，形成相互制衡</w:t>
      </w:r>
      <w:r>
        <w:rPr>
          <w:spacing w:val="-91"/>
        </w:rPr>
        <w:t> </w:t>
      </w:r>
      <w:r>
        <w:rPr>
          <w:spacing w:val="-91"/>
        </w:rPr>
      </w:r>
      <w:r>
        <w:rPr/>
        <w:t>机制，以防止错误或舞弊行为的发生。</w:t>
      </w:r>
    </w:p>
    <w:p>
      <w:pPr>
        <w:spacing w:line="403" w:lineRule="auto" w:before="94"/>
        <w:ind w:left="593" w:right="0"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、内部控制制度的建立情况</w:t>
      </w:r>
      <w:r>
        <w:rPr>
          <w:rFonts w:ascii="宋体" w:hAnsi="宋体" w:cs="宋体" w:eastAsia="宋体" w:hint="default"/>
          <w:b/>
          <w:bCs/>
          <w:w w:val="99"/>
          <w:sz w:val="24"/>
          <w:szCs w:val="24"/>
        </w:rPr>
        <w:t> </w:t>
      </w:r>
      <w:r>
        <w:rPr>
          <w:rFonts w:ascii="宋体" w:hAnsi="宋体" w:cs="宋体" w:eastAsia="宋体" w:hint="default"/>
          <w:sz w:val="24"/>
          <w:szCs w:val="24"/>
        </w:rPr>
        <w:t>为保证公司经营管理合法合规、资产安全、财务报告及相关信息真实、完整，提高生产</w:t>
      </w:r>
    </w:p>
    <w:p>
      <w:pPr>
        <w:pStyle w:val="BodyText"/>
        <w:spacing w:line="357" w:lineRule="auto"/>
        <w:ind w:right="1135"/>
        <w:jc w:val="both"/>
      </w:pPr>
      <w:r>
        <w:rPr/>
        <w:t>经营效率和效果，促进公司发展战略目标的实现，根据《公司法》、《证券法》、《深圳证</w:t>
      </w:r>
      <w:r>
        <w:rPr>
          <w:spacing w:val="-88"/>
        </w:rPr>
        <w:t> </w:t>
      </w:r>
      <w:r>
        <w:rPr>
          <w:spacing w:val="-88"/>
        </w:rPr>
      </w:r>
      <w:r>
        <w:rPr/>
        <w:t>券交易所股票上市规则》等有关法律法规的规定，公司形成了一套完整的包括生产、供应、</w:t>
      </w:r>
      <w:r>
        <w:rPr>
          <w:spacing w:val="-91"/>
        </w:rPr>
        <w:t> </w:t>
      </w:r>
      <w:r>
        <w:rPr>
          <w:spacing w:val="-91"/>
        </w:rPr>
      </w:r>
      <w:r>
        <w:rPr/>
        <w:t>销售、人事、财务和行政管理体系的经营管理内部控制制度。</w:t>
      </w:r>
    </w:p>
    <w:p>
      <w:pPr>
        <w:pStyle w:val="BodyText"/>
        <w:tabs>
          <w:tab w:pos="893" w:val="left" w:leader="none"/>
        </w:tabs>
        <w:spacing w:line="367" w:lineRule="auto" w:before="77"/>
        <w:ind w:left="593" w:right="1140" w:hanging="1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公司治理方面 根据《公司法》、《证券法》、《上市公司治理准则》、《深圳证券交易所股票上市规</w:t>
      </w:r>
    </w:p>
    <w:p>
      <w:pPr>
        <w:pStyle w:val="BodyText"/>
        <w:spacing w:line="240" w:lineRule="auto" w:before="24"/>
        <w:ind w:right="0"/>
        <w:jc w:val="both"/>
      </w:pPr>
      <w:r>
        <w:rPr/>
        <w:t>则》等有关法律、法规等规范性文件和《公司章程》，公司制定了《股东大会议事规则》、</w:t>
      </w:r>
    </w:p>
    <w:p>
      <w:pPr>
        <w:pStyle w:val="BodyText"/>
        <w:spacing w:line="355" w:lineRule="auto" w:before="154"/>
        <w:ind w:right="0"/>
        <w:jc w:val="left"/>
      </w:pPr>
      <w:r>
        <w:rPr/>
        <w:t>《董事会议事规则》、《监事会议事规则》、《独立董事工作条例》、《内幕信息及知情人</w:t>
      </w:r>
      <w:r>
        <w:rPr>
          <w:spacing w:val="-91"/>
        </w:rPr>
        <w:t> </w:t>
      </w:r>
      <w:r>
        <w:rPr>
          <w:spacing w:val="-91"/>
        </w:rPr>
      </w:r>
      <w:r>
        <w:rPr>
          <w:spacing w:val="-8"/>
        </w:rPr>
        <w:t>管理制度》、《子公司管理制度》、《重大信息内部报告制度》、《公开信息披露管理制度》、</w:t>
      </w:r>
    </w:p>
    <w:p>
      <w:pPr>
        <w:pStyle w:val="BodyText"/>
        <w:spacing w:line="240" w:lineRule="auto" w:before="39"/>
        <w:ind w:right="0"/>
        <w:jc w:val="both"/>
      </w:pPr>
      <w:r>
        <w:rPr/>
        <w:t>《募集资金专项存储及使用管理制度》等内部控制制度，以保证公司的规范运作。</w:t>
      </w:r>
    </w:p>
    <w:p>
      <w:pPr>
        <w:pStyle w:val="BodyText"/>
        <w:spacing w:line="240" w:lineRule="auto" w:before="192"/>
        <w:ind w:left="593" w:right="0"/>
        <w:jc w:val="left"/>
      </w:pPr>
      <w:r>
        <w:rPr/>
        <w:t>经</w:t>
      </w:r>
      <w:r>
        <w:rPr>
          <w:spacing w:val="-59"/>
        </w:rPr>
        <w:t> </w:t>
      </w:r>
      <w:r>
        <w:rPr>
          <w:rFonts w:ascii="宋体" w:hAnsi="宋体" w:cs="宋体" w:eastAsia="宋体" w:hint="default"/>
        </w:rPr>
        <w:t>2010</w:t>
      </w:r>
      <w:r>
        <w:rPr>
          <w:rFonts w:ascii="宋体" w:hAnsi="宋体" w:cs="宋体" w:eastAsia="宋体" w:hint="default"/>
          <w:spacing w:val="-60"/>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t>日召开的公司第二届董事会</w:t>
      </w:r>
      <w:r>
        <w:rPr>
          <w:spacing w:val="-58"/>
        </w:rPr>
        <w:t> </w:t>
      </w:r>
      <w:r>
        <w:rPr>
          <w:rFonts w:ascii="宋体" w:hAnsi="宋体" w:cs="宋体" w:eastAsia="宋体" w:hint="default"/>
        </w:rPr>
        <w:t>2010</w:t>
      </w:r>
      <w:r>
        <w:rPr>
          <w:rFonts w:ascii="宋体" w:hAnsi="宋体" w:cs="宋体" w:eastAsia="宋体" w:hint="default"/>
          <w:spacing w:val="-59"/>
        </w:rPr>
        <w:t> </w:t>
      </w:r>
      <w:r>
        <w:rPr>
          <w:spacing w:val="-6"/>
        </w:rPr>
        <w:t>年第四次会议审议通过，公司制定了</w:t>
      </w:r>
    </w:p>
    <w:p>
      <w:pPr>
        <w:pStyle w:val="BodyText"/>
        <w:spacing w:line="240" w:lineRule="auto" w:before="154"/>
        <w:ind w:right="0"/>
        <w:jc w:val="both"/>
      </w:pPr>
      <w:r>
        <w:rPr/>
        <w:t>《年报信息披露重大差错责任追究制度》。</w:t>
      </w:r>
    </w:p>
    <w:p>
      <w:pPr>
        <w:pStyle w:val="BodyText"/>
        <w:tabs>
          <w:tab w:pos="893" w:val="left" w:leader="none"/>
        </w:tabs>
        <w:spacing w:line="367" w:lineRule="auto" w:before="192"/>
        <w:ind w:left="593" w:right="1010" w:hanging="1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生产经营方面 </w:t>
      </w:r>
      <w:r>
        <w:rPr>
          <w:spacing w:val="-3"/>
        </w:rPr>
        <w:t>公司在生产、经营等各个环节实行标准化管理，制定了一系列涵盖采购管理、生产管理、</w:t>
      </w:r>
    </w:p>
    <w:p>
      <w:pPr>
        <w:pStyle w:val="BodyText"/>
        <w:spacing w:line="355" w:lineRule="auto" w:before="26"/>
        <w:ind w:right="1133"/>
        <w:jc w:val="both"/>
      </w:pPr>
      <w:r>
        <w:rPr/>
        <w:t>质量管理、营销管理、环境管理、安全管理等贯穿于公司生产经营活动各环节的内控制度，</w:t>
      </w:r>
      <w:r>
        <w:rPr>
          <w:spacing w:val="-91"/>
        </w:rPr>
        <w:t> </w:t>
      </w:r>
      <w:r>
        <w:rPr>
          <w:spacing w:val="-91"/>
        </w:rPr>
      </w:r>
      <w:r>
        <w:rPr/>
        <w:t>确保各项工作有章可循。同时，公司通过完成 </w:t>
      </w:r>
      <w:r>
        <w:rPr>
          <w:rFonts w:ascii="宋体" w:hAnsi="宋体" w:cs="宋体" w:eastAsia="宋体" w:hint="default"/>
        </w:rPr>
        <w:t>ISO9001/ISO14001</w:t>
      </w:r>
      <w:r>
        <w:rPr>
          <w:rFonts w:ascii="宋体" w:hAnsi="宋体" w:cs="宋体" w:eastAsia="宋体" w:hint="default"/>
          <w:spacing w:val="34"/>
        </w:rPr>
        <w:t> </w:t>
      </w:r>
      <w:r>
        <w:rPr/>
        <w:t>质量环境双体系认证、职</w:t>
      </w:r>
    </w:p>
    <w:p>
      <w:pPr>
        <w:spacing w:after="0" w:line="355" w:lineRule="auto"/>
        <w:jc w:val="both"/>
        <w:sectPr>
          <w:headerReference w:type="default" r:id="rId18"/>
          <w:pgSz w:w="11910" w:h="16840"/>
          <w:pgMar w:header="920" w:footer="936" w:top="1140" w:bottom="1140" w:left="1020" w:right="0"/>
        </w:sectPr>
      </w:pPr>
    </w:p>
    <w:p>
      <w:pPr>
        <w:pStyle w:val="BodyText"/>
        <w:spacing w:line="357" w:lineRule="auto" w:before="19"/>
        <w:ind w:right="1135"/>
        <w:jc w:val="both"/>
      </w:pPr>
      <w:r>
        <w:rPr/>
        <w:t>业健康安全管理认证、推行精益生产和卓越绩效管理等方式，有效地促进了各项管理体系的</w:t>
      </w:r>
      <w:r>
        <w:rPr>
          <w:spacing w:val="-87"/>
        </w:rPr>
        <w:t> </w:t>
      </w:r>
      <w:r>
        <w:rPr>
          <w:spacing w:val="-87"/>
        </w:rPr>
      </w:r>
      <w:r>
        <w:rPr/>
        <w:t>进一步完善。</w:t>
      </w:r>
    </w:p>
    <w:p>
      <w:pPr>
        <w:pStyle w:val="BodyText"/>
        <w:tabs>
          <w:tab w:pos="893" w:val="left" w:leader="none"/>
        </w:tabs>
        <w:spacing w:line="367" w:lineRule="auto" w:before="74"/>
        <w:ind w:left="593" w:right="1140" w:hanging="1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财务管理方面 公司建立了独立的会计核算体系，并根据《公司法》、《企业会计准则》等法律、行政</w:t>
      </w:r>
    </w:p>
    <w:p>
      <w:pPr>
        <w:pStyle w:val="BodyText"/>
        <w:spacing w:line="357" w:lineRule="auto" w:before="26"/>
        <w:ind w:right="1139"/>
        <w:jc w:val="both"/>
      </w:pPr>
      <w:r>
        <w:rPr/>
        <w:t>法规以及《公司章程》的有关规定，建立了一套完善的财务管理制度，具体包括会计核算制</w:t>
      </w:r>
      <w:r>
        <w:rPr>
          <w:spacing w:val="-91"/>
        </w:rPr>
        <w:t> </w:t>
      </w:r>
      <w:r>
        <w:rPr>
          <w:spacing w:val="-91"/>
        </w:rPr>
      </w:r>
      <w:r>
        <w:rPr/>
        <w:t>度、货币资金管理办法、费用开支管理制度、财务印章管理制度、分支机构财务管理制度、</w:t>
      </w:r>
      <w:r>
        <w:rPr>
          <w:spacing w:val="-91"/>
        </w:rPr>
        <w:t> </w:t>
      </w:r>
      <w:r>
        <w:rPr>
          <w:spacing w:val="-91"/>
        </w:rPr>
      </w:r>
      <w:r>
        <w:rPr/>
        <w:t>基建财务管理制度、会计档案管理规定等，明确了各级授权及签章等内部控制环节，未经公</w:t>
      </w:r>
      <w:r>
        <w:rPr>
          <w:spacing w:val="-91"/>
        </w:rPr>
        <w:t> </w:t>
      </w:r>
      <w:r>
        <w:rPr>
          <w:spacing w:val="-91"/>
        </w:rPr>
      </w:r>
      <w:r>
        <w:rPr/>
        <w:t>司董事会审批通过，下属公司不能对外投资、借款和担保。</w:t>
      </w:r>
    </w:p>
    <w:p>
      <w:pPr>
        <w:pStyle w:val="BodyText"/>
        <w:tabs>
          <w:tab w:pos="893" w:val="left" w:leader="none"/>
        </w:tabs>
        <w:spacing w:line="367" w:lineRule="auto" w:before="77"/>
        <w:ind w:left="593" w:right="1013" w:hanging="1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财务报告和信息披露方面 </w:t>
      </w:r>
      <w:r>
        <w:rPr>
          <w:spacing w:val="-3"/>
        </w:rPr>
        <w:t>按照公司《会计核算制度》、《公开信息披露管理制度》、《审计委员会年报工作规程》</w:t>
      </w:r>
    </w:p>
    <w:p>
      <w:pPr>
        <w:pStyle w:val="BodyText"/>
        <w:spacing w:line="357" w:lineRule="auto" w:before="24"/>
        <w:ind w:right="1133"/>
        <w:jc w:val="both"/>
      </w:pPr>
      <w:r>
        <w:rPr/>
        <w:t>等制度，对财务报告编制与披露环节进行控制和规范。财务部门有专人负责财务报表合并工</w:t>
      </w:r>
      <w:r>
        <w:rPr>
          <w:spacing w:val="-87"/>
        </w:rPr>
        <w:t> </w:t>
      </w:r>
      <w:r>
        <w:rPr>
          <w:spacing w:val="-87"/>
        </w:rPr>
      </w:r>
      <w:r>
        <w:rPr/>
        <w:t>作，完成的财务报告还要经公司审计监察部的审核并出具审核报告才能进行相关披露。</w:t>
      </w:r>
    </w:p>
    <w:p>
      <w:pPr>
        <w:pStyle w:val="BodyText"/>
        <w:tabs>
          <w:tab w:pos="893" w:val="left" w:leader="none"/>
        </w:tabs>
        <w:spacing w:line="367" w:lineRule="auto" w:before="74"/>
        <w:ind w:left="593" w:right="1140" w:hanging="1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内部审计方面 公司设立了专门的内部审计部门，配备专职审计人员对公司财务收支和经济活动进行内</w:t>
      </w:r>
    </w:p>
    <w:p>
      <w:pPr>
        <w:pStyle w:val="BodyText"/>
        <w:spacing w:line="355" w:lineRule="auto" w:before="26"/>
        <w:ind w:right="1139"/>
        <w:jc w:val="both"/>
      </w:pPr>
      <w:r>
        <w:rPr/>
        <w:t>部审计监督。公司审计监察部直接对董事会审计委员会负责，在审计委员会的指导下，独立</w:t>
      </w:r>
      <w:r>
        <w:rPr>
          <w:spacing w:val="-91"/>
        </w:rPr>
        <w:t> </w:t>
      </w:r>
      <w:r>
        <w:rPr>
          <w:spacing w:val="-91"/>
        </w:rPr>
      </w:r>
      <w:r>
        <w:rPr/>
        <w:t>行使审计职权，不受其他部门和个人的干涉。</w:t>
      </w:r>
    </w:p>
    <w:p>
      <w:pPr>
        <w:pStyle w:val="BodyText"/>
        <w:tabs>
          <w:tab w:pos="893" w:val="left" w:leader="none"/>
        </w:tabs>
        <w:spacing w:line="367" w:lineRule="auto" w:before="80"/>
        <w:ind w:left="593" w:right="1140" w:hanging="1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人力资源方面 根据《劳动法》及有关法律法规，公司实行全员劳动合同制，制定了《人力资源管理制</w:t>
      </w:r>
    </w:p>
    <w:p>
      <w:pPr>
        <w:pStyle w:val="BodyText"/>
        <w:spacing w:line="357" w:lineRule="auto" w:before="24"/>
        <w:ind w:right="1136"/>
        <w:jc w:val="both"/>
      </w:pPr>
      <w:r>
        <w:rPr/>
        <w:t>度》和《奖金和绩效考核管理办法》，对人员录用、员工培训、轮岗、奖惩、晋升和淘汰、</w:t>
      </w:r>
      <w:r>
        <w:rPr>
          <w:spacing w:val="-88"/>
        </w:rPr>
        <w:t> </w:t>
      </w:r>
      <w:r>
        <w:rPr>
          <w:spacing w:val="-88"/>
        </w:rPr>
      </w:r>
      <w:r>
        <w:rPr/>
        <w:t>工资薪酬、福利保障、绩效考核、内部调动等进行了详细的规定，并建立了一套完善的绩效</w:t>
      </w:r>
      <w:r>
        <w:rPr>
          <w:spacing w:val="-91"/>
        </w:rPr>
        <w:t> </w:t>
      </w:r>
      <w:r>
        <w:rPr>
          <w:spacing w:val="-91"/>
        </w:rPr>
      </w:r>
      <w:r>
        <w:rPr/>
        <w:t>考核体系。公司重视员工对工作的胜任能力，根据实际工作的需要，针对不同岗位展开多种</w:t>
      </w:r>
      <w:r>
        <w:rPr>
          <w:spacing w:val="-91"/>
        </w:rPr>
        <w:t> </w:t>
      </w:r>
      <w:r>
        <w:rPr>
          <w:spacing w:val="-91"/>
        </w:rPr>
      </w:r>
      <w:r>
        <w:rPr/>
        <w:t>形式的后期培训教育，使员工都能基本胜任目前所在的工作岗位。</w:t>
      </w:r>
    </w:p>
    <w:p>
      <w:pPr>
        <w:pStyle w:val="BodyText"/>
        <w:tabs>
          <w:tab w:pos="893" w:val="left" w:leader="none"/>
        </w:tabs>
        <w:spacing w:line="240" w:lineRule="auto" w:before="74"/>
        <w:ind w:left="473" w:right="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对子公司的管理方面</w:t>
      </w:r>
    </w:p>
    <w:p>
      <w:pPr>
        <w:pStyle w:val="BodyText"/>
        <w:spacing w:line="357" w:lineRule="auto" w:before="176"/>
        <w:ind w:right="1133" w:firstLine="480"/>
        <w:jc w:val="both"/>
      </w:pPr>
      <w:r>
        <w:rPr/>
        <w:t>公司通过参与子公司股东会</w:t>
      </w:r>
      <w:r>
        <w:rPr>
          <w:spacing w:val="17"/>
        </w:rPr>
        <w:t> </w:t>
      </w:r>
      <w:r>
        <w:rPr>
          <w:spacing w:val="-4"/>
        </w:rPr>
        <w:t>、董事会、监事会对子公司行使管理、协调、监督、考核等</w:t>
      </w:r>
      <w:r>
        <w:rPr/>
        <w:t> 职权；通过向子公司推荐董事、监事和高级管理人员方式，实现对子公司的管理。公司通过</w:t>
      </w:r>
      <w:r>
        <w:rPr>
          <w:spacing w:val="-88"/>
        </w:rPr>
        <w:t> </w:t>
      </w:r>
      <w:r>
        <w:rPr>
          <w:spacing w:val="-88"/>
        </w:rPr>
      </w:r>
      <w:r>
        <w:rPr/>
        <w:t>财务报表、经营会议等方式及时掌握子公司的生产经营情况，重点关注和控制财务风险和经</w:t>
      </w:r>
      <w:r>
        <w:rPr>
          <w:spacing w:val="-86"/>
        </w:rPr>
        <w:t> </w:t>
      </w:r>
      <w:r>
        <w:rPr>
          <w:spacing w:val="-86"/>
        </w:rPr>
      </w:r>
      <w:r>
        <w:rPr/>
        <w:t>营风险。同时对子公司经营活动实施审计监管。</w:t>
      </w:r>
    </w:p>
    <w:p>
      <w:pPr>
        <w:pStyle w:val="BodyText"/>
        <w:tabs>
          <w:tab w:pos="893" w:val="left" w:leader="none"/>
        </w:tabs>
        <w:spacing w:line="367" w:lineRule="auto" w:before="74"/>
        <w:ind w:left="593" w:right="1140" w:hanging="1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诚信和道德价值观念的沟通与落实 诚信和道德价值观念是控制环境的重要组成部分，影响到公司重要业务流程的设计和运</w:t>
      </w:r>
    </w:p>
    <w:p>
      <w:pPr>
        <w:pStyle w:val="BodyText"/>
        <w:spacing w:line="240" w:lineRule="auto" w:before="26"/>
        <w:ind w:right="0"/>
        <w:jc w:val="both"/>
      </w:pPr>
      <w:r>
        <w:rPr>
          <w:spacing w:val="-3"/>
        </w:rPr>
        <w:t>行。公司一贯重视诚信和道德价值观的培养，建立了《员工手册》、《员工培训管理制度》、</w:t>
      </w:r>
    </w:p>
    <w:p>
      <w:pPr>
        <w:spacing w:after="0" w:line="240" w:lineRule="auto"/>
        <w:jc w:val="both"/>
        <w:sectPr>
          <w:pgSz w:w="11910" w:h="16840"/>
          <w:pgMar w:header="920" w:footer="936" w:top="1140" w:bottom="1140" w:left="1020" w:right="0"/>
        </w:sectPr>
      </w:pPr>
    </w:p>
    <w:p>
      <w:pPr>
        <w:pStyle w:val="BodyText"/>
        <w:spacing w:line="357" w:lineRule="auto" w:before="19"/>
        <w:ind w:right="1139"/>
        <w:jc w:val="both"/>
      </w:pPr>
      <w:r>
        <w:rPr/>
        <w:t>《子公司人力资源管理实施细则》等一系列的内部规范，公司通过奖惩和高层管理人员的身</w:t>
      </w:r>
      <w:r>
        <w:rPr>
          <w:spacing w:val="-91"/>
        </w:rPr>
        <w:t> </w:t>
      </w:r>
      <w:r>
        <w:rPr>
          <w:spacing w:val="-91"/>
        </w:rPr>
      </w:r>
      <w:r>
        <w:rPr/>
        <w:t>体力行来有效地落实公司诚信和道德价值观。</w:t>
      </w:r>
    </w:p>
    <w:p>
      <w:pPr>
        <w:pStyle w:val="BodyText"/>
        <w:tabs>
          <w:tab w:pos="893" w:val="left" w:leader="none"/>
        </w:tabs>
        <w:spacing w:line="367" w:lineRule="auto" w:before="74"/>
        <w:ind w:left="593" w:right="1136" w:hanging="1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管理层的经营理念和风格 公司由董事会制定公司发展战略和目标，由公司经营管理层负责具体执行。董事会审计</w:t>
      </w:r>
    </w:p>
    <w:p>
      <w:pPr>
        <w:pStyle w:val="BodyText"/>
        <w:spacing w:line="357" w:lineRule="auto" w:before="26"/>
        <w:ind w:right="1135"/>
        <w:jc w:val="both"/>
      </w:pPr>
      <w:r>
        <w:rPr/>
        <w:t>委员会和监事会对其实施有效的监督。公司管理层对收到的有关内部控制弱点及违规事件报</w:t>
      </w:r>
      <w:r>
        <w:rPr>
          <w:spacing w:val="-88"/>
        </w:rPr>
        <w:t> </w:t>
      </w:r>
      <w:r>
        <w:rPr>
          <w:spacing w:val="-88"/>
        </w:rPr>
      </w:r>
      <w:r>
        <w:rPr/>
        <w:t>告都及时做出了适当处理。本公司秉承“以人为本、诚信为本、创新为本和竞合共赢”的经</w:t>
      </w:r>
      <w:r>
        <w:rPr>
          <w:spacing w:val="-91"/>
        </w:rPr>
        <w:t> </w:t>
      </w:r>
      <w:r>
        <w:rPr>
          <w:spacing w:val="-91"/>
        </w:rPr>
      </w:r>
      <w:r>
        <w:rPr/>
        <w:t>营理念，“务实高效”的经营风格，诚实守信、合法守规经营。</w:t>
      </w:r>
    </w:p>
    <w:p>
      <w:pPr>
        <w:spacing w:line="403" w:lineRule="auto" w:before="94"/>
        <w:ind w:left="593" w:right="0"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、内部控制执行情况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报告期内，公司本着重要性和成本效益原则，采取预防与控制相结合方式和灵活多样的</w:t>
      </w:r>
    </w:p>
    <w:p>
      <w:pPr>
        <w:pStyle w:val="BodyText"/>
        <w:spacing w:line="355" w:lineRule="auto"/>
        <w:ind w:right="1131"/>
        <w:jc w:val="both"/>
      </w:pPr>
      <w:r>
        <w:rPr>
          <w:spacing w:val="3"/>
        </w:rPr>
        <w:t>控制措施，实施了有效的内部控制。除了对子公司、财务管理、运营分析、内部稽核、</w:t>
      </w:r>
      <w:r>
        <w:rPr>
          <w:rFonts w:ascii="宋体" w:hAnsi="宋体" w:cs="宋体" w:eastAsia="宋体" w:hint="default"/>
          <w:spacing w:val="3"/>
        </w:rPr>
        <w:t>KPI</w:t>
      </w:r>
      <w:r>
        <w:rPr>
          <w:rFonts w:ascii="宋体" w:hAnsi="宋体" w:cs="宋体" w:eastAsia="宋体" w:hint="default"/>
          <w:spacing w:val="-101"/>
        </w:rPr>
        <w:t> </w:t>
      </w:r>
      <w:r>
        <w:rPr/>
        <w:t>绩效考评等日常经营活动实施控制，还对重点活动实施控制：</w:t>
      </w:r>
    </w:p>
    <w:p>
      <w:pPr>
        <w:pStyle w:val="BodyText"/>
        <w:spacing w:line="367" w:lineRule="auto" w:before="77"/>
        <w:ind w:left="593" w:right="0"/>
        <w:jc w:val="left"/>
      </w:pPr>
      <w:r>
        <w:rPr>
          <w:rFonts w:ascii="Wingdings" w:hAnsi="Wingdings" w:cs="Wingdings" w:eastAsia="Wingdings" w:hint="default"/>
        </w:rPr>
        <w:t></w:t>
      </w:r>
      <w:r>
        <w:rPr>
          <w:rFonts w:ascii="Wingdings" w:hAnsi="Wingdings" w:cs="Wingdings" w:eastAsia="Wingdings" w:hint="default"/>
          <w:spacing w:val="-71"/>
        </w:rPr>
        <w:t></w:t>
      </w:r>
      <w:r>
        <w:rPr>
          <w:rFonts w:ascii="Times New Roman" w:hAnsi="Times New Roman" w:cs="Times New Roman" w:eastAsia="Times New Roman" w:hint="default"/>
          <w:spacing w:val="-71"/>
        </w:rPr>
      </w:r>
      <w:r>
        <w:rPr/>
        <w:t>关联交易的内部控制 </w:t>
      </w:r>
      <w:r>
        <w:rPr>
          <w:spacing w:val="-3"/>
        </w:rPr>
        <w:t>根据《公司章程》及《关联交易决策制度》有关规定，为避免由关联交易产生利益冲突，</w:t>
      </w:r>
    </w:p>
    <w:p>
      <w:pPr>
        <w:pStyle w:val="BodyText"/>
        <w:spacing w:line="357" w:lineRule="auto" w:before="26"/>
        <w:ind w:right="1133"/>
        <w:jc w:val="both"/>
      </w:pPr>
      <w:r>
        <w:rPr/>
        <w:t>董事会审议有关关联交易事项时，严格执行关联董事回避制度，股东大会审议有关关联交易</w:t>
      </w:r>
      <w:r>
        <w:rPr>
          <w:spacing w:val="-90"/>
        </w:rPr>
        <w:t> </w:t>
      </w:r>
      <w:r>
        <w:rPr>
          <w:spacing w:val="-90"/>
        </w:rPr>
      </w:r>
      <w:r>
        <w:rPr/>
        <w:t>事项时，关联股东严格执行关联股东回避制度，不参加表决，股东大会决议公告按要求充分</w:t>
      </w:r>
      <w:r>
        <w:rPr>
          <w:spacing w:val="-86"/>
        </w:rPr>
        <w:t> </w:t>
      </w:r>
      <w:r>
        <w:rPr>
          <w:spacing w:val="-86"/>
        </w:rPr>
      </w:r>
      <w:r>
        <w:rPr/>
        <w:t>披露非关联股东的表决情况。</w:t>
      </w:r>
    </w:p>
    <w:p>
      <w:pPr>
        <w:pStyle w:val="BodyText"/>
        <w:spacing w:line="367" w:lineRule="auto" w:before="75"/>
        <w:ind w:left="593" w:right="0"/>
        <w:jc w:val="left"/>
      </w:pPr>
      <w:r>
        <w:rPr>
          <w:rFonts w:ascii="Wingdings" w:hAnsi="Wingdings" w:cs="Wingdings" w:eastAsia="Wingdings" w:hint="default"/>
        </w:rPr>
        <w:t></w:t>
      </w:r>
      <w:r>
        <w:rPr>
          <w:rFonts w:ascii="Wingdings" w:hAnsi="Wingdings" w:cs="Wingdings" w:eastAsia="Wingdings" w:hint="default"/>
          <w:spacing w:val="-71"/>
        </w:rPr>
        <w:t></w:t>
      </w:r>
      <w:r>
        <w:rPr>
          <w:rFonts w:ascii="Times New Roman" w:hAnsi="Times New Roman" w:cs="Times New Roman" w:eastAsia="Times New Roman" w:hint="default"/>
          <w:spacing w:val="-71"/>
        </w:rPr>
      </w:r>
      <w:r>
        <w:rPr/>
        <w:t>对外投资、收购资产的内部控制 公司在《公司章程》以及《重大投资、重大生产经营及财务决策程序与规则》中明确规</w:t>
      </w:r>
    </w:p>
    <w:p>
      <w:pPr>
        <w:pStyle w:val="BodyText"/>
        <w:spacing w:line="386" w:lineRule="auto" w:before="26"/>
        <w:ind w:left="593" w:right="995" w:hanging="481"/>
        <w:jc w:val="left"/>
      </w:pPr>
      <w:r>
        <w:rPr/>
        <w:t>定了董事会对于对外投资、收购资产的审批权限。 </w:t>
      </w:r>
      <w:r>
        <w:rPr>
          <w:spacing w:val="-5"/>
        </w:rPr>
        <w:t>报告期内，公司对外转让了所持子公司“湖州天外绿色包装印刷有限公司”</w:t>
      </w:r>
      <w:r>
        <w:rPr>
          <w:spacing w:val="-37"/>
        </w:rPr>
        <w:t> </w:t>
      </w:r>
      <w:r>
        <w:rPr>
          <w:rFonts w:ascii="宋体" w:hAnsi="宋体" w:cs="宋体" w:eastAsia="宋体" w:hint="default"/>
        </w:rPr>
        <w:t>53.05%</w:t>
      </w:r>
      <w:r>
        <w:rPr/>
        <w:t>股权；</w:t>
      </w:r>
    </w:p>
    <w:p>
      <w:pPr>
        <w:pStyle w:val="BodyText"/>
        <w:spacing w:line="357" w:lineRule="auto" w:before="7"/>
        <w:ind w:right="1131"/>
        <w:jc w:val="both"/>
      </w:pPr>
      <w:r>
        <w:rPr/>
        <w:t>收购了“江西丰彩丽印刷包装有限公司”</w:t>
      </w:r>
      <w:r>
        <w:rPr>
          <w:rFonts w:ascii="宋体" w:hAnsi="宋体" w:cs="宋体" w:eastAsia="宋体" w:hint="default"/>
        </w:rPr>
        <w:t>52%</w:t>
      </w:r>
      <w:r>
        <w:rPr/>
        <w:t>的股权和“重庆宏声印务有限责任公司”</w:t>
      </w:r>
      <w:r>
        <w:rPr>
          <w:rFonts w:ascii="宋体" w:hAnsi="宋体" w:cs="宋体" w:eastAsia="宋体" w:hint="default"/>
        </w:rPr>
        <w:t>57%</w:t>
      </w:r>
      <w:r>
        <w:rPr/>
        <w:t>的</w:t>
      </w:r>
      <w:r>
        <w:rPr>
          <w:spacing w:val="-85"/>
        </w:rPr>
        <w:t> </w:t>
      </w:r>
      <w:r>
        <w:rPr/>
        <w:t>股权，均按照各项制度严格执行审批程序。详细内容见《中国证券报》、《证券时报》及巨</w:t>
      </w:r>
      <w:r>
        <w:rPr>
          <w:spacing w:val="-88"/>
        </w:rPr>
        <w:t> </w:t>
      </w:r>
      <w:r>
        <w:rPr>
          <w:spacing w:val="-88"/>
        </w:rPr>
      </w:r>
      <w:r>
        <w:rPr/>
        <w:t>潮资讯网（</w:t>
      </w:r>
      <w:hyperlink r:id="rId12">
        <w:r>
          <w:rPr>
            <w:rFonts w:ascii="宋体" w:hAnsi="宋体" w:cs="宋体" w:eastAsia="宋体" w:hint="default"/>
          </w:rPr>
          <w:t>http://www.cninfo.com.cn</w:t>
        </w:r>
      </w:hyperlink>
      <w:r>
        <w:rPr/>
        <w:t>）等公司选定的信息披露媒介。</w:t>
      </w:r>
    </w:p>
    <w:p>
      <w:pPr>
        <w:pStyle w:val="BodyText"/>
        <w:spacing w:line="367" w:lineRule="auto" w:before="75"/>
        <w:ind w:left="593" w:right="0" w:firstLine="86"/>
        <w:jc w:val="left"/>
      </w:pPr>
      <w:r>
        <w:rPr>
          <w:rFonts w:ascii="Wingdings" w:hAnsi="Wingdings" w:cs="Wingdings" w:eastAsia="Wingdings" w:hint="default"/>
        </w:rPr>
        <w:t></w:t>
      </w:r>
      <w:r>
        <w:rPr>
          <w:rFonts w:ascii="Wingdings" w:hAnsi="Wingdings" w:cs="Wingdings" w:eastAsia="Wingdings" w:hint="default"/>
          <w:spacing w:val="-157"/>
        </w:rPr>
        <w:t></w:t>
      </w:r>
      <w:r>
        <w:rPr>
          <w:rFonts w:ascii="Times New Roman" w:hAnsi="Times New Roman" w:cs="Times New Roman" w:eastAsia="Times New Roman" w:hint="default"/>
          <w:spacing w:val="-157"/>
        </w:rPr>
      </w:r>
      <w:r>
        <w:rPr/>
        <w:t>资产抵押、对外担保的内部控制 在《公司章程》以及《重大投资、重大生产经营及财务决策程序与规则》中规定了公司</w:t>
      </w:r>
    </w:p>
    <w:p>
      <w:pPr>
        <w:pStyle w:val="BodyText"/>
        <w:spacing w:line="386" w:lineRule="auto" w:before="26"/>
        <w:ind w:left="593" w:right="0" w:hanging="481"/>
        <w:jc w:val="left"/>
      </w:pPr>
      <w:r>
        <w:rPr/>
        <w:t>董事会、股东大会对资产抵押、对外担保的审批权限。 在《子公司管理制度》中规定了下属子公司未经其董事会或股东会审议，不得对外进行</w:t>
      </w:r>
    </w:p>
    <w:p>
      <w:pPr>
        <w:pStyle w:val="BodyText"/>
        <w:spacing w:line="357" w:lineRule="auto" w:before="5"/>
        <w:ind w:right="1139"/>
        <w:jc w:val="both"/>
      </w:pPr>
      <w:r>
        <w:rPr/>
        <w:t>任何形式的担保，也不得对外订立担保合同。经其董事会或股东会审议担保行为后，子公司</w:t>
      </w:r>
      <w:r>
        <w:rPr>
          <w:spacing w:val="-91"/>
        </w:rPr>
        <w:t> </w:t>
      </w:r>
      <w:r>
        <w:rPr>
          <w:spacing w:val="-91"/>
        </w:rPr>
      </w:r>
      <w:r>
        <w:rPr/>
        <w:t>需及时向本公司董事会秘书备案。</w:t>
      </w:r>
    </w:p>
    <w:p>
      <w:pPr>
        <w:pStyle w:val="BodyText"/>
        <w:spacing w:line="240" w:lineRule="auto" w:before="74"/>
        <w:ind w:left="679" w:right="0"/>
        <w:jc w:val="left"/>
      </w:pPr>
      <w:r>
        <w:rPr>
          <w:rFonts w:ascii="Wingdings" w:hAnsi="Wingdings" w:cs="Wingdings" w:eastAsia="Wingdings" w:hint="default"/>
        </w:rPr>
        <w:t></w:t>
      </w:r>
      <w:r>
        <w:rPr>
          <w:rFonts w:ascii="Wingdings" w:hAnsi="Wingdings" w:cs="Wingdings" w:eastAsia="Wingdings" w:hint="default"/>
          <w:spacing w:val="-159"/>
        </w:rPr>
        <w:t></w:t>
      </w:r>
      <w:r>
        <w:rPr>
          <w:rFonts w:ascii="Times New Roman" w:hAnsi="Times New Roman" w:cs="Times New Roman" w:eastAsia="Times New Roman" w:hint="default"/>
          <w:spacing w:val="-159"/>
        </w:rPr>
      </w:r>
      <w:r>
        <w:rPr/>
        <w:t>募集资金存放与使用的内部控制</w:t>
      </w:r>
    </w:p>
    <w:p>
      <w:pPr>
        <w:spacing w:after="0" w:line="240" w:lineRule="auto"/>
        <w:jc w:val="left"/>
        <w:sectPr>
          <w:headerReference w:type="default" r:id="rId19"/>
          <w:pgSz w:w="11910" w:h="16840"/>
          <w:pgMar w:header="920" w:footer="936" w:top="1140" w:bottom="1140" w:left="1020" w:right="0"/>
        </w:sectPr>
      </w:pPr>
    </w:p>
    <w:p>
      <w:pPr>
        <w:pStyle w:val="BodyText"/>
        <w:spacing w:line="357" w:lineRule="auto" w:before="19"/>
        <w:ind w:right="1140" w:firstLine="480"/>
        <w:jc w:val="both"/>
      </w:pPr>
      <w:r>
        <w:rPr/>
        <w:t>公司依照《公司法》、《深圳证券交易所股票上市规则》的有关规定，结合公司实际情 况，制定了《募集资金专项存储及使用管理制度》。</w:t>
      </w:r>
    </w:p>
    <w:p>
      <w:pPr>
        <w:pStyle w:val="BodyText"/>
        <w:spacing w:line="357" w:lineRule="auto" w:before="74"/>
        <w:ind w:right="1139" w:firstLine="480"/>
        <w:jc w:val="both"/>
      </w:pPr>
      <w:r>
        <w:rPr/>
        <w:t>募集资金按照《募集资金专项存储及使用管理制度》的规定申请、审批、专户存储、专 款专用，保荐机构、独立董事以及监事会对募集资金的使用和管理充分行使了监督权，保障</w:t>
      </w:r>
      <w:r>
        <w:rPr>
          <w:spacing w:val="-91"/>
        </w:rPr>
        <w:t> </w:t>
      </w:r>
      <w:r>
        <w:rPr>
          <w:spacing w:val="-91"/>
        </w:rPr>
      </w:r>
      <w:r>
        <w:rPr/>
        <w:t>了募集资金的正常使用。</w:t>
      </w:r>
    </w:p>
    <w:p>
      <w:pPr>
        <w:pStyle w:val="BodyText"/>
        <w:spacing w:line="357" w:lineRule="auto" w:before="74"/>
        <w:ind w:right="1139" w:firstLine="480"/>
        <w:jc w:val="both"/>
      </w:pPr>
      <w:r>
        <w:rPr/>
        <w:t>公司开设了募集资金专项存储账户，并与存放募集资金的银行及保荐人签订了募集资金 三方监管协议。公司严格按照上市公司募集资金投资项目计划使用募集资金，公司内部审计</w:t>
      </w:r>
      <w:r>
        <w:rPr>
          <w:spacing w:val="-91"/>
        </w:rPr>
        <w:t> </w:t>
      </w:r>
      <w:r>
        <w:rPr>
          <w:spacing w:val="-91"/>
        </w:rPr>
      </w:r>
      <w:r>
        <w:rPr/>
        <w:t>部门每季度对募集资金的存放与使用情况进行审计，对募集资金使用的合规性发表意见。</w:t>
      </w:r>
    </w:p>
    <w:p>
      <w:pPr>
        <w:pStyle w:val="BodyText"/>
        <w:spacing w:line="367" w:lineRule="auto" w:before="77"/>
        <w:ind w:left="593" w:right="0"/>
        <w:jc w:val="left"/>
      </w:pPr>
      <w:r>
        <w:rPr>
          <w:rFonts w:ascii="Wingdings" w:hAnsi="Wingdings" w:cs="Wingdings" w:eastAsia="Wingdings" w:hint="default"/>
        </w:rPr>
        <w:t></w:t>
      </w:r>
      <w:r>
        <w:rPr>
          <w:rFonts w:ascii="Wingdings" w:hAnsi="Wingdings" w:cs="Wingdings" w:eastAsia="Wingdings" w:hint="default"/>
          <w:spacing w:val="-71"/>
        </w:rPr>
        <w:t></w:t>
      </w:r>
      <w:r>
        <w:rPr>
          <w:rFonts w:ascii="Times New Roman" w:hAnsi="Times New Roman" w:cs="Times New Roman" w:eastAsia="Times New Roman" w:hint="default"/>
          <w:spacing w:val="-71"/>
        </w:rPr>
      </w:r>
      <w:r>
        <w:rPr/>
        <w:t>信息披露的内部控制 公司《内幕信息及知情人管理制度》明确规定了重大信息的范围和内容，以及重大信息</w:t>
      </w:r>
    </w:p>
    <w:p>
      <w:pPr>
        <w:pStyle w:val="BodyText"/>
        <w:spacing w:line="357" w:lineRule="auto" w:before="24"/>
        <w:ind w:right="1134"/>
        <w:jc w:val="both"/>
      </w:pPr>
      <w:r>
        <w:rPr/>
        <w:t>的传递、审核、披露流程；制定未公开重大信息的保密措施，明确内幕信息知情人的范围和</w:t>
      </w:r>
      <w:r>
        <w:rPr>
          <w:spacing w:val="-91"/>
        </w:rPr>
        <w:t> </w:t>
      </w:r>
      <w:r>
        <w:rPr>
          <w:spacing w:val="-91"/>
        </w:rPr>
      </w:r>
      <w:r>
        <w:rPr/>
        <w:t>保密责任；明确规定公司及其董事、监事、高级管理人员、股东、实际控制人等相关信息披</w:t>
      </w:r>
      <w:r>
        <w:rPr>
          <w:spacing w:val="-91"/>
        </w:rPr>
        <w:t> </w:t>
      </w:r>
      <w:r>
        <w:rPr>
          <w:spacing w:val="-91"/>
        </w:rPr>
      </w:r>
      <w:r>
        <w:rPr/>
        <w:t>露义务人在信息披露事务中的权利和义务、信息披露义务人的责任、投资者关系活动的行为</w:t>
      </w:r>
      <w:r>
        <w:rPr>
          <w:spacing w:val="-91"/>
        </w:rPr>
        <w:t> </w:t>
      </w:r>
      <w:r>
        <w:rPr>
          <w:spacing w:val="-91"/>
        </w:rPr>
      </w:r>
      <w:r>
        <w:rPr/>
        <w:t>规范等。各项重大事件均按《内幕信息及知情人管理制度》执行，报告期内未发生过泄露事</w:t>
      </w:r>
      <w:r>
        <w:rPr>
          <w:spacing w:val="-86"/>
        </w:rPr>
        <w:t> </w:t>
      </w:r>
      <w:r>
        <w:rPr>
          <w:spacing w:val="-86"/>
        </w:rPr>
      </w:r>
      <w:r>
        <w:rPr/>
        <w:t>件和内幕交易行为。</w:t>
      </w:r>
    </w:p>
    <w:p>
      <w:pPr>
        <w:pStyle w:val="Heading3"/>
        <w:spacing w:line="240" w:lineRule="auto" w:before="156"/>
        <w:ind w:left="595" w:right="0"/>
        <w:jc w:val="left"/>
        <w:rPr>
          <w:b w:val="0"/>
          <w:bCs w:val="0"/>
        </w:rPr>
      </w:pPr>
      <w:r>
        <w:rPr>
          <w:rFonts w:ascii="宋体" w:hAnsi="宋体" w:cs="宋体" w:eastAsia="宋体" w:hint="default"/>
        </w:rPr>
        <w:t>4</w:t>
      </w:r>
      <w:r>
        <w:rPr/>
        <w:t>、内部控制的改进和完善情况</w:t>
      </w:r>
      <w:r>
        <w:rPr>
          <w:b w:val="0"/>
          <w:bCs w:val="0"/>
        </w:rPr>
      </w:r>
    </w:p>
    <w:p>
      <w:pPr>
        <w:spacing w:line="240" w:lineRule="auto" w:before="13"/>
        <w:rPr>
          <w:rFonts w:ascii="宋体" w:hAnsi="宋体" w:cs="宋体" w:eastAsia="宋体" w:hint="default"/>
          <w:b/>
          <w:bCs/>
          <w:sz w:val="20"/>
          <w:szCs w:val="20"/>
        </w:rPr>
      </w:pPr>
    </w:p>
    <w:p>
      <w:pPr>
        <w:pStyle w:val="BodyText"/>
        <w:spacing w:line="386" w:lineRule="auto"/>
        <w:ind w:left="593" w:right="0"/>
        <w:jc w:val="left"/>
      </w:pPr>
      <w:r>
        <w:rPr/>
        <w:t>随着公司业务的不断发展，公司及时对内部控制体系进行了梳理和修订。 </w:t>
      </w:r>
      <w:r>
        <w:rPr>
          <w:rFonts w:ascii="宋体" w:hAnsi="宋体" w:cs="宋体" w:eastAsia="宋体" w:hint="default"/>
          <w:spacing w:val="-3"/>
        </w:rPr>
        <w:t>1</w:t>
      </w:r>
      <w:r>
        <w:rPr>
          <w:spacing w:val="-3"/>
        </w:rPr>
        <w:t>、报告期内，对《公司章程》的相关条款及时进行了合理的修订，以确保符合公司实际</w:t>
      </w:r>
    </w:p>
    <w:p>
      <w:pPr>
        <w:pStyle w:val="BodyText"/>
        <w:spacing w:line="240" w:lineRule="auto" w:before="5"/>
        <w:ind w:right="0"/>
        <w:jc w:val="both"/>
      </w:pPr>
      <w:r>
        <w:rPr/>
        <w:t>业务的发展。</w:t>
      </w:r>
    </w:p>
    <w:p>
      <w:pPr>
        <w:pStyle w:val="BodyText"/>
        <w:spacing w:line="357" w:lineRule="auto" w:before="192"/>
        <w:ind w:right="1133" w:firstLine="480"/>
        <w:jc w:val="both"/>
      </w:pPr>
      <w:r>
        <w:rPr>
          <w:rFonts w:ascii="宋体" w:hAnsi="宋体" w:cs="宋体" w:eastAsia="宋体" w:hint="default"/>
          <w:spacing w:val="-3"/>
        </w:rPr>
        <w:t>2</w:t>
      </w:r>
      <w:r>
        <w:rPr>
          <w:spacing w:val="-3"/>
        </w:rPr>
        <w:t>、报告期内，为了杜绝股东及关联方占用公司资金行为的发生，制订了《防范股东及关</w:t>
      </w:r>
      <w:r>
        <w:rPr/>
        <w:t> 联方资金占用管理制度》。</w:t>
      </w:r>
    </w:p>
    <w:p>
      <w:pPr>
        <w:pStyle w:val="BodyText"/>
        <w:spacing w:line="357" w:lineRule="auto" w:before="74"/>
        <w:ind w:right="1139" w:firstLine="480"/>
        <w:jc w:val="both"/>
      </w:pPr>
      <w:r>
        <w:rPr/>
        <w:t>随着外部经济环境的变化和公司的不断发展，公司将在现有内控体系的基础上，继续优 化业务和管理流程，及时根据相关法律法规的要求和内部管理需要不断修订、完善各项内控</w:t>
      </w:r>
      <w:r>
        <w:rPr>
          <w:spacing w:val="-91"/>
        </w:rPr>
        <w:t> </w:t>
      </w:r>
      <w:r>
        <w:rPr>
          <w:spacing w:val="-91"/>
        </w:rPr>
      </w:r>
      <w:r>
        <w:rPr/>
        <w:t>制度，进一步健全和完善公司内控体系。</w:t>
      </w:r>
    </w:p>
    <w:p>
      <w:pPr>
        <w:pStyle w:val="Heading3"/>
        <w:spacing w:line="240" w:lineRule="auto" w:before="154"/>
        <w:ind w:right="0"/>
        <w:jc w:val="both"/>
        <w:rPr>
          <w:b w:val="0"/>
          <w:bCs w:val="0"/>
        </w:rPr>
      </w:pPr>
      <w:r>
        <w:rPr/>
        <w:t>（二）内部控制的总体评价</w:t>
      </w:r>
      <w:r>
        <w:rPr>
          <w:b w:val="0"/>
          <w:bCs w:val="0"/>
        </w:rPr>
      </w:r>
    </w:p>
    <w:p>
      <w:pPr>
        <w:spacing w:line="240" w:lineRule="auto" w:before="1"/>
        <w:rPr>
          <w:rFonts w:ascii="宋体" w:hAnsi="宋体" w:cs="宋体" w:eastAsia="宋体" w:hint="default"/>
          <w:b/>
          <w:bCs/>
          <w:sz w:val="30"/>
          <w:szCs w:val="30"/>
        </w:rPr>
      </w:pPr>
    </w:p>
    <w:p>
      <w:pPr>
        <w:spacing w:line="312" w:lineRule="auto" w:before="0"/>
        <w:ind w:left="593" w:right="0" w:hanging="5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、董事会对公司内部控制的自我评价</w:t>
      </w:r>
      <w:r>
        <w:rPr>
          <w:rFonts w:ascii="宋体" w:hAnsi="宋体" w:cs="宋体" w:eastAsia="宋体" w:hint="default"/>
          <w:b/>
          <w:bCs/>
          <w:w w:val="99"/>
          <w:sz w:val="24"/>
          <w:szCs w:val="24"/>
        </w:rPr>
        <w:t> </w:t>
      </w:r>
      <w:r>
        <w:rPr>
          <w:rFonts w:ascii="宋体" w:hAnsi="宋体" w:cs="宋体" w:eastAsia="宋体" w:hint="default"/>
          <w:spacing w:val="-6"/>
          <w:sz w:val="24"/>
          <w:szCs w:val="24"/>
        </w:rPr>
        <w:t>公司建立了较为完善的法人治理结构，内部控制体系健全。现有的内部控制制度符合《企</w:t>
      </w:r>
    </w:p>
    <w:p>
      <w:pPr>
        <w:pStyle w:val="BodyText"/>
        <w:spacing w:line="355" w:lineRule="auto" w:before="82"/>
        <w:ind w:right="996"/>
        <w:jc w:val="left"/>
      </w:pPr>
      <w:r>
        <w:rPr/>
        <w:t>业内部控制基本规范》、《深圳证券交易所中小企业板上市公司规范运作指引》的要求，也</w:t>
      </w:r>
      <w:r>
        <w:rPr>
          <w:spacing w:val="-91"/>
        </w:rPr>
        <w:t> </w:t>
      </w:r>
      <w:r>
        <w:rPr>
          <w:spacing w:val="-91"/>
        </w:rPr>
      </w:r>
      <w:r>
        <w:rPr>
          <w:spacing w:val="-2"/>
        </w:rPr>
        <w:t>符合公司的实际情况。在公司经营管理的各个过程和关键环节，各项制度能够得到有效执行，</w:t>
      </w:r>
    </w:p>
    <w:p>
      <w:pPr>
        <w:spacing w:after="0" w:line="355" w:lineRule="auto"/>
        <w:jc w:val="left"/>
        <w:sectPr>
          <w:headerReference w:type="default" r:id="rId20"/>
          <w:pgSz w:w="11910" w:h="16840"/>
          <w:pgMar w:header="920" w:footer="936" w:top="1140" w:bottom="1140" w:left="1020" w:right="0"/>
        </w:sectPr>
      </w:pPr>
    </w:p>
    <w:p>
      <w:pPr>
        <w:pStyle w:val="BodyText"/>
        <w:spacing w:line="357" w:lineRule="auto" w:before="19"/>
        <w:ind w:right="996"/>
        <w:jc w:val="left"/>
      </w:pPr>
      <w:r>
        <w:rPr>
          <w:spacing w:val="-2"/>
        </w:rPr>
        <w:t>保证了公司生产经营管理的正常进行，对控制和防范经营管理风险、保护投资者的合法权益、</w:t>
      </w:r>
      <w:r>
        <w:rPr/>
        <w:t> 促使公司规范运作和健康发展起到了积极的促进作用。</w:t>
      </w:r>
    </w:p>
    <w:p>
      <w:pPr>
        <w:pStyle w:val="BodyText"/>
        <w:spacing w:line="357" w:lineRule="auto" w:before="34"/>
        <w:ind w:left="110" w:right="0" w:firstLine="466"/>
        <w:jc w:val="left"/>
      </w:pPr>
      <w:r>
        <w:rPr>
          <w:spacing w:val="-1"/>
        </w:rPr>
        <w:t>公司将进一步深化管理，完善内部控制制度，使之适应国家法律、法规的要求和公司自身管</w:t>
      </w:r>
      <w:r>
        <w:rPr/>
        <w:t> 理的需要，保证公司持续健康发展。</w:t>
      </w:r>
    </w:p>
    <w:p>
      <w:pPr>
        <w:spacing w:line="240" w:lineRule="auto" w:before="2"/>
        <w:rPr>
          <w:rFonts w:ascii="宋体" w:hAnsi="宋体" w:cs="宋体" w:eastAsia="宋体" w:hint="default"/>
          <w:sz w:val="21"/>
          <w:szCs w:val="21"/>
        </w:rPr>
      </w:pPr>
    </w:p>
    <w:p>
      <w:pPr>
        <w:pStyle w:val="Heading3"/>
        <w:spacing w:line="240" w:lineRule="auto"/>
        <w:ind w:left="540" w:right="0"/>
        <w:jc w:val="left"/>
        <w:rPr>
          <w:b w:val="0"/>
          <w:bCs w:val="0"/>
        </w:rPr>
      </w:pPr>
      <w:r>
        <w:rPr>
          <w:rFonts w:ascii="Times New Roman" w:hAnsi="Times New Roman" w:cs="Times New Roman" w:eastAsia="Times New Roman" w:hint="default"/>
        </w:rPr>
        <w:t>2</w:t>
      </w:r>
      <w:r>
        <w:rPr/>
        <w:t>、深圳市鹏城会计师事务所有限公司出具的关于公司内部控制自我评价报告的鉴证意见</w:t>
      </w:r>
      <w:r>
        <w:rPr>
          <w:b w:val="0"/>
          <w:bCs w:val="0"/>
        </w:rPr>
      </w:r>
    </w:p>
    <w:p>
      <w:pPr>
        <w:spacing w:line="240" w:lineRule="auto" w:before="9"/>
        <w:rPr>
          <w:rFonts w:ascii="宋体" w:hAnsi="宋体" w:cs="宋体" w:eastAsia="宋体" w:hint="default"/>
          <w:b/>
          <w:bCs/>
          <w:sz w:val="31"/>
          <w:szCs w:val="31"/>
        </w:rPr>
      </w:pPr>
    </w:p>
    <w:p>
      <w:pPr>
        <w:pStyle w:val="BodyText"/>
        <w:spacing w:line="336" w:lineRule="auto"/>
        <w:ind w:right="708" w:firstLine="566"/>
        <w:jc w:val="left"/>
      </w:pPr>
      <w:r>
        <w:rPr/>
        <w:t>劲嘉股份按照企业内部控制指引的要求于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日在所有重大方面保持了与财务 报表相关的有效的内部控制。</w:t>
      </w:r>
    </w:p>
    <w:p>
      <w:pPr>
        <w:spacing w:line="336" w:lineRule="auto" w:before="58"/>
        <w:ind w:left="593" w:right="795" w:hanging="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、独立董事关于内部控制自我评价报告的独立意见</w:t>
      </w:r>
      <w:r>
        <w:rPr>
          <w:rFonts w:ascii="宋体" w:hAnsi="宋体" w:cs="宋体" w:eastAsia="宋体" w:hint="default"/>
          <w:b/>
          <w:bCs/>
          <w:w w:val="99"/>
          <w:sz w:val="24"/>
          <w:szCs w:val="24"/>
        </w:rPr>
        <w:t> </w:t>
      </w:r>
      <w:r>
        <w:rPr>
          <w:rFonts w:ascii="宋体" w:hAnsi="宋体" w:cs="宋体" w:eastAsia="宋体" w:hint="default"/>
          <w:sz w:val="24"/>
          <w:szCs w:val="24"/>
        </w:rPr>
        <w:t>根据深圳证券交易所《关于做好上市公司</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年年度报告披露工作的通知》、《企业内部</w:t>
      </w:r>
    </w:p>
    <w:p>
      <w:pPr>
        <w:pStyle w:val="BodyText"/>
        <w:spacing w:line="357" w:lineRule="auto" w:before="29"/>
        <w:ind w:right="585"/>
        <w:jc w:val="left"/>
      </w:pPr>
      <w:r>
        <w:rPr/>
        <w:t>控制基本规范》、《上市公司内部控制指引》和《中小企业板上市公司运作规范指引》的要求， </w:t>
      </w:r>
      <w:r>
        <w:rPr>
          <w:spacing w:val="-3"/>
        </w:rPr>
        <w:t>公司董事会审计委员会向董事会提交了公司《</w:t>
      </w:r>
      <w:r>
        <w:rPr>
          <w:rFonts w:ascii="宋体" w:hAnsi="宋体" w:cs="宋体" w:eastAsia="宋体" w:hint="default"/>
          <w:spacing w:val="-3"/>
        </w:rPr>
        <w:t>2011</w:t>
      </w:r>
      <w:r>
        <w:rPr>
          <w:rFonts w:ascii="宋体" w:hAnsi="宋体" w:cs="宋体" w:eastAsia="宋体" w:hint="default"/>
          <w:spacing w:val="-52"/>
        </w:rPr>
        <w:t> </w:t>
      </w:r>
      <w:r>
        <w:rPr>
          <w:spacing w:val="-7"/>
        </w:rPr>
        <w:t>年度内部控制的自我评价报告》，经认真审阅，</w:t>
      </w:r>
      <w:r>
        <w:rPr/>
        <w:t> </w:t>
      </w:r>
      <w:r>
        <w:rPr>
          <w:spacing w:val="-3"/>
        </w:rPr>
        <w:t>我们作为公司的独立董事，基于独立判断，对公司《</w:t>
      </w:r>
      <w:r>
        <w:rPr>
          <w:rFonts w:ascii="宋体" w:hAnsi="宋体" w:cs="宋体" w:eastAsia="宋体" w:hint="default"/>
          <w:spacing w:val="-3"/>
        </w:rPr>
        <w:t>2011</w:t>
      </w:r>
      <w:r>
        <w:rPr>
          <w:rFonts w:ascii="宋体" w:hAnsi="宋体" w:cs="宋体" w:eastAsia="宋体" w:hint="default"/>
          <w:spacing w:val="-62"/>
        </w:rPr>
        <w:t> </w:t>
      </w:r>
      <w:r>
        <w:rPr/>
        <w:t>年度内部控制的自我评价报告》发表如 下独立意见：</w:t>
      </w:r>
    </w:p>
    <w:p>
      <w:pPr>
        <w:pStyle w:val="BodyText"/>
        <w:spacing w:line="357" w:lineRule="auto" w:before="36"/>
        <w:ind w:right="585" w:firstLine="566"/>
        <w:jc w:val="left"/>
      </w:pPr>
      <w:r>
        <w:rPr>
          <w:spacing w:val="-3"/>
        </w:rPr>
        <w:t>公司建立了完善的涵盖控股子公司、关联交易、对外担保、募集资金使用、重大投资和生产</w:t>
      </w:r>
      <w:r>
        <w:rPr/>
        <w:t> 经营决策、信息披露、内部信息知情人士管理等重大事项的内部控制制度，符合《企业内部控制 基本规范》、深圳证券交易所《中小企业板上市公司规范运作指引》的要求，也符合公司的实际 情况。对公司内部的经营风险可以起到防范作用，保证公司各项业务的有序开展。在公司经营管 理的各个过程和关键环节，各项制度基本能够得到有效执行，在对外投资、购买和出售资产、对 </w:t>
      </w:r>
      <w:r>
        <w:rPr>
          <w:spacing w:val="-4"/>
        </w:rPr>
        <w:t>外担保、关联交易、募集资金使用、信息披露事务等重点控制事项方面不存在重大缺陷。经审阅，</w:t>
      </w:r>
      <w:r>
        <w:rPr>
          <w:spacing w:val="-93"/>
        </w:rPr>
        <w:t> </w:t>
      </w:r>
      <w:r>
        <w:rPr>
          <w:spacing w:val="-93"/>
        </w:rPr>
      </w:r>
      <w:r>
        <w:rPr>
          <w:spacing w:val="-4"/>
        </w:rPr>
        <w:t>我们认为《</w:t>
      </w:r>
      <w:r>
        <w:rPr>
          <w:rFonts w:ascii="宋体" w:hAnsi="宋体" w:cs="宋体" w:eastAsia="宋体" w:hint="default"/>
          <w:spacing w:val="-4"/>
        </w:rPr>
        <w:t>2011</w:t>
      </w:r>
      <w:r>
        <w:rPr>
          <w:rFonts w:ascii="宋体" w:hAnsi="宋体" w:cs="宋体" w:eastAsia="宋体" w:hint="default"/>
          <w:spacing w:val="-76"/>
        </w:rPr>
        <w:t> </w:t>
      </w:r>
      <w:r>
        <w:rPr/>
        <w:t>年度内部控制的自我评价报告》，反映了公司内部控制体系建设和运作的实际情 况。</w:t>
      </w:r>
    </w:p>
    <w:p>
      <w:pPr>
        <w:spacing w:line="338" w:lineRule="auto" w:before="34"/>
        <w:ind w:left="679" w:right="767"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、监事会关于内部控制自我评价报告的意见</w:t>
      </w:r>
      <w:r>
        <w:rPr>
          <w:rFonts w:ascii="宋体" w:hAnsi="宋体" w:cs="宋体" w:eastAsia="宋体" w:hint="default"/>
          <w:b/>
          <w:bCs/>
          <w:w w:val="99"/>
          <w:sz w:val="24"/>
          <w:szCs w:val="24"/>
        </w:rPr>
        <w:t> </w:t>
      </w:r>
      <w:r>
        <w:rPr>
          <w:rFonts w:ascii="宋体" w:hAnsi="宋体" w:cs="宋体" w:eastAsia="宋体" w:hint="default"/>
          <w:sz w:val="24"/>
          <w:szCs w:val="24"/>
        </w:rPr>
        <w:t>经认真审阅，公司监事会认为董事会编制的《</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年度公司内部控制的自我评价报告》反</w:t>
      </w:r>
    </w:p>
    <w:p>
      <w:pPr>
        <w:pStyle w:val="BodyText"/>
        <w:spacing w:line="240" w:lineRule="auto" w:before="25"/>
        <w:ind w:right="0"/>
        <w:jc w:val="left"/>
      </w:pPr>
      <w:r>
        <w:rPr/>
        <w:t>映了公司内部控制体系建设和运作的实际情况。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2"/>
        <w:tabs>
          <w:tab w:pos="953" w:val="left" w:leader="none"/>
        </w:tabs>
        <w:spacing w:line="240" w:lineRule="auto"/>
        <w:ind w:right="0"/>
        <w:jc w:val="left"/>
        <w:rPr>
          <w:b w:val="0"/>
          <w:bCs w:val="0"/>
        </w:rPr>
      </w:pPr>
      <w:r>
        <w:rPr>
          <w:w w:val="95"/>
        </w:rPr>
        <w:t>五、</w:t>
        <w:tab/>
      </w:r>
      <w:r>
        <w:rPr/>
        <w:t>公司内部审计制度的建立和执行情况</w:t>
      </w:r>
      <w:r>
        <w:rPr>
          <w:b w:val="0"/>
          <w:bCs w:val="0"/>
        </w:rPr>
      </w:r>
    </w:p>
    <w:p>
      <w:pPr>
        <w:spacing w:line="240" w:lineRule="auto" w:before="7"/>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5917"/>
        <w:gridCol w:w="1312"/>
        <w:gridCol w:w="1136"/>
      </w:tblGrid>
      <w:tr>
        <w:trPr>
          <w:trHeight w:val="323" w:hRule="exact"/>
        </w:trPr>
        <w:tc>
          <w:tcPr>
            <w:tcW w:w="5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内部控制相关情况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w:t>
            </w:r>
          </w:p>
        </w:tc>
      </w:tr>
      <w:tr>
        <w:trPr>
          <w:trHeight w:val="323" w:hRule="exact"/>
        </w:trPr>
        <w:tc>
          <w:tcPr>
            <w:tcW w:w="5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4" w:hRule="exact"/>
        </w:trPr>
        <w:tc>
          <w:tcPr>
            <w:tcW w:w="5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．公司是否建立内部审计制度，内部审计制度是否经公司董事会审议通过</w:t>
            </w:r>
          </w:p>
        </w:tc>
        <w:tc>
          <w:tcPr>
            <w:tcW w:w="1312" w:type="dxa"/>
            <w:tcBorders>
              <w:top w:val="single" w:sz="9" w:space="0" w:color="DCDCDC"/>
              <w:left w:val="single" w:sz="12" w:space="0" w:color="DCDCDC"/>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6" w:type="dxa"/>
            <w:tcBorders>
              <w:top w:val="single" w:sz="9" w:space="0" w:color="DCDCDC"/>
              <w:left w:val="single" w:sz="4" w:space="0" w:color="000000"/>
              <w:bottom w:val="single" w:sz="4" w:space="0" w:color="000000"/>
              <w:right w:val="single" w:sz="4" w:space="0" w:color="000000"/>
            </w:tcBorders>
          </w:tcPr>
          <w:p>
            <w:pPr/>
          </w:p>
        </w:tc>
      </w:tr>
      <w:tr>
        <w:trPr>
          <w:trHeight w:val="304" w:hRule="exact"/>
        </w:trPr>
        <w:tc>
          <w:tcPr>
            <w:tcW w:w="5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．公司董事会是否设立审计委员会，公司是否设立独立于财务部门的内部</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20" w:footer="936" w:top="1140" w:bottom="1140" w:left="1020" w:right="0"/>
        </w:sectPr>
      </w:pPr>
    </w:p>
    <w:p>
      <w:pPr>
        <w:spacing w:line="240" w:lineRule="auto" w:before="8"/>
        <w:rPr>
          <w:rFonts w:ascii="宋体" w:hAnsi="宋体" w:cs="宋体" w:eastAsia="宋体" w:hint="default"/>
          <w:b/>
          <w:bCs/>
          <w:sz w:val="4"/>
          <w:szCs w:val="4"/>
        </w:rPr>
      </w:pPr>
    </w:p>
    <w:tbl>
      <w:tblPr>
        <w:tblW w:w="0" w:type="auto"/>
        <w:jc w:val="left"/>
        <w:tblInd w:w="120" w:type="dxa"/>
        <w:tblLayout w:type="fixed"/>
        <w:tblCellMar>
          <w:top w:w="0" w:type="dxa"/>
          <w:left w:w="0" w:type="dxa"/>
          <w:bottom w:w="0" w:type="dxa"/>
          <w:right w:w="0" w:type="dxa"/>
        </w:tblCellMar>
        <w:tblLook w:val="01E0"/>
      </w:tblPr>
      <w:tblGrid>
        <w:gridCol w:w="5907"/>
        <w:gridCol w:w="1312"/>
        <w:gridCol w:w="1136"/>
      </w:tblGrid>
      <w:tr>
        <w:trPr>
          <w:trHeight w:val="283"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审计部门</w:t>
            </w:r>
          </w:p>
        </w:tc>
        <w:tc>
          <w:tcPr>
            <w:tcW w:w="1312" w:type="dxa"/>
            <w:tcBorders>
              <w:top w:val="single" w:sz="4" w:space="0" w:color="000000"/>
              <w:left w:val="single" w:sz="12" w:space="0" w:color="DCDCDC"/>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2" w:right="3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）审计委员会成员是否全部由董事组成，独立董事占半数以上并担任</w:t>
            </w:r>
            <w:r>
              <w:rPr>
                <w:rFonts w:ascii="宋体" w:hAnsi="宋体" w:cs="宋体" w:eastAsia="宋体" w:hint="default"/>
                <w:spacing w:val="-78"/>
                <w:sz w:val="18"/>
                <w:szCs w:val="18"/>
              </w:rPr>
              <w:t> </w:t>
            </w:r>
            <w:r>
              <w:rPr>
                <w:rFonts w:ascii="宋体" w:hAnsi="宋体" w:cs="宋体" w:eastAsia="宋体" w:hint="default"/>
                <w:sz w:val="18"/>
                <w:szCs w:val="18"/>
              </w:rPr>
              <w:t>召集人，且至少有一名独立董事为会计专业人士</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3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）内部审计部门是否配置三名以上（含三名）专职人员从事内部审计工 作</w:t>
            </w:r>
          </w:p>
        </w:tc>
        <w:tc>
          <w:tcPr>
            <w:tcW w:w="1312" w:type="dxa"/>
            <w:tcBorders>
              <w:top w:val="single" w:sz="4" w:space="0" w:color="000000"/>
              <w:left w:val="single" w:sz="12" w:space="0" w:color="DCDCDC"/>
              <w:bottom w:val="single" w:sz="5" w:space="0" w:color="DCDCDC"/>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6" w:type="dxa"/>
            <w:tcBorders>
              <w:top w:val="single" w:sz="4" w:space="0" w:color="000000"/>
              <w:left w:val="single" w:sz="4" w:space="0" w:color="000000"/>
              <w:bottom w:val="single" w:sz="5" w:space="0" w:color="DCDCDC"/>
              <w:right w:val="single" w:sz="4" w:space="0" w:color="000000"/>
            </w:tcBorders>
          </w:tcPr>
          <w:p>
            <w:pPr/>
          </w:p>
        </w:tc>
      </w:tr>
      <w:tr>
        <w:trPr>
          <w:trHeight w:val="322"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4"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312" w:type="dxa"/>
            <w:tcBorders>
              <w:top w:val="single" w:sz="9" w:space="0" w:color="DCDCDC"/>
              <w:left w:val="single" w:sz="12" w:space="0" w:color="DCDCDC"/>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6" w:type="dxa"/>
            <w:tcBorders>
              <w:top w:val="single" w:sz="9" w:space="0" w:color="DCDCDC"/>
              <w:left w:val="single" w:sz="4" w:space="0" w:color="000000"/>
              <w:bottom w:val="single" w:sz="4" w:space="0" w:color="000000"/>
              <w:right w:val="single" w:sz="4" w:space="0" w:color="000000"/>
            </w:tcBorders>
          </w:tcPr>
          <w:p>
            <w:pPr/>
          </w:p>
        </w:tc>
      </w:tr>
      <w:tr>
        <w:trPr>
          <w:trHeight w:val="557"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．内部控制自我评价报告结论是否为内部控制有效（如为内部控制无效， 请说明内部控制存在的重大缺陷）</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．本年度是否聘请会计师事务所对内部控制有效性出具鉴证报告</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auto" w:before="16"/>
              <w:ind w:left="12" w:right="1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．会计师事务所对公司内部控制有效性是否出具无保留结论鉴证报告。如 </w:t>
            </w:r>
            <w:r>
              <w:rPr>
                <w:rFonts w:ascii="宋体" w:hAnsi="宋体" w:cs="宋体" w:eastAsia="宋体" w:hint="default"/>
                <w:spacing w:val="-3"/>
                <w:sz w:val="18"/>
                <w:szCs w:val="18"/>
              </w:rPr>
              <w:t>出具非无保留结论鉴证报告，公司董事会、监事会是否针对鉴证结论涉及事</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项做出专项说明</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35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1025" w:hRule="exact"/>
        </w:trPr>
        <w:tc>
          <w:tcPr>
            <w:tcW w:w="8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12" w:right="48" w:firstLine="362"/>
              <w:jc w:val="both"/>
              <w:rPr>
                <w:rFonts w:ascii="宋体" w:hAnsi="宋体" w:cs="宋体" w:eastAsia="宋体" w:hint="default"/>
                <w:sz w:val="18"/>
                <w:szCs w:val="18"/>
              </w:rPr>
            </w:pPr>
            <w:r>
              <w:rPr>
                <w:rFonts w:ascii="宋体" w:hAnsi="宋体" w:cs="宋体" w:eastAsia="宋体" w:hint="default"/>
                <w:sz w:val="18"/>
                <w:szCs w:val="18"/>
              </w:rPr>
              <w:t>审计委员会按时对公司内部审计部门提交的审计报告进行审计，对报告期内的季度、半年度和年度财 务报告进行了审核，并出具了公司内部控制自我评价报告，认真履行了董事会赋予的职责。公司内部审计 部门通过内部审计出具内部控制评价报告，对重大公告、重要事项进行审计并出具审计报告，对在内部审 计过程中发现的内部控制缺陷、重大问题、风险隐患提出改进或处理意见。</w:t>
            </w:r>
          </w:p>
        </w:tc>
      </w:tr>
      <w:tr>
        <w:trPr>
          <w:trHeight w:val="324" w:hRule="exact"/>
        </w:trPr>
        <w:tc>
          <w:tcPr>
            <w:tcW w:w="835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324" w:hRule="exact"/>
        </w:trPr>
        <w:tc>
          <w:tcPr>
            <w:tcW w:w="8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tabs>
          <w:tab w:pos="953" w:val="left" w:leader="none"/>
        </w:tabs>
        <w:spacing w:line="240" w:lineRule="auto" w:before="14"/>
        <w:ind w:right="0"/>
        <w:jc w:val="left"/>
        <w:rPr>
          <w:b w:val="0"/>
          <w:bCs w:val="0"/>
        </w:rPr>
      </w:pPr>
      <w:r>
        <w:rPr>
          <w:w w:val="95"/>
        </w:rPr>
        <w:t>六、</w:t>
        <w:tab/>
      </w:r>
      <w:r>
        <w:rPr/>
        <w:t>公司治理非规范情况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593"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年度，公司不存在向大股东、实际控制人提供未公开信息等公司治理非规范情况。</w:t>
      </w:r>
    </w:p>
    <w:p>
      <w:pPr>
        <w:spacing w:line="240" w:lineRule="auto" w:before="11"/>
        <w:rPr>
          <w:rFonts w:ascii="宋体" w:hAnsi="宋体" w:cs="宋体" w:eastAsia="宋体" w:hint="default"/>
          <w:sz w:val="32"/>
          <w:szCs w:val="32"/>
        </w:rPr>
      </w:pPr>
    </w:p>
    <w:p>
      <w:pPr>
        <w:pStyle w:val="Heading2"/>
        <w:tabs>
          <w:tab w:pos="953" w:val="left" w:leader="none"/>
        </w:tabs>
        <w:spacing w:line="240" w:lineRule="auto"/>
        <w:ind w:right="0"/>
        <w:jc w:val="left"/>
        <w:rPr>
          <w:b w:val="0"/>
          <w:bCs w:val="0"/>
        </w:rPr>
      </w:pPr>
      <w:r>
        <w:rPr>
          <w:w w:val="95"/>
        </w:rPr>
        <w:t>七、</w:t>
        <w:tab/>
      </w:r>
      <w:r>
        <w:rPr/>
        <w:t>对高级管理人员的考评及激励机制的建立及实施情况</w:t>
      </w:r>
      <w:r>
        <w:rPr>
          <w:b w:val="0"/>
          <w:bCs w:val="0"/>
        </w:rPr>
      </w:r>
    </w:p>
    <w:p>
      <w:pPr>
        <w:spacing w:line="240" w:lineRule="auto" w:before="3"/>
        <w:rPr>
          <w:rFonts w:ascii="宋体" w:hAnsi="宋体" w:cs="宋体" w:eastAsia="宋体" w:hint="default"/>
          <w:b/>
          <w:bCs/>
          <w:sz w:val="23"/>
          <w:szCs w:val="23"/>
        </w:rPr>
      </w:pPr>
    </w:p>
    <w:p>
      <w:pPr>
        <w:pStyle w:val="BodyText"/>
        <w:spacing w:line="357" w:lineRule="auto"/>
        <w:ind w:right="1134" w:firstLine="480"/>
        <w:jc w:val="both"/>
      </w:pPr>
      <w:r>
        <w:rPr/>
        <w:t>公司董事会设立了薪酬与考核委员会，具体审议高级管理人员的薪酬奖励方案，根据公 司实际经营完成情况以及高级管理人员的工作绩效，对高级管理人员进行年度绩效考核，并</w:t>
      </w:r>
      <w:r>
        <w:rPr>
          <w:spacing w:val="-88"/>
        </w:rPr>
        <w:t> </w:t>
      </w:r>
      <w:r>
        <w:rPr>
          <w:spacing w:val="-88"/>
        </w:rPr>
      </w:r>
      <w:r>
        <w:rPr/>
        <w:t>监督薪酬制度执行情况。董事会将结合公司的实际情况，建立完善的董事、监事及高级管理</w:t>
      </w:r>
      <w:r>
        <w:rPr>
          <w:spacing w:val="-89"/>
        </w:rPr>
        <w:t> </w:t>
      </w:r>
      <w:r>
        <w:rPr>
          <w:spacing w:val="-89"/>
        </w:rPr>
      </w:r>
      <w:r>
        <w:rPr/>
        <w:t>人员的激励和约束机制和董事、监事及高级管理人员绩效考核机制。</w:t>
      </w:r>
    </w:p>
    <w:p>
      <w:pPr>
        <w:pStyle w:val="BodyText"/>
        <w:spacing w:line="240" w:lineRule="auto" w:before="75"/>
        <w:ind w:left="593" w:right="0"/>
        <w:jc w:val="left"/>
      </w:pPr>
      <w:r>
        <w:rPr/>
        <w:t>报告期内，本公司高级管理人员经考核，均认真履行了工作职责，完成了职责目标。</w:t>
      </w:r>
    </w:p>
    <w:p>
      <w:pPr>
        <w:spacing w:after="0" w:line="240" w:lineRule="auto"/>
        <w:jc w:val="left"/>
        <w:sectPr>
          <w:pgSz w:w="11910" w:h="16840"/>
          <w:pgMar w:header="920" w:footer="936" w:top="1140" w:bottom="1140" w:left="1020" w:right="0"/>
        </w:sectPr>
      </w:pPr>
    </w:p>
    <w:p>
      <w:pPr>
        <w:spacing w:line="240" w:lineRule="auto" w:before="2"/>
        <w:rPr>
          <w:rFonts w:ascii="宋体" w:hAnsi="宋体" w:cs="宋体" w:eastAsia="宋体" w:hint="default"/>
          <w:sz w:val="20"/>
          <w:szCs w:val="20"/>
        </w:rPr>
      </w:pPr>
    </w:p>
    <w:p>
      <w:pPr>
        <w:pStyle w:val="Heading1"/>
        <w:spacing w:line="240" w:lineRule="auto"/>
        <w:ind w:left="3092" w:right="0"/>
        <w:jc w:val="left"/>
        <w:rPr>
          <w:rFonts w:ascii="宋体" w:hAnsi="宋体" w:cs="宋体" w:eastAsia="宋体" w:hint="default"/>
        </w:rPr>
      </w:pPr>
      <w:bookmarkStart w:name="_TOC_250005" w:id="6"/>
      <w:r>
        <w:rPr>
          <w:rFonts w:ascii="宋体" w:hAnsi="宋体" w:cs="宋体" w:eastAsia="宋体" w:hint="default"/>
        </w:rPr>
        <w:t>第六节</w:t>
      </w:r>
      <w:r>
        <w:rPr>
          <w:rFonts w:ascii="宋体" w:hAnsi="宋体" w:cs="宋体" w:eastAsia="宋体" w:hint="default"/>
          <w:spacing w:val="-5"/>
        </w:rPr>
        <w:t> </w:t>
      </w:r>
      <w:bookmarkEnd w:id="6"/>
      <w:r>
        <w:rPr>
          <w:rFonts w:ascii="宋体" w:hAnsi="宋体" w:cs="宋体" w:eastAsia="宋体" w:hint="default"/>
        </w:rPr>
        <w:t>股东大会情况介绍</w:t>
      </w:r>
    </w:p>
    <w:p>
      <w:pPr>
        <w:spacing w:line="240" w:lineRule="auto" w:before="0"/>
        <w:rPr>
          <w:rFonts w:ascii="宋体" w:hAnsi="宋体" w:cs="宋体" w:eastAsia="宋体" w:hint="default"/>
          <w:sz w:val="32"/>
          <w:szCs w:val="32"/>
        </w:rPr>
      </w:pPr>
    </w:p>
    <w:p>
      <w:pPr>
        <w:spacing w:line="240" w:lineRule="auto" w:before="11"/>
        <w:rPr>
          <w:rFonts w:ascii="宋体" w:hAnsi="宋体" w:cs="宋体" w:eastAsia="宋体" w:hint="default"/>
          <w:sz w:val="26"/>
          <w:szCs w:val="26"/>
        </w:rPr>
      </w:pPr>
    </w:p>
    <w:p>
      <w:pPr>
        <w:pStyle w:val="BodyText"/>
        <w:spacing w:line="240" w:lineRule="auto"/>
        <w:ind w:left="593"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年公司共召开三次股东大会，具体如下：</w:t>
      </w:r>
    </w:p>
    <w:p>
      <w:pPr>
        <w:spacing w:line="240" w:lineRule="auto" w:before="9"/>
        <w:rPr>
          <w:rFonts w:ascii="宋体" w:hAnsi="宋体" w:cs="宋体" w:eastAsia="宋体" w:hint="default"/>
          <w:sz w:val="32"/>
          <w:szCs w:val="32"/>
        </w:rPr>
      </w:pPr>
    </w:p>
    <w:p>
      <w:pPr>
        <w:pStyle w:val="Heading2"/>
        <w:spacing w:line="240" w:lineRule="auto"/>
        <w:ind w:right="0"/>
        <w:jc w:val="left"/>
        <w:rPr>
          <w:b w:val="0"/>
          <w:bCs w:val="0"/>
        </w:rPr>
      </w:pPr>
      <w:r>
        <w:rPr/>
        <w:t>一、</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年年度股东大会</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left="593"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20 </w:t>
      </w:r>
      <w:r>
        <w:rPr/>
        <w:t>日，在公司办公地址会议室召开的</w:t>
      </w:r>
      <w:r>
        <w:rPr>
          <w:spacing w:val="-59"/>
        </w:rPr>
        <w:t> </w:t>
      </w:r>
      <w:r>
        <w:rPr>
          <w:rFonts w:ascii="Times New Roman" w:hAnsi="Times New Roman" w:cs="Times New Roman" w:eastAsia="Times New Roman" w:hint="default"/>
        </w:rPr>
        <w:t>2010 </w:t>
      </w:r>
      <w:r>
        <w:rPr/>
        <w:t>年年度股东大会审议如下议案：</w:t>
      </w:r>
    </w:p>
    <w:p>
      <w:pPr>
        <w:pStyle w:val="BodyText"/>
        <w:spacing w:line="240" w:lineRule="auto" w:before="174"/>
        <w:ind w:left="593" w:right="0"/>
        <w:jc w:val="left"/>
      </w:pPr>
      <w:r>
        <w:rPr>
          <w:rFonts w:ascii="Times New Roman" w:hAnsi="Times New Roman" w:cs="Times New Roman" w:eastAsia="Times New Roman" w:hint="default"/>
        </w:rPr>
        <w:t>1</w:t>
      </w:r>
      <w:r>
        <w:rPr/>
        <w:t>、审议通过</w:t>
      </w:r>
      <w:r>
        <w:rPr>
          <w:spacing w:val="-1"/>
        </w:rPr>
        <w:t>《</w:t>
      </w:r>
      <w:r>
        <w:rPr>
          <w:rFonts w:ascii="Times New Roman" w:hAnsi="Times New Roman" w:cs="Times New Roman" w:eastAsia="Times New Roman" w:hint="default"/>
        </w:rPr>
        <w:t>2010 </w:t>
      </w:r>
      <w:r>
        <w:rPr/>
        <w:t>年度董事会工作报告</w:t>
      </w:r>
      <w:r>
        <w:rPr>
          <w:spacing w:val="-120"/>
        </w:rPr>
        <w:t>》</w:t>
      </w:r>
      <w:r>
        <w:rPr/>
        <w:t>；</w:t>
      </w:r>
    </w:p>
    <w:p>
      <w:pPr>
        <w:pStyle w:val="BodyText"/>
        <w:spacing w:line="240" w:lineRule="auto" w:before="174"/>
        <w:ind w:left="593" w:right="0"/>
        <w:jc w:val="left"/>
      </w:pPr>
      <w:r>
        <w:rPr>
          <w:rFonts w:ascii="宋体" w:hAnsi="宋体" w:cs="宋体" w:eastAsia="宋体" w:hint="default"/>
        </w:rPr>
        <w:t>2</w:t>
      </w:r>
      <w:r>
        <w:rPr/>
        <w:t>、审议通过</w:t>
      </w:r>
      <w:r>
        <w:rPr>
          <w:spacing w:val="-1"/>
        </w:rPr>
        <w:t>《</w:t>
      </w:r>
      <w:r>
        <w:rPr>
          <w:rFonts w:ascii="宋体" w:hAnsi="宋体" w:cs="宋体" w:eastAsia="宋体" w:hint="default"/>
        </w:rPr>
        <w:t>2010</w:t>
      </w:r>
      <w:r>
        <w:rPr>
          <w:rFonts w:ascii="宋体" w:hAnsi="宋体" w:cs="宋体" w:eastAsia="宋体" w:hint="default"/>
          <w:spacing w:val="-60"/>
        </w:rPr>
        <w:t> </w:t>
      </w:r>
      <w:r>
        <w:rPr/>
        <w:t>年度监事会工作报告</w:t>
      </w:r>
      <w:r>
        <w:rPr>
          <w:spacing w:val="-120"/>
        </w:rPr>
        <w:t>》</w:t>
      </w:r>
      <w:r>
        <w:rPr/>
        <w:t>；</w:t>
      </w:r>
    </w:p>
    <w:p>
      <w:pPr>
        <w:pStyle w:val="BodyText"/>
        <w:spacing w:line="240" w:lineRule="auto" w:before="195"/>
        <w:ind w:left="593" w:right="0"/>
        <w:jc w:val="left"/>
      </w:pPr>
      <w:r>
        <w:rPr>
          <w:rFonts w:ascii="宋体" w:hAnsi="宋体" w:cs="宋体" w:eastAsia="宋体" w:hint="default"/>
        </w:rPr>
        <w:t>3</w:t>
      </w:r>
      <w:r>
        <w:rPr/>
        <w:t>、审议通</w:t>
      </w:r>
      <w:r>
        <w:rPr>
          <w:spacing w:val="-1"/>
        </w:rPr>
        <w:t>过</w:t>
      </w:r>
      <w:r>
        <w:rPr/>
        <w:t>《关于</w:t>
      </w:r>
      <w:r>
        <w:rPr>
          <w:spacing w:val="-60"/>
        </w:rPr>
        <w:t> </w:t>
      </w:r>
      <w:r>
        <w:rPr>
          <w:rFonts w:ascii="宋体" w:hAnsi="宋体" w:cs="宋体" w:eastAsia="宋体" w:hint="default"/>
        </w:rPr>
        <w:t>2010</w:t>
      </w:r>
      <w:r>
        <w:rPr>
          <w:rFonts w:ascii="宋体" w:hAnsi="宋体" w:cs="宋体" w:eastAsia="宋体" w:hint="default"/>
          <w:spacing w:val="-60"/>
        </w:rPr>
        <w:t> </w:t>
      </w:r>
      <w:r>
        <w:rPr/>
        <w:t>年年度募集资金使用情况的专项说明</w:t>
      </w:r>
      <w:r>
        <w:rPr>
          <w:spacing w:val="-120"/>
        </w:rPr>
        <w:t>》</w:t>
      </w:r>
      <w:r>
        <w:rPr/>
        <w:t>；</w:t>
      </w:r>
    </w:p>
    <w:p>
      <w:pPr>
        <w:pStyle w:val="BodyText"/>
        <w:spacing w:line="355" w:lineRule="auto" w:before="192"/>
        <w:ind w:right="1116" w:firstLine="480"/>
        <w:jc w:val="left"/>
      </w:pPr>
      <w:r>
        <w:rPr>
          <w:rFonts w:ascii="宋体" w:hAnsi="宋体" w:cs="宋体" w:eastAsia="宋体" w:hint="default"/>
        </w:rPr>
        <w:t>4</w:t>
      </w:r>
      <w:r>
        <w:rPr/>
        <w:t>、审议通过《关于续聘深圳市鹏城会计师事务所有限公司为公司 </w:t>
      </w:r>
      <w:r>
        <w:rPr>
          <w:rFonts w:ascii="宋体" w:hAnsi="宋体" w:cs="宋体" w:eastAsia="宋体" w:hint="default"/>
        </w:rPr>
        <w:t>2011</w:t>
      </w:r>
      <w:r>
        <w:rPr>
          <w:rFonts w:ascii="宋体" w:hAnsi="宋体" w:cs="宋体" w:eastAsia="宋体" w:hint="default"/>
          <w:spacing w:val="-82"/>
        </w:rPr>
        <w:t> </w:t>
      </w:r>
      <w:r>
        <w:rPr/>
        <w:t>年审计机构的议 </w:t>
      </w:r>
      <w:r>
        <w:rPr>
          <w:spacing w:val="-40"/>
        </w:rPr>
        <w:t>案》；</w:t>
      </w:r>
    </w:p>
    <w:p>
      <w:pPr>
        <w:pStyle w:val="BodyText"/>
        <w:spacing w:line="240" w:lineRule="auto" w:before="79"/>
        <w:ind w:left="593" w:right="0"/>
        <w:jc w:val="left"/>
      </w:pPr>
      <w:r>
        <w:rPr>
          <w:rFonts w:ascii="宋体" w:hAnsi="宋体" w:cs="宋体" w:eastAsia="宋体" w:hint="default"/>
        </w:rPr>
        <w:t>5</w:t>
      </w:r>
      <w:r>
        <w:rPr/>
        <w:t>、审议通</w:t>
      </w:r>
      <w:r>
        <w:rPr>
          <w:spacing w:val="-1"/>
        </w:rPr>
        <w:t>过</w:t>
      </w:r>
      <w:r>
        <w:rPr/>
        <w:t>《</w:t>
      </w:r>
      <w:r>
        <w:rPr>
          <w:rFonts w:ascii="宋体" w:hAnsi="宋体" w:cs="宋体" w:eastAsia="宋体" w:hint="default"/>
        </w:rPr>
        <w:t>2010</w:t>
      </w:r>
      <w:r>
        <w:rPr>
          <w:rFonts w:ascii="宋体" w:hAnsi="宋体" w:cs="宋体" w:eastAsia="宋体" w:hint="default"/>
          <w:spacing w:val="-60"/>
        </w:rPr>
        <w:t> </w:t>
      </w:r>
      <w:r>
        <w:rPr/>
        <w:t>年度报告》及《</w:t>
      </w:r>
      <w:r>
        <w:rPr>
          <w:rFonts w:ascii="宋体" w:hAnsi="宋体" w:cs="宋体" w:eastAsia="宋体" w:hint="default"/>
        </w:rPr>
        <w:t>2010</w:t>
      </w:r>
      <w:r>
        <w:rPr>
          <w:rFonts w:ascii="宋体" w:hAnsi="宋体" w:cs="宋体" w:eastAsia="宋体" w:hint="default"/>
          <w:spacing w:val="-60"/>
        </w:rPr>
        <w:t> </w:t>
      </w:r>
      <w:r>
        <w:rPr/>
        <w:t>年度报告摘要</w:t>
      </w:r>
      <w:r>
        <w:rPr>
          <w:spacing w:val="-120"/>
        </w:rPr>
        <w:t>》</w:t>
      </w:r>
      <w:r>
        <w:rPr/>
        <w:t>；</w:t>
      </w:r>
    </w:p>
    <w:p>
      <w:pPr>
        <w:pStyle w:val="BodyText"/>
        <w:spacing w:line="240" w:lineRule="auto" w:before="192"/>
        <w:ind w:left="593" w:right="0"/>
        <w:jc w:val="left"/>
      </w:pPr>
      <w:r>
        <w:rPr>
          <w:rFonts w:ascii="宋体" w:hAnsi="宋体" w:cs="宋体" w:eastAsia="宋体" w:hint="default"/>
        </w:rPr>
        <w:t>6</w:t>
      </w:r>
      <w:r>
        <w:rPr/>
        <w:t>、审议通</w:t>
      </w:r>
      <w:r>
        <w:rPr>
          <w:spacing w:val="-1"/>
        </w:rPr>
        <w:t>过</w:t>
      </w:r>
      <w:r>
        <w:rPr/>
        <w:t>《</w:t>
      </w:r>
      <w:r>
        <w:rPr>
          <w:rFonts w:ascii="宋体" w:hAnsi="宋体" w:cs="宋体" w:eastAsia="宋体" w:hint="default"/>
        </w:rPr>
        <w:t>2010</w:t>
      </w:r>
      <w:r>
        <w:rPr>
          <w:rFonts w:ascii="宋体" w:hAnsi="宋体" w:cs="宋体" w:eastAsia="宋体" w:hint="default"/>
          <w:spacing w:val="-60"/>
        </w:rPr>
        <w:t> </w:t>
      </w:r>
      <w:r>
        <w:rPr/>
        <w:t>年度财务决算报告</w:t>
      </w:r>
      <w:r>
        <w:rPr>
          <w:spacing w:val="-120"/>
        </w:rPr>
        <w:t>》</w:t>
      </w:r>
      <w:r>
        <w:rPr/>
        <w:t>；</w:t>
      </w:r>
    </w:p>
    <w:p>
      <w:pPr>
        <w:pStyle w:val="BodyText"/>
        <w:spacing w:line="240" w:lineRule="auto" w:before="192"/>
        <w:ind w:left="593" w:right="0"/>
        <w:jc w:val="left"/>
      </w:pPr>
      <w:r>
        <w:rPr>
          <w:rFonts w:ascii="宋体" w:hAnsi="宋体" w:cs="宋体" w:eastAsia="宋体" w:hint="default"/>
        </w:rPr>
        <w:t>7</w:t>
      </w:r>
      <w:r>
        <w:rPr/>
        <w:t>、审</w:t>
      </w:r>
      <w:r>
        <w:rPr>
          <w:spacing w:val="-1"/>
        </w:rPr>
        <w:t>议</w:t>
      </w:r>
      <w:r>
        <w:rPr/>
        <w:t>通过《</w:t>
      </w:r>
      <w:r>
        <w:rPr>
          <w:rFonts w:ascii="宋体" w:hAnsi="宋体" w:cs="宋体" w:eastAsia="宋体" w:hint="default"/>
        </w:rPr>
        <w:t>2010</w:t>
      </w:r>
      <w:r>
        <w:rPr>
          <w:rFonts w:ascii="宋体" w:hAnsi="宋体" w:cs="宋体" w:eastAsia="宋体" w:hint="default"/>
          <w:spacing w:val="-60"/>
        </w:rPr>
        <w:t> </w:t>
      </w:r>
      <w:r>
        <w:rPr/>
        <w:t>年利润分配的议案</w:t>
      </w:r>
      <w:r>
        <w:rPr>
          <w:spacing w:val="-120"/>
        </w:rPr>
        <w:t>》</w:t>
      </w:r>
      <w:r>
        <w:rPr/>
        <w:t>；</w:t>
      </w:r>
    </w:p>
    <w:p>
      <w:pPr>
        <w:pStyle w:val="BodyText"/>
        <w:spacing w:line="240" w:lineRule="auto" w:before="192"/>
        <w:ind w:left="593" w:right="0"/>
        <w:jc w:val="left"/>
      </w:pPr>
      <w:r>
        <w:rPr>
          <w:rFonts w:ascii="宋体" w:hAnsi="宋体" w:cs="宋体" w:eastAsia="宋体" w:hint="default"/>
        </w:rPr>
        <w:t>8</w:t>
      </w:r>
      <w:r>
        <w:rPr/>
        <w:t>、审议通</w:t>
      </w:r>
      <w:r>
        <w:rPr>
          <w:spacing w:val="-1"/>
        </w:rPr>
        <w:t>过</w:t>
      </w:r>
      <w:r>
        <w:rPr/>
        <w:t>《关于修订</w:t>
      </w:r>
      <w:r>
        <w:rPr>
          <w:rFonts w:ascii="宋体" w:hAnsi="宋体" w:cs="宋体" w:eastAsia="宋体" w:hint="default"/>
        </w:rPr>
        <w:t>&lt;</w:t>
      </w:r>
      <w:r>
        <w:rPr/>
        <w:t>公司章程</w:t>
      </w:r>
      <w:r>
        <w:rPr>
          <w:rFonts w:ascii="宋体" w:hAnsi="宋体" w:cs="宋体" w:eastAsia="宋体" w:hint="default"/>
        </w:rPr>
        <w:t>&gt;</w:t>
      </w:r>
      <w:r>
        <w:rPr/>
        <w:t>的议案</w:t>
      </w:r>
      <w:r>
        <w:rPr>
          <w:spacing w:val="-120"/>
        </w:rPr>
        <w:t>》</w:t>
      </w:r>
      <w:r>
        <w:rPr/>
        <w:t>；</w:t>
      </w:r>
    </w:p>
    <w:p>
      <w:pPr>
        <w:pStyle w:val="BodyText"/>
        <w:spacing w:line="240" w:lineRule="auto" w:before="192"/>
        <w:ind w:left="593" w:right="0"/>
        <w:jc w:val="left"/>
      </w:pPr>
      <w:r>
        <w:rPr>
          <w:rFonts w:ascii="宋体" w:hAnsi="宋体" w:cs="宋体" w:eastAsia="宋体" w:hint="default"/>
        </w:rPr>
        <w:t>9</w:t>
      </w:r>
      <w:r>
        <w:rPr/>
        <w:t>、审议通</w:t>
      </w:r>
      <w:r>
        <w:rPr>
          <w:spacing w:val="-1"/>
        </w:rPr>
        <w:t>过</w:t>
      </w:r>
      <w:r>
        <w:rPr/>
        <w:t>《关于制订</w:t>
      </w:r>
      <w:r>
        <w:rPr>
          <w:rFonts w:ascii="宋体" w:hAnsi="宋体" w:cs="宋体" w:eastAsia="宋体" w:hint="default"/>
        </w:rPr>
        <w:t>&lt;</w:t>
      </w:r>
      <w:r>
        <w:rPr/>
        <w:t>防范股东及关联方资金占用管理制度</w:t>
      </w:r>
      <w:r>
        <w:rPr>
          <w:rFonts w:ascii="宋体" w:hAnsi="宋体" w:cs="宋体" w:eastAsia="宋体" w:hint="default"/>
        </w:rPr>
        <w:t>&gt;</w:t>
      </w:r>
      <w:r>
        <w:rPr/>
        <w:t>的议案</w:t>
      </w:r>
      <w:r>
        <w:rPr>
          <w:spacing w:val="-120"/>
        </w:rPr>
        <w:t>》</w:t>
      </w:r>
      <w:r>
        <w:rPr/>
        <w:t>；</w:t>
      </w:r>
    </w:p>
    <w:p>
      <w:pPr>
        <w:pStyle w:val="BodyText"/>
        <w:spacing w:line="240" w:lineRule="auto" w:before="192"/>
        <w:ind w:left="593" w:right="0"/>
        <w:jc w:val="left"/>
      </w:pPr>
      <w:r>
        <w:rPr>
          <w:rFonts w:ascii="宋体" w:hAnsi="宋体" w:cs="宋体" w:eastAsia="宋体" w:hint="default"/>
        </w:rPr>
        <w:t>10</w:t>
      </w:r>
      <w:r>
        <w:rPr/>
        <w:t>、审议通</w:t>
      </w:r>
      <w:r>
        <w:rPr>
          <w:spacing w:val="-1"/>
        </w:rPr>
        <w:t>过</w:t>
      </w:r>
      <w:r>
        <w:rPr/>
        <w:t>《关于提名公司监事的议案</w:t>
      </w:r>
      <w:r>
        <w:rPr>
          <w:spacing w:val="-120"/>
        </w:rPr>
        <w:t>》</w:t>
      </w:r>
      <w:r>
        <w:rPr/>
        <w:t>，选举谭毅先生为公司第三届监事会监</w:t>
      </w:r>
      <w:r>
        <w:rPr>
          <w:spacing w:val="1"/>
        </w:rPr>
        <w:t>事</w:t>
      </w:r>
      <w:r>
        <w:rPr/>
        <w:t>；</w:t>
      </w:r>
    </w:p>
    <w:p>
      <w:pPr>
        <w:pStyle w:val="BodyText"/>
        <w:spacing w:line="240" w:lineRule="auto" w:before="194"/>
        <w:ind w:left="578" w:right="0"/>
        <w:jc w:val="left"/>
      </w:pPr>
      <w:r>
        <w:rPr>
          <w:rFonts w:ascii="宋体" w:hAnsi="宋体" w:cs="宋体" w:eastAsia="宋体" w:hint="default"/>
        </w:rPr>
        <w:t>11</w:t>
      </w:r>
      <w:r>
        <w:rPr/>
        <w:t>、审</w:t>
      </w:r>
      <w:r>
        <w:rPr>
          <w:spacing w:val="-1"/>
        </w:rPr>
        <w:t>议</w:t>
      </w:r>
      <w:r>
        <w:rPr/>
        <w:t>否决《</w:t>
      </w:r>
      <w:r>
        <w:rPr>
          <w:rFonts w:ascii="宋体" w:hAnsi="宋体" w:cs="宋体" w:eastAsia="宋体" w:hint="default"/>
        </w:rPr>
        <w:t>2010</w:t>
      </w:r>
      <w:r>
        <w:rPr>
          <w:rFonts w:ascii="宋体" w:hAnsi="宋体" w:cs="宋体" w:eastAsia="宋体" w:hint="default"/>
          <w:spacing w:val="-60"/>
        </w:rPr>
        <w:t> </w:t>
      </w:r>
      <w:r>
        <w:rPr/>
        <w:t>年利润分配及资本公积转增股本的议案（太和实业提案</w:t>
      </w:r>
      <w:r>
        <w:rPr>
          <w:spacing w:val="-120"/>
        </w:rPr>
        <w:t>）》；</w:t>
      </w:r>
      <w:r>
        <w:rPr/>
      </w:r>
    </w:p>
    <w:p>
      <w:pPr>
        <w:pStyle w:val="BodyText"/>
        <w:spacing w:line="355" w:lineRule="auto" w:before="192"/>
        <w:ind w:right="1131" w:firstLine="480"/>
        <w:jc w:val="left"/>
      </w:pPr>
      <w:r>
        <w:rPr>
          <w:rFonts w:ascii="宋体" w:hAnsi="宋体" w:cs="宋体" w:eastAsia="宋体" w:hint="default"/>
          <w:spacing w:val="-6"/>
        </w:rPr>
        <w:t>12</w:t>
      </w:r>
      <w:r>
        <w:rPr>
          <w:spacing w:val="-6"/>
        </w:rPr>
        <w:t>、审议通过《提名李鹏志先生为公司董事的议案》，选举李鹏志先生为公司第三届董事</w:t>
      </w:r>
      <w:r>
        <w:rPr/>
        <w:t> 会董事。</w:t>
      </w:r>
    </w:p>
    <w:p>
      <w:pPr>
        <w:pStyle w:val="BodyText"/>
        <w:spacing w:line="240" w:lineRule="auto" w:before="79"/>
        <w:ind w:left="593" w:right="0"/>
        <w:jc w:val="left"/>
      </w:pPr>
      <w:r>
        <w:rPr>
          <w:spacing w:val="4"/>
        </w:rPr>
        <w:t>该次会议决议</w:t>
      </w:r>
      <w:r>
        <w:rPr/>
        <w:t>于</w:t>
      </w:r>
      <w:r>
        <w:rPr>
          <w:spacing w:val="4"/>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rFonts w:ascii="Times New Roman" w:hAnsi="Times New Roman" w:cs="Times New Roman" w:eastAsia="Times New Roman" w:hint="default"/>
          <w:spacing w:val="7"/>
        </w:rPr>
        <w:t> </w:t>
      </w:r>
      <w:r>
        <w:rPr/>
        <w:t>年</w:t>
      </w:r>
      <w:r>
        <w:rPr>
          <w:spacing w:val="4"/>
        </w:rPr>
        <w:t> </w:t>
      </w:r>
      <w:r>
        <w:rPr>
          <w:rFonts w:ascii="Times New Roman" w:hAnsi="Times New Roman" w:cs="Times New Roman" w:eastAsia="Times New Roman" w:hint="default"/>
        </w:rPr>
        <w:t>5 </w:t>
      </w:r>
      <w:r>
        <w:rPr>
          <w:rFonts w:ascii="Times New Roman" w:hAnsi="Times New Roman" w:cs="Times New Roman" w:eastAsia="Times New Roman" w:hint="default"/>
          <w:spacing w:val="4"/>
        </w:rPr>
        <w:t> </w:t>
      </w:r>
      <w:r>
        <w:rPr/>
        <w:t>月</w:t>
      </w:r>
      <w:r>
        <w:rPr>
          <w:spacing w:val="4"/>
        </w:rPr>
        <w:t> </w:t>
      </w:r>
      <w:r>
        <w:rPr>
          <w:rFonts w:ascii="Times New Roman" w:hAnsi="Times New Roman" w:cs="Times New Roman" w:eastAsia="Times New Roman" w:hint="default"/>
        </w:rPr>
        <w:t>23 </w:t>
      </w:r>
      <w:r>
        <w:rPr>
          <w:rFonts w:ascii="Times New Roman" w:hAnsi="Times New Roman" w:cs="Times New Roman" w:eastAsia="Times New Roman" w:hint="default"/>
          <w:spacing w:val="4"/>
        </w:rPr>
        <w:t> </w:t>
      </w:r>
      <w:r>
        <w:rPr>
          <w:spacing w:val="4"/>
        </w:rPr>
        <w:t>日在《证券时报</w:t>
      </w:r>
      <w:r>
        <w:rPr>
          <w:spacing w:val="-116"/>
        </w:rPr>
        <w:t>》、</w:t>
      </w:r>
      <w:r>
        <w:rPr>
          <w:spacing w:val="4"/>
        </w:rPr>
        <w:t>《中国证券</w:t>
      </w:r>
      <w:r>
        <w:rPr>
          <w:spacing w:val="6"/>
        </w:rPr>
        <w:t>报</w:t>
      </w:r>
      <w:r>
        <w:rPr>
          <w:spacing w:val="4"/>
        </w:rPr>
        <w:t>》及巨潮资讯网站</w:t>
      </w:r>
      <w:r>
        <w:rPr/>
      </w:r>
    </w:p>
    <w:p>
      <w:pPr>
        <w:pStyle w:val="BodyText"/>
        <w:spacing w:line="240" w:lineRule="auto" w:before="133"/>
        <w:ind w:right="0"/>
        <w:jc w:val="left"/>
      </w:pPr>
      <w:r>
        <w:rPr>
          <w:rFonts w:ascii="Times New Roman" w:hAnsi="Times New Roman" w:cs="Times New Roman" w:eastAsia="Times New Roman" w:hint="default"/>
          <w:w w:val="99"/>
        </w:rPr>
      </w:r>
      <w:hyperlink r:id="rId12">
        <w:r>
          <w:rPr>
            <w:rFonts w:ascii="Times New Roman" w:hAnsi="Times New Roman" w:cs="Times New Roman" w:eastAsia="Times New Roman" w:hint="default"/>
            <w:u w:val="single" w:color="000000"/>
          </w:rPr>
          <w:t>www.cninfo.com.cn  </w:t>
        </w:r>
        <w:r>
          <w:rPr>
            <w:rFonts w:ascii="Times New Roman" w:hAnsi="Times New Roman" w:cs="Times New Roman" w:eastAsia="Times New Roman" w:hint="default"/>
          </w:rPr>
        </w:r>
      </w:hyperlink>
      <w:r>
        <w:rPr>
          <w:rFonts w:ascii="Times New Roman" w:hAnsi="Times New Roman" w:cs="Times New Roman" w:eastAsia="Times New Roman" w:hint="default"/>
        </w:rPr>
      </w:r>
      <w:r>
        <w:rPr/>
        <w:t>公开披露</w:t>
      </w:r>
      <w:r>
        <w:rPr>
          <w:spacing w:val="-18"/>
        </w:rPr>
        <w:t> </w:t>
      </w:r>
      <w:r>
        <w:rPr/>
        <w:t>。</w:t>
      </w:r>
    </w:p>
    <w:p>
      <w:pPr>
        <w:spacing w:line="240" w:lineRule="auto" w:before="9"/>
        <w:rPr>
          <w:rFonts w:ascii="宋体" w:hAnsi="宋体" w:cs="宋体" w:eastAsia="宋体" w:hint="default"/>
          <w:sz w:val="32"/>
          <w:szCs w:val="32"/>
        </w:rPr>
      </w:pPr>
    </w:p>
    <w:p>
      <w:pPr>
        <w:pStyle w:val="Heading2"/>
        <w:spacing w:line="240" w:lineRule="auto"/>
        <w:ind w:right="0"/>
        <w:jc w:val="left"/>
        <w:rPr>
          <w:b w:val="0"/>
          <w:bCs w:val="0"/>
        </w:rPr>
      </w:pPr>
      <w:r>
        <w:rPr/>
        <w:t>二、</w:t>
      </w:r>
      <w:r>
        <w:rPr>
          <w:rFonts w:ascii="宋体" w:hAnsi="宋体" w:cs="宋体" w:eastAsia="宋体" w:hint="default"/>
        </w:rPr>
        <w:t>2011</w:t>
      </w:r>
      <w:r>
        <w:rPr>
          <w:rFonts w:ascii="宋体" w:hAnsi="宋体" w:cs="宋体" w:eastAsia="宋体" w:hint="default"/>
          <w:spacing w:val="-73"/>
        </w:rPr>
        <w:t> </w:t>
      </w:r>
      <w:r>
        <w:rPr/>
        <w:t>年第一次临时股东大会</w:t>
      </w:r>
      <w:r>
        <w:rPr>
          <w:b w:val="0"/>
          <w:bCs w:val="0"/>
        </w:rPr>
      </w:r>
    </w:p>
    <w:p>
      <w:pPr>
        <w:spacing w:line="240" w:lineRule="auto" w:before="6"/>
        <w:rPr>
          <w:rFonts w:ascii="宋体" w:hAnsi="宋体" w:cs="宋体" w:eastAsia="宋体" w:hint="default"/>
          <w:b/>
          <w:bCs/>
          <w:sz w:val="23"/>
          <w:szCs w:val="23"/>
        </w:rPr>
      </w:pPr>
    </w:p>
    <w:p>
      <w:pPr>
        <w:pStyle w:val="BodyText"/>
        <w:spacing w:line="355" w:lineRule="auto"/>
        <w:ind w:right="1122" w:firstLine="480"/>
        <w:jc w:val="left"/>
      </w:pPr>
      <w:r>
        <w:rPr>
          <w:rFonts w:ascii="宋体" w:hAnsi="宋体" w:cs="宋体" w:eastAsia="宋体" w:hint="default"/>
        </w:rPr>
        <w:t>2011</w:t>
      </w:r>
      <w:r>
        <w:rPr>
          <w:rFonts w:ascii="宋体" w:hAnsi="宋体" w:cs="宋体" w:eastAsia="宋体" w:hint="default"/>
          <w:spacing w:val="-47"/>
        </w:rPr>
        <w:t> </w:t>
      </w:r>
      <w:r>
        <w:rPr/>
        <w:t>年</w:t>
      </w:r>
      <w:r>
        <w:rPr>
          <w:spacing w:val="-47"/>
        </w:rPr>
        <w:t> </w:t>
      </w:r>
      <w:r>
        <w:rPr>
          <w:rFonts w:ascii="宋体" w:hAnsi="宋体" w:cs="宋体" w:eastAsia="宋体" w:hint="default"/>
        </w:rPr>
        <w:t>9</w:t>
      </w:r>
      <w:r>
        <w:rPr>
          <w:rFonts w:ascii="宋体" w:hAnsi="宋体" w:cs="宋体" w:eastAsia="宋体" w:hint="default"/>
          <w:spacing w:val="-47"/>
        </w:rPr>
        <w:t> </w:t>
      </w:r>
      <w:r>
        <w:rPr/>
        <w:t>月</w:t>
      </w:r>
      <w:r>
        <w:rPr>
          <w:spacing w:val="-47"/>
        </w:rPr>
        <w:t> </w:t>
      </w:r>
      <w:r>
        <w:rPr>
          <w:rFonts w:ascii="宋体" w:hAnsi="宋体" w:cs="宋体" w:eastAsia="宋体" w:hint="default"/>
        </w:rPr>
        <w:t>2</w:t>
      </w:r>
      <w:r>
        <w:rPr>
          <w:rFonts w:ascii="宋体" w:hAnsi="宋体" w:cs="宋体" w:eastAsia="宋体" w:hint="default"/>
          <w:spacing w:val="-47"/>
        </w:rPr>
        <w:t> </w:t>
      </w:r>
      <w:r>
        <w:rPr/>
        <w:t>日，在公司办公地址会议室召开</w:t>
      </w:r>
      <w:r>
        <w:rPr>
          <w:spacing w:val="-46"/>
        </w:rPr>
        <w:t> </w:t>
      </w:r>
      <w:r>
        <w:rPr>
          <w:rFonts w:ascii="宋体" w:hAnsi="宋体" w:cs="宋体" w:eastAsia="宋体" w:hint="default"/>
        </w:rPr>
        <w:t>2011</w:t>
      </w:r>
      <w:r>
        <w:rPr>
          <w:rFonts w:ascii="宋体" w:hAnsi="宋体" w:cs="宋体" w:eastAsia="宋体" w:hint="default"/>
          <w:spacing w:val="-47"/>
        </w:rPr>
        <w:t> </w:t>
      </w:r>
      <w:r>
        <w:rPr/>
        <w:t>年第一次临时股东大会，会议审议 通过以下议案：</w:t>
      </w:r>
    </w:p>
    <w:p>
      <w:pPr>
        <w:pStyle w:val="BodyText"/>
        <w:spacing w:line="240" w:lineRule="auto" w:before="77"/>
        <w:ind w:left="593" w:right="0"/>
        <w:jc w:val="left"/>
      </w:pPr>
      <w:r>
        <w:rPr>
          <w:rFonts w:ascii="宋体" w:hAnsi="宋体" w:cs="宋体" w:eastAsia="宋体" w:hint="default"/>
        </w:rPr>
        <w:t>1</w:t>
      </w:r>
      <w:r>
        <w:rPr/>
        <w:t>、</w:t>
      </w:r>
      <w:r>
        <w:rPr>
          <w:spacing w:val="-1"/>
        </w:rPr>
        <w:t>《</w:t>
      </w:r>
      <w:r>
        <w:rPr/>
        <w:t>关于公司</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年中期利润分配的议案</w:t>
      </w:r>
      <w:r>
        <w:rPr>
          <w:spacing w:val="-120"/>
        </w:rPr>
        <w:t>》</w:t>
      </w:r>
      <w:r>
        <w:rPr/>
        <w:t>。</w:t>
      </w:r>
    </w:p>
    <w:p>
      <w:pPr>
        <w:pStyle w:val="BodyText"/>
        <w:spacing w:line="240" w:lineRule="auto" w:before="176"/>
        <w:ind w:left="593" w:right="0"/>
        <w:jc w:val="left"/>
      </w:pPr>
      <w:r>
        <w:rPr>
          <w:spacing w:val="9"/>
        </w:rPr>
        <w:t>该次</w:t>
      </w:r>
      <w:r>
        <w:rPr>
          <w:spacing w:val="6"/>
        </w:rPr>
        <w:t>会</w:t>
      </w:r>
      <w:r>
        <w:rPr>
          <w:spacing w:val="9"/>
        </w:rPr>
        <w:t>议</w:t>
      </w:r>
      <w:r>
        <w:rPr>
          <w:spacing w:val="6"/>
        </w:rPr>
        <w:t>决</w:t>
      </w:r>
      <w:r>
        <w:rPr>
          <w:spacing w:val="9"/>
        </w:rPr>
        <w:t>议</w:t>
      </w:r>
      <w:r>
        <w:rPr/>
        <w:t>于</w:t>
      </w:r>
      <w:r>
        <w:rPr>
          <w:spacing w:val="8"/>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rFonts w:ascii="Times New Roman" w:hAnsi="Times New Roman" w:cs="Times New Roman" w:eastAsia="Times New Roman" w:hint="default"/>
          <w:spacing w:val="9"/>
        </w:rPr>
        <w:t> </w:t>
      </w:r>
      <w:r>
        <w:rPr/>
        <w:t>年</w:t>
      </w:r>
      <w:r>
        <w:rPr>
          <w:spacing w:val="9"/>
        </w:rPr>
        <w:t> </w:t>
      </w:r>
      <w:r>
        <w:rPr>
          <w:rFonts w:ascii="Times New Roman" w:hAnsi="Times New Roman" w:cs="Times New Roman" w:eastAsia="Times New Roman" w:hint="default"/>
        </w:rPr>
        <w:t>9 </w:t>
      </w:r>
      <w:r>
        <w:rPr>
          <w:rFonts w:ascii="Times New Roman" w:hAnsi="Times New Roman" w:cs="Times New Roman" w:eastAsia="Times New Roman" w:hint="default"/>
          <w:spacing w:val="7"/>
        </w:rPr>
        <w:t> </w:t>
      </w:r>
      <w:r>
        <w:rPr/>
        <w:t>月</w:t>
      </w:r>
      <w:r>
        <w:rPr>
          <w:spacing w:val="9"/>
        </w:rPr>
        <w:t> </w:t>
      </w:r>
      <w:r>
        <w:rPr>
          <w:rFonts w:ascii="Times New Roman" w:hAnsi="Times New Roman" w:cs="Times New Roman" w:eastAsia="Times New Roman" w:hint="default"/>
        </w:rPr>
        <w:t>3 </w:t>
      </w:r>
      <w:r>
        <w:rPr>
          <w:rFonts w:ascii="Times New Roman" w:hAnsi="Times New Roman" w:cs="Times New Roman" w:eastAsia="Times New Roman" w:hint="default"/>
          <w:spacing w:val="7"/>
        </w:rPr>
        <w:t> </w:t>
      </w:r>
      <w:r>
        <w:rPr>
          <w:spacing w:val="9"/>
        </w:rPr>
        <w:t>日</w:t>
      </w:r>
      <w:r>
        <w:rPr>
          <w:spacing w:val="6"/>
        </w:rPr>
        <w:t>在</w:t>
      </w:r>
      <w:r>
        <w:rPr>
          <w:spacing w:val="9"/>
        </w:rPr>
        <w:t>《证</w:t>
      </w:r>
      <w:r>
        <w:rPr>
          <w:spacing w:val="6"/>
        </w:rPr>
        <w:t>券</w:t>
      </w:r>
      <w:r>
        <w:rPr>
          <w:spacing w:val="9"/>
        </w:rPr>
        <w:t>时</w:t>
      </w:r>
      <w:r>
        <w:rPr>
          <w:spacing w:val="6"/>
        </w:rPr>
        <w:t>报</w:t>
      </w:r>
      <w:r>
        <w:rPr>
          <w:spacing w:val="-111"/>
        </w:rPr>
        <w:t>》</w:t>
      </w:r>
      <w:r>
        <w:rPr>
          <w:spacing w:val="-113"/>
        </w:rPr>
        <w:t>、</w:t>
      </w:r>
      <w:r>
        <w:rPr>
          <w:spacing w:val="9"/>
        </w:rPr>
        <w:t>《</w:t>
      </w:r>
      <w:r>
        <w:rPr>
          <w:spacing w:val="6"/>
        </w:rPr>
        <w:t>中国</w:t>
      </w:r>
      <w:r>
        <w:rPr>
          <w:spacing w:val="9"/>
        </w:rPr>
        <w:t>证券</w:t>
      </w:r>
      <w:r>
        <w:rPr>
          <w:spacing w:val="6"/>
        </w:rPr>
        <w:t>报</w:t>
      </w:r>
      <w:r>
        <w:rPr>
          <w:spacing w:val="9"/>
        </w:rPr>
        <w:t>》</w:t>
      </w:r>
      <w:r>
        <w:rPr>
          <w:spacing w:val="6"/>
        </w:rPr>
        <w:t>及</w:t>
      </w:r>
      <w:r>
        <w:rPr>
          <w:spacing w:val="9"/>
        </w:rPr>
        <w:t>巨</w:t>
      </w:r>
      <w:r>
        <w:rPr>
          <w:spacing w:val="6"/>
        </w:rPr>
        <w:t>潮</w:t>
      </w:r>
      <w:r>
        <w:rPr>
          <w:spacing w:val="9"/>
        </w:rPr>
        <w:t>资</w:t>
      </w:r>
      <w:r>
        <w:rPr>
          <w:spacing w:val="6"/>
        </w:rPr>
        <w:t>讯</w:t>
      </w:r>
      <w:r>
        <w:rPr>
          <w:spacing w:val="9"/>
        </w:rPr>
        <w:t>网</w:t>
      </w:r>
      <w:r>
        <w:rPr/>
        <w:t>站</w:t>
      </w:r>
    </w:p>
    <w:p>
      <w:pPr>
        <w:spacing w:after="0" w:line="240" w:lineRule="auto"/>
        <w:jc w:val="left"/>
        <w:sectPr>
          <w:pgSz w:w="11910" w:h="16840"/>
          <w:pgMar w:header="920" w:footer="936" w:top="1140" w:bottom="1140" w:left="1020" w:right="0"/>
        </w:sectPr>
      </w:pPr>
    </w:p>
    <w:p>
      <w:pPr>
        <w:pStyle w:val="BodyText"/>
        <w:spacing w:line="240" w:lineRule="auto" w:before="19"/>
        <w:ind w:right="0"/>
        <w:jc w:val="left"/>
      </w:pPr>
      <w:r>
        <w:rPr>
          <w:rFonts w:ascii="Times New Roman" w:hAnsi="Times New Roman" w:cs="Times New Roman" w:eastAsia="Times New Roman" w:hint="default"/>
          <w:w w:val="99"/>
        </w:rPr>
      </w:r>
      <w:hyperlink r:id="rId12">
        <w:r>
          <w:rPr>
            <w:rFonts w:ascii="Times New Roman" w:hAnsi="Times New Roman" w:cs="Times New Roman" w:eastAsia="Times New Roman" w:hint="default"/>
            <w:u w:val="single" w:color="000000"/>
          </w:rPr>
          <w:t>www.cninfo.com.cn</w:t>
        </w:r>
        <w:r>
          <w:rPr>
            <w:rFonts w:ascii="Times New Roman" w:hAnsi="Times New Roman" w:cs="Times New Roman" w:eastAsia="Times New Roman" w:hint="default"/>
            <w:spacing w:val="42"/>
            <w:u w:val="single" w:color="000000"/>
          </w:rPr>
          <w:t> </w:t>
        </w:r>
        <w:r>
          <w:rPr>
            <w:rFonts w:ascii="Times New Roman" w:hAnsi="Times New Roman" w:cs="Times New Roman" w:eastAsia="Times New Roman" w:hint="default"/>
            <w:spacing w:val="42"/>
          </w:rPr>
        </w:r>
      </w:hyperlink>
      <w:r>
        <w:rPr>
          <w:rFonts w:ascii="Times New Roman" w:hAnsi="Times New Roman" w:cs="Times New Roman" w:eastAsia="Times New Roman" w:hint="default"/>
          <w:spacing w:val="42"/>
        </w:rPr>
      </w:r>
      <w:r>
        <w:rPr/>
        <w:t>公开披露。</w:t>
      </w:r>
    </w:p>
    <w:p>
      <w:pPr>
        <w:spacing w:line="240" w:lineRule="auto" w:before="12"/>
        <w:rPr>
          <w:rFonts w:ascii="宋体" w:hAnsi="宋体" w:cs="宋体" w:eastAsia="宋体" w:hint="default"/>
          <w:sz w:val="29"/>
          <w:szCs w:val="29"/>
        </w:rPr>
      </w:pPr>
    </w:p>
    <w:p>
      <w:pPr>
        <w:pStyle w:val="Heading2"/>
        <w:spacing w:line="240" w:lineRule="auto"/>
        <w:ind w:right="0"/>
        <w:jc w:val="left"/>
        <w:rPr>
          <w:b w:val="0"/>
          <w:bCs w:val="0"/>
        </w:rPr>
      </w:pPr>
      <w:r>
        <w:rPr/>
        <w:t>三、</w:t>
      </w:r>
      <w:r>
        <w:rPr>
          <w:rFonts w:ascii="宋体" w:hAnsi="宋体" w:cs="宋体" w:eastAsia="宋体" w:hint="default"/>
        </w:rPr>
        <w:t>2011</w:t>
      </w:r>
      <w:r>
        <w:rPr>
          <w:rFonts w:ascii="宋体" w:hAnsi="宋体" w:cs="宋体" w:eastAsia="宋体" w:hint="default"/>
          <w:spacing w:val="-73"/>
        </w:rPr>
        <w:t> </w:t>
      </w:r>
      <w:r>
        <w:rPr/>
        <w:t>年第二次临时股东大会</w:t>
      </w:r>
      <w:r>
        <w:rPr>
          <w:b w:val="0"/>
          <w:bCs w:val="0"/>
        </w:rPr>
      </w:r>
    </w:p>
    <w:p>
      <w:pPr>
        <w:spacing w:line="240" w:lineRule="auto" w:before="4"/>
        <w:rPr>
          <w:rFonts w:ascii="宋体" w:hAnsi="宋体" w:cs="宋体" w:eastAsia="宋体" w:hint="default"/>
          <w:b/>
          <w:bCs/>
          <w:sz w:val="40"/>
          <w:szCs w:val="40"/>
        </w:rPr>
      </w:pPr>
    </w:p>
    <w:p>
      <w:pPr>
        <w:pStyle w:val="BodyText"/>
        <w:spacing w:line="355" w:lineRule="auto"/>
        <w:ind w:right="1122" w:firstLine="480"/>
        <w:jc w:val="left"/>
      </w:pPr>
      <w:r>
        <w:rPr>
          <w:rFonts w:ascii="宋体" w:hAnsi="宋体" w:cs="宋体" w:eastAsia="宋体" w:hint="default"/>
        </w:rPr>
        <w:t>2011</w:t>
      </w:r>
      <w:r>
        <w:rPr>
          <w:rFonts w:ascii="宋体" w:hAnsi="宋体" w:cs="宋体" w:eastAsia="宋体" w:hint="default"/>
          <w:spacing w:val="-47"/>
        </w:rPr>
        <w:t> </w:t>
      </w:r>
      <w:r>
        <w:rPr/>
        <w:t>年</w:t>
      </w:r>
      <w:r>
        <w:rPr>
          <w:spacing w:val="-47"/>
        </w:rPr>
        <w:t> </w:t>
      </w:r>
      <w:r>
        <w:rPr>
          <w:rFonts w:ascii="宋体" w:hAnsi="宋体" w:cs="宋体" w:eastAsia="宋体" w:hint="default"/>
        </w:rPr>
        <w:t>10</w:t>
      </w:r>
      <w:r>
        <w:rPr>
          <w:rFonts w:ascii="宋体" w:hAnsi="宋体" w:cs="宋体" w:eastAsia="宋体" w:hint="default"/>
          <w:spacing w:val="-47"/>
        </w:rPr>
        <w:t> </w:t>
      </w:r>
      <w:r>
        <w:rPr/>
        <w:t>月</w:t>
      </w:r>
      <w:r>
        <w:rPr>
          <w:spacing w:val="-47"/>
        </w:rPr>
        <w:t> </w:t>
      </w:r>
      <w:r>
        <w:rPr>
          <w:rFonts w:ascii="宋体" w:hAnsi="宋体" w:cs="宋体" w:eastAsia="宋体" w:hint="default"/>
        </w:rPr>
        <w:t>18</w:t>
      </w:r>
      <w:r>
        <w:rPr>
          <w:rFonts w:ascii="宋体" w:hAnsi="宋体" w:cs="宋体" w:eastAsia="宋体" w:hint="default"/>
          <w:spacing w:val="-47"/>
        </w:rPr>
        <w:t> </w:t>
      </w:r>
      <w:r>
        <w:rPr/>
        <w:t>日，在公司办公地址会议室召开</w:t>
      </w:r>
      <w:r>
        <w:rPr>
          <w:spacing w:val="-46"/>
        </w:rPr>
        <w:t> </w:t>
      </w:r>
      <w:r>
        <w:rPr>
          <w:rFonts w:ascii="宋体" w:hAnsi="宋体" w:cs="宋体" w:eastAsia="宋体" w:hint="default"/>
        </w:rPr>
        <w:t>2011</w:t>
      </w:r>
      <w:r>
        <w:rPr>
          <w:rFonts w:ascii="宋体" w:hAnsi="宋体" w:cs="宋体" w:eastAsia="宋体" w:hint="default"/>
          <w:spacing w:val="-47"/>
        </w:rPr>
        <w:t> </w:t>
      </w:r>
      <w:r>
        <w:rPr/>
        <w:t>年第二次临时股东大会，会议审 议通过以下议案：</w:t>
      </w:r>
    </w:p>
    <w:p>
      <w:pPr>
        <w:pStyle w:val="BodyText"/>
        <w:spacing w:line="240" w:lineRule="auto" w:before="79"/>
        <w:ind w:left="593" w:right="0"/>
        <w:jc w:val="left"/>
      </w:pPr>
      <w:r>
        <w:rPr>
          <w:rFonts w:ascii="宋体" w:hAnsi="宋体" w:cs="宋体" w:eastAsia="宋体" w:hint="default"/>
        </w:rPr>
        <w:t>1</w:t>
      </w:r>
      <w:r>
        <w:rPr/>
        <w:t>、《关于调整公司独立董事薪酬的议案</w:t>
      </w:r>
      <w:r>
        <w:rPr>
          <w:spacing w:val="-120"/>
        </w:rPr>
        <w:t>》</w:t>
      </w:r>
      <w:r>
        <w:rPr/>
        <w:t>；</w:t>
      </w:r>
    </w:p>
    <w:p>
      <w:pPr>
        <w:pStyle w:val="BodyText"/>
        <w:spacing w:line="240" w:lineRule="auto" w:before="192"/>
        <w:ind w:left="593" w:right="0"/>
        <w:jc w:val="left"/>
      </w:pPr>
      <w:r>
        <w:rPr>
          <w:rFonts w:ascii="宋体" w:hAnsi="宋体" w:cs="宋体" w:eastAsia="宋体" w:hint="default"/>
        </w:rPr>
        <w:t>2</w:t>
      </w:r>
      <w:r>
        <w:rPr/>
        <w:t>、《关于修改</w:t>
      </w:r>
      <w:r>
        <w:rPr>
          <w:rFonts w:ascii="宋体" w:hAnsi="宋体" w:cs="宋体" w:eastAsia="宋体" w:hint="default"/>
        </w:rPr>
        <w:t>&lt;</w:t>
      </w:r>
      <w:r>
        <w:rPr/>
        <w:t>深圳劲嘉彩印集团股份有限公司章程</w:t>
      </w:r>
      <w:r>
        <w:rPr>
          <w:rFonts w:ascii="宋体" w:hAnsi="宋体" w:cs="宋体" w:eastAsia="宋体" w:hint="default"/>
        </w:rPr>
        <w:t>&gt;</w:t>
      </w:r>
      <w:r>
        <w:rPr/>
        <w:t>的议案》。</w:t>
      </w:r>
    </w:p>
    <w:p>
      <w:pPr>
        <w:pStyle w:val="BodyText"/>
        <w:spacing w:line="240" w:lineRule="auto" w:before="192"/>
        <w:ind w:left="593" w:right="0"/>
        <w:jc w:val="left"/>
      </w:pPr>
      <w:r>
        <w:rPr>
          <w:spacing w:val="2"/>
        </w:rPr>
        <w:t>该次</w:t>
      </w:r>
      <w:r>
        <w:rPr/>
        <w:t>会</w:t>
      </w:r>
      <w:r>
        <w:rPr>
          <w:spacing w:val="2"/>
        </w:rPr>
        <w:t>议决</w:t>
      </w:r>
      <w:r>
        <w:rPr/>
        <w:t>议于</w:t>
      </w:r>
      <w:r>
        <w:rPr>
          <w:spacing w:val="3"/>
        </w:rPr>
        <w:t> </w:t>
      </w:r>
      <w:r>
        <w:rPr>
          <w:rFonts w:ascii="Times New Roman" w:hAnsi="Times New Roman" w:cs="Times New Roman" w:eastAsia="Times New Roman" w:hint="default"/>
          <w:spacing w:val="-3"/>
        </w:rPr>
        <w:t>2</w:t>
      </w:r>
      <w:r>
        <w:rPr>
          <w:rFonts w:ascii="Times New Roman" w:hAnsi="Times New Roman" w:cs="Times New Roman" w:eastAsia="Times New Roman" w:hint="default"/>
        </w:rPr>
        <w:t>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t>年</w:t>
      </w:r>
      <w:r>
        <w:rPr>
          <w:spacing w:val="2"/>
        </w:rPr>
        <w:t> </w:t>
      </w:r>
      <w:r>
        <w:rPr>
          <w:rFonts w:ascii="Times New Roman" w:hAnsi="Times New Roman" w:cs="Times New Roman" w:eastAsia="Times New Roman" w:hint="default"/>
        </w:rPr>
        <w:t>10 </w:t>
      </w:r>
      <w:r>
        <w:rPr>
          <w:rFonts w:ascii="Times New Roman" w:hAnsi="Times New Roman" w:cs="Times New Roman" w:eastAsia="Times New Roman" w:hint="default"/>
          <w:spacing w:val="2"/>
        </w:rPr>
        <w:t> </w:t>
      </w:r>
      <w:r>
        <w:rPr/>
        <w:t>月</w:t>
      </w:r>
      <w:r>
        <w:rPr>
          <w:spacing w:val="2"/>
        </w:rPr>
        <w:t> </w:t>
      </w:r>
      <w:r>
        <w:rPr>
          <w:rFonts w:ascii="Times New Roman" w:hAnsi="Times New Roman" w:cs="Times New Roman" w:eastAsia="Times New Roman" w:hint="default"/>
          <w:spacing w:val="-3"/>
        </w:rPr>
        <w:t>1</w:t>
      </w:r>
      <w:r>
        <w:rPr>
          <w:rFonts w:ascii="Times New Roman" w:hAnsi="Times New Roman" w:cs="Times New Roman" w:eastAsia="Times New Roman" w:hint="default"/>
        </w:rPr>
        <w:t>9 </w:t>
      </w:r>
      <w:r>
        <w:rPr>
          <w:rFonts w:ascii="Times New Roman" w:hAnsi="Times New Roman" w:cs="Times New Roman" w:eastAsia="Times New Roman" w:hint="default"/>
          <w:spacing w:val="2"/>
        </w:rPr>
        <w:t> </w:t>
      </w:r>
      <w:r>
        <w:rPr/>
        <w:t>日在</w:t>
      </w:r>
      <w:r>
        <w:rPr>
          <w:spacing w:val="2"/>
        </w:rPr>
        <w:t>《证</w:t>
      </w:r>
      <w:r>
        <w:rPr/>
        <w:t>券</w:t>
      </w:r>
      <w:r>
        <w:rPr>
          <w:spacing w:val="2"/>
        </w:rPr>
        <w:t>时</w:t>
      </w:r>
      <w:r>
        <w:rPr/>
        <w:t>报</w:t>
      </w:r>
      <w:r>
        <w:rPr>
          <w:spacing w:val="-118"/>
        </w:rPr>
        <w:t>》、</w:t>
      </w:r>
      <w:r>
        <w:rPr/>
        <w:t>《</w:t>
      </w:r>
      <w:r>
        <w:rPr>
          <w:spacing w:val="2"/>
        </w:rPr>
        <w:t>中</w:t>
      </w:r>
      <w:r>
        <w:rPr/>
        <w:t>国证</w:t>
      </w:r>
      <w:r>
        <w:rPr>
          <w:spacing w:val="2"/>
        </w:rPr>
        <w:t>券报</w:t>
      </w:r>
      <w:r>
        <w:rPr/>
        <w:t>》</w:t>
      </w:r>
      <w:r>
        <w:rPr>
          <w:spacing w:val="2"/>
        </w:rPr>
        <w:t>及</w:t>
      </w:r>
      <w:r>
        <w:rPr/>
        <w:t>巨</w:t>
      </w:r>
      <w:r>
        <w:rPr>
          <w:spacing w:val="2"/>
        </w:rPr>
        <w:t>潮资</w:t>
      </w:r>
      <w:r>
        <w:rPr/>
        <w:t>讯</w:t>
      </w:r>
      <w:r>
        <w:rPr>
          <w:spacing w:val="2"/>
        </w:rPr>
        <w:t>网</w:t>
      </w:r>
      <w:r>
        <w:rPr/>
        <w:t>站</w:t>
      </w:r>
    </w:p>
    <w:p>
      <w:pPr>
        <w:pStyle w:val="BodyText"/>
        <w:spacing w:line="240" w:lineRule="auto" w:before="136"/>
        <w:ind w:right="0"/>
        <w:jc w:val="left"/>
      </w:pPr>
      <w:r>
        <w:rPr>
          <w:rFonts w:ascii="Times New Roman" w:hAnsi="Times New Roman" w:cs="Times New Roman" w:eastAsia="Times New Roman" w:hint="default"/>
          <w:w w:val="99"/>
        </w:rPr>
      </w:r>
      <w:hyperlink r:id="rId12">
        <w:r>
          <w:rPr>
            <w:rFonts w:ascii="Times New Roman" w:hAnsi="Times New Roman" w:cs="Times New Roman" w:eastAsia="Times New Roman" w:hint="default"/>
            <w:u w:val="single" w:color="000000"/>
          </w:rPr>
          <w:t>www.cninfo.com.cn</w:t>
        </w:r>
        <w:r>
          <w:rPr>
            <w:rFonts w:ascii="Times New Roman" w:hAnsi="Times New Roman" w:cs="Times New Roman" w:eastAsia="Times New Roman" w:hint="default"/>
            <w:spacing w:val="42"/>
            <w:u w:val="single" w:color="000000"/>
          </w:rPr>
          <w:t> </w:t>
        </w:r>
        <w:r>
          <w:rPr>
            <w:rFonts w:ascii="Times New Roman" w:hAnsi="Times New Roman" w:cs="Times New Roman" w:eastAsia="Times New Roman" w:hint="default"/>
            <w:spacing w:val="42"/>
          </w:rPr>
        </w:r>
      </w:hyperlink>
      <w:r>
        <w:rPr>
          <w:rFonts w:ascii="Times New Roman" w:hAnsi="Times New Roman" w:cs="Times New Roman" w:eastAsia="Times New Roman" w:hint="default"/>
          <w:spacing w:val="42"/>
        </w:rPr>
      </w:r>
      <w:r>
        <w:rPr/>
        <w:t>公开披露。</w:t>
      </w:r>
    </w:p>
    <w:p>
      <w:pPr>
        <w:spacing w:after="0" w:line="240" w:lineRule="auto"/>
        <w:jc w:val="left"/>
        <w:sectPr>
          <w:pgSz w:w="11910" w:h="16840"/>
          <w:pgMar w:header="920" w:footer="936" w:top="1140" w:bottom="1140" w:left="1020" w:right="0"/>
        </w:sectPr>
      </w:pPr>
    </w:p>
    <w:p>
      <w:pPr>
        <w:spacing w:line="240" w:lineRule="auto" w:before="2"/>
        <w:rPr>
          <w:rFonts w:ascii="宋体" w:hAnsi="宋体" w:cs="宋体" w:eastAsia="宋体" w:hint="default"/>
          <w:sz w:val="20"/>
          <w:szCs w:val="20"/>
        </w:rPr>
      </w:pPr>
    </w:p>
    <w:p>
      <w:pPr>
        <w:tabs>
          <w:tab w:pos="4792" w:val="left" w:leader="none"/>
        </w:tabs>
        <w:spacing w:before="0"/>
        <w:ind w:left="3505" w:right="1119" w:firstLine="0"/>
        <w:jc w:val="left"/>
        <w:rPr>
          <w:rFonts w:ascii="宋体" w:hAnsi="宋体" w:cs="宋体" w:eastAsia="宋体" w:hint="default"/>
          <w:sz w:val="32"/>
          <w:szCs w:val="32"/>
        </w:rPr>
      </w:pPr>
      <w:bookmarkStart w:name="_TOC_250004" w:id="7"/>
      <w:r>
        <w:rPr>
          <w:rFonts w:ascii="宋体" w:hAnsi="宋体" w:cs="宋体" w:eastAsia="宋体" w:hint="default"/>
          <w:b/>
          <w:bCs/>
          <w:w w:val="95"/>
          <w:sz w:val="32"/>
          <w:szCs w:val="32"/>
        </w:rPr>
        <w:t>第七节</w:t>
        <w:tab/>
      </w:r>
      <w:r>
        <w:rPr>
          <w:rFonts w:ascii="宋体" w:hAnsi="宋体" w:cs="宋体" w:eastAsia="宋体" w:hint="default"/>
          <w:b/>
          <w:bCs/>
          <w:sz w:val="32"/>
          <w:szCs w:val="32"/>
        </w:rPr>
        <w:t>董事会报告</w:t>
      </w:r>
      <w:bookmarkEnd w:id="7"/>
      <w:r>
        <w:rPr>
          <w:rFonts w:ascii="宋体" w:hAnsi="宋体" w:cs="宋体" w:eastAsia="宋体" w:hint="default"/>
          <w:sz w:val="32"/>
          <w:szCs w:val="32"/>
        </w:rPr>
      </w:r>
    </w:p>
    <w:p>
      <w:pPr>
        <w:spacing w:line="240" w:lineRule="auto" w:before="4"/>
        <w:rPr>
          <w:rFonts w:ascii="宋体" w:hAnsi="宋体" w:cs="宋体" w:eastAsia="宋体" w:hint="default"/>
          <w:b/>
          <w:bCs/>
          <w:sz w:val="23"/>
          <w:szCs w:val="23"/>
        </w:rPr>
      </w:pPr>
    </w:p>
    <w:p>
      <w:pPr>
        <w:pStyle w:val="Heading2"/>
        <w:tabs>
          <w:tab w:pos="973" w:val="left" w:leader="none"/>
        </w:tabs>
        <w:spacing w:line="240" w:lineRule="auto"/>
        <w:ind w:left="132" w:right="1119"/>
        <w:jc w:val="left"/>
        <w:rPr>
          <w:b w:val="0"/>
          <w:bCs w:val="0"/>
        </w:rPr>
      </w:pPr>
      <w:r>
        <w:rPr>
          <w:w w:val="95"/>
        </w:rPr>
        <w:t>一、</w:t>
        <w:tab/>
      </w:r>
      <w:r>
        <w:rPr/>
        <w:t>公司经营情况</w:t>
      </w:r>
      <w:r>
        <w:rPr>
          <w:b w:val="0"/>
          <w:bCs w:val="0"/>
        </w:rPr>
      </w:r>
    </w:p>
    <w:p>
      <w:pPr>
        <w:pStyle w:val="Heading3"/>
        <w:tabs>
          <w:tab w:pos="1393" w:val="left" w:leader="none"/>
        </w:tabs>
        <w:spacing w:line="240" w:lineRule="auto" w:before="126"/>
        <w:ind w:left="613" w:right="11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报告期内公司总体经营情况的回顾</w:t>
      </w:r>
      <w:r>
        <w:rPr>
          <w:b w:val="0"/>
          <w:bCs w:val="0"/>
        </w:rPr>
      </w:r>
    </w:p>
    <w:p>
      <w:pPr>
        <w:spacing w:line="240" w:lineRule="auto" w:before="4"/>
        <w:rPr>
          <w:rFonts w:ascii="宋体" w:hAnsi="宋体" w:cs="宋体" w:eastAsia="宋体" w:hint="default"/>
          <w:b/>
          <w:bCs/>
          <w:sz w:val="26"/>
          <w:szCs w:val="26"/>
        </w:rPr>
      </w:pPr>
    </w:p>
    <w:p>
      <w:pPr>
        <w:pStyle w:val="BodyText"/>
        <w:spacing w:line="396" w:lineRule="auto"/>
        <w:ind w:left="132" w:right="1131" w:firstLine="482"/>
        <w:jc w:val="both"/>
      </w:pPr>
      <w:r>
        <w:rPr>
          <w:rFonts w:ascii="宋体" w:hAnsi="宋体" w:cs="宋体" w:eastAsia="宋体" w:hint="default"/>
        </w:rPr>
        <w:t>2011</w:t>
      </w:r>
      <w:r>
        <w:rPr>
          <w:rFonts w:ascii="宋体" w:hAnsi="宋体" w:cs="宋体" w:eastAsia="宋体" w:hint="default"/>
          <w:spacing w:val="-82"/>
        </w:rPr>
        <w:t> </w:t>
      </w:r>
      <w:r>
        <w:rPr/>
        <w:t>年面对复杂多变的国内外经济形势，公司经受了烟草行业推行烟标招投标的市场变 化，克服了综合成本不断攀升的经营压力，公司全体员工精诚团结、锐意进取、开拓创新，</w:t>
      </w:r>
      <w:r>
        <w:rPr>
          <w:spacing w:val="-88"/>
        </w:rPr>
        <w:t> </w:t>
      </w:r>
      <w:r>
        <w:rPr>
          <w:spacing w:val="-88"/>
        </w:rPr>
      </w:r>
      <w:r>
        <w:rPr/>
        <w:t>圆满完成</w:t>
      </w:r>
      <w:r>
        <w:rPr>
          <w:spacing w:val="-61"/>
        </w:rPr>
        <w:t> </w:t>
      </w:r>
      <w:r>
        <w:rPr>
          <w:rFonts w:ascii="Arial" w:hAnsi="Arial" w:cs="Arial" w:eastAsia="Arial" w:hint="default"/>
          <w:spacing w:val="-5"/>
        </w:rPr>
        <w:t>2011</w:t>
      </w:r>
      <w:r>
        <w:rPr>
          <w:rFonts w:ascii="Arial" w:hAnsi="Arial" w:cs="Arial" w:eastAsia="Arial" w:hint="default"/>
          <w:spacing w:val="-7"/>
        </w:rPr>
        <w:t> </w:t>
      </w:r>
      <w:r>
        <w:rPr/>
        <w:t>年度各项任务目标，取得了较好的经营业绩。</w:t>
      </w:r>
    </w:p>
    <w:p>
      <w:pPr>
        <w:pStyle w:val="BodyText"/>
        <w:spacing w:line="398" w:lineRule="auto" w:before="15"/>
        <w:ind w:left="132" w:right="1131" w:firstLine="480"/>
        <w:jc w:val="both"/>
      </w:pPr>
      <w:r>
        <w:rPr/>
        <w:t>截至本报告期末，公司总资产 </w:t>
      </w:r>
      <w:r>
        <w:rPr>
          <w:rFonts w:ascii="宋体" w:hAnsi="宋体" w:cs="宋体" w:eastAsia="宋体" w:hint="default"/>
        </w:rPr>
        <w:t>34.65 </w:t>
      </w:r>
      <w:r>
        <w:rPr/>
        <w:t>亿元，同比减少</w:t>
      </w:r>
      <w:r>
        <w:rPr>
          <w:spacing w:val="-84"/>
        </w:rPr>
        <w:t> </w:t>
      </w:r>
      <w:r>
        <w:rPr>
          <w:rFonts w:ascii="宋体" w:hAnsi="宋体" w:cs="宋体" w:eastAsia="宋体" w:hint="default"/>
        </w:rPr>
        <w:t>7.18%</w:t>
      </w:r>
      <w:r>
        <w:rPr/>
        <w:t>，报告期公司实现营业总收 入</w:t>
      </w:r>
      <w:r>
        <w:rPr>
          <w:spacing w:val="-41"/>
        </w:rPr>
        <w:t> </w:t>
      </w:r>
      <w:r>
        <w:rPr>
          <w:rFonts w:ascii="宋体" w:hAnsi="宋体" w:cs="宋体" w:eastAsia="宋体" w:hint="default"/>
        </w:rPr>
        <w:t>23.00</w:t>
      </w:r>
      <w:r>
        <w:rPr>
          <w:rFonts w:ascii="宋体" w:hAnsi="宋体" w:cs="宋体" w:eastAsia="宋体" w:hint="default"/>
          <w:spacing w:val="-41"/>
        </w:rPr>
        <w:t> </w:t>
      </w:r>
      <w:r>
        <w:rPr/>
        <w:t>亿元，同比增加</w:t>
      </w:r>
      <w:r>
        <w:rPr>
          <w:spacing w:val="-41"/>
        </w:rPr>
        <w:t> </w:t>
      </w:r>
      <w:r>
        <w:rPr>
          <w:rFonts w:ascii="宋体" w:hAnsi="宋体" w:cs="宋体" w:eastAsia="宋体" w:hint="default"/>
        </w:rPr>
        <w:t>13.66%</w:t>
      </w:r>
      <w:r>
        <w:rPr/>
        <w:t>，实现归属于上市公司股东的净利润</w:t>
      </w:r>
      <w:r>
        <w:rPr>
          <w:spacing w:val="-41"/>
        </w:rPr>
        <w:t> </w:t>
      </w:r>
      <w:r>
        <w:rPr>
          <w:rFonts w:ascii="宋体" w:hAnsi="宋体" w:cs="宋体" w:eastAsia="宋体" w:hint="default"/>
        </w:rPr>
        <w:t>3.89</w:t>
      </w:r>
      <w:r>
        <w:rPr>
          <w:rFonts w:ascii="宋体" w:hAnsi="宋体" w:cs="宋体" w:eastAsia="宋体" w:hint="default"/>
          <w:spacing w:val="-41"/>
        </w:rPr>
        <w:t> </w:t>
      </w:r>
      <w:r>
        <w:rPr/>
        <w:t>亿元，同比增加 </w:t>
      </w:r>
      <w:r>
        <w:rPr>
          <w:rFonts w:ascii="宋体" w:hAnsi="宋体" w:cs="宋体" w:eastAsia="宋体" w:hint="default"/>
        </w:rPr>
        <w:t>28.24%</w:t>
      </w:r>
      <w:r>
        <w:rPr/>
        <w:t>。</w:t>
      </w:r>
    </w:p>
    <w:p>
      <w:pPr>
        <w:spacing w:line="240" w:lineRule="auto" w:before="5"/>
        <w:rPr>
          <w:rFonts w:ascii="宋体" w:hAnsi="宋体" w:cs="宋体" w:eastAsia="宋体" w:hint="default"/>
          <w:sz w:val="27"/>
          <w:szCs w:val="27"/>
        </w:rPr>
      </w:pPr>
    </w:p>
    <w:p>
      <w:pPr>
        <w:pStyle w:val="Heading3"/>
        <w:spacing w:line="240" w:lineRule="auto"/>
        <w:ind w:left="606" w:right="1119"/>
        <w:jc w:val="left"/>
        <w:rPr>
          <w:b w:val="0"/>
          <w:bCs w:val="0"/>
        </w:rPr>
      </w:pPr>
      <w:r>
        <w:rPr/>
        <w:t>（二）</w:t>
      </w:r>
      <w:r>
        <w:rPr>
          <w:rFonts w:ascii="宋体" w:hAnsi="宋体" w:cs="宋体" w:eastAsia="宋体" w:hint="default"/>
        </w:rPr>
        <w:t>2011</w:t>
      </w:r>
      <w:r>
        <w:rPr>
          <w:rFonts w:ascii="宋体" w:hAnsi="宋体" w:cs="宋体" w:eastAsia="宋体" w:hint="default"/>
          <w:spacing w:val="-64"/>
        </w:rPr>
        <w:t> </w:t>
      </w:r>
      <w:r>
        <w:rPr/>
        <w:t>年公司主营业务及其经营状况</w:t>
      </w:r>
      <w:r>
        <w:rPr>
          <w:b w:val="0"/>
          <w:bCs w:val="0"/>
        </w:rPr>
      </w:r>
    </w:p>
    <w:p>
      <w:pPr>
        <w:pStyle w:val="BodyText"/>
        <w:spacing w:line="367" w:lineRule="auto" w:before="154"/>
        <w:ind w:left="493" w:right="1033" w:hanging="77"/>
        <w:jc w:val="left"/>
      </w:pPr>
      <w:r>
        <w:rPr>
          <w:rFonts w:ascii="Times New Roman" w:hAnsi="Times New Roman" w:cs="Times New Roman" w:eastAsia="Times New Roman" w:hint="default"/>
        </w:rPr>
        <w:t>1</w:t>
      </w:r>
      <w:r>
        <w:rPr/>
        <w:t>、</w:t>
      </w:r>
      <w:r>
        <w:rPr>
          <w:spacing w:val="76"/>
        </w:rPr>
        <w:t> </w:t>
      </w:r>
      <w:r>
        <w:rPr/>
        <w:t>主营业务的范围</w:t>
      </w:r>
      <w:r>
        <w:rPr/>
        <w:t> 公司主营业务为烟标印制及相关包装材料的生产经营，烟标印制及销售为公司核心业务，</w:t>
      </w:r>
    </w:p>
    <w:p>
      <w:pPr>
        <w:pStyle w:val="BodyText"/>
        <w:spacing w:line="355" w:lineRule="auto" w:before="24"/>
        <w:ind w:left="132" w:right="1126"/>
        <w:jc w:val="left"/>
      </w:pPr>
      <w:r>
        <w:rPr/>
        <w:t>报告期公司烟标销售收入占公司营业总收入的</w:t>
      </w:r>
      <w:r>
        <w:rPr>
          <w:spacing w:val="28"/>
        </w:rPr>
        <w:t> </w:t>
      </w:r>
      <w:r>
        <w:rPr>
          <w:rFonts w:ascii="宋体" w:hAnsi="宋体" w:cs="宋体" w:eastAsia="宋体" w:hint="default"/>
        </w:rPr>
        <w:t>88.90</w:t>
      </w:r>
      <w:r>
        <w:rPr/>
        <w:t>％，报告期公司主营业务未发生重大变</w:t>
      </w:r>
      <w:r>
        <w:rPr>
          <w:spacing w:val="-118"/>
        </w:rPr>
        <w:t> </w:t>
      </w:r>
      <w:r>
        <w:rPr>
          <w:spacing w:val="-118"/>
        </w:rPr>
      </w:r>
      <w:r>
        <w:rPr/>
        <w:t>化。</w:t>
      </w:r>
    </w:p>
    <w:p>
      <w:pPr>
        <w:spacing w:line="240" w:lineRule="auto" w:before="4"/>
        <w:rPr>
          <w:rFonts w:ascii="宋体" w:hAnsi="宋体" w:cs="宋体" w:eastAsia="宋体" w:hint="default"/>
          <w:sz w:val="30"/>
          <w:szCs w:val="30"/>
        </w:rPr>
      </w:pPr>
    </w:p>
    <w:p>
      <w:pPr>
        <w:pStyle w:val="BodyText"/>
        <w:spacing w:line="240" w:lineRule="auto"/>
        <w:ind w:left="416" w:right="1119"/>
        <w:jc w:val="left"/>
      </w:pPr>
      <w:r>
        <w:rPr>
          <w:rFonts w:ascii="Times New Roman" w:hAnsi="Times New Roman" w:cs="Times New Roman" w:eastAsia="Times New Roman" w:hint="default"/>
        </w:rPr>
        <w:t>2</w:t>
      </w:r>
      <w:r>
        <w:rPr/>
        <w:t>、</w:t>
      </w:r>
      <w:r>
        <w:rPr>
          <w:spacing w:val="75"/>
        </w:rPr>
        <w:t> </w:t>
      </w:r>
      <w:r>
        <w:rPr/>
        <w:t>主要财务数据变动及其原因</w:t>
      </w:r>
    </w:p>
    <w:p>
      <w:pPr>
        <w:spacing w:before="180"/>
        <w:ind w:left="0" w:right="112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1"/>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596"/>
        <w:gridCol w:w="1897"/>
        <w:gridCol w:w="1896"/>
        <w:gridCol w:w="1687"/>
        <w:gridCol w:w="1897"/>
      </w:tblGrid>
      <w:tr>
        <w:trPr>
          <w:trHeight w:val="6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501" w:val="left" w:leader="none"/>
              </w:tabs>
              <w:spacing w:line="240" w:lineRule="auto" w:before="148"/>
              <w:ind w:right="443"/>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189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5"/>
              <w:ind w:left="6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p>
        </w:tc>
        <w:tc>
          <w:tcPr>
            <w:tcW w:w="18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5"/>
              <w:ind w:left="6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6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before="41"/>
              <w:ind w:left="158" w:right="137" w:hanging="17"/>
              <w:jc w:val="left"/>
              <w:rPr>
                <w:rFonts w:ascii="宋体" w:hAnsi="宋体" w:cs="宋体" w:eastAsia="宋体" w:hint="default"/>
                <w:sz w:val="20"/>
                <w:szCs w:val="20"/>
              </w:rPr>
            </w:pPr>
            <w:r>
              <w:rPr>
                <w:rFonts w:ascii="宋体" w:hAnsi="宋体" w:cs="宋体" w:eastAsia="宋体" w:hint="default"/>
                <w:sz w:val="20"/>
                <w:szCs w:val="20"/>
              </w:rPr>
              <w:t>本报告期比上年</w:t>
            </w:r>
            <w:r>
              <w:rPr>
                <w:rFonts w:ascii="宋体" w:hAnsi="宋体" w:cs="宋体" w:eastAsia="宋体" w:hint="default"/>
                <w:w w:val="99"/>
                <w:sz w:val="20"/>
                <w:szCs w:val="20"/>
              </w:rPr>
              <w:t> </w:t>
            </w:r>
            <w:r>
              <w:rPr>
                <w:rFonts w:ascii="宋体" w:hAnsi="宋体" w:cs="宋体" w:eastAsia="宋体" w:hint="default"/>
                <w:sz w:val="20"/>
                <w:szCs w:val="20"/>
              </w:rPr>
              <w:t>同期增减（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89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5"/>
              <w:ind w:left="61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r>
      <w:tr>
        <w:trPr>
          <w:trHeight w:val="415" w:hRule="exact"/>
        </w:trPr>
        <w:tc>
          <w:tcPr>
            <w:tcW w:w="15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2"/>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2,300,272,282.13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2,023,743,788.39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71"/>
              <w:jc w:val="right"/>
              <w:rPr>
                <w:rFonts w:ascii="宋体" w:hAnsi="宋体" w:cs="宋体" w:eastAsia="宋体" w:hint="default"/>
                <w:sz w:val="21"/>
                <w:szCs w:val="21"/>
              </w:rPr>
            </w:pPr>
            <w:r>
              <w:rPr>
                <w:rFonts w:ascii="宋体"/>
                <w:sz w:val="21"/>
              </w:rPr>
              <w:t>13.66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2,154,444,225.79</w:t>
            </w:r>
          </w:p>
        </w:tc>
      </w:tr>
      <w:tr>
        <w:trPr>
          <w:trHeight w:val="418" w:hRule="exact"/>
        </w:trPr>
        <w:tc>
          <w:tcPr>
            <w:tcW w:w="15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2"/>
              <w:ind w:left="103"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pacing w:val="-1"/>
                <w:sz w:val="21"/>
              </w:rPr>
              <w:t>537,709,230.98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pacing w:val="-1"/>
                <w:sz w:val="21"/>
              </w:rPr>
              <w:t>452,933,631.68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71"/>
              <w:jc w:val="right"/>
              <w:rPr>
                <w:rFonts w:ascii="宋体" w:hAnsi="宋体" w:cs="宋体" w:eastAsia="宋体" w:hint="default"/>
                <w:sz w:val="21"/>
                <w:szCs w:val="21"/>
              </w:rPr>
            </w:pPr>
            <w:r>
              <w:rPr>
                <w:rFonts w:ascii="宋体"/>
                <w:sz w:val="21"/>
              </w:rPr>
              <w:t>18.72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493,356,609.03</w:t>
            </w:r>
          </w:p>
        </w:tc>
      </w:tr>
      <w:tr>
        <w:trPr>
          <w:trHeight w:val="415" w:hRule="exact"/>
        </w:trPr>
        <w:tc>
          <w:tcPr>
            <w:tcW w:w="15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2"/>
              <w:ind w:left="103"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553,855,197.76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461,981,322.35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71"/>
              <w:jc w:val="right"/>
              <w:rPr>
                <w:rFonts w:ascii="宋体" w:hAnsi="宋体" w:cs="宋体" w:eastAsia="宋体" w:hint="default"/>
                <w:sz w:val="21"/>
                <w:szCs w:val="21"/>
              </w:rPr>
            </w:pPr>
            <w:r>
              <w:rPr>
                <w:rFonts w:ascii="宋体"/>
                <w:sz w:val="21"/>
              </w:rPr>
              <w:t>19.89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512,512,706.54</w:t>
            </w:r>
          </w:p>
        </w:tc>
      </w:tr>
      <w:tr>
        <w:trPr>
          <w:trHeight w:val="790" w:hRule="exact"/>
        </w:trPr>
        <w:tc>
          <w:tcPr>
            <w:tcW w:w="15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归</w:t>
            </w:r>
            <w:r>
              <w:rPr>
                <w:rFonts w:ascii="宋体" w:hAnsi="宋体" w:cs="宋体" w:eastAsia="宋体" w:hint="default"/>
                <w:spacing w:val="-66"/>
                <w:sz w:val="20"/>
                <w:szCs w:val="20"/>
              </w:rPr>
              <w:t> </w:t>
            </w:r>
            <w:r>
              <w:rPr>
                <w:rFonts w:ascii="宋体" w:hAnsi="宋体" w:cs="宋体" w:eastAsia="宋体" w:hint="default"/>
                <w:sz w:val="20"/>
                <w:szCs w:val="20"/>
              </w:rPr>
              <w:t>属</w:t>
            </w:r>
            <w:r>
              <w:rPr>
                <w:rFonts w:ascii="宋体" w:hAnsi="宋体" w:cs="宋体" w:eastAsia="宋体" w:hint="default"/>
                <w:spacing w:val="-66"/>
                <w:sz w:val="20"/>
                <w:szCs w:val="20"/>
              </w:rPr>
              <w:t> </w:t>
            </w:r>
            <w:r>
              <w:rPr>
                <w:rFonts w:ascii="宋体" w:hAnsi="宋体" w:cs="宋体" w:eastAsia="宋体" w:hint="default"/>
                <w:sz w:val="20"/>
                <w:szCs w:val="20"/>
              </w:rPr>
              <w:t>于</w:t>
            </w:r>
            <w:r>
              <w:rPr>
                <w:rFonts w:ascii="宋体" w:hAnsi="宋体" w:cs="宋体" w:eastAsia="宋体" w:hint="default"/>
                <w:spacing w:val="-63"/>
                <w:sz w:val="20"/>
                <w:szCs w:val="20"/>
              </w:rPr>
              <w:t> </w:t>
            </w:r>
            <w:r>
              <w:rPr>
                <w:rFonts w:ascii="宋体" w:hAnsi="宋体" w:cs="宋体" w:eastAsia="宋体" w:hint="default"/>
                <w:sz w:val="20"/>
                <w:szCs w:val="20"/>
              </w:rPr>
              <w:t>上</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6"/>
                <w:sz w:val="20"/>
                <w:szCs w:val="20"/>
              </w:rPr>
              <w:t> </w:t>
            </w:r>
            <w:r>
              <w:rPr>
                <w:rFonts w:ascii="宋体" w:hAnsi="宋体" w:cs="宋体" w:eastAsia="宋体" w:hint="default"/>
                <w:sz w:val="20"/>
                <w:szCs w:val="20"/>
              </w:rPr>
              <w:t>公</w:t>
            </w:r>
          </w:p>
          <w:p>
            <w:pPr>
              <w:pStyle w:val="TableParagraph"/>
              <w:spacing w:line="260" w:lineRule="exact" w:before="24"/>
              <w:ind w:left="103" w:right="104"/>
              <w:jc w:val="left"/>
              <w:rPr>
                <w:rFonts w:ascii="宋体" w:hAnsi="宋体" w:cs="宋体" w:eastAsia="宋体" w:hint="default"/>
                <w:sz w:val="20"/>
                <w:szCs w:val="20"/>
              </w:rPr>
            </w:pPr>
            <w:r>
              <w:rPr>
                <w:rFonts w:ascii="宋体" w:hAnsi="宋体" w:cs="宋体" w:eastAsia="宋体" w:hint="default"/>
                <w:sz w:val="20"/>
                <w:szCs w:val="20"/>
              </w:rPr>
              <w:t>司</w:t>
            </w:r>
            <w:r>
              <w:rPr>
                <w:rFonts w:ascii="宋体" w:hAnsi="宋体" w:cs="宋体" w:eastAsia="宋体" w:hint="default"/>
                <w:spacing w:val="-66"/>
                <w:sz w:val="20"/>
                <w:szCs w:val="20"/>
              </w:rPr>
              <w:t> </w:t>
            </w:r>
            <w:r>
              <w:rPr>
                <w:rFonts w:ascii="宋体" w:hAnsi="宋体" w:cs="宋体" w:eastAsia="宋体" w:hint="default"/>
                <w:sz w:val="20"/>
                <w:szCs w:val="20"/>
              </w:rPr>
              <w:t>股</w:t>
            </w:r>
            <w:r>
              <w:rPr>
                <w:rFonts w:ascii="宋体" w:hAnsi="宋体" w:cs="宋体" w:eastAsia="宋体" w:hint="default"/>
                <w:spacing w:val="-66"/>
                <w:sz w:val="20"/>
                <w:szCs w:val="20"/>
              </w:rPr>
              <w:t> </w:t>
            </w:r>
            <w:r>
              <w:rPr>
                <w:rFonts w:ascii="宋体" w:hAnsi="宋体" w:cs="宋体" w:eastAsia="宋体" w:hint="default"/>
                <w:sz w:val="20"/>
                <w:szCs w:val="20"/>
              </w:rPr>
              <w:t>东</w:t>
            </w:r>
            <w:r>
              <w:rPr>
                <w:rFonts w:ascii="宋体" w:hAnsi="宋体" w:cs="宋体" w:eastAsia="宋体" w:hint="default"/>
                <w:spacing w:val="-63"/>
                <w:sz w:val="20"/>
                <w:szCs w:val="20"/>
              </w:rPr>
              <w:t> </w:t>
            </w:r>
            <w:r>
              <w:rPr>
                <w:rFonts w:ascii="宋体" w:hAnsi="宋体" w:cs="宋体" w:eastAsia="宋体" w:hint="default"/>
                <w:sz w:val="20"/>
                <w:szCs w:val="20"/>
              </w:rPr>
              <w:t>的</w:t>
            </w:r>
            <w:r>
              <w:rPr>
                <w:rFonts w:ascii="宋体" w:hAnsi="宋体" w:cs="宋体" w:eastAsia="宋体" w:hint="default"/>
                <w:spacing w:val="-66"/>
                <w:sz w:val="20"/>
                <w:szCs w:val="20"/>
              </w:rPr>
              <w:t> </w:t>
            </w:r>
            <w:r>
              <w:rPr>
                <w:rFonts w:ascii="宋体" w:hAnsi="宋体" w:cs="宋体" w:eastAsia="宋体" w:hint="default"/>
                <w:sz w:val="20"/>
                <w:szCs w:val="20"/>
              </w:rPr>
              <w:t>净</w:t>
            </w:r>
            <w:r>
              <w:rPr>
                <w:rFonts w:ascii="宋体" w:hAnsi="宋体" w:cs="宋体" w:eastAsia="宋体" w:hint="default"/>
                <w:spacing w:val="-66"/>
                <w:sz w:val="20"/>
                <w:szCs w:val="20"/>
              </w:rPr>
              <w:t> </w:t>
            </w:r>
            <w:r>
              <w:rPr>
                <w:rFonts w:ascii="宋体" w:hAnsi="宋体" w:cs="宋体" w:eastAsia="宋体" w:hint="default"/>
                <w:sz w:val="20"/>
                <w:szCs w:val="20"/>
              </w:rPr>
              <w:t>利</w:t>
            </w:r>
            <w:r>
              <w:rPr>
                <w:rFonts w:ascii="宋体" w:hAnsi="宋体" w:cs="宋体" w:eastAsia="宋体" w:hint="default"/>
                <w:w w:val="99"/>
                <w:sz w:val="20"/>
                <w:szCs w:val="20"/>
              </w:rPr>
              <w:t> </w:t>
            </w:r>
            <w:r>
              <w:rPr>
                <w:rFonts w:ascii="宋体" w:hAnsi="宋体" w:cs="宋体" w:eastAsia="宋体" w:hint="default"/>
                <w:sz w:val="20"/>
                <w:szCs w:val="20"/>
              </w:rPr>
              <w:t>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388,993,128.37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303,336,417.17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571"/>
              <w:jc w:val="right"/>
              <w:rPr>
                <w:rFonts w:ascii="宋体" w:hAnsi="宋体" w:cs="宋体" w:eastAsia="宋体" w:hint="default"/>
                <w:sz w:val="21"/>
                <w:szCs w:val="21"/>
              </w:rPr>
            </w:pPr>
            <w:r>
              <w:rPr>
                <w:rFonts w:ascii="宋体"/>
                <w:sz w:val="21"/>
              </w:rPr>
              <w:t>28.24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333,417,907.27</w:t>
            </w:r>
          </w:p>
        </w:tc>
      </w:tr>
      <w:tr>
        <w:trPr>
          <w:trHeight w:val="1046" w:hRule="exact"/>
        </w:trPr>
        <w:tc>
          <w:tcPr>
            <w:tcW w:w="15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归</w:t>
            </w:r>
            <w:r>
              <w:rPr>
                <w:rFonts w:ascii="宋体" w:hAnsi="宋体" w:cs="宋体" w:eastAsia="宋体" w:hint="default"/>
                <w:spacing w:val="-66"/>
                <w:sz w:val="20"/>
                <w:szCs w:val="20"/>
              </w:rPr>
              <w:t> </w:t>
            </w:r>
            <w:r>
              <w:rPr>
                <w:rFonts w:ascii="宋体" w:hAnsi="宋体" w:cs="宋体" w:eastAsia="宋体" w:hint="default"/>
                <w:sz w:val="20"/>
                <w:szCs w:val="20"/>
              </w:rPr>
              <w:t>属</w:t>
            </w:r>
            <w:r>
              <w:rPr>
                <w:rFonts w:ascii="宋体" w:hAnsi="宋体" w:cs="宋体" w:eastAsia="宋体" w:hint="default"/>
                <w:spacing w:val="-66"/>
                <w:sz w:val="20"/>
                <w:szCs w:val="20"/>
              </w:rPr>
              <w:t> </w:t>
            </w:r>
            <w:r>
              <w:rPr>
                <w:rFonts w:ascii="宋体" w:hAnsi="宋体" w:cs="宋体" w:eastAsia="宋体" w:hint="default"/>
                <w:sz w:val="20"/>
                <w:szCs w:val="20"/>
              </w:rPr>
              <w:t>于</w:t>
            </w:r>
            <w:r>
              <w:rPr>
                <w:rFonts w:ascii="宋体" w:hAnsi="宋体" w:cs="宋体" w:eastAsia="宋体" w:hint="default"/>
                <w:spacing w:val="-63"/>
                <w:sz w:val="20"/>
                <w:szCs w:val="20"/>
              </w:rPr>
              <w:t> </w:t>
            </w:r>
            <w:r>
              <w:rPr>
                <w:rFonts w:ascii="宋体" w:hAnsi="宋体" w:cs="宋体" w:eastAsia="宋体" w:hint="default"/>
                <w:sz w:val="20"/>
                <w:szCs w:val="20"/>
              </w:rPr>
              <w:t>上</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6"/>
                <w:sz w:val="20"/>
                <w:szCs w:val="20"/>
              </w:rPr>
              <w:t> </w:t>
            </w:r>
            <w:r>
              <w:rPr>
                <w:rFonts w:ascii="宋体" w:hAnsi="宋体" w:cs="宋体" w:eastAsia="宋体" w:hint="default"/>
                <w:sz w:val="20"/>
                <w:szCs w:val="20"/>
              </w:rPr>
              <w:t>公</w:t>
            </w:r>
          </w:p>
          <w:p>
            <w:pPr>
              <w:pStyle w:val="TableParagraph"/>
              <w:spacing w:line="260" w:lineRule="exact" w:before="24"/>
              <w:ind w:left="103" w:right="104"/>
              <w:jc w:val="both"/>
              <w:rPr>
                <w:rFonts w:ascii="宋体" w:hAnsi="宋体" w:cs="宋体" w:eastAsia="宋体" w:hint="default"/>
                <w:sz w:val="20"/>
                <w:szCs w:val="20"/>
              </w:rPr>
            </w:pPr>
            <w:r>
              <w:rPr>
                <w:rFonts w:ascii="宋体" w:hAnsi="宋体" w:cs="宋体" w:eastAsia="宋体" w:hint="default"/>
                <w:sz w:val="20"/>
                <w:szCs w:val="20"/>
              </w:rPr>
              <w:t>司</w:t>
            </w:r>
            <w:r>
              <w:rPr>
                <w:rFonts w:ascii="宋体" w:hAnsi="宋体" w:cs="宋体" w:eastAsia="宋体" w:hint="default"/>
                <w:spacing w:val="-66"/>
                <w:sz w:val="20"/>
                <w:szCs w:val="20"/>
              </w:rPr>
              <w:t> </w:t>
            </w:r>
            <w:r>
              <w:rPr>
                <w:rFonts w:ascii="宋体" w:hAnsi="宋体" w:cs="宋体" w:eastAsia="宋体" w:hint="default"/>
                <w:sz w:val="20"/>
                <w:szCs w:val="20"/>
              </w:rPr>
              <w:t>股</w:t>
            </w:r>
            <w:r>
              <w:rPr>
                <w:rFonts w:ascii="宋体" w:hAnsi="宋体" w:cs="宋体" w:eastAsia="宋体" w:hint="default"/>
                <w:spacing w:val="-66"/>
                <w:sz w:val="20"/>
                <w:szCs w:val="20"/>
              </w:rPr>
              <w:t> </w:t>
            </w:r>
            <w:r>
              <w:rPr>
                <w:rFonts w:ascii="宋体" w:hAnsi="宋体" w:cs="宋体" w:eastAsia="宋体" w:hint="default"/>
                <w:sz w:val="20"/>
                <w:szCs w:val="20"/>
              </w:rPr>
              <w:t>东</w:t>
            </w:r>
            <w:r>
              <w:rPr>
                <w:rFonts w:ascii="宋体" w:hAnsi="宋体" w:cs="宋体" w:eastAsia="宋体" w:hint="default"/>
                <w:spacing w:val="-63"/>
                <w:sz w:val="20"/>
                <w:szCs w:val="20"/>
              </w:rPr>
              <w:t> </w:t>
            </w:r>
            <w:r>
              <w:rPr>
                <w:rFonts w:ascii="宋体" w:hAnsi="宋体" w:cs="宋体" w:eastAsia="宋体" w:hint="default"/>
                <w:sz w:val="20"/>
                <w:szCs w:val="20"/>
              </w:rPr>
              <w:t>的</w:t>
            </w:r>
            <w:r>
              <w:rPr>
                <w:rFonts w:ascii="宋体" w:hAnsi="宋体" w:cs="宋体" w:eastAsia="宋体" w:hint="default"/>
                <w:spacing w:val="-66"/>
                <w:sz w:val="20"/>
                <w:szCs w:val="20"/>
              </w:rPr>
              <w:t> </w:t>
            </w:r>
            <w:r>
              <w:rPr>
                <w:rFonts w:ascii="宋体" w:hAnsi="宋体" w:cs="宋体" w:eastAsia="宋体" w:hint="default"/>
                <w:sz w:val="20"/>
                <w:szCs w:val="20"/>
              </w:rPr>
              <w:t>扣</w:t>
            </w:r>
            <w:r>
              <w:rPr>
                <w:rFonts w:ascii="宋体" w:hAnsi="宋体" w:cs="宋体" w:eastAsia="宋体" w:hint="default"/>
                <w:spacing w:val="-66"/>
                <w:sz w:val="20"/>
                <w:szCs w:val="20"/>
              </w:rPr>
              <w:t> </w:t>
            </w:r>
            <w:r>
              <w:rPr>
                <w:rFonts w:ascii="宋体" w:hAnsi="宋体" w:cs="宋体" w:eastAsia="宋体" w:hint="default"/>
                <w:sz w:val="20"/>
                <w:szCs w:val="20"/>
              </w:rPr>
              <w:t>除</w:t>
            </w:r>
            <w:r>
              <w:rPr>
                <w:rFonts w:ascii="宋体" w:hAnsi="宋体" w:cs="宋体" w:eastAsia="宋体" w:hint="default"/>
                <w:w w:val="99"/>
                <w:sz w:val="20"/>
                <w:szCs w:val="20"/>
              </w:rPr>
              <w:t> </w:t>
            </w:r>
            <w:r>
              <w:rPr>
                <w:rFonts w:ascii="宋体" w:hAnsi="宋体" w:cs="宋体" w:eastAsia="宋体" w:hint="default"/>
                <w:sz w:val="20"/>
                <w:szCs w:val="20"/>
              </w:rPr>
              <w:t>非</w:t>
            </w:r>
            <w:r>
              <w:rPr>
                <w:rFonts w:ascii="宋体" w:hAnsi="宋体" w:cs="宋体" w:eastAsia="宋体" w:hint="default"/>
                <w:spacing w:val="-66"/>
                <w:sz w:val="20"/>
                <w:szCs w:val="20"/>
              </w:rPr>
              <w:t> </w:t>
            </w:r>
            <w:r>
              <w:rPr>
                <w:rFonts w:ascii="宋体" w:hAnsi="宋体" w:cs="宋体" w:eastAsia="宋体" w:hint="default"/>
                <w:sz w:val="20"/>
                <w:szCs w:val="20"/>
              </w:rPr>
              <w:t>经</w:t>
            </w:r>
            <w:r>
              <w:rPr>
                <w:rFonts w:ascii="宋体" w:hAnsi="宋体" w:cs="宋体" w:eastAsia="宋体" w:hint="default"/>
                <w:spacing w:val="-66"/>
                <w:sz w:val="20"/>
                <w:szCs w:val="20"/>
              </w:rPr>
              <w:t> </w:t>
            </w:r>
            <w:r>
              <w:rPr>
                <w:rFonts w:ascii="宋体" w:hAnsi="宋体" w:cs="宋体" w:eastAsia="宋体" w:hint="default"/>
                <w:sz w:val="20"/>
                <w:szCs w:val="20"/>
              </w:rPr>
              <w:t>常</w:t>
            </w:r>
            <w:r>
              <w:rPr>
                <w:rFonts w:ascii="宋体" w:hAnsi="宋体" w:cs="宋体" w:eastAsia="宋体" w:hint="default"/>
                <w:spacing w:val="-63"/>
                <w:sz w:val="20"/>
                <w:szCs w:val="20"/>
              </w:rPr>
              <w:t> </w:t>
            </w:r>
            <w:r>
              <w:rPr>
                <w:rFonts w:ascii="宋体" w:hAnsi="宋体" w:cs="宋体" w:eastAsia="宋体" w:hint="default"/>
                <w:sz w:val="20"/>
                <w:szCs w:val="20"/>
              </w:rPr>
              <w:t>性</w:t>
            </w:r>
            <w:r>
              <w:rPr>
                <w:rFonts w:ascii="宋体" w:hAnsi="宋体" w:cs="宋体" w:eastAsia="宋体" w:hint="default"/>
                <w:spacing w:val="-66"/>
                <w:sz w:val="20"/>
                <w:szCs w:val="20"/>
              </w:rPr>
              <w:t> </w:t>
            </w:r>
            <w:r>
              <w:rPr>
                <w:rFonts w:ascii="宋体" w:hAnsi="宋体" w:cs="宋体" w:eastAsia="宋体" w:hint="default"/>
                <w:sz w:val="20"/>
                <w:szCs w:val="20"/>
              </w:rPr>
              <w:t>损</w:t>
            </w:r>
            <w:r>
              <w:rPr>
                <w:rFonts w:ascii="宋体" w:hAnsi="宋体" w:cs="宋体" w:eastAsia="宋体" w:hint="default"/>
                <w:spacing w:val="-66"/>
                <w:sz w:val="20"/>
                <w:szCs w:val="20"/>
              </w:rPr>
              <w:t> </w:t>
            </w:r>
            <w:r>
              <w:rPr>
                <w:rFonts w:ascii="宋体" w:hAnsi="宋体" w:cs="宋体" w:eastAsia="宋体" w:hint="default"/>
                <w:sz w:val="20"/>
                <w:szCs w:val="20"/>
              </w:rPr>
              <w:t>益</w:t>
            </w:r>
            <w:r>
              <w:rPr>
                <w:rFonts w:ascii="宋体" w:hAnsi="宋体" w:cs="宋体" w:eastAsia="宋体" w:hint="default"/>
                <w:w w:val="99"/>
                <w:sz w:val="20"/>
                <w:szCs w:val="20"/>
              </w:rPr>
              <w:t> </w:t>
            </w:r>
            <w:r>
              <w:rPr>
                <w:rFonts w:ascii="宋体" w:hAnsi="宋体" w:cs="宋体" w:eastAsia="宋体" w:hint="default"/>
                <w:sz w:val="20"/>
                <w:szCs w:val="20"/>
              </w:rPr>
              <w:t>的净利润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376,477,152.83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295,564,357.58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571"/>
              <w:jc w:val="right"/>
              <w:rPr>
                <w:rFonts w:ascii="宋体" w:hAnsi="宋体" w:cs="宋体" w:eastAsia="宋体" w:hint="default"/>
                <w:sz w:val="21"/>
                <w:szCs w:val="21"/>
              </w:rPr>
            </w:pPr>
            <w:r>
              <w:rPr>
                <w:rFonts w:ascii="宋体"/>
                <w:sz w:val="21"/>
              </w:rPr>
              <w:t>27.38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319,742,431.01</w:t>
            </w:r>
          </w:p>
        </w:tc>
      </w:tr>
      <w:tr>
        <w:trPr>
          <w:trHeight w:val="788" w:hRule="exact"/>
        </w:trPr>
        <w:tc>
          <w:tcPr>
            <w:tcW w:w="15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经</w:t>
            </w:r>
            <w:r>
              <w:rPr>
                <w:rFonts w:ascii="宋体" w:hAnsi="宋体" w:cs="宋体" w:eastAsia="宋体" w:hint="default"/>
                <w:spacing w:val="-66"/>
                <w:sz w:val="20"/>
                <w:szCs w:val="20"/>
              </w:rPr>
              <w:t> </w:t>
            </w:r>
            <w:r>
              <w:rPr>
                <w:rFonts w:ascii="宋体" w:hAnsi="宋体" w:cs="宋体" w:eastAsia="宋体" w:hint="default"/>
                <w:sz w:val="20"/>
                <w:szCs w:val="20"/>
              </w:rPr>
              <w:t>营</w:t>
            </w:r>
            <w:r>
              <w:rPr>
                <w:rFonts w:ascii="宋体" w:hAnsi="宋体" w:cs="宋体" w:eastAsia="宋体" w:hint="default"/>
                <w:spacing w:val="-66"/>
                <w:sz w:val="20"/>
                <w:szCs w:val="20"/>
              </w:rPr>
              <w:t> </w:t>
            </w:r>
            <w:r>
              <w:rPr>
                <w:rFonts w:ascii="宋体" w:hAnsi="宋体" w:cs="宋体" w:eastAsia="宋体" w:hint="default"/>
                <w:sz w:val="20"/>
                <w:szCs w:val="20"/>
              </w:rPr>
              <w:t>活</w:t>
            </w:r>
            <w:r>
              <w:rPr>
                <w:rFonts w:ascii="宋体" w:hAnsi="宋体" w:cs="宋体" w:eastAsia="宋体" w:hint="default"/>
                <w:spacing w:val="-63"/>
                <w:sz w:val="20"/>
                <w:szCs w:val="20"/>
              </w:rPr>
              <w:t> </w:t>
            </w:r>
            <w:r>
              <w:rPr>
                <w:rFonts w:ascii="宋体" w:hAnsi="宋体" w:cs="宋体" w:eastAsia="宋体" w:hint="default"/>
                <w:sz w:val="20"/>
                <w:szCs w:val="20"/>
              </w:rPr>
              <w:t>动</w:t>
            </w:r>
            <w:r>
              <w:rPr>
                <w:rFonts w:ascii="宋体" w:hAnsi="宋体" w:cs="宋体" w:eastAsia="宋体" w:hint="default"/>
                <w:spacing w:val="-66"/>
                <w:sz w:val="20"/>
                <w:szCs w:val="20"/>
              </w:rPr>
              <w:t> </w:t>
            </w:r>
            <w:r>
              <w:rPr>
                <w:rFonts w:ascii="宋体" w:hAnsi="宋体" w:cs="宋体" w:eastAsia="宋体" w:hint="default"/>
                <w:sz w:val="20"/>
                <w:szCs w:val="20"/>
              </w:rPr>
              <w:t>产</w:t>
            </w:r>
            <w:r>
              <w:rPr>
                <w:rFonts w:ascii="宋体" w:hAnsi="宋体" w:cs="宋体" w:eastAsia="宋体" w:hint="default"/>
                <w:spacing w:val="-66"/>
                <w:sz w:val="20"/>
                <w:szCs w:val="20"/>
              </w:rPr>
              <w:t> </w:t>
            </w:r>
            <w:r>
              <w:rPr>
                <w:rFonts w:ascii="宋体" w:hAnsi="宋体" w:cs="宋体" w:eastAsia="宋体" w:hint="default"/>
                <w:sz w:val="20"/>
                <w:szCs w:val="20"/>
              </w:rPr>
              <w:t>生</w:t>
            </w:r>
          </w:p>
          <w:p>
            <w:pPr>
              <w:pStyle w:val="TableParagraph"/>
              <w:spacing w:line="260" w:lineRule="exact" w:before="24"/>
              <w:ind w:left="103" w:right="104"/>
              <w:jc w:val="left"/>
              <w:rPr>
                <w:rFonts w:ascii="宋体" w:hAnsi="宋体" w:cs="宋体" w:eastAsia="宋体" w:hint="default"/>
                <w:sz w:val="20"/>
                <w:szCs w:val="20"/>
              </w:rPr>
            </w:pPr>
            <w:r>
              <w:rPr>
                <w:rFonts w:ascii="宋体" w:hAnsi="宋体" w:cs="宋体" w:eastAsia="宋体" w:hint="default"/>
                <w:sz w:val="20"/>
                <w:szCs w:val="20"/>
              </w:rPr>
              <w:t>的</w:t>
            </w:r>
            <w:r>
              <w:rPr>
                <w:rFonts w:ascii="宋体" w:hAnsi="宋体" w:cs="宋体" w:eastAsia="宋体" w:hint="default"/>
                <w:spacing w:val="-66"/>
                <w:sz w:val="20"/>
                <w:szCs w:val="20"/>
              </w:rPr>
              <w:t> </w:t>
            </w:r>
            <w:r>
              <w:rPr>
                <w:rFonts w:ascii="宋体" w:hAnsi="宋体" w:cs="宋体" w:eastAsia="宋体" w:hint="default"/>
                <w:sz w:val="20"/>
                <w:szCs w:val="20"/>
              </w:rPr>
              <w:t>现</w:t>
            </w:r>
            <w:r>
              <w:rPr>
                <w:rFonts w:ascii="宋体" w:hAnsi="宋体" w:cs="宋体" w:eastAsia="宋体" w:hint="default"/>
                <w:spacing w:val="-66"/>
                <w:sz w:val="20"/>
                <w:szCs w:val="20"/>
              </w:rPr>
              <w:t> </w:t>
            </w:r>
            <w:r>
              <w:rPr>
                <w:rFonts w:ascii="宋体" w:hAnsi="宋体" w:cs="宋体" w:eastAsia="宋体" w:hint="default"/>
                <w:sz w:val="20"/>
                <w:szCs w:val="20"/>
              </w:rPr>
              <w:t>金</w:t>
            </w:r>
            <w:r>
              <w:rPr>
                <w:rFonts w:ascii="宋体" w:hAnsi="宋体" w:cs="宋体" w:eastAsia="宋体" w:hint="default"/>
                <w:spacing w:val="-63"/>
                <w:sz w:val="20"/>
                <w:szCs w:val="20"/>
              </w:rPr>
              <w:t> </w:t>
            </w:r>
            <w:r>
              <w:rPr>
                <w:rFonts w:ascii="宋体" w:hAnsi="宋体" w:cs="宋体" w:eastAsia="宋体" w:hint="default"/>
                <w:sz w:val="20"/>
                <w:szCs w:val="20"/>
              </w:rPr>
              <w:t>流</w:t>
            </w:r>
            <w:r>
              <w:rPr>
                <w:rFonts w:ascii="宋体" w:hAnsi="宋体" w:cs="宋体" w:eastAsia="宋体" w:hint="default"/>
                <w:spacing w:val="-66"/>
                <w:sz w:val="20"/>
                <w:szCs w:val="20"/>
              </w:rPr>
              <w:t> </w:t>
            </w:r>
            <w:r>
              <w:rPr>
                <w:rFonts w:ascii="宋体" w:hAnsi="宋体" w:cs="宋体" w:eastAsia="宋体" w:hint="default"/>
                <w:sz w:val="20"/>
                <w:szCs w:val="20"/>
              </w:rPr>
              <w:t>量</w:t>
            </w:r>
            <w:r>
              <w:rPr>
                <w:rFonts w:ascii="宋体" w:hAnsi="宋体" w:cs="宋体" w:eastAsia="宋体" w:hint="default"/>
                <w:spacing w:val="-66"/>
                <w:sz w:val="20"/>
                <w:szCs w:val="20"/>
              </w:rPr>
              <w:t> </w:t>
            </w:r>
            <w:r>
              <w:rPr>
                <w:rFonts w:ascii="宋体" w:hAnsi="宋体" w:cs="宋体" w:eastAsia="宋体" w:hint="default"/>
                <w:sz w:val="20"/>
                <w:szCs w:val="20"/>
              </w:rPr>
              <w:t>净</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649,276,873.14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373,214,813.29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571"/>
              <w:jc w:val="right"/>
              <w:rPr>
                <w:rFonts w:ascii="宋体" w:hAnsi="宋体" w:cs="宋体" w:eastAsia="宋体" w:hint="default"/>
                <w:sz w:val="21"/>
                <w:szCs w:val="21"/>
              </w:rPr>
            </w:pPr>
            <w:r>
              <w:rPr>
                <w:rFonts w:ascii="宋体"/>
                <w:sz w:val="21"/>
              </w:rPr>
              <w:t>73.97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371,127,632.02</w:t>
            </w:r>
          </w:p>
        </w:tc>
      </w:tr>
      <w:tr>
        <w:trPr>
          <w:trHeight w:val="628" w:hRule="exact"/>
        </w:trPr>
        <w:tc>
          <w:tcPr>
            <w:tcW w:w="15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501" w:val="left" w:leader="none"/>
              </w:tabs>
              <w:spacing w:line="240" w:lineRule="auto" w:before="147"/>
              <w:ind w:right="443"/>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189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4"/>
              <w:ind w:left="4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年度末</w:t>
            </w:r>
          </w:p>
        </w:tc>
        <w:tc>
          <w:tcPr>
            <w:tcW w:w="18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4"/>
              <w:ind w:left="52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年末</w:t>
            </w:r>
          </w:p>
        </w:tc>
        <w:tc>
          <w:tcPr>
            <w:tcW w:w="16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before="40"/>
              <w:ind w:left="105" w:right="5" w:firstLine="36"/>
              <w:jc w:val="left"/>
              <w:rPr>
                <w:rFonts w:ascii="宋体" w:hAnsi="宋体" w:cs="宋体" w:eastAsia="宋体" w:hint="default"/>
                <w:sz w:val="20"/>
                <w:szCs w:val="20"/>
              </w:rPr>
            </w:pPr>
            <w:r>
              <w:rPr>
                <w:rFonts w:ascii="宋体" w:hAnsi="宋体" w:cs="宋体" w:eastAsia="宋体" w:hint="default"/>
                <w:sz w:val="20"/>
                <w:szCs w:val="20"/>
              </w:rPr>
              <w:t>本报告期末比上</w:t>
            </w:r>
            <w:r>
              <w:rPr>
                <w:rFonts w:ascii="宋体" w:hAnsi="宋体" w:cs="宋体" w:eastAsia="宋体" w:hint="default"/>
                <w:w w:val="99"/>
                <w:sz w:val="20"/>
                <w:szCs w:val="20"/>
              </w:rPr>
              <w:t> </w:t>
            </w:r>
            <w:r>
              <w:rPr>
                <w:rFonts w:ascii="宋体" w:hAnsi="宋体" w:cs="宋体" w:eastAsia="宋体" w:hint="default"/>
                <w:sz w:val="20"/>
                <w:szCs w:val="20"/>
              </w:rPr>
              <w:t>年度末增减（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89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4"/>
              <w:ind w:left="51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年末</w:t>
            </w:r>
          </w:p>
        </w:tc>
      </w:tr>
    </w:tbl>
    <w:p>
      <w:pPr>
        <w:spacing w:after="0" w:line="240" w:lineRule="auto"/>
        <w:jc w:val="left"/>
        <w:rPr>
          <w:rFonts w:ascii="宋体" w:hAnsi="宋体" w:cs="宋体" w:eastAsia="宋体" w:hint="default"/>
          <w:sz w:val="20"/>
          <w:szCs w:val="20"/>
        </w:rPr>
        <w:sectPr>
          <w:pgSz w:w="11910" w:h="16840"/>
          <w:pgMar w:header="920" w:footer="936" w:top="1140" w:bottom="1140" w:left="1000" w:right="0"/>
        </w:sectPr>
      </w:pPr>
    </w:p>
    <w:p>
      <w:pPr>
        <w:spacing w:line="240" w:lineRule="auto" w:before="2"/>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1596"/>
        <w:gridCol w:w="1897"/>
        <w:gridCol w:w="1896"/>
        <w:gridCol w:w="1687"/>
        <w:gridCol w:w="1897"/>
      </w:tblGrid>
      <w:tr>
        <w:trPr>
          <w:trHeight w:val="413" w:hRule="exact"/>
        </w:trPr>
        <w:tc>
          <w:tcPr>
            <w:tcW w:w="1596"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before="42"/>
              <w:ind w:left="103"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18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sz w:val="21"/>
              </w:rPr>
              <w:t>3,465,293,949.51</w:t>
            </w:r>
          </w:p>
        </w:tc>
        <w:tc>
          <w:tcPr>
            <w:tcW w:w="18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7" w:right="0"/>
              <w:jc w:val="center"/>
              <w:rPr>
                <w:rFonts w:ascii="宋体" w:hAnsi="宋体" w:cs="宋体" w:eastAsia="宋体" w:hint="default"/>
                <w:sz w:val="21"/>
                <w:szCs w:val="21"/>
              </w:rPr>
            </w:pPr>
            <w:r>
              <w:rPr>
                <w:rFonts w:ascii="宋体"/>
                <w:sz w:val="21"/>
              </w:rPr>
              <w:t>3,733,357,690.39</w:t>
            </w:r>
          </w:p>
        </w:tc>
        <w:tc>
          <w:tcPr>
            <w:tcW w:w="16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571"/>
              <w:jc w:val="right"/>
              <w:rPr>
                <w:rFonts w:ascii="宋体" w:hAnsi="宋体" w:cs="宋体" w:eastAsia="宋体" w:hint="default"/>
                <w:sz w:val="21"/>
                <w:szCs w:val="21"/>
              </w:rPr>
            </w:pPr>
            <w:r>
              <w:rPr>
                <w:rFonts w:ascii="宋体"/>
                <w:sz w:val="21"/>
              </w:rPr>
              <w:t>-7.18</w:t>
            </w:r>
          </w:p>
        </w:tc>
        <w:tc>
          <w:tcPr>
            <w:tcW w:w="18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3,719,135,220.04</w:t>
            </w:r>
          </w:p>
        </w:tc>
      </w:tr>
      <w:tr>
        <w:trPr>
          <w:trHeight w:val="528" w:hRule="exact"/>
        </w:trPr>
        <w:tc>
          <w:tcPr>
            <w:tcW w:w="15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所有者权益（或</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1"/>
                <w:szCs w:val="21"/>
              </w:rPr>
            </w:pPr>
            <w:r>
              <w:rPr>
                <w:rFonts w:ascii="宋体"/>
                <w:sz w:val="21"/>
              </w:rPr>
              <w:t>2,056,015,962.61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 w:right="0"/>
              <w:jc w:val="center"/>
              <w:rPr>
                <w:rFonts w:ascii="宋体" w:hAnsi="宋体" w:cs="宋体" w:eastAsia="宋体" w:hint="default"/>
                <w:sz w:val="21"/>
                <w:szCs w:val="21"/>
              </w:rPr>
            </w:pPr>
            <w:r>
              <w:rPr>
                <w:rFonts w:ascii="宋体"/>
                <w:sz w:val="21"/>
              </w:rPr>
              <w:t>1,957,085,365.01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24"/>
              <w:jc w:val="right"/>
              <w:rPr>
                <w:rFonts w:ascii="宋体" w:hAnsi="宋体" w:cs="宋体" w:eastAsia="宋体" w:hint="default"/>
                <w:sz w:val="21"/>
                <w:szCs w:val="21"/>
              </w:rPr>
            </w:pPr>
            <w:r>
              <w:rPr>
                <w:rFonts w:ascii="宋体"/>
                <w:sz w:val="21"/>
              </w:rPr>
              <w:t>5.05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1,912,017,582.52</w:t>
            </w:r>
          </w:p>
        </w:tc>
      </w:tr>
    </w:tbl>
    <w:p>
      <w:pPr>
        <w:pStyle w:val="BodyText"/>
        <w:spacing w:line="312" w:lineRule="exact"/>
        <w:ind w:left="633" w:right="1114"/>
        <w:jc w:val="left"/>
      </w:pPr>
      <w:r>
        <w:rPr/>
        <w:pict>
          <v:group style="position:absolute;margin-left:54.299999pt;margin-top:-47.299999pt;width:83.2pt;height:46.85pt;mso-position-horizontal-relative:page;mso-position-vertical-relative:paragraph;z-index:-928576" coordorigin="1086,-946" coordsize="1664,937">
            <v:group style="position:absolute;left:1123;top:-909;width:1590;height:2" coordorigin="1123,-909" coordsize="1590,2">
              <v:shape style="position:absolute;left:1123;top:-909;width:1590;height:2" coordorigin="1123,-909" coordsize="1590,0" path="m1123,-909l2712,-909e" filled="false" stroked="true" strokeweight="3.72pt" strokecolor="#c0c0c0">
                <v:path arrowok="t"/>
              </v:shape>
            </v:group>
            <v:group style="position:absolute;left:1123;top:-872;width:104;height:260" coordorigin="1123,-872" coordsize="104,260">
              <v:shape style="position:absolute;left:1123;top:-872;width:104;height:260" coordorigin="1123,-872" coordsize="104,260" path="m1123,-612l1226,-612,1226,-872,1123,-872,1123,-612xe" filled="true" fillcolor="#c0c0c0" stroked="false">
                <v:path arrowok="t"/>
                <v:fill type="solid"/>
              </v:shape>
            </v:group>
            <v:group style="position:absolute;left:2609;top:-872;width:104;height:260" coordorigin="2609,-872" coordsize="104,260">
              <v:shape style="position:absolute;left:2609;top:-872;width:104;height:260" coordorigin="2609,-872" coordsize="104,260" path="m2609,-612l2712,-612,2712,-872,2609,-872,2609,-612xe" filled="true" fillcolor="#c0c0c0" stroked="false">
                <v:path arrowok="t"/>
                <v:fill type="solid"/>
              </v:shape>
            </v:group>
            <v:group style="position:absolute;left:1123;top:-575;width:1590;height:2" coordorigin="1123,-575" coordsize="1590,2">
              <v:shape style="position:absolute;left:1123;top:-575;width:1590;height:2" coordorigin="1123,-575" coordsize="1590,0" path="m1123,-575l2712,-575e" filled="false" stroked="true" strokeweight="3.72pt" strokecolor="#c0c0c0">
                <v:path arrowok="t"/>
              </v:shape>
            </v:group>
            <v:group style="position:absolute;left:1226;top:-872;width:1383;height:260" coordorigin="1226,-872" coordsize="1383,260">
              <v:shape style="position:absolute;left:1226;top:-872;width:1383;height:260" coordorigin="1226,-872" coordsize="1383,260" path="m1226,-612l2609,-612,2609,-872,1226,-872,1226,-612xe" filled="true" fillcolor="#c0c0c0" stroked="false">
                <v:path arrowok="t"/>
                <v:fill type="solid"/>
              </v:shape>
            </v:group>
            <v:group style="position:absolute;left:1123;top:-528;width:104;height:519" coordorigin="1123,-528" coordsize="104,519">
              <v:shape style="position:absolute;left:1123;top:-528;width:104;height:519" coordorigin="1123,-528" coordsize="104,519" path="m1123,-10l1226,-10,1226,-528,1123,-528,1123,-10xe" filled="true" fillcolor="#c0c0c0" stroked="false">
                <v:path arrowok="t"/>
                <v:fill type="solid"/>
              </v:shape>
            </v:group>
            <v:group style="position:absolute;left:2609;top:-528;width:104;height:519" coordorigin="2609,-528" coordsize="104,519">
              <v:shape style="position:absolute;left:2609;top:-528;width:104;height:519" coordorigin="2609,-528" coordsize="104,519" path="m2609,-10l2712,-10,2712,-528,2609,-528,2609,-10xe" filled="true" fillcolor="#c0c0c0" stroked="false">
                <v:path arrowok="t"/>
                <v:fill type="solid"/>
              </v:shape>
            </v:group>
            <v:group style="position:absolute;left:1226;top:-528;width:1383;height:260" coordorigin="1226,-528" coordsize="1383,260">
              <v:shape style="position:absolute;left:1226;top:-528;width:1383;height:260" coordorigin="1226,-528" coordsize="1383,260" path="m1226,-269l2609,-269,2609,-528,1226,-528,1226,-269xe" filled="true" fillcolor="#c0c0c0" stroked="false">
                <v:path arrowok="t"/>
                <v:fill type="solid"/>
              </v:shape>
            </v:group>
            <v:group style="position:absolute;left:1226;top:-269;width:1383;height:260" coordorigin="1226,-269" coordsize="1383,260">
              <v:shape style="position:absolute;left:1226;top:-269;width:1383;height:260" coordorigin="1226,-269" coordsize="1383,260" path="m1226,-10l2609,-10,2609,-269,1226,-269,1226,-10xe" filled="true" fillcolor="#c0c0c0" stroked="false">
                <v:path arrowok="t"/>
                <v:fill type="solid"/>
              </v:shape>
            </v:group>
            <w10:wrap type="none"/>
          </v:group>
        </w:pict>
      </w:r>
      <w:r>
        <w:rPr/>
        <w:t>变动说明：</w:t>
      </w:r>
    </w:p>
    <w:p>
      <w:pPr>
        <w:pStyle w:val="BodyText"/>
        <w:spacing w:line="520" w:lineRule="atLeast" w:before="197"/>
        <w:ind w:left="152" w:right="1114" w:firstLine="480"/>
        <w:jc w:val="left"/>
      </w:pPr>
      <w:r>
        <w:rPr/>
        <w:t>①报告期公司营业总收入比上年同期增加</w:t>
      </w:r>
      <w:r>
        <w:rPr>
          <w:spacing w:val="-80"/>
        </w:rPr>
        <w:t> </w:t>
      </w:r>
      <w:r>
        <w:rPr>
          <w:rFonts w:ascii="宋体" w:hAnsi="宋体" w:cs="宋体" w:eastAsia="宋体" w:hint="default"/>
        </w:rPr>
        <w:t>13.66%</w:t>
      </w:r>
      <w:r>
        <w:rPr/>
        <w:t>，主要系报告期公司烟标销售收入增加 所致。</w:t>
      </w:r>
    </w:p>
    <w:p>
      <w:pPr>
        <w:pStyle w:val="BodyText"/>
        <w:spacing w:line="355" w:lineRule="auto" w:before="36"/>
        <w:ind w:left="152" w:right="1114" w:firstLine="480"/>
        <w:jc w:val="left"/>
      </w:pPr>
      <w:r>
        <w:rPr/>
        <w:t>②报告期公司归属于上市公司股东的净利润比上年同期增加</w:t>
      </w:r>
      <w:r>
        <w:rPr>
          <w:spacing w:val="-80"/>
        </w:rPr>
        <w:t> </w:t>
      </w:r>
      <w:r>
        <w:rPr>
          <w:rFonts w:ascii="宋体" w:hAnsi="宋体" w:cs="宋体" w:eastAsia="宋体" w:hint="default"/>
        </w:rPr>
        <w:t>28.24%</w:t>
      </w:r>
      <w:r>
        <w:rPr/>
        <w:t>，主要系销售收入增 加利润增加以及减值损失减少所致。</w:t>
      </w:r>
    </w:p>
    <w:p>
      <w:pPr>
        <w:spacing w:line="240" w:lineRule="auto" w:before="6"/>
        <w:rPr>
          <w:rFonts w:ascii="宋体" w:hAnsi="宋体" w:cs="宋体" w:eastAsia="宋体" w:hint="default"/>
          <w:sz w:val="30"/>
          <w:szCs w:val="30"/>
        </w:rPr>
      </w:pPr>
    </w:p>
    <w:p>
      <w:pPr>
        <w:pStyle w:val="BodyText"/>
        <w:spacing w:line="362" w:lineRule="auto"/>
        <w:ind w:left="633" w:right="1114" w:hanging="197"/>
        <w:jc w:val="left"/>
      </w:pPr>
      <w:r>
        <w:rPr>
          <w:rFonts w:ascii="Times New Roman" w:hAnsi="Times New Roman" w:cs="Times New Roman" w:eastAsia="Times New Roman" w:hint="default"/>
        </w:rPr>
        <w:t>3</w:t>
      </w:r>
      <w:r>
        <w:rPr/>
        <w:t>、</w:t>
      </w:r>
      <w:r>
        <w:rPr>
          <w:spacing w:val="76"/>
        </w:rPr>
        <w:t> </w:t>
      </w:r>
      <w:r>
        <w:rPr/>
        <w:t>主要产品、原材料等价格变动情况</w:t>
      </w:r>
      <w:r>
        <w:rPr/>
        <w:t> 报告期内公司主要产品烟标的平均销售价格与上年同期相比有所上升，升幅为</w:t>
      </w:r>
      <w:r>
        <w:rPr>
          <w:spacing w:val="-59"/>
        </w:rPr>
        <w:t> </w:t>
      </w:r>
      <w:r>
        <w:rPr>
          <w:rFonts w:ascii="宋体" w:hAnsi="宋体" w:cs="宋体" w:eastAsia="宋体" w:hint="default"/>
        </w:rPr>
        <w:t>3.37%</w:t>
      </w:r>
      <w:r>
        <w:rPr/>
        <w:t>。 由于公司经过多年的商业运作，与生产材料供应商结成了良好的商业合作伙伴关系，主</w:t>
      </w:r>
    </w:p>
    <w:p>
      <w:pPr>
        <w:pStyle w:val="BodyText"/>
        <w:spacing w:line="357" w:lineRule="auto" w:before="29"/>
        <w:ind w:left="633" w:right="1114" w:hanging="481"/>
        <w:jc w:val="left"/>
      </w:pPr>
      <w:r>
        <w:rPr/>
        <w:t>要原材料均有二家以上的供应商供货，原材料的供应、质量均可得到保证。 报告期内公司继续充分利用集团规模优势，对主要原材料纸张进行集团统一采购，与纸</w:t>
      </w:r>
    </w:p>
    <w:p>
      <w:pPr>
        <w:pStyle w:val="BodyText"/>
        <w:spacing w:line="357" w:lineRule="auto" w:before="34"/>
        <w:ind w:left="633" w:right="1118" w:hanging="481"/>
        <w:jc w:val="left"/>
      </w:pPr>
      <w:r>
        <w:rPr/>
        <w:t>张主要供应商签订集团统一采购框架合同，有效地控制了原材料纸张的成本。 报告期内公司镭射膜主要原材料基膜自</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spacing w:val="-5"/>
        </w:rPr>
        <w:t>月起大幅上涨，尽管报告期下半年有所</w:t>
      </w:r>
    </w:p>
    <w:p>
      <w:pPr>
        <w:pStyle w:val="BodyText"/>
        <w:spacing w:line="357" w:lineRule="auto" w:before="34"/>
        <w:ind w:left="633" w:right="4033" w:hanging="481"/>
        <w:jc w:val="left"/>
      </w:pPr>
      <w:r>
        <w:rPr/>
        <w:t>回落，但报告期基膜平均采购成本比上年同期仍上涨</w:t>
      </w:r>
      <w:r>
        <w:rPr>
          <w:spacing w:val="-59"/>
        </w:rPr>
        <w:t> </w:t>
      </w:r>
      <w:r>
        <w:rPr>
          <w:rFonts w:ascii="宋体" w:hAnsi="宋体" w:cs="宋体" w:eastAsia="宋体" w:hint="default"/>
        </w:rPr>
        <w:t>10%</w:t>
      </w:r>
      <w:r>
        <w:rPr/>
        <w:t>左右。 报告期转移膜、油墨的平均采购成本与上年同期基本持平。</w:t>
      </w:r>
    </w:p>
    <w:p>
      <w:pPr>
        <w:pStyle w:val="BodyText"/>
        <w:spacing w:line="828" w:lineRule="exact" w:before="12"/>
        <w:ind w:left="633" w:right="1114" w:hanging="197"/>
        <w:jc w:val="left"/>
      </w:pPr>
      <w:r>
        <w:rPr>
          <w:rFonts w:ascii="Times New Roman" w:hAnsi="Times New Roman" w:cs="Times New Roman" w:eastAsia="Times New Roman" w:hint="default"/>
        </w:rPr>
        <w:t>4</w:t>
      </w:r>
      <w:r>
        <w:rPr/>
        <w:t>、</w:t>
      </w:r>
      <w:r>
        <w:rPr>
          <w:spacing w:val="76"/>
        </w:rPr>
        <w:t> </w:t>
      </w:r>
      <w:r>
        <w:rPr/>
        <w:t>订单签署和执行情况</w:t>
      </w:r>
      <w:r>
        <w:rPr/>
        <w:t> 公司的经营模式为以销定产，一般情况下在年初与主要客户烟厂签署框架协议，主要明</w:t>
      </w:r>
    </w:p>
    <w:p>
      <w:pPr>
        <w:pStyle w:val="BodyText"/>
        <w:spacing w:line="357" w:lineRule="auto" w:before="19"/>
        <w:ind w:left="152" w:right="0"/>
        <w:jc w:val="left"/>
      </w:pPr>
      <w:r>
        <w:rPr/>
        <w:t>确产品类别、服务事项、收款约定等内容，具体操作视实际下单情况而定。由于烟标是一种</w:t>
      </w:r>
      <w:r>
        <w:rPr>
          <w:spacing w:val="-91"/>
        </w:rPr>
        <w:t> </w:t>
      </w:r>
      <w:r>
        <w:rPr>
          <w:spacing w:val="-91"/>
        </w:rPr>
      </w:r>
      <w:r>
        <w:rPr/>
        <w:t>特殊的产品，生产出来的烟标只能销售给特定的客户，所以公司生产完全按照客户的订单来</w:t>
      </w:r>
      <w:r>
        <w:rPr>
          <w:spacing w:val="-91"/>
        </w:rPr>
        <w:t> </w:t>
      </w:r>
      <w:r>
        <w:rPr>
          <w:spacing w:val="-91"/>
        </w:rPr>
      </w:r>
      <w:r>
        <w:rPr>
          <w:spacing w:val="-3"/>
        </w:rPr>
        <w:t>展开；生产部门严格按照“以销定产”原则制定生产作业计划，进行生产调度、管理和控制，</w:t>
      </w:r>
      <w:r>
        <w:rPr>
          <w:spacing w:val="-82"/>
        </w:rPr>
        <w:t> </w:t>
      </w:r>
      <w:r>
        <w:rPr>
          <w:spacing w:val="-82"/>
        </w:rPr>
      </w:r>
      <w:r>
        <w:rPr/>
        <w:t>及时处理订单在执行过程中的相关问题，确保生产计划能够顺利完成。报告期内，公司产品</w:t>
      </w:r>
      <w:r>
        <w:rPr>
          <w:spacing w:val="-86"/>
        </w:rPr>
        <w:t> </w:t>
      </w:r>
      <w:r>
        <w:rPr>
          <w:spacing w:val="-86"/>
        </w:rPr>
      </w:r>
      <w:r>
        <w:rPr/>
        <w:t>订单执行情况良好。</w:t>
      </w:r>
    </w:p>
    <w:p>
      <w:pPr>
        <w:spacing w:line="240" w:lineRule="auto" w:before="1"/>
        <w:rPr>
          <w:rFonts w:ascii="宋体" w:hAnsi="宋体" w:cs="宋体" w:eastAsia="宋体" w:hint="default"/>
          <w:sz w:val="30"/>
          <w:szCs w:val="30"/>
        </w:rPr>
      </w:pPr>
    </w:p>
    <w:p>
      <w:pPr>
        <w:pStyle w:val="BodyText"/>
        <w:spacing w:line="240" w:lineRule="auto"/>
        <w:ind w:left="436" w:right="1114"/>
        <w:jc w:val="left"/>
      </w:pPr>
      <w:r>
        <w:rPr>
          <w:rFonts w:ascii="Times New Roman" w:hAnsi="Times New Roman" w:cs="Times New Roman" w:eastAsia="Times New Roman" w:hint="default"/>
        </w:rPr>
        <w:t>5</w:t>
      </w:r>
      <w:r>
        <w:rPr/>
        <w:t>、</w:t>
      </w:r>
      <w:r>
        <w:rPr>
          <w:spacing w:val="76"/>
        </w:rPr>
        <w:t> </w:t>
      </w:r>
      <w:r>
        <w:rPr/>
        <w:t>主营业务产品销售毛利率变化情况</w:t>
      </w:r>
    </w:p>
    <w:p>
      <w:pPr>
        <w:spacing w:line="240" w:lineRule="auto" w:before="5"/>
        <w:rPr>
          <w:rFonts w:ascii="宋体" w:hAnsi="宋体" w:cs="宋体" w:eastAsia="宋体" w:hint="default"/>
          <w:sz w:val="16"/>
          <w:szCs w:val="16"/>
        </w:rPr>
      </w:pPr>
    </w:p>
    <w:tbl>
      <w:tblPr>
        <w:tblW w:w="0" w:type="auto"/>
        <w:jc w:val="left"/>
        <w:tblInd w:w="133" w:type="dxa"/>
        <w:tblLayout w:type="fixed"/>
        <w:tblCellMar>
          <w:top w:w="0" w:type="dxa"/>
          <w:left w:w="0" w:type="dxa"/>
          <w:bottom w:w="0" w:type="dxa"/>
          <w:right w:w="0" w:type="dxa"/>
        </w:tblCellMar>
        <w:tblLook w:val="01E0"/>
      </w:tblPr>
      <w:tblGrid>
        <w:gridCol w:w="2175"/>
        <w:gridCol w:w="1731"/>
        <w:gridCol w:w="1373"/>
        <w:gridCol w:w="1757"/>
        <w:gridCol w:w="1241"/>
      </w:tblGrid>
      <w:tr>
        <w:trPr>
          <w:trHeight w:val="710" w:hRule="exact"/>
        </w:trPr>
        <w:tc>
          <w:tcPr>
            <w:tcW w:w="21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17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b/>
                <w:bCs/>
                <w:spacing w:val="-3"/>
                <w:sz w:val="20"/>
                <w:szCs w:val="20"/>
              </w:rPr>
              <w:t>2011</w:t>
            </w:r>
            <w:r>
              <w:rPr>
                <w:rFonts w:ascii="Times New Roman" w:hAnsi="Times New Roman" w:cs="Times New Roman" w:eastAsia="Times New Roman" w:hint="default"/>
                <w:b/>
                <w:bCs/>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3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5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7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before="82"/>
              <w:ind w:left="470" w:right="169" w:hanging="300"/>
              <w:jc w:val="left"/>
              <w:rPr>
                <w:rFonts w:ascii="宋体" w:hAnsi="宋体" w:cs="宋体" w:eastAsia="宋体" w:hint="default"/>
                <w:sz w:val="20"/>
                <w:szCs w:val="20"/>
              </w:rPr>
            </w:pPr>
            <w:r>
              <w:rPr>
                <w:rFonts w:ascii="宋体" w:hAnsi="宋体" w:cs="宋体" w:eastAsia="宋体" w:hint="default"/>
                <w:b/>
                <w:bCs/>
                <w:sz w:val="20"/>
                <w:szCs w:val="20"/>
              </w:rPr>
              <w:t>本报告期比上年</w:t>
            </w:r>
            <w:r>
              <w:rPr>
                <w:rFonts w:ascii="宋体" w:hAnsi="宋体" w:cs="宋体" w:eastAsia="宋体" w:hint="default"/>
                <w:b/>
                <w:bCs/>
                <w:w w:val="99"/>
                <w:sz w:val="20"/>
                <w:szCs w:val="20"/>
              </w:rPr>
              <w:t> </w:t>
            </w:r>
            <w:r>
              <w:rPr>
                <w:rFonts w:ascii="宋体" w:hAnsi="宋体" w:cs="宋体" w:eastAsia="宋体" w:hint="default"/>
                <w:b/>
                <w:bCs/>
                <w:sz w:val="20"/>
                <w:szCs w:val="20"/>
              </w:rPr>
              <w:t>同期增减</w:t>
            </w:r>
            <w:r>
              <w:rPr>
                <w:rFonts w:ascii="宋体" w:hAnsi="宋体" w:cs="宋体" w:eastAsia="宋体" w:hint="default"/>
                <w:sz w:val="20"/>
                <w:szCs w:val="20"/>
              </w:rPr>
            </w:r>
          </w:p>
        </w:tc>
        <w:tc>
          <w:tcPr>
            <w:tcW w:w="12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88"/>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545"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 w:right="0"/>
              <w:jc w:val="center"/>
              <w:rPr>
                <w:rFonts w:ascii="宋体" w:hAnsi="宋体" w:cs="宋体" w:eastAsia="宋体" w:hint="default"/>
                <w:sz w:val="21"/>
                <w:szCs w:val="21"/>
              </w:rPr>
            </w:pPr>
            <w:r>
              <w:rPr>
                <w:rFonts w:ascii="宋体" w:hAnsi="宋体" w:cs="宋体" w:eastAsia="宋体" w:hint="default"/>
                <w:sz w:val="21"/>
                <w:szCs w:val="21"/>
              </w:rPr>
              <w:t>主营业务销售毛利率</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0"/>
                <w:szCs w:val="20"/>
              </w:rPr>
            </w:pPr>
            <w:r>
              <w:rPr>
                <w:rFonts w:ascii="Times New Roman"/>
                <w:sz w:val="20"/>
              </w:rPr>
              <w:t>38.34%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72" w:right="0"/>
              <w:jc w:val="left"/>
              <w:rPr>
                <w:rFonts w:ascii="Times New Roman" w:hAnsi="Times New Roman" w:cs="Times New Roman" w:eastAsia="Times New Roman" w:hint="default"/>
                <w:sz w:val="20"/>
                <w:szCs w:val="20"/>
              </w:rPr>
            </w:pPr>
            <w:r>
              <w:rPr>
                <w:rFonts w:ascii="Times New Roman"/>
                <w:sz w:val="20"/>
              </w:rPr>
              <w:t>38.41%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80" w:right="0"/>
              <w:jc w:val="left"/>
              <w:rPr>
                <w:rFonts w:ascii="Times New Roman" w:hAnsi="Times New Roman" w:cs="Times New Roman" w:eastAsia="Times New Roman" w:hint="default"/>
                <w:sz w:val="20"/>
                <w:szCs w:val="20"/>
              </w:rPr>
            </w:pPr>
            <w:r>
              <w:rPr>
                <w:rFonts w:ascii="Times New Roman"/>
                <w:sz w:val="20"/>
              </w:rPr>
              <w:t>-0.06%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04"/>
              <w:jc w:val="right"/>
              <w:rPr>
                <w:rFonts w:ascii="Times New Roman" w:hAnsi="Times New Roman" w:cs="Times New Roman" w:eastAsia="Times New Roman" w:hint="default"/>
                <w:sz w:val="20"/>
                <w:szCs w:val="20"/>
              </w:rPr>
            </w:pPr>
            <w:r>
              <w:rPr>
                <w:rFonts w:ascii="Times New Roman"/>
                <w:sz w:val="20"/>
              </w:rPr>
              <w:t>36.48%</w:t>
            </w:r>
          </w:p>
        </w:tc>
      </w:tr>
    </w:tbl>
    <w:p>
      <w:pPr>
        <w:spacing w:after="0" w:line="240" w:lineRule="auto"/>
        <w:jc w:val="right"/>
        <w:rPr>
          <w:rFonts w:ascii="Times New Roman" w:hAnsi="Times New Roman" w:cs="Times New Roman" w:eastAsia="Times New Roman" w:hint="default"/>
          <w:sz w:val="20"/>
          <w:szCs w:val="20"/>
        </w:rPr>
        <w:sectPr>
          <w:pgSz w:w="11910" w:h="16840"/>
          <w:pgMar w:header="920" w:footer="936" w:top="1140" w:bottom="1140" w:left="980" w:right="0"/>
        </w:sectPr>
      </w:pPr>
    </w:p>
    <w:p>
      <w:pPr>
        <w:pStyle w:val="BodyText"/>
        <w:spacing w:line="240" w:lineRule="auto" w:before="19"/>
        <w:ind w:left="416" w:right="1119"/>
        <w:jc w:val="left"/>
      </w:pPr>
      <w:r>
        <w:rPr>
          <w:rFonts w:ascii="Times New Roman" w:hAnsi="Times New Roman" w:cs="Times New Roman" w:eastAsia="Times New Roman" w:hint="default"/>
        </w:rPr>
        <w:t>6</w:t>
      </w:r>
      <w:r>
        <w:rPr/>
        <w:t>、</w:t>
      </w:r>
      <w:r>
        <w:rPr>
          <w:spacing w:val="76"/>
        </w:rPr>
        <w:t> </w:t>
      </w:r>
      <w:r>
        <w:rPr/>
        <w:t>主要业务按行业、产品和地区分布情况</w:t>
      </w:r>
    </w:p>
    <w:p>
      <w:pPr>
        <w:spacing w:line="240" w:lineRule="auto" w:before="0"/>
        <w:rPr>
          <w:rFonts w:ascii="宋体" w:hAnsi="宋体" w:cs="宋体" w:eastAsia="宋体" w:hint="default"/>
          <w:sz w:val="24"/>
          <w:szCs w:val="24"/>
        </w:rPr>
      </w:pPr>
    </w:p>
    <w:p>
      <w:pPr>
        <w:pStyle w:val="BodyText"/>
        <w:spacing w:line="240" w:lineRule="auto" w:before="182"/>
        <w:ind w:left="493" w:right="1119"/>
        <w:jc w:val="left"/>
      </w:pPr>
      <w:r>
        <w:rPr>
          <w:rFonts w:ascii="宋体" w:hAnsi="宋体" w:cs="宋体" w:eastAsia="宋体" w:hint="default"/>
        </w:rPr>
        <w:t>(1)</w:t>
      </w:r>
      <w:r>
        <w:rPr>
          <w:rFonts w:ascii="宋体" w:hAnsi="宋体" w:cs="宋体" w:eastAsia="宋体" w:hint="default"/>
          <w:spacing w:val="-60"/>
        </w:rPr>
        <w:t> </w:t>
      </w:r>
      <w:r>
        <w:rPr/>
        <w:t>分行业经营情况</w:t>
      </w:r>
    </w:p>
    <w:p>
      <w:pPr>
        <w:spacing w:line="240" w:lineRule="auto" w:before="3"/>
        <w:rPr>
          <w:rFonts w:ascii="宋体" w:hAnsi="宋体" w:cs="宋体" w:eastAsia="宋体" w:hint="default"/>
          <w:sz w:val="12"/>
          <w:szCs w:val="12"/>
        </w:rPr>
      </w:pPr>
    </w:p>
    <w:p>
      <w:pPr>
        <w:spacing w:before="36"/>
        <w:ind w:left="0" w:right="1129"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8"/>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1575"/>
        <w:gridCol w:w="1258"/>
        <w:gridCol w:w="1217"/>
        <w:gridCol w:w="1039"/>
        <w:gridCol w:w="1241"/>
        <w:gridCol w:w="1243"/>
        <w:gridCol w:w="1073"/>
      </w:tblGrid>
      <w:tr>
        <w:trPr>
          <w:trHeight w:val="941" w:hRule="exact"/>
        </w:trPr>
        <w:tc>
          <w:tcPr>
            <w:tcW w:w="15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行业类别</w:t>
            </w:r>
            <w:r>
              <w:rPr>
                <w:rFonts w:ascii="宋体" w:hAnsi="宋体" w:cs="宋体" w:eastAsia="宋体" w:hint="default"/>
                <w:sz w:val="20"/>
                <w:szCs w:val="20"/>
              </w:rPr>
            </w:r>
          </w:p>
        </w:tc>
        <w:tc>
          <w:tcPr>
            <w:tcW w:w="12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sz w:val="15"/>
                <w:szCs w:val="15"/>
              </w:rPr>
            </w:pPr>
          </w:p>
          <w:p>
            <w:pPr>
              <w:pStyle w:val="TableParagraph"/>
              <w:spacing w:line="260" w:lineRule="exact"/>
              <w:ind w:left="525" w:right="119" w:hanging="401"/>
              <w:jc w:val="left"/>
              <w:rPr>
                <w:rFonts w:ascii="宋体" w:hAnsi="宋体" w:cs="宋体" w:eastAsia="宋体" w:hint="default"/>
                <w:sz w:val="20"/>
                <w:szCs w:val="20"/>
              </w:rPr>
            </w:pPr>
            <w:r>
              <w:rPr>
                <w:rFonts w:ascii="宋体" w:hAnsi="宋体" w:cs="宋体" w:eastAsia="宋体" w:hint="default"/>
                <w:b/>
                <w:bCs/>
                <w:sz w:val="20"/>
                <w:szCs w:val="20"/>
              </w:rPr>
              <w:t>主营业务收</w:t>
            </w:r>
            <w:r>
              <w:rPr>
                <w:rFonts w:ascii="宋体" w:hAnsi="宋体" w:cs="宋体" w:eastAsia="宋体" w:hint="default"/>
                <w:b/>
                <w:bCs/>
                <w:w w:val="99"/>
                <w:sz w:val="20"/>
                <w:szCs w:val="20"/>
              </w:rPr>
              <w:t> </w:t>
            </w:r>
            <w:r>
              <w:rPr>
                <w:rFonts w:ascii="宋体" w:hAnsi="宋体" w:cs="宋体" w:eastAsia="宋体" w:hint="default"/>
                <w:b/>
                <w:bCs/>
                <w:sz w:val="20"/>
                <w:szCs w:val="20"/>
              </w:rPr>
              <w:t>入</w:t>
            </w:r>
            <w:r>
              <w:rPr>
                <w:rFonts w:ascii="宋体" w:hAnsi="宋体" w:cs="宋体" w:eastAsia="宋体" w:hint="default"/>
                <w:sz w:val="20"/>
                <w:szCs w:val="20"/>
              </w:rPr>
            </w: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sz w:val="15"/>
                <w:szCs w:val="15"/>
              </w:rPr>
            </w:pPr>
          </w:p>
          <w:p>
            <w:pPr>
              <w:pStyle w:val="TableParagraph"/>
              <w:spacing w:line="260" w:lineRule="exact"/>
              <w:ind w:left="405" w:right="194" w:hanging="202"/>
              <w:jc w:val="left"/>
              <w:rPr>
                <w:rFonts w:ascii="宋体" w:hAnsi="宋体" w:cs="宋体" w:eastAsia="宋体" w:hint="default"/>
                <w:sz w:val="20"/>
                <w:szCs w:val="20"/>
              </w:rPr>
            </w:pPr>
            <w:r>
              <w:rPr>
                <w:rFonts w:ascii="宋体" w:hAnsi="宋体" w:cs="宋体" w:eastAsia="宋体" w:hint="default"/>
                <w:b/>
                <w:bCs/>
                <w:sz w:val="20"/>
                <w:szCs w:val="20"/>
              </w:rPr>
              <w:t>主营业务</w:t>
            </w:r>
            <w:r>
              <w:rPr>
                <w:rFonts w:ascii="宋体" w:hAnsi="宋体" w:cs="宋体" w:eastAsia="宋体" w:hint="default"/>
                <w:b/>
                <w:bCs/>
                <w:spacing w:val="2"/>
                <w:w w:val="99"/>
                <w:sz w:val="20"/>
                <w:szCs w:val="20"/>
              </w:rPr>
              <w:t> </w:t>
            </w:r>
            <w:r>
              <w:rPr>
                <w:rFonts w:ascii="宋体" w:hAnsi="宋体" w:cs="宋体" w:eastAsia="宋体" w:hint="default"/>
                <w:b/>
                <w:bCs/>
                <w:sz w:val="20"/>
                <w:szCs w:val="20"/>
              </w:rPr>
              <w:t>成本</w:t>
            </w:r>
            <w:r>
              <w:rPr>
                <w:rFonts w:ascii="宋体" w:hAnsi="宋体" w:cs="宋体" w:eastAsia="宋体" w:hint="default"/>
                <w:sz w:val="20"/>
                <w:szCs w:val="20"/>
              </w:rPr>
            </w:r>
          </w:p>
        </w:tc>
        <w:tc>
          <w:tcPr>
            <w:tcW w:w="10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13" w:right="0"/>
              <w:jc w:val="left"/>
              <w:rPr>
                <w:rFonts w:ascii="宋体" w:hAnsi="宋体" w:cs="宋体" w:eastAsia="宋体" w:hint="default"/>
                <w:sz w:val="20"/>
                <w:szCs w:val="20"/>
              </w:rPr>
            </w:pPr>
            <w:r>
              <w:rPr>
                <w:rFonts w:ascii="宋体" w:hAnsi="宋体" w:cs="宋体" w:eastAsia="宋体" w:hint="default"/>
                <w:b/>
                <w:bCs/>
                <w:spacing w:val="2"/>
                <w:sz w:val="20"/>
                <w:szCs w:val="20"/>
              </w:rPr>
              <w:t>毛利率</w:t>
            </w:r>
            <w:r>
              <w:rPr>
                <w:rFonts w:ascii="宋体" w:hAnsi="宋体" w:cs="宋体" w:eastAsia="宋体" w:hint="default"/>
                <w:sz w:val="20"/>
                <w:szCs w:val="20"/>
              </w:rPr>
            </w:r>
          </w:p>
        </w:tc>
        <w:tc>
          <w:tcPr>
            <w:tcW w:w="12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7" w:lineRule="auto" w:before="44"/>
              <w:ind w:left="115" w:right="111"/>
              <w:jc w:val="center"/>
              <w:rPr>
                <w:rFonts w:ascii="宋体" w:hAnsi="宋体" w:cs="宋体" w:eastAsia="宋体" w:hint="default"/>
                <w:sz w:val="20"/>
                <w:szCs w:val="20"/>
              </w:rPr>
            </w:pPr>
            <w:r>
              <w:rPr>
                <w:rFonts w:ascii="宋体" w:hAnsi="宋体" w:cs="宋体" w:eastAsia="宋体" w:hint="default"/>
                <w:b/>
                <w:bCs/>
                <w:sz w:val="20"/>
                <w:szCs w:val="20"/>
              </w:rPr>
              <w:t>主营业务收</w:t>
            </w:r>
            <w:r>
              <w:rPr>
                <w:rFonts w:ascii="宋体" w:hAnsi="宋体" w:cs="宋体" w:eastAsia="宋体" w:hint="default"/>
                <w:b/>
                <w:bCs/>
                <w:w w:val="99"/>
                <w:sz w:val="20"/>
                <w:szCs w:val="20"/>
              </w:rPr>
              <w:t> </w:t>
            </w:r>
            <w:r>
              <w:rPr>
                <w:rFonts w:ascii="宋体" w:hAnsi="宋体" w:cs="宋体" w:eastAsia="宋体" w:hint="default"/>
                <w:b/>
                <w:bCs/>
                <w:sz w:val="20"/>
                <w:szCs w:val="20"/>
              </w:rPr>
              <w:t>入比上年同</w:t>
            </w:r>
            <w:r>
              <w:rPr>
                <w:rFonts w:ascii="宋体" w:hAnsi="宋体" w:cs="宋体" w:eastAsia="宋体" w:hint="default"/>
                <w:b/>
                <w:bCs/>
                <w:w w:val="99"/>
                <w:sz w:val="20"/>
                <w:szCs w:val="20"/>
              </w:rPr>
              <w:t> </w:t>
            </w:r>
            <w:r>
              <w:rPr>
                <w:rFonts w:ascii="宋体" w:hAnsi="宋体" w:cs="宋体" w:eastAsia="宋体" w:hint="default"/>
                <w:b/>
                <w:bCs/>
                <w:spacing w:val="2"/>
                <w:sz w:val="20"/>
                <w:szCs w:val="20"/>
              </w:rPr>
              <w:t>期增减</w:t>
            </w:r>
            <w:r>
              <w:rPr>
                <w:rFonts w:ascii="宋体" w:hAnsi="宋体" w:cs="宋体" w:eastAsia="宋体" w:hint="default"/>
                <w:sz w:val="20"/>
                <w:szCs w:val="20"/>
              </w:rPr>
            </w:r>
          </w:p>
        </w:tc>
        <w:tc>
          <w:tcPr>
            <w:tcW w:w="124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7" w:lineRule="auto" w:before="44"/>
              <w:ind w:left="117" w:right="111"/>
              <w:jc w:val="center"/>
              <w:rPr>
                <w:rFonts w:ascii="宋体" w:hAnsi="宋体" w:cs="宋体" w:eastAsia="宋体" w:hint="default"/>
                <w:sz w:val="20"/>
                <w:szCs w:val="20"/>
              </w:rPr>
            </w:pPr>
            <w:r>
              <w:rPr>
                <w:rFonts w:ascii="宋体" w:hAnsi="宋体" w:cs="宋体" w:eastAsia="宋体" w:hint="default"/>
                <w:b/>
                <w:bCs/>
                <w:sz w:val="20"/>
                <w:szCs w:val="20"/>
              </w:rPr>
              <w:t>主营业务成</w:t>
            </w:r>
            <w:r>
              <w:rPr>
                <w:rFonts w:ascii="宋体" w:hAnsi="宋体" w:cs="宋体" w:eastAsia="宋体" w:hint="default"/>
                <w:b/>
                <w:bCs/>
                <w:w w:val="99"/>
                <w:sz w:val="20"/>
                <w:szCs w:val="20"/>
              </w:rPr>
              <w:t> </w:t>
            </w:r>
            <w:r>
              <w:rPr>
                <w:rFonts w:ascii="宋体" w:hAnsi="宋体" w:cs="宋体" w:eastAsia="宋体" w:hint="default"/>
                <w:b/>
                <w:bCs/>
                <w:sz w:val="20"/>
                <w:szCs w:val="20"/>
              </w:rPr>
              <w:t>本比上年同</w:t>
            </w:r>
            <w:r>
              <w:rPr>
                <w:rFonts w:ascii="宋体" w:hAnsi="宋体" w:cs="宋体" w:eastAsia="宋体" w:hint="default"/>
                <w:b/>
                <w:bCs/>
                <w:w w:val="99"/>
                <w:sz w:val="20"/>
                <w:szCs w:val="20"/>
              </w:rPr>
              <w:t> </w:t>
            </w:r>
            <w:r>
              <w:rPr>
                <w:rFonts w:ascii="宋体" w:hAnsi="宋体" w:cs="宋体" w:eastAsia="宋体" w:hint="default"/>
                <w:b/>
                <w:bCs/>
                <w:spacing w:val="2"/>
                <w:sz w:val="20"/>
                <w:szCs w:val="20"/>
              </w:rPr>
              <w:t>期增减</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7" w:lineRule="auto" w:before="44"/>
              <w:ind w:left="130" w:right="125"/>
              <w:jc w:val="center"/>
              <w:rPr>
                <w:rFonts w:ascii="宋体" w:hAnsi="宋体" w:cs="宋体" w:eastAsia="宋体" w:hint="default"/>
                <w:sz w:val="20"/>
                <w:szCs w:val="20"/>
              </w:rPr>
            </w:pPr>
            <w:r>
              <w:rPr>
                <w:rFonts w:ascii="宋体" w:hAnsi="宋体" w:cs="宋体" w:eastAsia="宋体" w:hint="default"/>
                <w:b/>
                <w:bCs/>
                <w:sz w:val="20"/>
                <w:szCs w:val="20"/>
              </w:rPr>
              <w:t>毛利率比</w:t>
            </w:r>
            <w:r>
              <w:rPr>
                <w:rFonts w:ascii="宋体" w:hAnsi="宋体" w:cs="宋体" w:eastAsia="宋体" w:hint="default"/>
                <w:b/>
                <w:bCs/>
                <w:spacing w:val="2"/>
                <w:w w:val="99"/>
                <w:sz w:val="20"/>
                <w:szCs w:val="20"/>
              </w:rPr>
              <w:t> </w:t>
            </w:r>
            <w:r>
              <w:rPr>
                <w:rFonts w:ascii="宋体" w:hAnsi="宋体" w:cs="宋体" w:eastAsia="宋体" w:hint="default"/>
                <w:b/>
                <w:bCs/>
                <w:sz w:val="20"/>
                <w:szCs w:val="20"/>
              </w:rPr>
              <w:t>上年同期</w:t>
            </w:r>
            <w:r>
              <w:rPr>
                <w:rFonts w:ascii="宋体" w:hAnsi="宋体" w:cs="宋体" w:eastAsia="宋体" w:hint="default"/>
                <w:b/>
                <w:bCs/>
                <w:spacing w:val="2"/>
                <w:w w:val="99"/>
                <w:sz w:val="20"/>
                <w:szCs w:val="20"/>
              </w:rPr>
              <w:t> </w:t>
            </w:r>
            <w:r>
              <w:rPr>
                <w:rFonts w:ascii="宋体" w:hAnsi="宋体" w:cs="宋体" w:eastAsia="宋体" w:hint="default"/>
                <w:b/>
                <w:bCs/>
                <w:sz w:val="20"/>
                <w:szCs w:val="20"/>
              </w:rPr>
              <w:t>增减</w:t>
            </w:r>
            <w:r>
              <w:rPr>
                <w:rFonts w:ascii="宋体" w:hAnsi="宋体" w:cs="宋体" w:eastAsia="宋体" w:hint="default"/>
                <w:sz w:val="20"/>
                <w:szCs w:val="20"/>
              </w:rPr>
            </w:r>
          </w:p>
        </w:tc>
      </w:tr>
      <w:tr>
        <w:trPr>
          <w:trHeight w:val="384" w:hRule="exact"/>
        </w:trPr>
        <w:tc>
          <w:tcPr>
            <w:tcW w:w="15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b/>
                <w:bCs/>
                <w:sz w:val="20"/>
                <w:szCs w:val="20"/>
              </w:rPr>
              <w:t>包装印刷</w:t>
            </w:r>
            <w:r>
              <w:rPr>
                <w:rFonts w:ascii="宋体" w:hAnsi="宋体" w:cs="宋体" w:eastAsia="宋体" w:hint="default"/>
                <w:sz w:val="20"/>
                <w:szCs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宋体" w:hAnsi="宋体" w:cs="宋体" w:eastAsia="宋体" w:hint="default"/>
                <w:sz w:val="18"/>
                <w:szCs w:val="18"/>
              </w:rPr>
            </w:pPr>
            <w:r>
              <w:rPr>
                <w:rFonts w:ascii="宋体"/>
                <w:spacing w:val="-1"/>
                <w:sz w:val="18"/>
              </w:rPr>
              <w:t>212,176.28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128,885.70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4" w:right="0"/>
              <w:jc w:val="left"/>
              <w:rPr>
                <w:rFonts w:ascii="宋体" w:hAnsi="宋体" w:cs="宋体" w:eastAsia="宋体" w:hint="default"/>
                <w:sz w:val="18"/>
                <w:szCs w:val="18"/>
              </w:rPr>
            </w:pPr>
            <w:r>
              <w:rPr>
                <w:rFonts w:ascii="宋体"/>
                <w:sz w:val="18"/>
              </w:rPr>
              <w:t>39.26%</w:t>
            </w:r>
          </w:p>
        </w:tc>
        <w:tc>
          <w:tcPr>
            <w:tcW w:w="1241" w:type="dxa"/>
            <w:tcBorders>
              <w:top w:val="single" w:sz="14" w:space="0" w:color="C0C0C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8"/>
                <w:szCs w:val="18"/>
              </w:rPr>
            </w:pPr>
            <w:r>
              <w:rPr>
                <w:rFonts w:ascii="宋体"/>
                <w:sz w:val="18"/>
              </w:rPr>
              <w:t>13.51%</w:t>
            </w:r>
          </w:p>
        </w:tc>
        <w:tc>
          <w:tcPr>
            <w:tcW w:w="1243" w:type="dxa"/>
            <w:tcBorders>
              <w:top w:val="single" w:sz="14" w:space="0" w:color="C0C0C0"/>
              <w:left w:val="single" w:sz="4" w:space="0" w:color="000000"/>
              <w:bottom w:val="single" w:sz="4" w:space="0" w:color="000000"/>
              <w:right w:val="single" w:sz="4" w:space="0" w:color="000000"/>
            </w:tcBorders>
          </w:tcPr>
          <w:p>
            <w:pPr>
              <w:pStyle w:val="TableParagraph"/>
              <w:spacing w:line="240" w:lineRule="auto" w:before="26"/>
              <w:ind w:right="342"/>
              <w:jc w:val="right"/>
              <w:rPr>
                <w:rFonts w:ascii="宋体" w:hAnsi="宋体" w:cs="宋体" w:eastAsia="宋体" w:hint="default"/>
                <w:sz w:val="18"/>
                <w:szCs w:val="18"/>
              </w:rPr>
            </w:pPr>
            <w:r>
              <w:rPr>
                <w:rFonts w:ascii="宋体"/>
                <w:spacing w:val="-1"/>
                <w:sz w:val="18"/>
              </w:rPr>
              <w:t>13.21%</w:t>
            </w:r>
          </w:p>
        </w:tc>
        <w:tc>
          <w:tcPr>
            <w:tcW w:w="1073" w:type="dxa"/>
            <w:tcBorders>
              <w:top w:val="single" w:sz="14" w:space="0" w:color="C0C0C0"/>
              <w:left w:val="single" w:sz="4" w:space="0" w:color="000000"/>
              <w:bottom w:val="single" w:sz="4" w:space="0" w:color="000000"/>
              <w:right w:val="single" w:sz="4" w:space="0" w:color="000000"/>
            </w:tcBorders>
          </w:tcPr>
          <w:p>
            <w:pPr>
              <w:pStyle w:val="TableParagraph"/>
              <w:spacing w:line="240" w:lineRule="auto" w:before="26"/>
              <w:ind w:left="305" w:right="0"/>
              <w:jc w:val="left"/>
              <w:rPr>
                <w:rFonts w:ascii="宋体" w:hAnsi="宋体" w:cs="宋体" w:eastAsia="宋体" w:hint="default"/>
                <w:sz w:val="18"/>
                <w:szCs w:val="18"/>
              </w:rPr>
            </w:pPr>
            <w:r>
              <w:rPr>
                <w:rFonts w:ascii="宋体"/>
                <w:sz w:val="18"/>
              </w:rPr>
              <w:t>0.16%</w:t>
            </w:r>
          </w:p>
        </w:tc>
      </w:tr>
      <w:tr>
        <w:trPr>
          <w:trHeight w:val="386" w:hRule="exact"/>
        </w:trPr>
        <w:tc>
          <w:tcPr>
            <w:tcW w:w="15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b/>
                <w:bCs/>
                <w:sz w:val="20"/>
                <w:szCs w:val="20"/>
              </w:rPr>
              <w:t>镭射包装材料</w:t>
            </w:r>
            <w:r>
              <w:rPr>
                <w:rFonts w:ascii="宋体" w:hAnsi="宋体" w:cs="宋体" w:eastAsia="宋体" w:hint="default"/>
                <w:sz w:val="20"/>
                <w:szCs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23,439.98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19,371.96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4" w:right="0"/>
              <w:jc w:val="left"/>
              <w:rPr>
                <w:rFonts w:ascii="宋体" w:hAnsi="宋体" w:cs="宋体" w:eastAsia="宋体" w:hint="default"/>
                <w:sz w:val="18"/>
                <w:szCs w:val="18"/>
              </w:rPr>
            </w:pPr>
            <w:r>
              <w:rPr>
                <w:rFonts w:ascii="宋体"/>
                <w:sz w:val="18"/>
              </w:rPr>
              <w:t>17.36%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0.85%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42"/>
              <w:jc w:val="right"/>
              <w:rPr>
                <w:rFonts w:ascii="宋体" w:hAnsi="宋体" w:cs="宋体" w:eastAsia="宋体" w:hint="default"/>
                <w:sz w:val="18"/>
                <w:szCs w:val="18"/>
              </w:rPr>
            </w:pPr>
            <w:r>
              <w:rPr>
                <w:rFonts w:ascii="宋体"/>
                <w:spacing w:val="-1"/>
                <w:sz w:val="18"/>
              </w:rPr>
              <w:t>-2.16%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5" w:right="0"/>
              <w:jc w:val="left"/>
              <w:rPr>
                <w:rFonts w:ascii="宋体" w:hAnsi="宋体" w:cs="宋体" w:eastAsia="宋体" w:hint="default"/>
                <w:sz w:val="18"/>
                <w:szCs w:val="18"/>
              </w:rPr>
            </w:pPr>
            <w:r>
              <w:rPr>
                <w:rFonts w:ascii="宋体"/>
                <w:sz w:val="18"/>
              </w:rPr>
              <w:t>2.54%</w:t>
            </w:r>
          </w:p>
        </w:tc>
      </w:tr>
      <w:tr>
        <w:trPr>
          <w:trHeight w:val="384" w:hRule="exact"/>
        </w:trPr>
        <w:tc>
          <w:tcPr>
            <w:tcW w:w="15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b/>
                <w:bCs/>
                <w:sz w:val="20"/>
                <w:szCs w:val="20"/>
              </w:rPr>
              <w:t>物业管理</w:t>
            </w:r>
            <w:r>
              <w:rPr>
                <w:rFonts w:ascii="宋体" w:hAnsi="宋体" w:cs="宋体" w:eastAsia="宋体" w:hint="default"/>
                <w:sz w:val="20"/>
                <w:szCs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z w:val="18"/>
              </w:rPr>
              <w:t>53.93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7"/>
              <w:jc w:val="right"/>
              <w:rPr>
                <w:rFonts w:ascii="宋体" w:hAnsi="宋体" w:cs="宋体" w:eastAsia="宋体" w:hint="default"/>
                <w:sz w:val="18"/>
                <w:szCs w:val="18"/>
              </w:rPr>
            </w:pPr>
            <w:r>
              <w:rPr>
                <w:rFonts w:ascii="宋体"/>
                <w:sz w:val="18"/>
              </w:rPr>
              <w:t>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99" w:right="0"/>
              <w:jc w:val="left"/>
              <w:rPr>
                <w:rFonts w:ascii="宋体" w:hAnsi="宋体" w:cs="宋体" w:eastAsia="宋体" w:hint="default"/>
                <w:sz w:val="18"/>
                <w:szCs w:val="18"/>
              </w:rPr>
            </w:pPr>
            <w:r>
              <w:rPr>
                <w:rFonts w:ascii="宋体"/>
                <w:sz w:val="18"/>
              </w:rPr>
              <w:t>100.00%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18"/>
                <w:szCs w:val="18"/>
              </w:rPr>
            </w:pPr>
            <w:r>
              <w:rPr>
                <w:rFonts w:ascii="宋体"/>
                <w:sz w:val="18"/>
              </w:rPr>
              <w:t>-18.29%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42"/>
              <w:jc w:val="right"/>
              <w:rPr>
                <w:rFonts w:ascii="宋体" w:hAnsi="宋体" w:cs="宋体" w:eastAsia="宋体" w:hint="default"/>
                <w:sz w:val="18"/>
                <w:szCs w:val="18"/>
              </w:rPr>
            </w:pPr>
            <w:r>
              <w:rPr>
                <w:rFonts w:ascii="宋体"/>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5" w:right="0"/>
              <w:jc w:val="left"/>
              <w:rPr>
                <w:rFonts w:ascii="宋体" w:hAnsi="宋体" w:cs="宋体" w:eastAsia="宋体" w:hint="default"/>
                <w:sz w:val="18"/>
                <w:szCs w:val="18"/>
              </w:rPr>
            </w:pPr>
            <w:r>
              <w:rPr>
                <w:rFonts w:ascii="宋体"/>
                <w:sz w:val="18"/>
              </w:rPr>
              <w:t>0.00%</w:t>
            </w:r>
          </w:p>
        </w:tc>
      </w:tr>
      <w:tr>
        <w:trPr>
          <w:trHeight w:val="386" w:hRule="exact"/>
        </w:trPr>
        <w:tc>
          <w:tcPr>
            <w:tcW w:w="15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b/>
                <w:bCs/>
                <w:sz w:val="20"/>
                <w:szCs w:val="20"/>
              </w:rPr>
              <w:t>行业之间抵销</w:t>
            </w:r>
            <w:r>
              <w:rPr>
                <w:rFonts w:ascii="宋体" w:hAnsi="宋体" w:cs="宋体" w:eastAsia="宋体" w:hint="default"/>
                <w:sz w:val="20"/>
                <w:szCs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7,637.71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7,658.43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4" w:right="0"/>
              <w:jc w:val="left"/>
              <w:rPr>
                <w:rFonts w:ascii="宋体" w:hAnsi="宋体" w:cs="宋体" w:eastAsia="宋体" w:hint="default"/>
                <w:sz w:val="18"/>
                <w:szCs w:val="18"/>
              </w:rPr>
            </w:pPr>
            <w:r>
              <w:rPr>
                <w:rFonts w:ascii="宋体"/>
                <w:sz w:val="18"/>
              </w:rPr>
              <w:t>-0.27%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18"/>
                <w:szCs w:val="18"/>
              </w:rPr>
            </w:pPr>
            <w:r>
              <w:rPr>
                <w:rFonts w:ascii="宋体"/>
                <w:sz w:val="18"/>
              </w:rPr>
              <w:t>-19.27%</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97"/>
              <w:jc w:val="right"/>
              <w:rPr>
                <w:rFonts w:ascii="宋体" w:hAnsi="宋体" w:cs="宋体" w:eastAsia="宋体" w:hint="default"/>
                <w:sz w:val="18"/>
                <w:szCs w:val="18"/>
              </w:rPr>
            </w:pPr>
            <w:r>
              <w:rPr>
                <w:rFonts w:ascii="宋体"/>
                <w:sz w:val="18"/>
              </w:rPr>
              <w:t>-23.25%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5" w:right="0"/>
              <w:jc w:val="left"/>
              <w:rPr>
                <w:rFonts w:ascii="宋体" w:hAnsi="宋体" w:cs="宋体" w:eastAsia="宋体" w:hint="default"/>
                <w:sz w:val="18"/>
                <w:szCs w:val="18"/>
              </w:rPr>
            </w:pPr>
            <w:r>
              <w:rPr>
                <w:rFonts w:ascii="宋体"/>
                <w:sz w:val="18"/>
              </w:rPr>
              <w:t>5.20%</w:t>
            </w:r>
          </w:p>
        </w:tc>
      </w:tr>
      <w:tr>
        <w:trPr>
          <w:trHeight w:val="385" w:hRule="exact"/>
        </w:trPr>
        <w:tc>
          <w:tcPr>
            <w:tcW w:w="15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4"/>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宋体" w:hAnsi="宋体" w:cs="宋体" w:eastAsia="宋体" w:hint="default"/>
                <w:sz w:val="18"/>
                <w:szCs w:val="18"/>
              </w:rPr>
            </w:pPr>
            <w:r>
              <w:rPr>
                <w:rFonts w:ascii="宋体"/>
                <w:spacing w:val="-1"/>
                <w:sz w:val="18"/>
              </w:rPr>
              <w:t>228,032.48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宋体" w:hAnsi="宋体" w:cs="宋体" w:eastAsia="宋体" w:hint="default"/>
                <w:sz w:val="18"/>
                <w:szCs w:val="18"/>
              </w:rPr>
            </w:pPr>
            <w:r>
              <w:rPr>
                <w:rFonts w:ascii="宋体"/>
                <w:spacing w:val="-1"/>
                <w:sz w:val="18"/>
              </w:rPr>
              <w:t>140,599.23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4" w:right="0"/>
              <w:jc w:val="left"/>
              <w:rPr>
                <w:rFonts w:ascii="宋体" w:hAnsi="宋体" w:cs="宋体" w:eastAsia="宋体" w:hint="default"/>
                <w:sz w:val="18"/>
                <w:szCs w:val="18"/>
              </w:rPr>
            </w:pPr>
            <w:r>
              <w:rPr>
                <w:rFonts w:ascii="宋体"/>
                <w:sz w:val="18"/>
              </w:rPr>
              <w:t>38.34%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18"/>
                <w:szCs w:val="18"/>
              </w:rPr>
            </w:pPr>
            <w:r>
              <w:rPr>
                <w:rFonts w:ascii="宋体"/>
                <w:sz w:val="18"/>
              </w:rPr>
              <w:t>13.58%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42"/>
              <w:jc w:val="right"/>
              <w:rPr>
                <w:rFonts w:ascii="宋体" w:hAnsi="宋体" w:cs="宋体" w:eastAsia="宋体" w:hint="default"/>
                <w:sz w:val="18"/>
                <w:szCs w:val="18"/>
              </w:rPr>
            </w:pPr>
            <w:r>
              <w:rPr>
                <w:rFonts w:ascii="宋体"/>
                <w:spacing w:val="-1"/>
                <w:sz w:val="18"/>
              </w:rPr>
              <w:t>13.69%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62" w:right="0"/>
              <w:jc w:val="left"/>
              <w:rPr>
                <w:rFonts w:ascii="宋体" w:hAnsi="宋体" w:cs="宋体" w:eastAsia="宋体" w:hint="default"/>
                <w:sz w:val="18"/>
                <w:szCs w:val="18"/>
              </w:rPr>
            </w:pPr>
            <w:r>
              <w:rPr>
                <w:rFonts w:ascii="宋体"/>
                <w:sz w:val="18"/>
              </w:rPr>
              <w:t>-0.06%</w:t>
            </w:r>
          </w:p>
        </w:tc>
      </w:tr>
    </w:tbl>
    <w:p>
      <w:pPr>
        <w:spacing w:line="240" w:lineRule="auto" w:before="6"/>
        <w:rPr>
          <w:rFonts w:ascii="宋体" w:hAnsi="宋体" w:cs="宋体" w:eastAsia="宋体" w:hint="default"/>
          <w:sz w:val="22"/>
          <w:szCs w:val="22"/>
        </w:rPr>
      </w:pPr>
    </w:p>
    <w:p>
      <w:pPr>
        <w:pStyle w:val="BodyText"/>
        <w:spacing w:line="240" w:lineRule="auto" w:before="26"/>
        <w:ind w:left="493" w:right="1119"/>
        <w:jc w:val="left"/>
      </w:pPr>
      <w:r>
        <w:rPr>
          <w:rFonts w:ascii="宋体" w:hAnsi="宋体" w:cs="宋体" w:eastAsia="宋体" w:hint="default"/>
        </w:rPr>
        <w:t>(2)</w:t>
      </w:r>
      <w:r>
        <w:rPr>
          <w:rFonts w:ascii="宋体" w:hAnsi="宋体" w:cs="宋体" w:eastAsia="宋体" w:hint="default"/>
          <w:spacing w:val="-60"/>
        </w:rPr>
        <w:t> </w:t>
      </w:r>
      <w:r>
        <w:rPr/>
        <w:t>分产品经营情况</w:t>
      </w:r>
    </w:p>
    <w:p>
      <w:pPr>
        <w:spacing w:line="240" w:lineRule="auto" w:before="5"/>
        <w:rPr>
          <w:rFonts w:ascii="宋体" w:hAnsi="宋体" w:cs="宋体" w:eastAsia="宋体" w:hint="default"/>
          <w:sz w:val="28"/>
          <w:szCs w:val="28"/>
        </w:rPr>
      </w:pPr>
    </w:p>
    <w:p>
      <w:pPr>
        <w:spacing w:before="36"/>
        <w:ind w:left="6062" w:right="1119" w:firstLine="0"/>
        <w:jc w:val="left"/>
        <w:rPr>
          <w:rFonts w:ascii="宋体" w:hAnsi="宋体" w:cs="宋体" w:eastAsia="宋体" w:hint="default"/>
          <w:sz w:val="21"/>
          <w:szCs w:val="21"/>
        </w:rPr>
      </w:pP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spacing w:val="-1"/>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万元</w:t>
      </w:r>
      <w:r>
        <w:rPr>
          <w:rFonts w:ascii="宋体" w:hAnsi="宋体" w:cs="宋体" w:eastAsia="宋体" w:hint="default"/>
          <w:w w:val="100"/>
          <w:sz w:val="21"/>
          <w:szCs w:val="21"/>
        </w:rPr>
      </w:r>
    </w:p>
    <w:p>
      <w:pPr>
        <w:spacing w:line="240" w:lineRule="auto" w:before="5"/>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433"/>
        <w:gridCol w:w="1133"/>
        <w:gridCol w:w="1136"/>
        <w:gridCol w:w="982"/>
        <w:gridCol w:w="1196"/>
        <w:gridCol w:w="1217"/>
        <w:gridCol w:w="1220"/>
      </w:tblGrid>
      <w:tr>
        <w:trPr>
          <w:trHeight w:val="870" w:hRule="exact"/>
        </w:trPr>
        <w:tc>
          <w:tcPr>
            <w:tcW w:w="14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产品类别</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98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7" w:lineRule="auto" w:before="50"/>
              <w:ind w:left="141" w:right="140" w:hanging="3"/>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b/>
                <w:bCs/>
                <w:w w:val="99"/>
                <w:sz w:val="18"/>
                <w:szCs w:val="18"/>
              </w:rPr>
              <w:t> </w:t>
            </w:r>
            <w:r>
              <w:rPr>
                <w:rFonts w:ascii="宋体" w:hAnsi="宋体" w:cs="宋体" w:eastAsia="宋体" w:hint="default"/>
                <w:b/>
                <w:bCs/>
                <w:sz w:val="18"/>
                <w:szCs w:val="18"/>
              </w:rPr>
              <w:t>比上年同期</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7" w:lineRule="auto" w:before="50"/>
              <w:ind w:left="153" w:right="149" w:firstLine="2"/>
              <w:jc w:val="center"/>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b/>
                <w:bCs/>
                <w:sz w:val="18"/>
                <w:szCs w:val="18"/>
              </w:rPr>
              <w:t>比上年同期</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c>
          <w:tcPr>
            <w:tcW w:w="12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8" w:lineRule="auto" w:before="9"/>
              <w:ind w:left="244" w:right="241"/>
              <w:jc w:val="center"/>
              <w:rPr>
                <w:rFonts w:ascii="宋体" w:hAnsi="宋体" w:cs="宋体" w:eastAsia="宋体" w:hint="default"/>
                <w:sz w:val="18"/>
                <w:szCs w:val="18"/>
              </w:rPr>
            </w:pPr>
            <w:r>
              <w:rPr>
                <w:rFonts w:ascii="宋体" w:hAnsi="宋体" w:cs="宋体" w:eastAsia="宋体" w:hint="default"/>
                <w:b/>
                <w:bCs/>
                <w:sz w:val="18"/>
                <w:szCs w:val="18"/>
              </w:rPr>
              <w:t>毛利率比</w:t>
            </w:r>
            <w:r>
              <w:rPr>
                <w:rFonts w:ascii="宋体" w:hAnsi="宋体" w:cs="宋体" w:eastAsia="宋体" w:hint="default"/>
                <w:b/>
                <w:bCs/>
                <w:w w:val="99"/>
                <w:sz w:val="18"/>
                <w:szCs w:val="18"/>
              </w:rPr>
              <w:t> </w:t>
            </w:r>
            <w:r>
              <w:rPr>
                <w:rFonts w:ascii="宋体" w:hAnsi="宋体" w:cs="宋体" w:eastAsia="宋体" w:hint="default"/>
                <w:b/>
                <w:bCs/>
                <w:sz w:val="18"/>
                <w:szCs w:val="18"/>
              </w:rPr>
              <w:t>上年同期</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r>
      <w:tr>
        <w:trPr>
          <w:trHeight w:val="398" w:hRule="exact"/>
        </w:trPr>
        <w:tc>
          <w:tcPr>
            <w:tcW w:w="14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b/>
                <w:bCs/>
                <w:sz w:val="18"/>
                <w:szCs w:val="18"/>
              </w:rPr>
              <w:t>烟标</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204,498.62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121,491.01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6" w:right="0"/>
              <w:jc w:val="left"/>
              <w:rPr>
                <w:rFonts w:ascii="宋体" w:hAnsi="宋体" w:cs="宋体" w:eastAsia="宋体" w:hint="default"/>
                <w:sz w:val="18"/>
                <w:szCs w:val="18"/>
              </w:rPr>
            </w:pPr>
            <w:r>
              <w:rPr>
                <w:rFonts w:ascii="宋体"/>
                <w:sz w:val="18"/>
              </w:rPr>
              <w:t>40.59%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1"/>
              <w:jc w:val="right"/>
              <w:rPr>
                <w:rFonts w:ascii="宋体" w:hAnsi="宋体" w:cs="宋体" w:eastAsia="宋体" w:hint="default"/>
                <w:sz w:val="18"/>
                <w:szCs w:val="18"/>
              </w:rPr>
            </w:pPr>
            <w:r>
              <w:rPr>
                <w:rFonts w:ascii="宋体"/>
                <w:spacing w:val="-1"/>
                <w:sz w:val="18"/>
              </w:rPr>
              <w:t>12.78%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center"/>
              <w:rPr>
                <w:rFonts w:ascii="宋体" w:hAnsi="宋体" w:cs="宋体" w:eastAsia="宋体" w:hint="default"/>
                <w:sz w:val="18"/>
                <w:szCs w:val="18"/>
              </w:rPr>
            </w:pPr>
            <w:r>
              <w:rPr>
                <w:rFonts w:ascii="宋体"/>
                <w:sz w:val="18"/>
              </w:rPr>
              <w:t>11.87%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9" w:right="0"/>
              <w:jc w:val="left"/>
              <w:rPr>
                <w:rFonts w:ascii="宋体" w:hAnsi="宋体" w:cs="宋体" w:eastAsia="宋体" w:hint="default"/>
                <w:sz w:val="18"/>
                <w:szCs w:val="18"/>
              </w:rPr>
            </w:pPr>
            <w:r>
              <w:rPr>
                <w:rFonts w:ascii="宋体"/>
                <w:sz w:val="18"/>
              </w:rPr>
              <w:t>0.48%</w:t>
            </w:r>
          </w:p>
        </w:tc>
      </w:tr>
      <w:tr>
        <w:trPr>
          <w:trHeight w:val="401" w:hRule="exact"/>
        </w:trPr>
        <w:tc>
          <w:tcPr>
            <w:tcW w:w="14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镭射包装材料</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23,439.98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19,371.96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6" w:right="0"/>
              <w:jc w:val="left"/>
              <w:rPr>
                <w:rFonts w:ascii="宋体" w:hAnsi="宋体" w:cs="宋体" w:eastAsia="宋体" w:hint="default"/>
                <w:sz w:val="18"/>
                <w:szCs w:val="18"/>
              </w:rPr>
            </w:pPr>
            <w:r>
              <w:rPr>
                <w:rFonts w:ascii="宋体"/>
                <w:sz w:val="18"/>
              </w:rPr>
              <w:t>17.36%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64"/>
              <w:jc w:val="right"/>
              <w:rPr>
                <w:rFonts w:ascii="宋体" w:hAnsi="宋体" w:cs="宋体" w:eastAsia="宋体" w:hint="default"/>
                <w:sz w:val="18"/>
                <w:szCs w:val="18"/>
              </w:rPr>
            </w:pPr>
            <w:r>
              <w:rPr>
                <w:rFonts w:ascii="宋体"/>
                <w:sz w:val="18"/>
              </w:rPr>
              <w:t>0.85%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center"/>
              <w:rPr>
                <w:rFonts w:ascii="宋体" w:hAnsi="宋体" w:cs="宋体" w:eastAsia="宋体" w:hint="default"/>
                <w:sz w:val="18"/>
                <w:szCs w:val="18"/>
              </w:rPr>
            </w:pPr>
            <w:r>
              <w:rPr>
                <w:rFonts w:ascii="宋体"/>
                <w:sz w:val="18"/>
              </w:rPr>
              <w:t>-2.16%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9" w:right="0"/>
              <w:jc w:val="left"/>
              <w:rPr>
                <w:rFonts w:ascii="宋体" w:hAnsi="宋体" w:cs="宋体" w:eastAsia="宋体" w:hint="default"/>
                <w:sz w:val="18"/>
                <w:szCs w:val="18"/>
              </w:rPr>
            </w:pPr>
            <w:r>
              <w:rPr>
                <w:rFonts w:ascii="宋体"/>
                <w:sz w:val="18"/>
              </w:rPr>
              <w:t>2.54%</w:t>
            </w:r>
          </w:p>
        </w:tc>
      </w:tr>
      <w:tr>
        <w:trPr>
          <w:trHeight w:val="399" w:hRule="exact"/>
        </w:trPr>
        <w:tc>
          <w:tcPr>
            <w:tcW w:w="14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其他产品</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7,758.79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18"/>
                <w:szCs w:val="18"/>
              </w:rPr>
            </w:pPr>
            <w:r>
              <w:rPr>
                <w:rFonts w:ascii="宋体"/>
                <w:spacing w:val="-1"/>
                <w:sz w:val="18"/>
              </w:rPr>
              <w:t>7,394.69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59" w:right="0"/>
              <w:jc w:val="left"/>
              <w:rPr>
                <w:rFonts w:ascii="宋体" w:hAnsi="宋体" w:cs="宋体" w:eastAsia="宋体" w:hint="default"/>
                <w:sz w:val="18"/>
                <w:szCs w:val="18"/>
              </w:rPr>
            </w:pPr>
            <w:r>
              <w:rPr>
                <w:rFonts w:ascii="宋体"/>
                <w:sz w:val="18"/>
              </w:rPr>
              <w:t>4.69%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21"/>
              <w:jc w:val="right"/>
              <w:rPr>
                <w:rFonts w:ascii="宋体" w:hAnsi="宋体" w:cs="宋体" w:eastAsia="宋体" w:hint="default"/>
                <w:sz w:val="18"/>
                <w:szCs w:val="18"/>
              </w:rPr>
            </w:pPr>
            <w:r>
              <w:rPr>
                <w:rFonts w:ascii="宋体"/>
                <w:spacing w:val="-1"/>
                <w:sz w:val="18"/>
              </w:rPr>
              <w:t>36.20%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sz w:val="18"/>
              </w:rPr>
              <w:t>41.07%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36" w:right="0"/>
              <w:jc w:val="left"/>
              <w:rPr>
                <w:rFonts w:ascii="宋体" w:hAnsi="宋体" w:cs="宋体" w:eastAsia="宋体" w:hint="default"/>
                <w:sz w:val="18"/>
                <w:szCs w:val="18"/>
              </w:rPr>
            </w:pPr>
            <w:r>
              <w:rPr>
                <w:rFonts w:ascii="宋体"/>
                <w:sz w:val="18"/>
              </w:rPr>
              <w:t>-3.29%</w:t>
            </w:r>
          </w:p>
        </w:tc>
      </w:tr>
      <w:tr>
        <w:trPr>
          <w:trHeight w:val="398" w:hRule="exact"/>
        </w:trPr>
        <w:tc>
          <w:tcPr>
            <w:tcW w:w="14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产品之间抵销</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7,664.91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7,658.43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59" w:right="0"/>
              <w:jc w:val="left"/>
              <w:rPr>
                <w:rFonts w:ascii="宋体" w:hAnsi="宋体" w:cs="宋体" w:eastAsia="宋体" w:hint="default"/>
                <w:sz w:val="18"/>
                <w:szCs w:val="18"/>
              </w:rPr>
            </w:pPr>
            <w:r>
              <w:rPr>
                <w:rFonts w:ascii="宋体"/>
                <w:sz w:val="18"/>
              </w:rPr>
              <w:t>0.08%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76"/>
              <w:jc w:val="right"/>
              <w:rPr>
                <w:rFonts w:ascii="宋体" w:hAnsi="宋体" w:cs="宋体" w:eastAsia="宋体" w:hint="default"/>
                <w:sz w:val="18"/>
                <w:szCs w:val="18"/>
              </w:rPr>
            </w:pPr>
            <w:r>
              <w:rPr>
                <w:rFonts w:ascii="宋体"/>
                <w:sz w:val="18"/>
              </w:rPr>
              <w:t>-19.27%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center"/>
              <w:rPr>
                <w:rFonts w:ascii="宋体" w:hAnsi="宋体" w:cs="宋体" w:eastAsia="宋体" w:hint="default"/>
                <w:sz w:val="18"/>
                <w:szCs w:val="18"/>
              </w:rPr>
            </w:pPr>
            <w:r>
              <w:rPr>
                <w:rFonts w:ascii="宋体"/>
                <w:sz w:val="18"/>
              </w:rPr>
              <w:t>-23.25%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9" w:right="0"/>
              <w:jc w:val="left"/>
              <w:rPr>
                <w:rFonts w:ascii="宋体" w:hAnsi="宋体" w:cs="宋体" w:eastAsia="宋体" w:hint="default"/>
                <w:sz w:val="18"/>
                <w:szCs w:val="18"/>
              </w:rPr>
            </w:pPr>
            <w:r>
              <w:rPr>
                <w:rFonts w:ascii="宋体"/>
                <w:sz w:val="18"/>
              </w:rPr>
              <w:t>5.17%</w:t>
            </w:r>
          </w:p>
        </w:tc>
      </w:tr>
      <w:tr>
        <w:trPr>
          <w:trHeight w:val="398" w:hRule="exact"/>
        </w:trPr>
        <w:tc>
          <w:tcPr>
            <w:tcW w:w="14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228,032.48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140,599.23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6" w:right="0"/>
              <w:jc w:val="left"/>
              <w:rPr>
                <w:rFonts w:ascii="宋体" w:hAnsi="宋体" w:cs="宋体" w:eastAsia="宋体" w:hint="default"/>
                <w:sz w:val="18"/>
                <w:szCs w:val="18"/>
              </w:rPr>
            </w:pPr>
            <w:r>
              <w:rPr>
                <w:rFonts w:ascii="宋体"/>
                <w:sz w:val="18"/>
              </w:rPr>
              <w:t>38.34%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21"/>
              <w:jc w:val="right"/>
              <w:rPr>
                <w:rFonts w:ascii="宋体" w:hAnsi="宋体" w:cs="宋体" w:eastAsia="宋体" w:hint="default"/>
                <w:sz w:val="18"/>
                <w:szCs w:val="18"/>
              </w:rPr>
            </w:pPr>
            <w:r>
              <w:rPr>
                <w:rFonts w:ascii="宋体"/>
                <w:spacing w:val="-1"/>
                <w:sz w:val="18"/>
              </w:rPr>
              <w:t>13.58%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center"/>
              <w:rPr>
                <w:rFonts w:ascii="宋体" w:hAnsi="宋体" w:cs="宋体" w:eastAsia="宋体" w:hint="default"/>
                <w:sz w:val="18"/>
                <w:szCs w:val="18"/>
              </w:rPr>
            </w:pPr>
            <w:r>
              <w:rPr>
                <w:rFonts w:ascii="宋体"/>
                <w:sz w:val="18"/>
              </w:rPr>
              <w:t>13.69%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36" w:right="0"/>
              <w:jc w:val="left"/>
              <w:rPr>
                <w:rFonts w:ascii="宋体" w:hAnsi="宋体" w:cs="宋体" w:eastAsia="宋体" w:hint="default"/>
                <w:sz w:val="18"/>
                <w:szCs w:val="18"/>
              </w:rPr>
            </w:pPr>
            <w:r>
              <w:rPr>
                <w:rFonts w:ascii="宋体"/>
                <w:sz w:val="18"/>
              </w:rPr>
              <w:t>-0.06%</w:t>
            </w:r>
          </w:p>
        </w:tc>
      </w:tr>
    </w:tbl>
    <w:p>
      <w:pPr>
        <w:spacing w:line="240" w:lineRule="auto" w:before="12"/>
        <w:rPr>
          <w:rFonts w:ascii="宋体" w:hAnsi="宋体" w:cs="宋体" w:eastAsia="宋体" w:hint="default"/>
          <w:sz w:val="10"/>
          <w:szCs w:val="10"/>
        </w:rPr>
      </w:pPr>
    </w:p>
    <w:p>
      <w:pPr>
        <w:pStyle w:val="BodyText"/>
        <w:spacing w:line="398" w:lineRule="auto" w:before="26"/>
        <w:ind w:left="132" w:right="1114" w:firstLine="480"/>
        <w:jc w:val="left"/>
      </w:pPr>
      <w:r>
        <w:rPr/>
        <w:t>报告期公司其他产品销售收入比去年同期增加</w:t>
      </w:r>
      <w:r>
        <w:rPr>
          <w:spacing w:val="-80"/>
        </w:rPr>
        <w:t> </w:t>
      </w:r>
      <w:r>
        <w:rPr>
          <w:rFonts w:ascii="宋体" w:hAnsi="宋体" w:cs="宋体" w:eastAsia="宋体" w:hint="default"/>
        </w:rPr>
        <w:t>36.20%</w:t>
      </w:r>
      <w:r>
        <w:rPr/>
        <w:t>，主要系报告期公司增加其他非烟 标包装印刷产品销售所致。</w:t>
      </w:r>
    </w:p>
    <w:p>
      <w:pPr>
        <w:pStyle w:val="BodyText"/>
        <w:spacing w:line="240" w:lineRule="auto" w:before="199"/>
        <w:ind w:left="493" w:right="1119"/>
        <w:jc w:val="left"/>
      </w:pPr>
      <w:r>
        <w:rPr>
          <w:rFonts w:ascii="宋体" w:hAnsi="宋体" w:cs="宋体" w:eastAsia="宋体" w:hint="default"/>
        </w:rPr>
        <w:t>(3)</w:t>
      </w:r>
      <w:r>
        <w:rPr>
          <w:rFonts w:ascii="宋体" w:hAnsi="宋体" w:cs="宋体" w:eastAsia="宋体" w:hint="default"/>
          <w:spacing w:val="-60"/>
        </w:rPr>
        <w:t> </w:t>
      </w:r>
      <w:r>
        <w:rPr/>
        <w:t>分地区经营情况</w:t>
      </w:r>
    </w:p>
    <w:p>
      <w:pPr>
        <w:spacing w:line="240" w:lineRule="auto" w:before="12"/>
        <w:rPr>
          <w:rFonts w:ascii="宋体" w:hAnsi="宋体" w:cs="宋体" w:eastAsia="宋体" w:hint="default"/>
          <w:sz w:val="30"/>
          <w:szCs w:val="30"/>
        </w:rPr>
      </w:pPr>
    </w:p>
    <w:p>
      <w:pPr>
        <w:spacing w:before="0"/>
        <w:ind w:left="6359" w:right="1119" w:firstLine="0"/>
        <w:jc w:val="lef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民币</w:t>
      </w:r>
      <w:r>
        <w:rPr>
          <w:rFonts w:ascii="宋体" w:hAnsi="宋体" w:cs="宋体" w:eastAsia="宋体" w:hint="default"/>
          <w:spacing w:val="-3"/>
          <w:w w:val="100"/>
          <w:sz w:val="21"/>
          <w:szCs w:val="21"/>
        </w:rPr>
        <w:t>）</w:t>
      </w:r>
      <w:r>
        <w:rPr>
          <w:rFonts w:ascii="宋体" w:hAnsi="宋体" w:cs="宋体" w:eastAsia="宋体" w:hint="default"/>
          <w:w w:val="100"/>
          <w:sz w:val="21"/>
          <w:szCs w:val="21"/>
        </w:rPr>
        <w:t>万元</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625"/>
        <w:gridCol w:w="1745"/>
        <w:gridCol w:w="1800"/>
        <w:gridCol w:w="1181"/>
        <w:gridCol w:w="1935"/>
      </w:tblGrid>
      <w:tr>
        <w:trPr>
          <w:trHeight w:val="610" w:hRule="exact"/>
        </w:trPr>
        <w:tc>
          <w:tcPr>
            <w:tcW w:w="16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6"/>
              <w:ind w:left="2" w:right="0"/>
              <w:jc w:val="center"/>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6"/>
              <w:ind w:left="263" w:right="0"/>
              <w:jc w:val="left"/>
              <w:rPr>
                <w:rFonts w:ascii="宋体" w:hAnsi="宋体" w:cs="宋体" w:eastAsia="宋体" w:hint="default"/>
                <w:sz w:val="20"/>
                <w:szCs w:val="20"/>
              </w:rPr>
            </w:pPr>
            <w:r>
              <w:rPr>
                <w:rFonts w:ascii="宋体" w:hAnsi="宋体" w:cs="宋体" w:eastAsia="宋体" w:hint="default"/>
                <w:b/>
                <w:bCs/>
                <w:sz w:val="20"/>
                <w:szCs w:val="20"/>
              </w:rPr>
              <w:t>主营业务收入</w:t>
            </w:r>
            <w:r>
              <w:rPr>
                <w:rFonts w:ascii="宋体" w:hAnsi="宋体" w:cs="宋体" w:eastAsia="宋体" w:hint="default"/>
                <w:sz w:val="20"/>
                <w:szCs w:val="20"/>
              </w:rPr>
            </w:r>
          </w:p>
        </w:tc>
        <w:tc>
          <w:tcPr>
            <w:tcW w:w="18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6"/>
              <w:ind w:left="295" w:right="0"/>
              <w:jc w:val="left"/>
              <w:rPr>
                <w:rFonts w:ascii="宋体" w:hAnsi="宋体" w:cs="宋体" w:eastAsia="宋体" w:hint="default"/>
                <w:sz w:val="20"/>
                <w:szCs w:val="20"/>
              </w:rPr>
            </w:pPr>
            <w:r>
              <w:rPr>
                <w:rFonts w:ascii="宋体" w:hAnsi="宋体" w:cs="宋体" w:eastAsia="宋体" w:hint="default"/>
                <w:b/>
                <w:bCs/>
                <w:sz w:val="20"/>
                <w:szCs w:val="20"/>
              </w:rPr>
              <w:t>主营业务成本</w:t>
            </w:r>
            <w:r>
              <w:rPr>
                <w:rFonts w:ascii="宋体" w:hAnsi="宋体" w:cs="宋体" w:eastAsia="宋体" w:hint="default"/>
                <w:sz w:val="20"/>
                <w:szCs w:val="20"/>
              </w:rPr>
            </w:r>
          </w:p>
        </w:tc>
        <w:tc>
          <w:tcPr>
            <w:tcW w:w="11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6"/>
              <w:ind w:left="4" w:right="0"/>
              <w:jc w:val="center"/>
              <w:rPr>
                <w:rFonts w:ascii="宋体" w:hAnsi="宋体" w:cs="宋体" w:eastAsia="宋体" w:hint="default"/>
                <w:sz w:val="20"/>
                <w:szCs w:val="20"/>
              </w:rPr>
            </w:pPr>
            <w:r>
              <w:rPr>
                <w:rFonts w:ascii="宋体" w:hAnsi="宋体" w:cs="宋体" w:eastAsia="宋体" w:hint="default"/>
                <w:b/>
                <w:bCs/>
                <w:spacing w:val="2"/>
                <w:sz w:val="20"/>
                <w:szCs w:val="20"/>
              </w:rPr>
              <w:t>毛利率</w:t>
            </w:r>
            <w:r>
              <w:rPr>
                <w:rFonts w:ascii="宋体" w:hAnsi="宋体" w:cs="宋体" w:eastAsia="宋体" w:hint="default"/>
                <w:sz w:val="20"/>
                <w:szCs w:val="20"/>
              </w:rPr>
            </w:r>
          </w:p>
        </w:tc>
        <w:tc>
          <w:tcPr>
            <w:tcW w:w="193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before="32"/>
              <w:ind w:left="460" w:right="160" w:hanging="303"/>
              <w:jc w:val="left"/>
              <w:rPr>
                <w:rFonts w:ascii="宋体" w:hAnsi="宋体" w:cs="宋体" w:eastAsia="宋体" w:hint="default"/>
                <w:sz w:val="20"/>
                <w:szCs w:val="20"/>
              </w:rPr>
            </w:pPr>
            <w:r>
              <w:rPr>
                <w:rFonts w:ascii="宋体" w:hAnsi="宋体" w:cs="宋体" w:eastAsia="宋体" w:hint="default"/>
                <w:b/>
                <w:bCs/>
                <w:sz w:val="20"/>
                <w:szCs w:val="20"/>
              </w:rPr>
              <w:t>主营业务收入比上</w:t>
            </w:r>
            <w:r>
              <w:rPr>
                <w:rFonts w:ascii="宋体" w:hAnsi="宋体" w:cs="宋体" w:eastAsia="宋体" w:hint="default"/>
                <w:b/>
                <w:bCs/>
                <w:w w:val="99"/>
                <w:sz w:val="20"/>
                <w:szCs w:val="20"/>
              </w:rPr>
              <w:t> </w:t>
            </w:r>
            <w:r>
              <w:rPr>
                <w:rFonts w:ascii="宋体" w:hAnsi="宋体" w:cs="宋体" w:eastAsia="宋体" w:hint="default"/>
                <w:b/>
                <w:bCs/>
                <w:sz w:val="20"/>
                <w:szCs w:val="20"/>
              </w:rPr>
              <w:t>年同期增减</w:t>
            </w:r>
            <w:r>
              <w:rPr>
                <w:rFonts w:ascii="宋体" w:hAnsi="宋体" w:cs="宋体" w:eastAsia="宋体" w:hint="default"/>
                <w:sz w:val="20"/>
                <w:szCs w:val="20"/>
              </w:rPr>
            </w:r>
          </w:p>
        </w:tc>
      </w:tr>
      <w:tr>
        <w:trPr>
          <w:trHeight w:val="398"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0"/>
                <w:szCs w:val="20"/>
              </w:rPr>
            </w:pPr>
            <w:r>
              <w:rPr>
                <w:rFonts w:ascii="宋体" w:hAnsi="宋体" w:cs="宋体" w:eastAsia="宋体" w:hint="default"/>
                <w:b/>
                <w:bCs/>
                <w:sz w:val="20"/>
                <w:szCs w:val="20"/>
              </w:rPr>
              <w:t>华东地区</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129,450.02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pacing w:val="-1"/>
                <w:sz w:val="18"/>
              </w:rPr>
              <w:t>78,608.04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宋体" w:hAnsi="宋体" w:cs="宋体" w:eastAsia="宋体" w:hint="default"/>
                <w:sz w:val="18"/>
                <w:szCs w:val="18"/>
              </w:rPr>
            </w:pPr>
            <w:r>
              <w:rPr>
                <w:rFonts w:ascii="宋体"/>
                <w:sz w:val="18"/>
              </w:rPr>
              <w:t>39.28%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91" w:right="0"/>
              <w:jc w:val="left"/>
              <w:rPr>
                <w:rFonts w:ascii="宋体" w:hAnsi="宋体" w:cs="宋体" w:eastAsia="宋体" w:hint="default"/>
                <w:sz w:val="18"/>
                <w:szCs w:val="18"/>
              </w:rPr>
            </w:pPr>
            <w:r>
              <w:rPr>
                <w:rFonts w:ascii="宋体"/>
                <w:sz w:val="18"/>
              </w:rPr>
              <w:t>27.83%</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宋体" w:hAnsi="宋体" w:cs="宋体" w:eastAsia="宋体" w:hint="default"/>
                <w:b/>
                <w:bCs/>
                <w:sz w:val="20"/>
                <w:szCs w:val="20"/>
              </w:rPr>
              <w:t>华南地区</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19,174.64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pacing w:val="-1"/>
                <w:sz w:val="18"/>
              </w:rPr>
              <w:t>13,091.01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宋体" w:hAnsi="宋体" w:cs="宋体" w:eastAsia="宋体" w:hint="default"/>
                <w:sz w:val="18"/>
                <w:szCs w:val="18"/>
              </w:rPr>
            </w:pPr>
            <w:r>
              <w:rPr>
                <w:rFonts w:ascii="宋体"/>
                <w:sz w:val="18"/>
              </w:rPr>
              <w:t>31.73%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91" w:right="0"/>
              <w:jc w:val="left"/>
              <w:rPr>
                <w:rFonts w:ascii="宋体" w:hAnsi="宋体" w:cs="宋体" w:eastAsia="宋体" w:hint="default"/>
                <w:sz w:val="18"/>
                <w:szCs w:val="18"/>
              </w:rPr>
            </w:pPr>
            <w:r>
              <w:rPr>
                <w:rFonts w:ascii="宋体"/>
                <w:sz w:val="18"/>
              </w:rPr>
              <w:t>13.30%</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0"/>
                <w:szCs w:val="20"/>
              </w:rPr>
            </w:pPr>
            <w:r>
              <w:rPr>
                <w:rFonts w:ascii="宋体" w:hAnsi="宋体" w:cs="宋体" w:eastAsia="宋体" w:hint="default"/>
                <w:b/>
                <w:bCs/>
                <w:sz w:val="20"/>
                <w:szCs w:val="20"/>
              </w:rPr>
              <w:t>西南地区</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66,031.21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pacing w:val="-1"/>
                <w:sz w:val="18"/>
              </w:rPr>
              <w:t>40,314.83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宋体" w:hAnsi="宋体" w:cs="宋体" w:eastAsia="宋体" w:hint="default"/>
                <w:sz w:val="18"/>
                <w:szCs w:val="18"/>
              </w:rPr>
            </w:pPr>
            <w:r>
              <w:rPr>
                <w:rFonts w:ascii="宋体"/>
                <w:sz w:val="18"/>
              </w:rPr>
              <w:t>38.95%</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36" w:right="0"/>
              <w:jc w:val="left"/>
              <w:rPr>
                <w:rFonts w:ascii="宋体" w:hAnsi="宋体" w:cs="宋体" w:eastAsia="宋体" w:hint="default"/>
                <w:sz w:val="18"/>
                <w:szCs w:val="18"/>
              </w:rPr>
            </w:pPr>
            <w:r>
              <w:rPr>
                <w:rFonts w:ascii="宋体"/>
                <w:sz w:val="18"/>
              </w:rPr>
              <w:t>4.80%</w:t>
            </w:r>
          </w:p>
        </w:tc>
      </w:tr>
      <w:tr>
        <w:trPr>
          <w:trHeight w:val="398"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13,376.61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pacing w:val="-1"/>
                <w:sz w:val="18"/>
              </w:rPr>
              <w:t>8,585.34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宋体" w:hAnsi="宋体" w:cs="宋体" w:eastAsia="宋体" w:hint="default"/>
                <w:sz w:val="18"/>
                <w:szCs w:val="18"/>
              </w:rPr>
            </w:pPr>
            <w:r>
              <w:rPr>
                <w:rFonts w:ascii="宋体"/>
                <w:sz w:val="18"/>
              </w:rPr>
              <w:t>35.82%</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45" w:right="0"/>
              <w:jc w:val="left"/>
              <w:rPr>
                <w:rFonts w:ascii="宋体" w:hAnsi="宋体" w:cs="宋体" w:eastAsia="宋体" w:hint="default"/>
                <w:sz w:val="18"/>
                <w:szCs w:val="18"/>
              </w:rPr>
            </w:pPr>
            <w:r>
              <w:rPr>
                <w:rFonts w:ascii="宋体"/>
                <w:sz w:val="18"/>
              </w:rPr>
              <w:t>-31.69%</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2"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228,032.48</w:t>
            </w:r>
          </w:p>
        </w:tc>
        <w:tc>
          <w:tcPr>
            <w:tcW w:w="18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6"/>
              <w:ind w:right="98"/>
              <w:jc w:val="right"/>
              <w:rPr>
                <w:rFonts w:ascii="宋体" w:hAnsi="宋体" w:cs="宋体" w:eastAsia="宋体" w:hint="default"/>
                <w:sz w:val="18"/>
                <w:szCs w:val="18"/>
              </w:rPr>
            </w:pPr>
            <w:r>
              <w:rPr>
                <w:rFonts w:ascii="宋体"/>
                <w:spacing w:val="-1"/>
                <w:sz w:val="18"/>
              </w:rPr>
              <w:t>140,599.22</w:t>
            </w:r>
          </w:p>
        </w:tc>
        <w:tc>
          <w:tcPr>
            <w:tcW w:w="11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6"/>
              <w:ind w:left="3" w:right="0"/>
              <w:jc w:val="center"/>
              <w:rPr>
                <w:rFonts w:ascii="宋体" w:hAnsi="宋体" w:cs="宋体" w:eastAsia="宋体" w:hint="default"/>
                <w:sz w:val="18"/>
                <w:szCs w:val="18"/>
              </w:rPr>
            </w:pPr>
            <w:r>
              <w:rPr>
                <w:rFonts w:ascii="宋体"/>
                <w:sz w:val="18"/>
              </w:rPr>
              <w:t>38.34%</w:t>
            </w:r>
          </w:p>
        </w:tc>
        <w:tc>
          <w:tcPr>
            <w:tcW w:w="193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6"/>
              <w:ind w:left="691" w:right="0"/>
              <w:jc w:val="left"/>
              <w:rPr>
                <w:rFonts w:ascii="宋体" w:hAnsi="宋体" w:cs="宋体" w:eastAsia="宋体" w:hint="default"/>
                <w:sz w:val="18"/>
                <w:szCs w:val="18"/>
              </w:rPr>
            </w:pPr>
            <w:r>
              <w:rPr>
                <w:rFonts w:ascii="宋体"/>
                <w:sz w:val="18"/>
              </w:rPr>
              <w:t>13.58%</w:t>
            </w:r>
          </w:p>
        </w:tc>
      </w:tr>
    </w:tbl>
    <w:p>
      <w:pPr>
        <w:spacing w:after="0" w:line="240" w:lineRule="auto"/>
        <w:jc w:val="left"/>
        <w:rPr>
          <w:rFonts w:ascii="宋体" w:hAnsi="宋体" w:cs="宋体" w:eastAsia="宋体" w:hint="default"/>
          <w:sz w:val="18"/>
          <w:szCs w:val="18"/>
        </w:rPr>
        <w:sectPr>
          <w:pgSz w:w="11910" w:h="16840"/>
          <w:pgMar w:header="920" w:footer="936" w:top="1140" w:bottom="1140" w:left="1000" w:right="0"/>
        </w:sectPr>
      </w:pPr>
    </w:p>
    <w:p>
      <w:pPr>
        <w:pStyle w:val="BodyText"/>
        <w:spacing w:line="240" w:lineRule="auto" w:before="19"/>
        <w:ind w:left="1173" w:right="0"/>
        <w:jc w:val="left"/>
      </w:pPr>
      <w:r>
        <w:rPr>
          <w:rFonts w:ascii="宋体" w:hAnsi="宋体" w:cs="宋体" w:eastAsia="宋体" w:hint="default"/>
        </w:rPr>
        <w:t>(4)</w:t>
      </w:r>
      <w:r>
        <w:rPr>
          <w:rFonts w:ascii="宋体" w:hAnsi="宋体" w:cs="宋体" w:eastAsia="宋体" w:hint="default"/>
          <w:spacing w:val="-60"/>
        </w:rPr>
        <w:t> </w:t>
      </w:r>
      <w:r>
        <w:rPr/>
        <w:t>占营业收入或营业利润</w:t>
      </w:r>
      <w:r>
        <w:rPr>
          <w:spacing w:val="-60"/>
        </w:rPr>
        <w:t> </w:t>
      </w:r>
      <w:r>
        <w:rPr>
          <w:rFonts w:ascii="宋体" w:hAnsi="宋体" w:cs="宋体" w:eastAsia="宋体" w:hint="default"/>
        </w:rPr>
        <w:t>10%</w:t>
      </w:r>
      <w:r>
        <w:rPr/>
        <w:t>以上的主要产品经营情况</w:t>
      </w:r>
    </w:p>
    <w:p>
      <w:pPr>
        <w:spacing w:line="240" w:lineRule="auto" w:before="5"/>
        <w:rPr>
          <w:rFonts w:ascii="宋体" w:hAnsi="宋体" w:cs="宋体" w:eastAsia="宋体" w:hint="default"/>
          <w:sz w:val="28"/>
          <w:szCs w:val="28"/>
        </w:rPr>
      </w:pPr>
    </w:p>
    <w:p>
      <w:pPr>
        <w:spacing w:before="36"/>
        <w:ind w:left="7174" w:right="0" w:firstLine="0"/>
        <w:jc w:val="lef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）万元</w:t>
      </w:r>
    </w:p>
    <w:p>
      <w:pPr>
        <w:spacing w:line="240" w:lineRule="auto" w:before="7"/>
        <w:rPr>
          <w:rFonts w:ascii="宋体" w:hAnsi="宋体" w:cs="宋体" w:eastAsia="宋体" w:hint="default"/>
          <w:sz w:val="2"/>
          <w:szCs w:val="2"/>
        </w:rPr>
      </w:pPr>
    </w:p>
    <w:tbl>
      <w:tblPr>
        <w:tblW w:w="0" w:type="auto"/>
        <w:jc w:val="left"/>
        <w:tblInd w:w="793" w:type="dxa"/>
        <w:tblLayout w:type="fixed"/>
        <w:tblCellMar>
          <w:top w:w="0" w:type="dxa"/>
          <w:left w:w="0" w:type="dxa"/>
          <w:bottom w:w="0" w:type="dxa"/>
          <w:right w:w="0" w:type="dxa"/>
        </w:tblCellMar>
        <w:tblLook w:val="01E0"/>
      </w:tblPr>
      <w:tblGrid>
        <w:gridCol w:w="1524"/>
        <w:gridCol w:w="1594"/>
        <w:gridCol w:w="1594"/>
        <w:gridCol w:w="1592"/>
        <w:gridCol w:w="2021"/>
      </w:tblGrid>
      <w:tr>
        <w:trPr>
          <w:trHeight w:val="564" w:hRule="exact"/>
        </w:trPr>
        <w:tc>
          <w:tcPr>
            <w:tcW w:w="152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2"/>
              <w:ind w:left="2" w:right="0"/>
              <w:jc w:val="center"/>
              <w:rPr>
                <w:rFonts w:ascii="宋体" w:hAnsi="宋体" w:cs="宋体" w:eastAsia="宋体" w:hint="default"/>
                <w:sz w:val="20"/>
                <w:szCs w:val="20"/>
              </w:rPr>
            </w:pPr>
            <w:r>
              <w:rPr>
                <w:rFonts w:ascii="宋体" w:hAnsi="宋体" w:cs="宋体" w:eastAsia="宋体" w:hint="default"/>
                <w:b/>
                <w:bCs/>
                <w:sz w:val="20"/>
                <w:szCs w:val="20"/>
              </w:rPr>
              <w:t>产品类别</w:t>
            </w:r>
            <w:r>
              <w:rPr>
                <w:rFonts w:ascii="宋体" w:hAnsi="宋体" w:cs="宋体" w:eastAsia="宋体" w:hint="default"/>
                <w:sz w:val="20"/>
                <w:szCs w:val="20"/>
              </w:rPr>
            </w:r>
          </w:p>
        </w:tc>
        <w:tc>
          <w:tcPr>
            <w:tcW w:w="15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2"/>
              <w:ind w:left="391"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5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2"/>
              <w:ind w:left="388"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5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2"/>
              <w:ind w:left="2" w:right="0"/>
              <w:jc w:val="center"/>
              <w:rPr>
                <w:rFonts w:ascii="宋体" w:hAnsi="宋体" w:cs="宋体" w:eastAsia="宋体" w:hint="default"/>
                <w:sz w:val="20"/>
                <w:szCs w:val="20"/>
              </w:rPr>
            </w:pPr>
            <w:r>
              <w:rPr>
                <w:rFonts w:ascii="宋体" w:hAnsi="宋体" w:cs="宋体" w:eastAsia="宋体" w:hint="default"/>
                <w:b/>
                <w:bCs/>
                <w:sz w:val="20"/>
                <w:szCs w:val="20"/>
              </w:rPr>
              <w:t>毛利</w:t>
            </w:r>
            <w:r>
              <w:rPr>
                <w:rFonts w:ascii="宋体" w:hAnsi="宋体" w:cs="宋体" w:eastAsia="宋体" w:hint="default"/>
                <w:sz w:val="20"/>
                <w:szCs w:val="20"/>
              </w:rPr>
            </w:r>
          </w:p>
        </w:tc>
        <w:tc>
          <w:tcPr>
            <w:tcW w:w="20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2"/>
              <w:ind w:left="4" w:right="0"/>
              <w:jc w:val="center"/>
              <w:rPr>
                <w:rFonts w:ascii="宋体" w:hAnsi="宋体" w:cs="宋体" w:eastAsia="宋体" w:hint="default"/>
                <w:sz w:val="20"/>
                <w:szCs w:val="20"/>
              </w:rPr>
            </w:pPr>
            <w:r>
              <w:rPr>
                <w:rFonts w:ascii="宋体" w:hAnsi="宋体" w:cs="宋体" w:eastAsia="宋体" w:hint="default"/>
                <w:b/>
                <w:bCs/>
                <w:spacing w:val="2"/>
                <w:sz w:val="20"/>
                <w:szCs w:val="20"/>
              </w:rPr>
              <w:t>毛利率</w:t>
            </w:r>
            <w:r>
              <w:rPr>
                <w:rFonts w:ascii="宋体" w:hAnsi="宋体" w:cs="宋体" w:eastAsia="宋体" w:hint="default"/>
                <w:sz w:val="20"/>
                <w:szCs w:val="20"/>
              </w:rPr>
            </w:r>
          </w:p>
        </w:tc>
      </w:tr>
      <w:tr>
        <w:trPr>
          <w:trHeight w:val="56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0"/>
                <w:szCs w:val="20"/>
              </w:rPr>
            </w:pPr>
            <w:r>
              <w:rPr>
                <w:rFonts w:ascii="宋体" w:hAnsi="宋体" w:cs="宋体" w:eastAsia="宋体" w:hint="default"/>
                <w:b/>
                <w:bCs/>
                <w:sz w:val="20"/>
                <w:szCs w:val="20"/>
              </w:rPr>
              <w:t>烟标</w:t>
            </w:r>
            <w:r>
              <w:rPr>
                <w:rFonts w:ascii="宋体" w:hAnsi="宋体" w:cs="宋体" w:eastAsia="宋体" w:hint="default"/>
                <w:sz w:val="20"/>
                <w:szCs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18"/>
                <w:szCs w:val="18"/>
              </w:rPr>
            </w:pPr>
            <w:r>
              <w:rPr>
                <w:rFonts w:ascii="宋体"/>
                <w:spacing w:val="-1"/>
                <w:sz w:val="18"/>
              </w:rPr>
              <w:t>204,498.62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121,491.01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83,007.61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sz w:val="18"/>
              </w:rPr>
              <w:t>40.59%</w:t>
            </w:r>
          </w:p>
        </w:tc>
      </w:tr>
      <w:tr>
        <w:trPr>
          <w:trHeight w:val="56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0"/>
                <w:szCs w:val="20"/>
              </w:rPr>
            </w:pPr>
            <w:r>
              <w:rPr>
                <w:rFonts w:ascii="宋体" w:hAnsi="宋体" w:cs="宋体" w:eastAsia="宋体" w:hint="default"/>
                <w:b/>
                <w:bCs/>
                <w:sz w:val="20"/>
                <w:szCs w:val="20"/>
              </w:rPr>
              <w:t>镭射包装材料</w:t>
            </w:r>
            <w:r>
              <w:rPr>
                <w:rFonts w:ascii="宋体" w:hAnsi="宋体" w:cs="宋体" w:eastAsia="宋体" w:hint="default"/>
                <w:sz w:val="20"/>
                <w:szCs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23,439.98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19,371.96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pacing w:val="-1"/>
                <w:sz w:val="18"/>
              </w:rPr>
              <w:t>4,068.02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sz w:val="18"/>
              </w:rPr>
              <w:t>17.36%</w:t>
            </w:r>
          </w:p>
        </w:tc>
      </w:tr>
    </w:tbl>
    <w:p>
      <w:pPr>
        <w:spacing w:line="240" w:lineRule="auto" w:before="6"/>
        <w:rPr>
          <w:rFonts w:ascii="宋体" w:hAnsi="宋体" w:cs="宋体" w:eastAsia="宋体" w:hint="default"/>
          <w:sz w:val="22"/>
          <w:szCs w:val="22"/>
        </w:rPr>
      </w:pPr>
    </w:p>
    <w:p>
      <w:pPr>
        <w:pStyle w:val="BodyText"/>
        <w:spacing w:line="240" w:lineRule="auto" w:before="26"/>
        <w:ind w:left="1173" w:right="0"/>
        <w:jc w:val="left"/>
      </w:pPr>
      <w:r>
        <w:rPr>
          <w:rFonts w:ascii="宋体" w:hAnsi="宋体" w:cs="宋体" w:eastAsia="宋体" w:hint="default"/>
        </w:rPr>
        <w:t>(5)</w:t>
      </w:r>
      <w:r>
        <w:rPr>
          <w:rFonts w:ascii="宋体" w:hAnsi="宋体" w:cs="宋体" w:eastAsia="宋体" w:hint="default"/>
          <w:spacing w:val="-60"/>
        </w:rPr>
        <w:t> </w:t>
      </w:r>
      <w:r>
        <w:rPr/>
        <w:t>报告期内，公司主营业务及其结构、主营业务盈利能力未发生重大变化。</w:t>
      </w:r>
    </w:p>
    <w:p>
      <w:pPr>
        <w:spacing w:line="240" w:lineRule="auto" w:before="0"/>
        <w:rPr>
          <w:rFonts w:ascii="宋体" w:hAnsi="宋体" w:cs="宋体" w:eastAsia="宋体" w:hint="default"/>
          <w:sz w:val="24"/>
          <w:szCs w:val="24"/>
        </w:rPr>
      </w:pPr>
    </w:p>
    <w:p>
      <w:pPr>
        <w:pStyle w:val="BodyText"/>
        <w:spacing w:line="240" w:lineRule="auto" w:before="197"/>
        <w:ind w:left="1173" w:right="0"/>
        <w:jc w:val="left"/>
      </w:pPr>
      <w:r>
        <w:rPr>
          <w:rFonts w:ascii="宋体" w:hAnsi="宋体" w:cs="宋体" w:eastAsia="宋体" w:hint="default"/>
        </w:rPr>
        <w:t>(6)</w:t>
      </w:r>
      <w:r>
        <w:rPr>
          <w:rFonts w:ascii="宋体" w:hAnsi="宋体" w:cs="宋体" w:eastAsia="宋体" w:hint="default"/>
          <w:spacing w:val="-60"/>
        </w:rPr>
        <w:t> </w:t>
      </w:r>
      <w:r>
        <w:rPr/>
        <w:t>报告期内，公司主营业务市场、成本构成未发生显著变化。</w:t>
      </w:r>
    </w:p>
    <w:p>
      <w:pPr>
        <w:spacing w:line="240" w:lineRule="auto" w:before="0"/>
        <w:rPr>
          <w:rFonts w:ascii="宋体" w:hAnsi="宋体" w:cs="宋体" w:eastAsia="宋体" w:hint="default"/>
          <w:sz w:val="24"/>
          <w:szCs w:val="24"/>
        </w:rPr>
      </w:pPr>
    </w:p>
    <w:p>
      <w:pPr>
        <w:pStyle w:val="BodyText"/>
        <w:spacing w:line="240" w:lineRule="auto" w:before="200"/>
        <w:ind w:left="1096" w:right="0"/>
        <w:jc w:val="left"/>
      </w:pPr>
      <w:r>
        <w:rPr>
          <w:rFonts w:ascii="Times New Roman" w:hAnsi="Times New Roman" w:cs="Times New Roman" w:eastAsia="Times New Roman" w:hint="default"/>
        </w:rPr>
        <w:t>7</w:t>
      </w:r>
      <w:r>
        <w:rPr/>
        <w:t>、</w:t>
      </w:r>
      <w:r>
        <w:rPr>
          <w:spacing w:val="76"/>
        </w:rPr>
        <w:t> </w:t>
      </w:r>
      <w:r>
        <w:rPr/>
        <w:t>前五名主要供应商、客户情况</w:t>
      </w:r>
    </w:p>
    <w:p>
      <w:pPr>
        <w:spacing w:line="240" w:lineRule="auto" w:before="0"/>
        <w:rPr>
          <w:rFonts w:ascii="宋体" w:hAnsi="宋体" w:cs="宋体" w:eastAsia="宋体" w:hint="default"/>
          <w:sz w:val="24"/>
          <w:szCs w:val="24"/>
        </w:rPr>
      </w:pPr>
    </w:p>
    <w:p>
      <w:pPr>
        <w:spacing w:before="185"/>
        <w:ind w:left="0" w:right="112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13"/>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964"/>
        <w:gridCol w:w="1688"/>
        <w:gridCol w:w="1685"/>
        <w:gridCol w:w="1310"/>
        <w:gridCol w:w="1685"/>
      </w:tblGrid>
      <w:tr>
        <w:trPr>
          <w:trHeight w:val="605" w:hRule="exact"/>
        </w:trPr>
        <w:tc>
          <w:tcPr>
            <w:tcW w:w="2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16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left="54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1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before="57"/>
              <w:ind w:left="201" w:right="108" w:hanging="92"/>
              <w:jc w:val="left"/>
              <w:rPr>
                <w:rFonts w:ascii="宋体" w:hAnsi="宋体" w:cs="宋体" w:eastAsia="宋体" w:hint="default"/>
                <w:sz w:val="18"/>
                <w:szCs w:val="18"/>
              </w:rPr>
            </w:pPr>
            <w:r>
              <w:rPr>
                <w:rFonts w:ascii="宋体" w:hAnsi="宋体" w:cs="宋体" w:eastAsia="宋体" w:hint="default"/>
                <w:sz w:val="18"/>
                <w:szCs w:val="18"/>
              </w:rPr>
              <w:t>本报告期比上 年同期增减</w:t>
            </w:r>
          </w:p>
        </w:tc>
        <w:tc>
          <w:tcPr>
            <w:tcW w:w="16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60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99"/>
              <w:jc w:val="left"/>
              <w:rPr>
                <w:rFonts w:ascii="宋体" w:hAnsi="宋体" w:cs="宋体" w:eastAsia="宋体" w:hint="default"/>
                <w:sz w:val="18"/>
                <w:szCs w:val="18"/>
              </w:rPr>
            </w:pPr>
            <w:r>
              <w:rPr>
                <w:rFonts w:ascii="宋体" w:hAnsi="宋体" w:cs="宋体" w:eastAsia="宋体" w:hint="default"/>
                <w:spacing w:val="-14"/>
                <w:sz w:val="18"/>
                <w:szCs w:val="18"/>
              </w:rPr>
              <w:t>1</w:t>
            </w:r>
            <w:r>
              <w:rPr>
                <w:rFonts w:ascii="宋体" w:hAnsi="宋体" w:cs="宋体" w:eastAsia="宋体" w:hint="default"/>
                <w:spacing w:val="-14"/>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名供应商合计采购金额占年 度采购总金额的比例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 w:right="0"/>
              <w:jc w:val="center"/>
              <w:rPr>
                <w:rFonts w:ascii="宋体" w:hAnsi="宋体" w:cs="宋体" w:eastAsia="宋体" w:hint="default"/>
                <w:sz w:val="18"/>
                <w:szCs w:val="18"/>
              </w:rPr>
            </w:pPr>
            <w:r>
              <w:rPr>
                <w:rFonts w:ascii="宋体"/>
                <w:sz w:val="18"/>
              </w:rPr>
              <w:t>23.76%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sz w:val="18"/>
              </w:rPr>
              <w:t>31.48%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81" w:right="0"/>
              <w:jc w:val="left"/>
              <w:rPr>
                <w:rFonts w:ascii="宋体" w:hAnsi="宋体" w:cs="宋体" w:eastAsia="宋体" w:hint="default"/>
                <w:sz w:val="18"/>
                <w:szCs w:val="18"/>
              </w:rPr>
            </w:pPr>
            <w:r>
              <w:rPr>
                <w:rFonts w:ascii="宋体"/>
                <w:sz w:val="18"/>
              </w:rPr>
              <w:t>-7.72%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sz w:val="18"/>
              </w:rPr>
              <w:t>31.04%</w:t>
            </w:r>
          </w:p>
        </w:tc>
      </w:tr>
      <w:tr>
        <w:trPr>
          <w:trHeight w:val="605"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名供应商应付帐款余额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80" w:right="0"/>
              <w:jc w:val="left"/>
              <w:rPr>
                <w:rFonts w:ascii="宋体" w:hAnsi="宋体" w:cs="宋体" w:eastAsia="宋体" w:hint="default"/>
                <w:sz w:val="18"/>
                <w:szCs w:val="18"/>
              </w:rPr>
            </w:pPr>
            <w:r>
              <w:rPr>
                <w:rFonts w:ascii="宋体"/>
                <w:sz w:val="18"/>
              </w:rPr>
              <w:t>1,096.80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sz w:val="18"/>
              </w:rPr>
              <w:t>1,175.70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81" w:right="0"/>
              <w:jc w:val="left"/>
              <w:rPr>
                <w:rFonts w:ascii="宋体" w:hAnsi="宋体" w:cs="宋体" w:eastAsia="宋体" w:hint="default"/>
                <w:sz w:val="18"/>
                <w:szCs w:val="18"/>
              </w:rPr>
            </w:pPr>
            <w:r>
              <w:rPr>
                <w:rFonts w:ascii="宋体"/>
                <w:sz w:val="18"/>
              </w:rPr>
              <w:t>-6.71%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sz w:val="18"/>
              </w:rPr>
              <w:t>5,281.50</w:t>
            </w:r>
          </w:p>
        </w:tc>
      </w:tr>
      <w:tr>
        <w:trPr>
          <w:trHeight w:val="60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99"/>
              <w:jc w:val="left"/>
              <w:rPr>
                <w:rFonts w:ascii="宋体" w:hAnsi="宋体" w:cs="宋体" w:eastAsia="宋体" w:hint="default"/>
                <w:sz w:val="18"/>
                <w:szCs w:val="18"/>
              </w:rPr>
            </w:pPr>
            <w:r>
              <w:rPr>
                <w:rFonts w:ascii="宋体" w:hAnsi="宋体" w:cs="宋体" w:eastAsia="宋体" w:hint="default"/>
                <w:spacing w:val="-14"/>
                <w:sz w:val="18"/>
                <w:szCs w:val="18"/>
              </w:rPr>
              <w:t>3</w:t>
            </w:r>
            <w:r>
              <w:rPr>
                <w:rFonts w:ascii="宋体" w:hAnsi="宋体" w:cs="宋体" w:eastAsia="宋体" w:hint="default"/>
                <w:spacing w:val="-14"/>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名供应商应付帐款余额占公 司应付帐款余额的比重</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 w:right="0"/>
              <w:jc w:val="center"/>
              <w:rPr>
                <w:rFonts w:ascii="宋体" w:hAnsi="宋体" w:cs="宋体" w:eastAsia="宋体" w:hint="default"/>
                <w:sz w:val="18"/>
                <w:szCs w:val="18"/>
              </w:rPr>
            </w:pPr>
            <w:r>
              <w:rPr>
                <w:rFonts w:ascii="宋体"/>
                <w:sz w:val="18"/>
              </w:rPr>
              <w:t>4.86%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sz w:val="18"/>
              </w:rPr>
              <w:t>4.51%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24" w:right="0"/>
              <w:jc w:val="left"/>
              <w:rPr>
                <w:rFonts w:ascii="宋体" w:hAnsi="宋体" w:cs="宋体" w:eastAsia="宋体" w:hint="default"/>
                <w:sz w:val="18"/>
                <w:szCs w:val="18"/>
              </w:rPr>
            </w:pPr>
            <w:r>
              <w:rPr>
                <w:rFonts w:ascii="宋体"/>
                <w:sz w:val="18"/>
              </w:rPr>
              <w:t>0.35%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sz w:val="18"/>
              </w:rPr>
              <w:t>19.07%</w:t>
            </w:r>
          </w:p>
        </w:tc>
      </w:tr>
      <w:tr>
        <w:trPr>
          <w:trHeight w:val="605" w:hRule="exact"/>
        </w:trPr>
        <w:tc>
          <w:tcPr>
            <w:tcW w:w="2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6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left="54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1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before="57"/>
              <w:ind w:left="201" w:right="108" w:hanging="92"/>
              <w:jc w:val="left"/>
              <w:rPr>
                <w:rFonts w:ascii="宋体" w:hAnsi="宋体" w:cs="宋体" w:eastAsia="宋体" w:hint="default"/>
                <w:sz w:val="18"/>
                <w:szCs w:val="18"/>
              </w:rPr>
            </w:pPr>
            <w:r>
              <w:rPr>
                <w:rFonts w:ascii="宋体" w:hAnsi="宋体" w:cs="宋体" w:eastAsia="宋体" w:hint="default"/>
                <w:sz w:val="18"/>
                <w:szCs w:val="18"/>
              </w:rPr>
              <w:t>本报告期比上 年同期增减</w:t>
            </w:r>
          </w:p>
        </w:tc>
        <w:tc>
          <w:tcPr>
            <w:tcW w:w="16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60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99"/>
              <w:jc w:val="left"/>
              <w:rPr>
                <w:rFonts w:ascii="宋体" w:hAnsi="宋体" w:cs="宋体" w:eastAsia="宋体" w:hint="default"/>
                <w:sz w:val="18"/>
                <w:szCs w:val="18"/>
              </w:rPr>
            </w:pPr>
            <w:r>
              <w:rPr>
                <w:rFonts w:ascii="宋体" w:hAnsi="宋体" w:cs="宋体" w:eastAsia="宋体" w:hint="default"/>
                <w:spacing w:val="-14"/>
                <w:sz w:val="18"/>
                <w:szCs w:val="18"/>
              </w:rPr>
              <w:t>1</w:t>
            </w:r>
            <w:r>
              <w:rPr>
                <w:rFonts w:ascii="宋体" w:hAnsi="宋体" w:cs="宋体" w:eastAsia="宋体" w:hint="default"/>
                <w:spacing w:val="-14"/>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名客户合计销售金额占年度 销售总金额的比例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 w:right="0"/>
              <w:jc w:val="center"/>
              <w:rPr>
                <w:rFonts w:ascii="宋体" w:hAnsi="宋体" w:cs="宋体" w:eastAsia="宋体" w:hint="default"/>
                <w:sz w:val="18"/>
                <w:szCs w:val="18"/>
              </w:rPr>
            </w:pPr>
            <w:r>
              <w:rPr>
                <w:rFonts w:ascii="宋体"/>
                <w:sz w:val="18"/>
              </w:rPr>
              <w:t>62.72%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sz w:val="18"/>
              </w:rPr>
              <w:t>61.45%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24" w:right="0"/>
              <w:jc w:val="left"/>
              <w:rPr>
                <w:rFonts w:ascii="宋体" w:hAnsi="宋体" w:cs="宋体" w:eastAsia="宋体" w:hint="default"/>
                <w:sz w:val="18"/>
                <w:szCs w:val="18"/>
              </w:rPr>
            </w:pPr>
            <w:r>
              <w:rPr>
                <w:rFonts w:ascii="宋体"/>
                <w:sz w:val="18"/>
              </w:rPr>
              <w:t>1.27%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sz w:val="18"/>
              </w:rPr>
              <w:t>59.79%</w:t>
            </w:r>
          </w:p>
        </w:tc>
      </w:tr>
      <w:tr>
        <w:trPr>
          <w:trHeight w:val="605"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名客户应收帐款余额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35" w:right="0"/>
              <w:jc w:val="left"/>
              <w:rPr>
                <w:rFonts w:ascii="宋体" w:hAnsi="宋体" w:cs="宋体" w:eastAsia="宋体" w:hint="default"/>
                <w:sz w:val="18"/>
                <w:szCs w:val="18"/>
              </w:rPr>
            </w:pPr>
            <w:r>
              <w:rPr>
                <w:rFonts w:ascii="宋体"/>
                <w:sz w:val="18"/>
              </w:rPr>
              <w:t>15,817.87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sz w:val="18"/>
              </w:rPr>
              <w:t>18,456.73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36" w:right="0"/>
              <w:jc w:val="left"/>
              <w:rPr>
                <w:rFonts w:ascii="宋体" w:hAnsi="宋体" w:cs="宋体" w:eastAsia="宋体" w:hint="default"/>
                <w:sz w:val="18"/>
                <w:szCs w:val="18"/>
              </w:rPr>
            </w:pPr>
            <w:r>
              <w:rPr>
                <w:rFonts w:ascii="宋体"/>
                <w:sz w:val="18"/>
              </w:rPr>
              <w:t>-14.30%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sz w:val="18"/>
              </w:rPr>
              <w:t>13,214.87</w:t>
            </w:r>
          </w:p>
        </w:tc>
      </w:tr>
      <w:tr>
        <w:trPr>
          <w:trHeight w:val="607"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99"/>
              <w:jc w:val="left"/>
              <w:rPr>
                <w:rFonts w:ascii="宋体" w:hAnsi="宋体" w:cs="宋体" w:eastAsia="宋体" w:hint="default"/>
                <w:sz w:val="18"/>
                <w:szCs w:val="18"/>
              </w:rPr>
            </w:pPr>
            <w:r>
              <w:rPr>
                <w:rFonts w:ascii="宋体" w:hAnsi="宋体" w:cs="宋体" w:eastAsia="宋体" w:hint="default"/>
                <w:spacing w:val="-14"/>
                <w:sz w:val="18"/>
                <w:szCs w:val="18"/>
              </w:rPr>
              <w:t>3</w:t>
            </w:r>
            <w:r>
              <w:rPr>
                <w:rFonts w:ascii="宋体" w:hAnsi="宋体" w:cs="宋体" w:eastAsia="宋体" w:hint="default"/>
                <w:spacing w:val="-14"/>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名客户应收帐款余额占公司 应收帐款余额的比重</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 w:right="0"/>
              <w:jc w:val="center"/>
              <w:rPr>
                <w:rFonts w:ascii="宋体" w:hAnsi="宋体" w:cs="宋体" w:eastAsia="宋体" w:hint="default"/>
                <w:sz w:val="18"/>
                <w:szCs w:val="18"/>
              </w:rPr>
            </w:pPr>
            <w:r>
              <w:rPr>
                <w:rFonts w:ascii="宋体"/>
                <w:sz w:val="18"/>
              </w:rPr>
              <w:t>47.84%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sz w:val="18"/>
              </w:rPr>
              <w:t>55.41%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81" w:right="0"/>
              <w:jc w:val="left"/>
              <w:rPr>
                <w:rFonts w:ascii="宋体" w:hAnsi="宋体" w:cs="宋体" w:eastAsia="宋体" w:hint="default"/>
                <w:sz w:val="18"/>
                <w:szCs w:val="18"/>
              </w:rPr>
            </w:pPr>
            <w:r>
              <w:rPr>
                <w:rFonts w:ascii="宋体"/>
                <w:sz w:val="18"/>
              </w:rPr>
              <w:t>-7.57%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sz w:val="18"/>
              </w:rPr>
              <w:t>38.15%</w:t>
            </w:r>
          </w:p>
        </w:tc>
      </w:tr>
    </w:tbl>
    <w:p>
      <w:pPr>
        <w:spacing w:line="240" w:lineRule="auto" w:before="1"/>
        <w:rPr>
          <w:rFonts w:ascii="宋体" w:hAnsi="宋体" w:cs="宋体" w:eastAsia="宋体" w:hint="default"/>
          <w:sz w:val="14"/>
          <w:szCs w:val="14"/>
        </w:rPr>
      </w:pPr>
    </w:p>
    <w:p>
      <w:pPr>
        <w:pStyle w:val="BodyText"/>
        <w:spacing w:line="396" w:lineRule="auto" w:before="26"/>
        <w:ind w:left="812" w:right="1130" w:firstLine="557"/>
        <w:jc w:val="both"/>
      </w:pPr>
      <w:r>
        <w:rPr>
          <w:spacing w:val="-2"/>
        </w:rPr>
        <w:t>前五名供应商、客户与公司不存在关联关系，公司董事、监事、高级管理人员、核心技</w:t>
      </w:r>
      <w:r>
        <w:rPr/>
        <w:t> 术人员、持股</w:t>
      </w:r>
      <w:r>
        <w:rPr>
          <w:spacing w:val="-80"/>
        </w:rPr>
        <w:t> </w:t>
      </w:r>
      <w:r>
        <w:rPr>
          <w:rFonts w:ascii="宋体" w:hAnsi="宋体" w:cs="宋体" w:eastAsia="宋体" w:hint="default"/>
        </w:rPr>
        <w:t>5%</w:t>
      </w:r>
      <w:r>
        <w:rPr/>
        <w:t>以上股东、实际控制人和其他关联方在主要客户、供应商中不直接或间接拥 有权益。</w:t>
      </w:r>
    </w:p>
    <w:p>
      <w:pPr>
        <w:pStyle w:val="BodyText"/>
        <w:spacing w:line="240" w:lineRule="auto" w:before="199"/>
        <w:ind w:left="1096" w:right="0"/>
        <w:jc w:val="left"/>
      </w:pPr>
      <w:r>
        <w:rPr>
          <w:rFonts w:ascii="Times New Roman" w:hAnsi="Times New Roman" w:cs="Times New Roman" w:eastAsia="Times New Roman" w:hint="default"/>
        </w:rPr>
        <w:t>8</w:t>
      </w:r>
      <w:r>
        <w:rPr/>
        <w:t>、</w:t>
      </w:r>
      <w:r>
        <w:rPr>
          <w:spacing w:val="75"/>
        </w:rPr>
        <w:t> </w:t>
      </w:r>
      <w:r>
        <w:rPr/>
        <w:t>政府补贴情况</w:t>
      </w:r>
    </w:p>
    <w:p>
      <w:pPr>
        <w:spacing w:before="183"/>
        <w:ind w:left="0" w:right="1131"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万元</w:t>
      </w:r>
      <w:r>
        <w:rPr>
          <w:rFonts w:ascii="宋体" w:hAnsi="宋体" w:cs="宋体" w:eastAsia="宋体" w:hint="default"/>
          <w:w w:val="100"/>
          <w:sz w:val="21"/>
          <w:szCs w:val="21"/>
        </w:rPr>
      </w:r>
    </w:p>
    <w:p>
      <w:pPr>
        <w:spacing w:line="240" w:lineRule="auto" w:before="10"/>
        <w:rPr>
          <w:rFonts w:ascii="宋体" w:hAnsi="宋体" w:cs="宋体" w:eastAsia="宋体" w:hint="default"/>
          <w:sz w:val="12"/>
          <w:szCs w:val="12"/>
        </w:rPr>
      </w:pPr>
    </w:p>
    <w:tbl>
      <w:tblPr>
        <w:tblW w:w="0" w:type="auto"/>
        <w:jc w:val="left"/>
        <w:tblInd w:w="701" w:type="dxa"/>
        <w:tblLayout w:type="fixed"/>
        <w:tblCellMar>
          <w:top w:w="0" w:type="dxa"/>
          <w:left w:w="0" w:type="dxa"/>
          <w:bottom w:w="0" w:type="dxa"/>
          <w:right w:w="0" w:type="dxa"/>
        </w:tblCellMar>
        <w:tblLook w:val="01E0"/>
      </w:tblPr>
      <w:tblGrid>
        <w:gridCol w:w="2087"/>
        <w:gridCol w:w="3061"/>
        <w:gridCol w:w="3291"/>
      </w:tblGrid>
      <w:tr>
        <w:trPr>
          <w:trHeight w:val="571" w:hRule="exact"/>
        </w:trPr>
        <w:tc>
          <w:tcPr>
            <w:tcW w:w="20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7"/>
              <w:ind w:left="616" w:right="0"/>
              <w:jc w:val="left"/>
              <w:rPr>
                <w:rFonts w:ascii="宋体" w:hAnsi="宋体" w:cs="宋体" w:eastAsia="宋体" w:hint="default"/>
                <w:sz w:val="21"/>
                <w:szCs w:val="21"/>
              </w:rPr>
            </w:pPr>
            <w:r>
              <w:rPr>
                <w:rFonts w:ascii="宋体" w:hAnsi="宋体" w:cs="宋体" w:eastAsia="宋体" w:hint="default"/>
                <w:b/>
                <w:bCs/>
                <w:sz w:val="21"/>
                <w:szCs w:val="21"/>
              </w:rPr>
              <w:t>补贴名称</w:t>
            </w:r>
            <w:r>
              <w:rPr>
                <w:rFonts w:ascii="宋体" w:hAnsi="宋体" w:cs="宋体" w:eastAsia="宋体" w:hint="default"/>
                <w:sz w:val="21"/>
                <w:szCs w:val="21"/>
              </w:rPr>
            </w:r>
          </w:p>
        </w:tc>
        <w:tc>
          <w:tcPr>
            <w:tcW w:w="30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7"/>
              <w:ind w:left="470" w:right="0"/>
              <w:jc w:val="left"/>
              <w:rPr>
                <w:rFonts w:ascii="宋体" w:hAnsi="宋体" w:cs="宋体" w:eastAsia="宋体" w:hint="default"/>
                <w:sz w:val="21"/>
                <w:szCs w:val="21"/>
              </w:rPr>
            </w:pPr>
            <w:r>
              <w:rPr>
                <w:rFonts w:ascii="宋体" w:hAnsi="宋体" w:cs="宋体" w:eastAsia="宋体" w:hint="default"/>
                <w:b/>
                <w:bCs/>
                <w:sz w:val="21"/>
                <w:szCs w:val="21"/>
              </w:rPr>
              <w:t>计入本年度损益的金额</w:t>
            </w:r>
            <w:r>
              <w:rPr>
                <w:rFonts w:ascii="宋体" w:hAnsi="宋体" w:cs="宋体" w:eastAsia="宋体" w:hint="default"/>
                <w:sz w:val="21"/>
                <w:szCs w:val="21"/>
              </w:rPr>
            </w:r>
          </w:p>
        </w:tc>
        <w:tc>
          <w:tcPr>
            <w:tcW w:w="32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备</w:t>
            </w:r>
            <w:r>
              <w:rPr>
                <w:rFonts w:ascii="宋体" w:hAnsi="宋体" w:cs="宋体" w:eastAsia="宋体" w:hint="default"/>
                <w:b/>
                <w:bCs/>
                <w:spacing w:val="-1"/>
                <w:sz w:val="21"/>
                <w:szCs w:val="21"/>
              </w:rPr>
              <w:t> </w:t>
            </w:r>
            <w:r>
              <w:rPr>
                <w:rFonts w:ascii="宋体" w:hAnsi="宋体" w:cs="宋体" w:eastAsia="宋体" w:hint="default"/>
                <w:b/>
                <w:bCs/>
                <w:sz w:val="21"/>
                <w:szCs w:val="21"/>
              </w:rPr>
              <w:t>注</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headerReference w:type="default" r:id="rId21"/>
          <w:pgSz w:w="11910" w:h="16840"/>
          <w:pgMar w:header="920" w:footer="936" w:top="1140" w:bottom="1140" w:left="320" w:right="0"/>
        </w:sectPr>
      </w:pPr>
    </w:p>
    <w:p>
      <w:pPr>
        <w:spacing w:line="240" w:lineRule="auto" w:before="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2088"/>
        <w:gridCol w:w="3061"/>
        <w:gridCol w:w="3291"/>
      </w:tblGrid>
      <w:tr>
        <w:trPr>
          <w:trHeight w:val="566" w:hRule="exact"/>
        </w:trPr>
        <w:tc>
          <w:tcPr>
            <w:tcW w:w="2088"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before="110"/>
              <w:ind w:left="3" w:right="0"/>
              <w:jc w:val="center"/>
              <w:rPr>
                <w:rFonts w:ascii="宋体" w:hAnsi="宋体" w:cs="宋体" w:eastAsia="宋体" w:hint="default"/>
                <w:sz w:val="21"/>
                <w:szCs w:val="21"/>
              </w:rPr>
            </w:pPr>
            <w:r>
              <w:rPr>
                <w:rFonts w:ascii="宋体" w:hAnsi="宋体" w:cs="宋体" w:eastAsia="宋体" w:hint="default"/>
                <w:sz w:val="21"/>
                <w:szCs w:val="21"/>
              </w:rPr>
              <w:t>财政补贴</w:t>
            </w:r>
          </w:p>
        </w:tc>
        <w:tc>
          <w:tcPr>
            <w:tcW w:w="3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1,247.13</w:t>
            </w:r>
          </w:p>
        </w:tc>
        <w:tc>
          <w:tcPr>
            <w:tcW w:w="32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科技研发资金等</w:t>
            </w:r>
          </w:p>
        </w:tc>
      </w:tr>
      <w:tr>
        <w:trPr>
          <w:trHeight w:val="572" w:hRule="exact"/>
        </w:trPr>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0"/>
              <w:ind w:left="3" w:right="0"/>
              <w:jc w:val="center"/>
              <w:rPr>
                <w:rFonts w:ascii="宋体" w:hAnsi="宋体" w:cs="宋体" w:eastAsia="宋体" w:hint="default"/>
                <w:sz w:val="21"/>
                <w:szCs w:val="21"/>
              </w:rPr>
            </w:pPr>
            <w:r>
              <w:rPr>
                <w:rFonts w:ascii="宋体" w:hAnsi="宋体" w:cs="宋体" w:eastAsia="宋体" w:hint="default"/>
                <w:sz w:val="21"/>
                <w:szCs w:val="21"/>
              </w:rPr>
              <w:t>财政奖励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211.91</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税收返还等</w:t>
            </w:r>
          </w:p>
        </w:tc>
      </w:tr>
      <w:tr>
        <w:trPr>
          <w:trHeight w:val="571" w:hRule="exact"/>
        </w:trPr>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政府补助合计</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1,459.04</w:t>
            </w:r>
          </w:p>
        </w:tc>
        <w:tc>
          <w:tcPr>
            <w:tcW w:w="3291"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占报告期净利润</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3.75%</w:t>
            </w:r>
          </w:p>
        </w:tc>
        <w:tc>
          <w:tcPr>
            <w:tcW w:w="32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0"/>
          <w:szCs w:val="10"/>
        </w:rPr>
      </w:pPr>
    </w:p>
    <w:p>
      <w:pPr>
        <w:pStyle w:val="BodyText"/>
        <w:spacing w:line="376" w:lineRule="auto" w:before="26"/>
        <w:ind w:left="212" w:right="1121" w:firstLine="480"/>
        <w:jc w:val="left"/>
      </w:pPr>
      <w:r>
        <w:rPr/>
        <w:pict>
          <v:group style="position:absolute;margin-left:51.599998pt;margin-top:-121.384399pt;width:103.85pt;height:113.8pt;mso-position-horizontal-relative:page;mso-position-vertical-relative:paragraph;z-index:-928552" coordorigin="1032,-2428" coordsize="2077,2276">
            <v:group style="position:absolute;left:1032;top:-2428;width:2077;height:106" coordorigin="1032,-2428" coordsize="2077,106">
              <v:shape style="position:absolute;left:1032;top:-2428;width:2077;height:106" coordorigin="1032,-2428" coordsize="2077,106" path="m1032,-2322l3108,-2322,3108,-2428,1032,-2428,1032,-2322xe" filled="true" fillcolor="#c0c0c0" stroked="false">
                <v:path arrowok="t"/>
                <v:fill type="solid"/>
              </v:shape>
            </v:group>
            <v:group style="position:absolute;left:1032;top:-2322;width:101;height:353" coordorigin="1032,-2322" coordsize="101,353">
              <v:shape style="position:absolute;left:1032;top:-2322;width:101;height:353" coordorigin="1032,-2322" coordsize="101,353" path="m1032,-1969l1133,-1969,1133,-2322,1032,-2322,1032,-1969xe" filled="true" fillcolor="#c0c0c0" stroked="false">
                <v:path arrowok="t"/>
                <v:fill type="solid"/>
              </v:shape>
            </v:group>
            <v:group style="position:absolute;left:3008;top:-2322;width:101;height:353" coordorigin="3008,-2322" coordsize="101,353">
              <v:shape style="position:absolute;left:3008;top:-2322;width:101;height:353" coordorigin="3008,-2322" coordsize="101,353" path="m3008,-1969l3108,-1969,3108,-2322,3008,-2322,3008,-1969xe" filled="true" fillcolor="#c0c0c0" stroked="false">
                <v:path arrowok="t"/>
                <v:fill type="solid"/>
              </v:shape>
            </v:group>
            <v:group style="position:absolute;left:1032;top:-1969;width:2077;height:104" coordorigin="1032,-1969" coordsize="2077,104">
              <v:shape style="position:absolute;left:1032;top:-1969;width:2077;height:104" coordorigin="1032,-1969" coordsize="2077,104" path="m1032,-1866l3108,-1866,3108,-1969,1032,-1969,1032,-1866xe" filled="true" fillcolor="#c0c0c0" stroked="false">
                <v:path arrowok="t"/>
                <v:fill type="solid"/>
              </v:shape>
            </v:group>
            <v:group style="position:absolute;left:1133;top:-2322;width:1875;height:353" coordorigin="1133,-2322" coordsize="1875,353">
              <v:shape style="position:absolute;left:1133;top:-2322;width:1875;height:353" coordorigin="1133,-2322" coordsize="1875,353" path="m1133,-1969l3008,-1969,3008,-2322,1133,-2322,1133,-1969xe" filled="true" fillcolor="#c0c0c0" stroked="false">
                <v:path arrowok="t"/>
                <v:fill type="solid"/>
              </v:shape>
            </v:group>
            <v:group style="position:absolute;left:1032;top:-1857;width:2077;height:107" coordorigin="1032,-1857" coordsize="2077,107">
              <v:shape style="position:absolute;left:1032;top:-1857;width:2077;height:107" coordorigin="1032,-1857" coordsize="2077,107" path="m1032,-1750l3108,-1750,3108,-1857,1032,-1857,1032,-1750xe" filled="true" fillcolor="#c0c0c0" stroked="false">
                <v:path arrowok="t"/>
                <v:fill type="solid"/>
              </v:shape>
            </v:group>
            <v:group style="position:absolute;left:1032;top:-1750;width:101;height:353" coordorigin="1032,-1750" coordsize="101,353">
              <v:shape style="position:absolute;left:1032;top:-1750;width:101;height:353" coordorigin="1032,-1750" coordsize="101,353" path="m1032,-1398l1133,-1398,1133,-1750,1032,-1750,1032,-1398xe" filled="true" fillcolor="#c0c0c0" stroked="false">
                <v:path arrowok="t"/>
                <v:fill type="solid"/>
              </v:shape>
            </v:group>
            <v:group style="position:absolute;left:3008;top:-1750;width:101;height:353" coordorigin="3008,-1750" coordsize="101,353">
              <v:shape style="position:absolute;left:3008;top:-1750;width:101;height:353" coordorigin="3008,-1750" coordsize="101,353" path="m3008,-1398l3108,-1398,3108,-1750,3008,-1750,3008,-1398xe" filled="true" fillcolor="#c0c0c0" stroked="false">
                <v:path arrowok="t"/>
                <v:fill type="solid"/>
              </v:shape>
            </v:group>
            <v:group style="position:absolute;left:1032;top:-1398;width:2077;height:104" coordorigin="1032,-1398" coordsize="2077,104">
              <v:shape style="position:absolute;left:1032;top:-1398;width:2077;height:104" coordorigin="1032,-1398" coordsize="2077,104" path="m1032,-1294l3108,-1294,3108,-1398,1032,-1398,1032,-1294xe" filled="true" fillcolor="#c0c0c0" stroked="false">
                <v:path arrowok="t"/>
                <v:fill type="solid"/>
              </v:shape>
            </v:group>
            <v:group style="position:absolute;left:1133;top:-1750;width:1875;height:353" coordorigin="1133,-1750" coordsize="1875,353">
              <v:shape style="position:absolute;left:1133;top:-1750;width:1875;height:353" coordorigin="1133,-1750" coordsize="1875,353" path="m1133,-1398l3008,-1398,3008,-1750,1133,-1750,1133,-1398xe" filled="true" fillcolor="#c0c0c0" stroked="false">
                <v:path arrowok="t"/>
                <v:fill type="solid"/>
              </v:shape>
            </v:group>
            <v:group style="position:absolute;left:1032;top:-1285;width:2077;height:106" coordorigin="1032,-1285" coordsize="2077,106">
              <v:shape style="position:absolute;left:1032;top:-1285;width:2077;height:106" coordorigin="1032,-1285" coordsize="2077,106" path="m1032,-1179l3108,-1179,3108,-1285,1032,-1285,1032,-1179xe" filled="true" fillcolor="#c0c0c0" stroked="false">
                <v:path arrowok="t"/>
                <v:fill type="solid"/>
              </v:shape>
            </v:group>
            <v:group style="position:absolute;left:1032;top:-1179;width:101;height:353" coordorigin="1032,-1179" coordsize="101,353">
              <v:shape style="position:absolute;left:1032;top:-1179;width:101;height:353" coordorigin="1032,-1179" coordsize="101,353" path="m1032,-826l1133,-826,1133,-1179,1032,-1179,1032,-826xe" filled="true" fillcolor="#c0c0c0" stroked="false">
                <v:path arrowok="t"/>
                <v:fill type="solid"/>
              </v:shape>
            </v:group>
            <v:group style="position:absolute;left:3008;top:-1179;width:101;height:353" coordorigin="3008,-1179" coordsize="101,353">
              <v:shape style="position:absolute;left:3008;top:-1179;width:101;height:353" coordorigin="3008,-1179" coordsize="101,353" path="m3008,-826l3108,-826,3108,-1179,3008,-1179,3008,-826xe" filled="true" fillcolor="#c0c0c0" stroked="false">
                <v:path arrowok="t"/>
                <v:fill type="solid"/>
              </v:shape>
            </v:group>
            <v:group style="position:absolute;left:1032;top:-826;width:2077;height:104" coordorigin="1032,-826" coordsize="2077,104">
              <v:shape style="position:absolute;left:1032;top:-826;width:2077;height:104" coordorigin="1032,-826" coordsize="2077,104" path="m1032,-723l3108,-723,3108,-826,1032,-826,1032,-723xe" filled="true" fillcolor="#c0c0c0" stroked="false">
                <v:path arrowok="t"/>
                <v:fill type="solid"/>
              </v:shape>
            </v:group>
            <v:group style="position:absolute;left:1133;top:-1179;width:1875;height:353" coordorigin="1133,-1179" coordsize="1875,353">
              <v:shape style="position:absolute;left:1133;top:-1179;width:1875;height:353" coordorigin="1133,-1179" coordsize="1875,353" path="m1133,-826l3008,-826,3008,-1179,1133,-1179,1133,-826xe" filled="true" fillcolor="#c0c0c0" stroked="false">
                <v:path arrowok="t"/>
                <v:fill type="solid"/>
              </v:shape>
            </v:group>
            <v:group style="position:absolute;left:1032;top:-714;width:2077;height:106" coordorigin="1032,-714" coordsize="2077,106">
              <v:shape style="position:absolute;left:1032;top:-714;width:2077;height:106" coordorigin="1032,-714" coordsize="2077,106" path="m1032,-608l3108,-608,3108,-714,1032,-714,1032,-608xe" filled="true" fillcolor="#c0c0c0" stroked="false">
                <v:path arrowok="t"/>
                <v:fill type="solid"/>
              </v:shape>
            </v:group>
            <v:group style="position:absolute;left:1032;top:-608;width:101;height:351" coordorigin="1032,-608" coordsize="101,351">
              <v:shape style="position:absolute;left:1032;top:-608;width:101;height:351" coordorigin="1032,-608" coordsize="101,351" path="m1032,-258l1133,-258,1133,-608,1032,-608,1032,-258xe" filled="true" fillcolor="#c0c0c0" stroked="false">
                <v:path arrowok="t"/>
                <v:fill type="solid"/>
              </v:shape>
            </v:group>
            <v:group style="position:absolute;left:3008;top:-608;width:101;height:351" coordorigin="3008,-608" coordsize="101,351">
              <v:shape style="position:absolute;left:3008;top:-608;width:101;height:351" coordorigin="3008,-608" coordsize="101,351" path="m3008,-258l3108,-258,3108,-608,3008,-608,3008,-258xe" filled="true" fillcolor="#c0c0c0" stroked="false">
                <v:path arrowok="t"/>
                <v:fill type="solid"/>
              </v:shape>
            </v:group>
            <v:group style="position:absolute;left:1032;top:-258;width:2077;height:106" coordorigin="1032,-258" coordsize="2077,106">
              <v:shape style="position:absolute;left:1032;top:-258;width:2077;height:106" coordorigin="1032,-258" coordsize="2077,106" path="m1032,-152l3108,-152,3108,-258,1032,-258,1032,-152xe" filled="true" fillcolor="#c0c0c0" stroked="false">
                <v:path arrowok="t"/>
                <v:fill type="solid"/>
              </v:shape>
            </v:group>
            <v:group style="position:absolute;left:1133;top:-608;width:1875;height:351" coordorigin="1133,-608" coordsize="1875,351">
              <v:shape style="position:absolute;left:1133;top:-608;width:1875;height:351" coordorigin="1133,-608" coordsize="1875,351" path="m1133,-258l3008,-258,3008,-608,1133,-608,1133,-258xe" filled="true" fillcolor="#c0c0c0" stroked="false">
                <v:path arrowok="t"/>
                <v:fill type="solid"/>
              </v:shape>
            </v:group>
            <w10:wrap type="none"/>
          </v:group>
        </w:pict>
      </w:r>
      <w:r>
        <w:rPr/>
        <w:t>报告期内，公司不存在单项非经常性损益绝对值超过公司净利润绝对值</w:t>
      </w:r>
      <w:r>
        <w:rPr>
          <w:spacing w:val="46"/>
        </w:rPr>
        <w:t> </w:t>
      </w:r>
      <w:r>
        <w:rPr>
          <w:rFonts w:ascii="Arial" w:hAnsi="Arial" w:cs="Arial" w:eastAsia="Arial" w:hint="default"/>
        </w:rPr>
        <w:t>5%</w:t>
      </w:r>
      <w:r>
        <w:rPr/>
        <w:t>的情形；也 不存在非经常性损益绝对值达到净利润绝对值</w:t>
      </w:r>
      <w:r>
        <w:rPr>
          <w:spacing w:val="-60"/>
        </w:rPr>
        <w:t> </w:t>
      </w:r>
      <w:r>
        <w:rPr>
          <w:rFonts w:ascii="Arial" w:hAnsi="Arial" w:cs="Arial" w:eastAsia="Arial" w:hint="default"/>
        </w:rPr>
        <w:t>10</w:t>
      </w:r>
      <w:r>
        <w:rPr/>
        <w:t>％以上的情形。</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0"/>
          <w:szCs w:val="30"/>
        </w:rPr>
      </w:pPr>
    </w:p>
    <w:p>
      <w:pPr>
        <w:pStyle w:val="BodyText"/>
        <w:spacing w:line="240" w:lineRule="auto"/>
        <w:ind w:left="496" w:right="1116"/>
        <w:jc w:val="left"/>
      </w:pPr>
      <w:r>
        <w:rPr>
          <w:rFonts w:ascii="Times New Roman" w:hAnsi="Times New Roman" w:cs="Times New Roman" w:eastAsia="Times New Roman" w:hint="default"/>
        </w:rPr>
        <w:t>9</w:t>
      </w:r>
      <w:r>
        <w:rPr/>
        <w:t>、</w:t>
      </w:r>
      <w:r>
        <w:rPr>
          <w:spacing w:val="76"/>
        </w:rPr>
        <w:t> </w:t>
      </w:r>
      <w:r>
        <w:rPr/>
        <w:t>近三年期间费用和所得税费用变动分析</w:t>
      </w:r>
    </w:p>
    <w:p>
      <w:pPr>
        <w:spacing w:line="240" w:lineRule="auto" w:before="9"/>
        <w:rPr>
          <w:rFonts w:ascii="宋体" w:hAnsi="宋体" w:cs="宋体" w:eastAsia="宋体" w:hint="default"/>
          <w:sz w:val="32"/>
          <w:szCs w:val="32"/>
        </w:rPr>
      </w:pPr>
    </w:p>
    <w:p>
      <w:pPr>
        <w:spacing w:before="0"/>
        <w:ind w:left="0" w:right="1131"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万元</w:t>
      </w:r>
      <w:r>
        <w:rPr>
          <w:rFonts w:ascii="宋体" w:hAnsi="宋体" w:cs="宋体" w:eastAsia="宋体" w:hint="default"/>
          <w:w w:val="100"/>
          <w:sz w:val="21"/>
          <w:szCs w:val="21"/>
        </w:rPr>
      </w:r>
    </w:p>
    <w:p>
      <w:pPr>
        <w:spacing w:line="240" w:lineRule="auto" w:before="7"/>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1872"/>
        <w:gridCol w:w="1803"/>
        <w:gridCol w:w="1721"/>
        <w:gridCol w:w="1558"/>
        <w:gridCol w:w="1721"/>
      </w:tblGrid>
      <w:tr>
        <w:trPr>
          <w:trHeight w:val="634" w:hRule="exact"/>
        </w:trPr>
        <w:tc>
          <w:tcPr>
            <w:tcW w:w="18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509" w:right="0"/>
              <w:jc w:val="left"/>
              <w:rPr>
                <w:rFonts w:ascii="宋体" w:hAnsi="宋体" w:cs="宋体" w:eastAsia="宋体" w:hint="default"/>
                <w:sz w:val="21"/>
                <w:szCs w:val="21"/>
              </w:rPr>
            </w:pPr>
            <w:r>
              <w:rPr>
                <w:rFonts w:ascii="宋体" w:hAnsi="宋体" w:cs="宋体" w:eastAsia="宋体" w:hint="default"/>
                <w:b/>
                <w:bCs/>
                <w:sz w:val="21"/>
                <w:szCs w:val="21"/>
              </w:rPr>
              <w:t>费用名称</w:t>
            </w:r>
            <w:r>
              <w:rPr>
                <w:rFonts w:ascii="宋体" w:hAnsi="宋体" w:cs="宋体" w:eastAsia="宋体" w:hint="default"/>
                <w:sz w:val="21"/>
                <w:szCs w:val="21"/>
              </w:rPr>
            </w:r>
          </w:p>
        </w:tc>
        <w:tc>
          <w:tcPr>
            <w:tcW w:w="180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551"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511"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34"/>
              <w:ind w:left="249" w:right="134" w:hanging="106"/>
              <w:jc w:val="left"/>
              <w:rPr>
                <w:rFonts w:ascii="宋体" w:hAnsi="宋体" w:cs="宋体" w:eastAsia="宋体" w:hint="default"/>
                <w:sz w:val="21"/>
                <w:szCs w:val="21"/>
              </w:rPr>
            </w:pPr>
            <w:r>
              <w:rPr>
                <w:rFonts w:ascii="宋体" w:hAnsi="宋体" w:cs="宋体" w:eastAsia="宋体" w:hint="default"/>
                <w:b/>
                <w:bCs/>
                <w:sz w:val="21"/>
                <w:szCs w:val="21"/>
              </w:rPr>
              <w:t>本报告期比上</w:t>
            </w:r>
            <w:r>
              <w:rPr>
                <w:rFonts w:ascii="宋体" w:hAnsi="宋体" w:cs="宋体" w:eastAsia="宋体" w:hint="default"/>
                <w:b/>
                <w:bCs/>
                <w:spacing w:val="-104"/>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511"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56"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、销售费用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8,197.92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7,891.25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宋体" w:hAnsi="宋体" w:cs="宋体" w:eastAsia="宋体" w:hint="default"/>
                <w:sz w:val="21"/>
                <w:szCs w:val="21"/>
              </w:rPr>
            </w:pPr>
            <w:r>
              <w:rPr>
                <w:rFonts w:ascii="宋体"/>
                <w:sz w:val="21"/>
              </w:rPr>
              <w:t>3.89%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7,153.04</w:t>
            </w:r>
          </w:p>
        </w:tc>
      </w:tr>
      <w:tr>
        <w:trPr>
          <w:trHeight w:val="456"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、管理费用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21,110.48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20,146.81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宋体" w:hAnsi="宋体" w:cs="宋体" w:eastAsia="宋体" w:hint="default"/>
                <w:sz w:val="21"/>
                <w:szCs w:val="21"/>
              </w:rPr>
            </w:pPr>
            <w:r>
              <w:rPr>
                <w:rFonts w:ascii="宋体"/>
                <w:sz w:val="21"/>
              </w:rPr>
              <w:t>4.78%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19,680.25</w:t>
            </w:r>
          </w:p>
        </w:tc>
      </w:tr>
      <w:tr>
        <w:trPr>
          <w:trHeight w:val="456"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、财务费用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1,637.53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1,317.18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宋体" w:hAnsi="宋体" w:cs="宋体" w:eastAsia="宋体" w:hint="default"/>
                <w:sz w:val="21"/>
                <w:szCs w:val="21"/>
              </w:rPr>
            </w:pPr>
            <w:r>
              <w:rPr>
                <w:rFonts w:ascii="宋体"/>
                <w:sz w:val="21"/>
              </w:rPr>
              <w:t>24.32%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29.45</w:t>
            </w:r>
          </w:p>
        </w:tc>
      </w:tr>
      <w:tr>
        <w:trPr>
          <w:trHeight w:val="457"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、所得税费用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9,515.72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8,526.11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宋体" w:hAnsi="宋体" w:cs="宋体" w:eastAsia="宋体" w:hint="default"/>
                <w:sz w:val="21"/>
                <w:szCs w:val="21"/>
              </w:rPr>
            </w:pPr>
            <w:r>
              <w:rPr>
                <w:rFonts w:ascii="宋体"/>
                <w:sz w:val="21"/>
              </w:rPr>
              <w:t>11.61%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7,630.76</w:t>
            </w:r>
          </w:p>
        </w:tc>
      </w:tr>
      <w:tr>
        <w:trPr>
          <w:trHeight w:val="676" w:hRule="exact"/>
        </w:trPr>
        <w:tc>
          <w:tcPr>
            <w:tcW w:w="18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before="6"/>
              <w:ind w:left="720" w:right="295" w:hanging="423"/>
              <w:jc w:val="left"/>
              <w:rPr>
                <w:rFonts w:ascii="宋体" w:hAnsi="宋体" w:cs="宋体" w:eastAsia="宋体" w:hint="default"/>
                <w:sz w:val="21"/>
                <w:szCs w:val="21"/>
              </w:rPr>
            </w:pPr>
            <w:r>
              <w:rPr>
                <w:rFonts w:ascii="宋体" w:hAnsi="宋体" w:cs="宋体" w:eastAsia="宋体" w:hint="default"/>
                <w:b/>
                <w:bCs/>
                <w:sz w:val="21"/>
                <w:szCs w:val="21"/>
              </w:rPr>
              <w:t>占营业总收入</w:t>
            </w:r>
            <w:r>
              <w:rPr>
                <w:rFonts w:ascii="宋体" w:hAnsi="宋体" w:cs="宋体" w:eastAsia="宋体" w:hint="default"/>
                <w:b/>
                <w:bCs/>
                <w:spacing w:val="-104"/>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80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2"/>
              <w:ind w:left="551"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2"/>
              <w:ind w:left="511"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55"/>
              <w:ind w:left="249" w:right="134" w:hanging="106"/>
              <w:jc w:val="left"/>
              <w:rPr>
                <w:rFonts w:ascii="宋体" w:hAnsi="宋体" w:cs="宋体" w:eastAsia="宋体" w:hint="default"/>
                <w:sz w:val="21"/>
                <w:szCs w:val="21"/>
              </w:rPr>
            </w:pPr>
            <w:r>
              <w:rPr>
                <w:rFonts w:ascii="宋体" w:hAnsi="宋体" w:cs="宋体" w:eastAsia="宋体" w:hint="default"/>
                <w:b/>
                <w:bCs/>
                <w:sz w:val="21"/>
                <w:szCs w:val="21"/>
              </w:rPr>
              <w:t>本报告期比上</w:t>
            </w:r>
            <w:r>
              <w:rPr>
                <w:rFonts w:ascii="宋体" w:hAnsi="宋体" w:cs="宋体" w:eastAsia="宋体" w:hint="default"/>
                <w:b/>
                <w:bCs/>
                <w:spacing w:val="-104"/>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2"/>
              <w:ind w:left="511"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8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、销售费用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3.56%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3.90%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sz w:val="21"/>
              </w:rPr>
              <w:t>-0.34%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3.32%</w:t>
            </w:r>
          </w:p>
        </w:tc>
      </w:tr>
      <w:tr>
        <w:trPr>
          <w:trHeight w:val="48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、管理费用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9.18%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9.96%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sz w:val="21"/>
              </w:rPr>
              <w:t>-0.78%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9.13%</w:t>
            </w:r>
          </w:p>
        </w:tc>
      </w:tr>
      <w:tr>
        <w:trPr>
          <w:trHeight w:val="48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、财务费用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0.71%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0.65%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sz w:val="21"/>
              </w:rPr>
              <w:t>0.06%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0.01%</w:t>
            </w:r>
          </w:p>
        </w:tc>
      </w:tr>
      <w:tr>
        <w:trPr>
          <w:trHeight w:val="48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、所得税费用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4.14%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4.21%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sz w:val="21"/>
              </w:rPr>
              <w:t>-0.08%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3.54%</w:t>
            </w:r>
          </w:p>
        </w:tc>
      </w:tr>
      <w:tr>
        <w:trPr>
          <w:trHeight w:val="674" w:hRule="exact"/>
        </w:trPr>
        <w:tc>
          <w:tcPr>
            <w:tcW w:w="18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before="4"/>
              <w:ind w:left="720" w:right="401" w:hanging="317"/>
              <w:jc w:val="left"/>
              <w:rPr>
                <w:rFonts w:ascii="宋体" w:hAnsi="宋体" w:cs="宋体" w:eastAsia="宋体" w:hint="default"/>
                <w:sz w:val="21"/>
                <w:szCs w:val="21"/>
              </w:rPr>
            </w:pPr>
            <w:r>
              <w:rPr>
                <w:rFonts w:ascii="宋体" w:hAnsi="宋体" w:cs="宋体" w:eastAsia="宋体" w:hint="default"/>
                <w:b/>
                <w:bCs/>
                <w:sz w:val="21"/>
                <w:szCs w:val="21"/>
              </w:rPr>
              <w:t>占营业利润</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80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0"/>
              <w:ind w:left="551"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0"/>
              <w:ind w:left="511"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53"/>
              <w:ind w:left="249" w:right="134" w:hanging="106"/>
              <w:jc w:val="left"/>
              <w:rPr>
                <w:rFonts w:ascii="宋体" w:hAnsi="宋体" w:cs="宋体" w:eastAsia="宋体" w:hint="default"/>
                <w:sz w:val="21"/>
                <w:szCs w:val="21"/>
              </w:rPr>
            </w:pPr>
            <w:r>
              <w:rPr>
                <w:rFonts w:ascii="宋体" w:hAnsi="宋体" w:cs="宋体" w:eastAsia="宋体" w:hint="default"/>
                <w:b/>
                <w:bCs/>
                <w:sz w:val="21"/>
                <w:szCs w:val="21"/>
              </w:rPr>
              <w:t>本报告期比上</w:t>
            </w:r>
            <w:r>
              <w:rPr>
                <w:rFonts w:ascii="宋体" w:hAnsi="宋体" w:cs="宋体" w:eastAsia="宋体" w:hint="default"/>
                <w:b/>
                <w:bCs/>
                <w:spacing w:val="-104"/>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0"/>
              <w:ind w:left="511"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71"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、销售费用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0" w:right="0"/>
              <w:jc w:val="left"/>
              <w:rPr>
                <w:rFonts w:ascii="宋体" w:hAnsi="宋体" w:cs="宋体" w:eastAsia="宋体" w:hint="default"/>
                <w:sz w:val="21"/>
                <w:szCs w:val="21"/>
              </w:rPr>
            </w:pPr>
            <w:r>
              <w:rPr>
                <w:rFonts w:ascii="宋体"/>
                <w:sz w:val="21"/>
              </w:rPr>
              <w:t>15.25%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9" w:right="0"/>
              <w:jc w:val="left"/>
              <w:rPr>
                <w:rFonts w:ascii="宋体" w:hAnsi="宋体" w:cs="宋体" w:eastAsia="宋体" w:hint="default"/>
                <w:sz w:val="21"/>
                <w:szCs w:val="21"/>
              </w:rPr>
            </w:pPr>
            <w:r>
              <w:rPr>
                <w:rFonts w:ascii="宋体"/>
                <w:sz w:val="21"/>
              </w:rPr>
              <w:t>17.42%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宋体" w:hAnsi="宋体" w:cs="宋体" w:eastAsia="宋体" w:hint="default"/>
                <w:sz w:val="21"/>
                <w:szCs w:val="21"/>
              </w:rPr>
            </w:pPr>
            <w:r>
              <w:rPr>
                <w:rFonts w:ascii="宋体"/>
                <w:sz w:val="21"/>
              </w:rPr>
              <w:t>-2.18%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9" w:right="0"/>
              <w:jc w:val="left"/>
              <w:rPr>
                <w:rFonts w:ascii="宋体" w:hAnsi="宋体" w:cs="宋体" w:eastAsia="宋体" w:hint="default"/>
                <w:sz w:val="21"/>
                <w:szCs w:val="21"/>
              </w:rPr>
            </w:pPr>
            <w:r>
              <w:rPr>
                <w:rFonts w:ascii="宋体"/>
                <w:sz w:val="21"/>
              </w:rPr>
              <w:t>14.50%</w:t>
            </w:r>
          </w:p>
        </w:tc>
      </w:tr>
      <w:tr>
        <w:trPr>
          <w:trHeight w:val="470"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、管理费用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80" w:right="0"/>
              <w:jc w:val="left"/>
              <w:rPr>
                <w:rFonts w:ascii="宋体" w:hAnsi="宋体" w:cs="宋体" w:eastAsia="宋体" w:hint="default"/>
                <w:sz w:val="21"/>
                <w:szCs w:val="21"/>
              </w:rPr>
            </w:pPr>
            <w:r>
              <w:rPr>
                <w:rFonts w:ascii="宋体"/>
                <w:sz w:val="21"/>
              </w:rPr>
              <w:t>39.26%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39" w:right="0"/>
              <w:jc w:val="left"/>
              <w:rPr>
                <w:rFonts w:ascii="宋体" w:hAnsi="宋体" w:cs="宋体" w:eastAsia="宋体" w:hint="default"/>
                <w:sz w:val="21"/>
                <w:szCs w:val="21"/>
              </w:rPr>
            </w:pPr>
            <w:r>
              <w:rPr>
                <w:rFonts w:ascii="宋体"/>
                <w:sz w:val="21"/>
              </w:rPr>
              <w:t>44.48%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 w:right="0"/>
              <w:jc w:val="center"/>
              <w:rPr>
                <w:rFonts w:ascii="宋体" w:hAnsi="宋体" w:cs="宋体" w:eastAsia="宋体" w:hint="default"/>
                <w:sz w:val="21"/>
                <w:szCs w:val="21"/>
              </w:rPr>
            </w:pPr>
            <w:r>
              <w:rPr>
                <w:rFonts w:ascii="宋体"/>
                <w:sz w:val="21"/>
              </w:rPr>
              <w:t>-5.22%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39" w:right="0"/>
              <w:jc w:val="left"/>
              <w:rPr>
                <w:rFonts w:ascii="宋体" w:hAnsi="宋体" w:cs="宋体" w:eastAsia="宋体" w:hint="default"/>
                <w:sz w:val="21"/>
                <w:szCs w:val="21"/>
              </w:rPr>
            </w:pPr>
            <w:r>
              <w:rPr>
                <w:rFonts w:ascii="宋体"/>
                <w:sz w:val="21"/>
              </w:rPr>
              <w:t>39.89%</w:t>
            </w:r>
          </w:p>
        </w:tc>
      </w:tr>
      <w:tr>
        <w:trPr>
          <w:trHeight w:val="468"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、财务费用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3.05%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2.91%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 w:right="0"/>
              <w:jc w:val="center"/>
              <w:rPr>
                <w:rFonts w:ascii="宋体" w:hAnsi="宋体" w:cs="宋体" w:eastAsia="宋体" w:hint="default"/>
                <w:sz w:val="21"/>
                <w:szCs w:val="21"/>
              </w:rPr>
            </w:pPr>
            <w:r>
              <w:rPr>
                <w:rFonts w:ascii="宋体"/>
                <w:sz w:val="21"/>
              </w:rPr>
              <w:t>0.14%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0.06%</w:t>
            </w:r>
          </w:p>
        </w:tc>
      </w:tr>
      <w:tr>
        <w:trPr>
          <w:trHeight w:val="470"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、所得税费用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0" w:right="0"/>
              <w:jc w:val="left"/>
              <w:rPr>
                <w:rFonts w:ascii="宋体" w:hAnsi="宋体" w:cs="宋体" w:eastAsia="宋体" w:hint="default"/>
                <w:sz w:val="21"/>
                <w:szCs w:val="21"/>
              </w:rPr>
            </w:pPr>
            <w:r>
              <w:rPr>
                <w:rFonts w:ascii="宋体"/>
                <w:sz w:val="21"/>
              </w:rPr>
              <w:t>17.70%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9" w:right="0"/>
              <w:jc w:val="left"/>
              <w:rPr>
                <w:rFonts w:ascii="宋体" w:hAnsi="宋体" w:cs="宋体" w:eastAsia="宋体" w:hint="default"/>
                <w:sz w:val="21"/>
                <w:szCs w:val="21"/>
              </w:rPr>
            </w:pPr>
            <w:r>
              <w:rPr>
                <w:rFonts w:ascii="宋体"/>
                <w:sz w:val="21"/>
              </w:rPr>
              <w:t>18.82%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center"/>
              <w:rPr>
                <w:rFonts w:ascii="宋体" w:hAnsi="宋体" w:cs="宋体" w:eastAsia="宋体" w:hint="default"/>
                <w:sz w:val="21"/>
                <w:szCs w:val="21"/>
              </w:rPr>
            </w:pPr>
            <w:r>
              <w:rPr>
                <w:rFonts w:ascii="宋体"/>
                <w:sz w:val="21"/>
              </w:rPr>
              <w:t>-1.13%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9" w:right="0"/>
              <w:jc w:val="left"/>
              <w:rPr>
                <w:rFonts w:ascii="宋体" w:hAnsi="宋体" w:cs="宋体" w:eastAsia="宋体" w:hint="default"/>
                <w:sz w:val="21"/>
                <w:szCs w:val="21"/>
              </w:rPr>
            </w:pPr>
            <w:r>
              <w:rPr>
                <w:rFonts w:ascii="宋体"/>
                <w:sz w:val="21"/>
              </w:rPr>
              <w:t>15.47%</w:t>
            </w:r>
          </w:p>
        </w:tc>
      </w:tr>
    </w:tbl>
    <w:p>
      <w:pPr>
        <w:spacing w:line="240" w:lineRule="auto" w:before="12"/>
        <w:rPr>
          <w:rFonts w:ascii="宋体" w:hAnsi="宋体" w:cs="宋体" w:eastAsia="宋体" w:hint="default"/>
          <w:sz w:val="10"/>
          <w:szCs w:val="10"/>
        </w:rPr>
      </w:pPr>
    </w:p>
    <w:p>
      <w:pPr>
        <w:pStyle w:val="BodyText"/>
        <w:spacing w:line="240" w:lineRule="auto" w:before="26"/>
        <w:ind w:left="693" w:right="1116"/>
        <w:jc w:val="left"/>
      </w:pPr>
      <w:r>
        <w:rPr/>
        <w:t>主要变动说明：</w:t>
      </w:r>
    </w:p>
    <w:p>
      <w:pPr>
        <w:pStyle w:val="BodyText"/>
        <w:spacing w:line="520" w:lineRule="atLeast"/>
        <w:ind w:left="212" w:right="1116" w:firstLine="480"/>
        <w:jc w:val="left"/>
      </w:pPr>
      <w:r>
        <w:rPr/>
        <w:t>①、报告期公司财务费用比上年同期增加了</w:t>
      </w:r>
      <w:r>
        <w:rPr>
          <w:spacing w:val="-82"/>
        </w:rPr>
        <w:t> </w:t>
      </w:r>
      <w:r>
        <w:rPr>
          <w:rFonts w:ascii="宋体" w:hAnsi="宋体" w:cs="宋体" w:eastAsia="宋体" w:hint="default"/>
        </w:rPr>
        <w:t>24.32%</w:t>
      </w:r>
      <w:r>
        <w:rPr/>
        <w:t>，主要系报告期公司贷款规模增加及 贷款利率上升而增加贷款利息支出所致。</w:t>
      </w:r>
    </w:p>
    <w:p>
      <w:pPr>
        <w:spacing w:after="0" w:line="520" w:lineRule="atLeast"/>
        <w:jc w:val="left"/>
        <w:sectPr>
          <w:pgSz w:w="11910" w:h="16840"/>
          <w:pgMar w:header="920" w:footer="936" w:top="1140" w:bottom="1140" w:left="920" w:right="0"/>
        </w:sectPr>
      </w:pPr>
    </w:p>
    <w:p>
      <w:pPr>
        <w:spacing w:line="240" w:lineRule="auto" w:before="6"/>
        <w:rPr>
          <w:rFonts w:ascii="宋体" w:hAnsi="宋体" w:cs="宋体" w:eastAsia="宋体" w:hint="default"/>
          <w:sz w:val="15"/>
          <w:szCs w:val="15"/>
        </w:rPr>
      </w:pPr>
    </w:p>
    <w:p>
      <w:pPr>
        <w:pStyle w:val="BodyText"/>
        <w:spacing w:line="398" w:lineRule="auto" w:before="26"/>
        <w:ind w:right="1133" w:firstLine="480"/>
        <w:jc w:val="both"/>
      </w:pPr>
      <w:r>
        <w:rPr/>
        <w:t>②、报告期公司所得税费用比上年同期增加了</w:t>
      </w:r>
      <w:r>
        <w:rPr>
          <w:spacing w:val="-81"/>
        </w:rPr>
        <w:t> </w:t>
      </w:r>
      <w:r>
        <w:rPr>
          <w:rFonts w:ascii="宋体" w:hAnsi="宋体" w:cs="宋体" w:eastAsia="宋体" w:hint="default"/>
        </w:rPr>
        <w:t>11.61%</w:t>
      </w:r>
      <w:r>
        <w:rPr/>
        <w:t>，主要系报告期公司及全资子公司 安徽安泰和贵州劲嘉利润总额增加相应增加所得税费用所致。</w:t>
      </w:r>
    </w:p>
    <w:p>
      <w:pPr>
        <w:pStyle w:val="Heading3"/>
        <w:spacing w:line="355" w:lineRule="auto" w:before="79"/>
        <w:ind w:right="1015"/>
        <w:jc w:val="both"/>
        <w:rPr>
          <w:b w:val="0"/>
          <w:bCs w:val="0"/>
        </w:rPr>
      </w:pPr>
      <w:r>
        <w:rPr>
          <w:spacing w:val="-3"/>
        </w:rPr>
        <w:t>（三）国内外市场形势变化、信贷政策调整、汇率利率变动、成本要素价格变化、自然灾害、</w:t>
      </w:r>
      <w:r>
        <w:rPr>
          <w:w w:val="99"/>
        </w:rPr>
        <w:t> </w:t>
      </w:r>
      <w:r>
        <w:rPr/>
        <w:t>通货膨胀或通货紧缩情形等对企业盈利能力会产生一定影响，主要如下：</w:t>
      </w:r>
      <w:r>
        <w:rPr>
          <w:b w:val="0"/>
          <w:bCs w:val="0"/>
        </w:rPr>
      </w:r>
    </w:p>
    <w:p>
      <w:pPr>
        <w:pStyle w:val="BodyText"/>
        <w:spacing w:line="355" w:lineRule="auto" w:before="158"/>
        <w:ind w:right="1131" w:firstLine="480"/>
        <w:jc w:val="both"/>
      </w:pPr>
      <w:r>
        <w:rPr>
          <w:rFonts w:ascii="宋体" w:hAnsi="宋体" w:cs="宋体" w:eastAsia="宋体" w:hint="default"/>
        </w:rPr>
        <w:t>1</w:t>
      </w:r>
      <w:r>
        <w:rPr/>
        <w:t>、如果全国实行大规模禁烟，或者实行烟标</w:t>
      </w:r>
      <w:r>
        <w:rPr>
          <w:spacing w:val="-81"/>
        </w:rPr>
        <w:t> </w:t>
      </w:r>
      <w:r>
        <w:rPr>
          <w:rFonts w:ascii="宋体" w:hAnsi="宋体" w:cs="宋体" w:eastAsia="宋体" w:hint="default"/>
        </w:rPr>
        <w:t>30%</w:t>
      </w:r>
      <w:r>
        <w:rPr/>
        <w:t>面积的图片警示，可能会对烟标产品的 市场销售带来不利影响。</w:t>
      </w:r>
    </w:p>
    <w:p>
      <w:pPr>
        <w:spacing w:line="240" w:lineRule="auto" w:before="0"/>
        <w:rPr>
          <w:rFonts w:ascii="宋体" w:hAnsi="宋体" w:cs="宋体" w:eastAsia="宋体" w:hint="default"/>
          <w:sz w:val="22"/>
          <w:szCs w:val="22"/>
        </w:rPr>
      </w:pPr>
    </w:p>
    <w:p>
      <w:pPr>
        <w:pStyle w:val="BodyText"/>
        <w:spacing w:line="396" w:lineRule="auto"/>
        <w:ind w:right="0" w:firstLine="557"/>
        <w:jc w:val="left"/>
      </w:pPr>
      <w:r>
        <w:rPr>
          <w:rFonts w:ascii="宋体" w:hAnsi="宋体" w:cs="宋体" w:eastAsia="宋体" w:hint="default"/>
        </w:rPr>
        <w:t>2</w:t>
      </w:r>
      <w:r>
        <w:rPr/>
        <w:t>、如果人民币汇率大幅下降或者产生严重的通货膨胀，烟标产品生产成本可能发生上 升，从而影响公司的盈利能力。</w:t>
      </w:r>
    </w:p>
    <w:p>
      <w:pPr>
        <w:pStyle w:val="BodyText"/>
        <w:spacing w:line="396" w:lineRule="auto" w:before="91"/>
        <w:ind w:right="0" w:firstLine="557"/>
        <w:jc w:val="left"/>
      </w:pPr>
      <w:r>
        <w:rPr>
          <w:rFonts w:ascii="宋体" w:hAnsi="宋体" w:cs="宋体" w:eastAsia="宋体" w:hint="default"/>
        </w:rPr>
        <w:t>3</w:t>
      </w:r>
      <w:r>
        <w:rPr/>
        <w:t>、如果出现严重的通货紧缩，国内经济活动减弱，会影响到卷烟的消费，从而对烟标</w:t>
      </w:r>
      <w:r>
        <w:rPr>
          <w:spacing w:val="2"/>
        </w:rPr>
        <w:t> </w:t>
      </w:r>
      <w:r>
        <w:rPr/>
        <w:t>产品的市场销售带来不利影响。</w:t>
      </w:r>
    </w:p>
    <w:p>
      <w:pPr>
        <w:pStyle w:val="BodyText"/>
        <w:spacing w:line="396" w:lineRule="auto" w:before="91"/>
        <w:ind w:right="996" w:firstLine="557"/>
        <w:jc w:val="left"/>
      </w:pPr>
      <w:r>
        <w:rPr>
          <w:rFonts w:ascii="宋体" w:hAnsi="宋体" w:cs="宋体" w:eastAsia="宋体" w:hint="default"/>
          <w:spacing w:val="-1"/>
        </w:rPr>
        <w:t>4</w:t>
      </w:r>
      <w:r>
        <w:rPr>
          <w:spacing w:val="-1"/>
        </w:rPr>
        <w:t>、如果出现重大自然灾害，烟叶的供应量大幅度减少，导致卷烟的生产量大幅度减少，</w:t>
      </w:r>
      <w:r>
        <w:rPr/>
        <w:t> 会造成烟标的销售市场萎缩。</w:t>
      </w:r>
    </w:p>
    <w:p>
      <w:pPr>
        <w:pStyle w:val="Heading3"/>
        <w:spacing w:line="240" w:lineRule="auto" w:before="82"/>
        <w:ind w:right="0"/>
        <w:jc w:val="both"/>
        <w:rPr>
          <w:b w:val="0"/>
          <w:bCs w:val="0"/>
        </w:rPr>
      </w:pPr>
      <w:r>
        <w:rPr/>
        <w:t>（四）公司经营环境分析</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ind w:left="533"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9"/>
        </w:rPr>
        <w:t> </w:t>
      </w:r>
      <w:r>
        <w:rPr/>
        <w:t>年烟草行业仍保持强劲增长势头。各中烟公司围绕国家烟草总局“卷烟上水平”的</w:t>
      </w:r>
    </w:p>
    <w:p>
      <w:pPr>
        <w:pStyle w:val="BodyText"/>
        <w:spacing w:line="338" w:lineRule="auto" w:before="136"/>
        <w:ind w:right="1071"/>
        <w:jc w:val="both"/>
      </w:pPr>
      <w:r>
        <w:rPr/>
        <w:t>基本方针和战略，实现卷烟产量</w:t>
      </w:r>
      <w:r>
        <w:rPr>
          <w:spacing w:val="-61"/>
        </w:rPr>
        <w:t> </w:t>
      </w:r>
      <w:r>
        <w:rPr>
          <w:rFonts w:ascii="Times New Roman" w:hAnsi="Times New Roman" w:cs="Times New Roman" w:eastAsia="Times New Roman" w:hint="default"/>
        </w:rPr>
        <w:t>4850</w:t>
      </w:r>
      <w:r>
        <w:rPr>
          <w:rFonts w:ascii="Times New Roman" w:hAnsi="Times New Roman" w:cs="Times New Roman" w:eastAsia="Times New Roman" w:hint="default"/>
          <w:spacing w:val="-1"/>
        </w:rPr>
        <w:t> </w:t>
      </w:r>
      <w:r>
        <w:rPr/>
        <w:t>万箱、销量</w:t>
      </w:r>
      <w:r>
        <w:rPr>
          <w:spacing w:val="-61"/>
        </w:rPr>
        <w:t> </w:t>
      </w:r>
      <w:r>
        <w:rPr>
          <w:rFonts w:ascii="Times New Roman" w:hAnsi="Times New Roman" w:cs="Times New Roman" w:eastAsia="Times New Roman" w:hint="default"/>
        </w:rPr>
        <w:t>4825</w:t>
      </w:r>
      <w:r>
        <w:rPr>
          <w:rFonts w:ascii="Times New Roman" w:hAnsi="Times New Roman" w:cs="Times New Roman" w:eastAsia="Times New Roman" w:hint="default"/>
          <w:spacing w:val="-1"/>
        </w:rPr>
        <w:t> </w:t>
      </w:r>
      <w:r>
        <w:rPr/>
        <w:t>万箱，同比分别增长</w:t>
      </w:r>
      <w:r>
        <w:rPr>
          <w:spacing w:val="-61"/>
        </w:rPr>
        <w:t> </w:t>
      </w:r>
      <w:r>
        <w:rPr>
          <w:rFonts w:ascii="Times New Roman" w:hAnsi="Times New Roman" w:cs="Times New Roman" w:eastAsia="Times New Roman" w:hint="default"/>
        </w:rPr>
        <w:t>2.99%</w:t>
      </w:r>
      <w:r>
        <w:rPr/>
        <w:t>、</w:t>
      </w:r>
      <w:r>
        <w:rPr>
          <w:rFonts w:ascii="Times New Roman" w:hAnsi="Times New Roman" w:cs="Times New Roman" w:eastAsia="Times New Roman" w:hint="default"/>
        </w:rPr>
        <w:t>2.97%</w:t>
      </w:r>
      <w:r>
        <w:rPr/>
        <w:t>； 税利</w:t>
      </w:r>
      <w:r>
        <w:rPr>
          <w:spacing w:val="-42"/>
        </w:rPr>
        <w:t> </w:t>
      </w:r>
      <w:r>
        <w:rPr>
          <w:rFonts w:ascii="Times New Roman" w:hAnsi="Times New Roman" w:cs="Times New Roman" w:eastAsia="Times New Roman" w:hint="default"/>
        </w:rPr>
        <w:t>7530</w:t>
      </w:r>
      <w:r>
        <w:rPr>
          <w:rFonts w:ascii="Times New Roman" w:hAnsi="Times New Roman" w:cs="Times New Roman" w:eastAsia="Times New Roman" w:hint="default"/>
          <w:spacing w:val="17"/>
        </w:rPr>
        <w:t> </w:t>
      </w:r>
      <w:r>
        <w:rPr/>
        <w:t>亿元，同比增长</w:t>
      </w:r>
      <w:r>
        <w:rPr>
          <w:spacing w:val="-42"/>
        </w:rPr>
        <w:t> </w:t>
      </w:r>
      <w:r>
        <w:rPr>
          <w:rFonts w:ascii="Times New Roman" w:hAnsi="Times New Roman" w:cs="Times New Roman" w:eastAsia="Times New Roman" w:hint="default"/>
          <w:spacing w:val="-7"/>
          <w:w w:val="100"/>
        </w:rPr>
        <w:t>22.5%</w:t>
      </w:r>
      <w:r>
        <w:rPr>
          <w:spacing w:val="-7"/>
          <w:w w:val="100"/>
        </w:rPr>
        <w:t>。国内烟草行业以“</w:t>
      </w:r>
      <w:r>
        <w:rPr>
          <w:rFonts w:ascii="Times New Roman" w:hAnsi="Times New Roman" w:cs="Times New Roman" w:eastAsia="Times New Roman" w:hint="default"/>
          <w:spacing w:val="-7"/>
          <w:w w:val="100"/>
        </w:rPr>
        <w:t>5-3-2</w:t>
      </w:r>
      <w:r>
        <w:rPr>
          <w:spacing w:val="-7"/>
          <w:w w:val="100"/>
        </w:rPr>
        <w:t>”、“</w:t>
      </w:r>
      <w:r>
        <w:rPr>
          <w:rFonts w:ascii="Times New Roman" w:hAnsi="Times New Roman" w:cs="Times New Roman" w:eastAsia="Times New Roman" w:hint="default"/>
          <w:spacing w:val="-7"/>
          <w:w w:val="100"/>
        </w:rPr>
        <w:t>4-6-1</w:t>
      </w:r>
      <w:r>
        <w:rPr>
          <w:spacing w:val="-7"/>
          <w:w w:val="100"/>
        </w:rPr>
        <w:t>”</w:t>
      </w:r>
      <w:r>
        <w:rPr>
          <w:rFonts w:ascii="Times New Roman" w:hAnsi="Times New Roman" w:cs="Times New Roman" w:eastAsia="Times New Roman" w:hint="default"/>
          <w:spacing w:val="-7"/>
          <w:w w:val="100"/>
          <w:position w:val="11"/>
          <w:sz w:val="16"/>
          <w:szCs w:val="16"/>
        </w:rPr>
        <w:t>1</w:t>
      </w:r>
      <w:r>
        <w:rPr>
          <w:spacing w:val="-7"/>
          <w:w w:val="100"/>
        </w:rPr>
        <w:t>知名品牌为主导的品</w:t>
      </w:r>
      <w:r>
        <w:rPr>
          <w:spacing w:val="-114"/>
          <w:w w:val="100"/>
        </w:rPr>
        <w:t> </w:t>
      </w:r>
      <w:r>
        <w:rPr/>
        <w:t>牌发展格局加快形成。有</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个品牌超过</w:t>
      </w:r>
      <w:r>
        <w:rPr>
          <w:spacing w:val="-64"/>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spacing w:val="-3"/>
        </w:rPr>
        <w:t>万箱。另外，品牌合作生产有效推进，品牌合作</w:t>
      </w:r>
      <w:r>
        <w:rPr/>
        <w:t> 生产量达到</w:t>
      </w:r>
      <w:r>
        <w:rPr>
          <w:spacing w:val="-57"/>
        </w:rPr>
        <w:t> </w:t>
      </w:r>
      <w:r>
        <w:rPr>
          <w:rFonts w:ascii="Times New Roman" w:hAnsi="Times New Roman" w:cs="Times New Roman" w:eastAsia="Times New Roman" w:hint="default"/>
        </w:rPr>
        <w:t>622.79</w:t>
      </w:r>
      <w:r>
        <w:rPr>
          <w:rFonts w:ascii="Times New Roman" w:hAnsi="Times New Roman" w:cs="Times New Roman" w:eastAsia="Times New Roman" w:hint="default"/>
          <w:spacing w:val="3"/>
        </w:rPr>
        <w:t> </w:t>
      </w:r>
      <w:r>
        <w:rPr>
          <w:spacing w:val="-5"/>
        </w:rPr>
        <w:t>万箱，同比增长</w:t>
      </w:r>
      <w:r>
        <w:rPr>
          <w:spacing w:val="-57"/>
        </w:rPr>
        <w:t> </w:t>
      </w:r>
      <w:r>
        <w:rPr>
          <w:rFonts w:ascii="Times New Roman" w:hAnsi="Times New Roman" w:cs="Times New Roman" w:eastAsia="Times New Roman" w:hint="default"/>
          <w:spacing w:val="-3"/>
        </w:rPr>
        <w:t>20.87%</w:t>
      </w:r>
      <w:r>
        <w:rPr>
          <w:spacing w:val="-3"/>
        </w:rPr>
        <w:t>。今年国家烟草总局将继续扩大，并决定专门安排</w:t>
      </w:r>
      <w:r>
        <w:rPr>
          <w:spacing w:val="-116"/>
        </w:rPr>
        <w:t> </w:t>
      </w:r>
      <w:r>
        <w:rPr>
          <w:spacing w:val="-116"/>
        </w:rPr>
      </w:r>
      <w:r>
        <w:rPr/>
        <w:t>计划，鼓励品牌合作生产。</w:t>
      </w:r>
    </w:p>
    <w:p>
      <w:pPr>
        <w:spacing w:line="240" w:lineRule="auto" w:before="7"/>
        <w:rPr>
          <w:rFonts w:ascii="宋体" w:hAnsi="宋体" w:cs="宋体" w:eastAsia="宋体" w:hint="default"/>
          <w:sz w:val="31"/>
          <w:szCs w:val="31"/>
        </w:rPr>
      </w:pPr>
    </w:p>
    <w:p>
      <w:pPr>
        <w:pStyle w:val="BodyText"/>
        <w:spacing w:line="240" w:lineRule="auto"/>
        <w:ind w:left="396" w:right="0"/>
        <w:jc w:val="left"/>
      </w:pPr>
      <w:r>
        <w:rPr>
          <w:rFonts w:ascii="Times New Roman" w:hAnsi="Times New Roman" w:cs="Times New Roman" w:eastAsia="Times New Roman" w:hint="default"/>
        </w:rPr>
        <w:t>1</w:t>
      </w:r>
      <w:r>
        <w:rPr/>
        <w:t>、</w:t>
      </w:r>
      <w:r>
        <w:rPr>
          <w:spacing w:val="76"/>
        </w:rPr>
        <w:t> </w:t>
      </w:r>
      <w:r>
        <w:rPr/>
        <w:t>行业竞争情况分析</w:t>
      </w:r>
    </w:p>
    <w:p>
      <w:pPr>
        <w:pStyle w:val="BodyText"/>
        <w:spacing w:line="348" w:lineRule="auto" w:before="176"/>
        <w:ind w:right="1128"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38"/>
        </w:rPr>
        <w:t> </w:t>
      </w:r>
      <w:r>
        <w:rPr/>
        <w:t>年烟草行业将继续推进烟标全国招标采购工作，国家重点品牌规模持续扩大，对于 烟标生产企业的集中程度也提出了更大的挑战。一是重点品牌市场主导作用进一步显现，影</w:t>
      </w:r>
      <w:r>
        <w:rPr>
          <w:spacing w:val="-89"/>
        </w:rPr>
        <w:t> </w:t>
      </w:r>
      <w:r>
        <w:rPr>
          <w:spacing w:val="-89"/>
        </w:rPr>
      </w:r>
      <w:r>
        <w:rPr/>
        <w:t>响力进一步增强。二是重点品牌价值大幅提升。有</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个品牌销量超过</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13"/>
        </w:rPr>
        <w:t> </w:t>
      </w:r>
      <w:r>
        <w:rPr>
          <w:w w:val="93"/>
        </w:rPr>
        <w:t>万箱，其中</w:t>
      </w:r>
      <w:r>
        <w:rPr>
          <w:rFonts w:ascii="Times New Roman" w:hAnsi="Times New Roman" w:cs="Times New Roman" w:eastAsia="Times New Roman" w:hint="default"/>
          <w:w w:val="93"/>
        </w:rPr>
        <w:t>―</w:t>
      </w:r>
      <w:r>
        <w:rPr>
          <w:w w:val="93"/>
        </w:rPr>
        <w:t>红塔</w:t>
      </w:r>
    </w:p>
    <w:p>
      <w:pPr>
        <w:pStyle w:val="BodyText"/>
        <w:spacing w:line="240" w:lineRule="auto" w:before="13"/>
        <w:ind w:right="0"/>
        <w:jc w:val="both"/>
      </w:pPr>
      <w:r>
        <w:rPr/>
        <w:t>山</w:t>
      </w:r>
      <w:r>
        <w:rPr>
          <w:rFonts w:ascii="Times New Roman" w:hAnsi="Times New Roman" w:cs="Times New Roman" w:eastAsia="Times New Roman" w:hint="default"/>
          <w:spacing w:val="-1"/>
          <w:w w:val="158"/>
        </w:rPr>
        <w:t>‖</w:t>
      </w:r>
      <w:r>
        <w:rPr>
          <w:spacing w:val="-10"/>
        </w:rPr>
        <w:t>、</w:t>
      </w:r>
      <w:r>
        <w:rPr>
          <w:rFonts w:ascii="Times New Roman" w:hAnsi="Times New Roman" w:cs="Times New Roman" w:eastAsia="Times New Roman" w:hint="default"/>
          <w:spacing w:val="-1"/>
          <w:w w:val="44"/>
        </w:rPr>
        <w:t>―</w:t>
      </w:r>
      <w:r>
        <w:rPr/>
        <w:t>白</w:t>
      </w:r>
      <w:r>
        <w:rPr>
          <w:spacing w:val="-1"/>
        </w:rPr>
        <w:t>沙</w:t>
      </w:r>
      <w:r>
        <w:rPr>
          <w:rFonts w:ascii="Times New Roman" w:hAnsi="Times New Roman" w:cs="Times New Roman" w:eastAsia="Times New Roman" w:hint="default"/>
          <w:spacing w:val="-1"/>
          <w:w w:val="158"/>
        </w:rPr>
        <w:t>‖</w:t>
      </w:r>
      <w:r>
        <w:rPr>
          <w:spacing w:val="-10"/>
        </w:rPr>
        <w:t>、</w:t>
      </w:r>
      <w:r>
        <w:rPr>
          <w:rFonts w:ascii="Times New Roman" w:hAnsi="Times New Roman" w:cs="Times New Roman" w:eastAsia="Times New Roman" w:hint="default"/>
          <w:spacing w:val="-1"/>
          <w:w w:val="44"/>
        </w:rPr>
        <w:t>―</w:t>
      </w:r>
      <w:r>
        <w:rPr/>
        <w:t>双喜</w:t>
      </w:r>
      <w:r>
        <w:rPr>
          <w:rFonts w:ascii="Times New Roman" w:hAnsi="Times New Roman" w:cs="Times New Roman" w:eastAsia="Times New Roman" w:hint="default"/>
          <w:spacing w:val="-1"/>
          <w:w w:val="158"/>
        </w:rPr>
        <w:t>‖</w:t>
      </w:r>
      <w:r>
        <w:rPr>
          <w:spacing w:val="2"/>
        </w:rPr>
        <w:t>超</w:t>
      </w:r>
      <w:r>
        <w:rPr/>
        <w:t>过</w:t>
      </w:r>
      <w:r>
        <w:rPr>
          <w:spacing w:val="-60"/>
        </w:rPr>
        <w:t> </w:t>
      </w:r>
      <w:r>
        <w:rPr>
          <w:rFonts w:ascii="Times New Roman" w:hAnsi="Times New Roman" w:cs="Times New Roman" w:eastAsia="Times New Roman" w:hint="default"/>
        </w:rPr>
        <w:t>300 </w:t>
      </w:r>
      <w:r>
        <w:rPr/>
        <w:t>万箱</w:t>
      </w:r>
      <w:r>
        <w:rPr>
          <w:spacing w:val="-10"/>
        </w:rPr>
        <w:t>，</w:t>
      </w:r>
      <w:r>
        <w:rPr>
          <w:rFonts w:ascii="Times New Roman" w:hAnsi="Times New Roman" w:cs="Times New Roman" w:eastAsia="Times New Roman" w:hint="default"/>
          <w:spacing w:val="-1"/>
          <w:w w:val="44"/>
        </w:rPr>
        <w:t>―</w:t>
      </w:r>
      <w:r>
        <w:rPr/>
        <w:t>云烟</w:t>
      </w:r>
      <w:r>
        <w:rPr>
          <w:rFonts w:ascii="Times New Roman" w:hAnsi="Times New Roman" w:cs="Times New Roman" w:eastAsia="Times New Roman" w:hint="default"/>
          <w:spacing w:val="-1"/>
          <w:w w:val="158"/>
        </w:rPr>
        <w:t>‖</w:t>
      </w:r>
      <w:r>
        <w:rPr>
          <w:spacing w:val="-10"/>
        </w:rPr>
        <w:t>、</w:t>
      </w:r>
      <w:r>
        <w:rPr>
          <w:rFonts w:ascii="Times New Roman" w:hAnsi="Times New Roman" w:cs="Times New Roman" w:eastAsia="Times New Roman" w:hint="default"/>
          <w:spacing w:val="-1"/>
          <w:w w:val="44"/>
        </w:rPr>
        <w:t>―</w:t>
      </w:r>
      <w:r>
        <w:rPr/>
        <w:t>红河</w:t>
      </w:r>
      <w:r>
        <w:rPr>
          <w:rFonts w:ascii="Times New Roman" w:hAnsi="Times New Roman" w:cs="Times New Roman" w:eastAsia="Times New Roman" w:hint="default"/>
          <w:spacing w:val="-1"/>
          <w:w w:val="158"/>
        </w:rPr>
        <w:t>‖</w:t>
      </w:r>
      <w:r>
        <w:rPr/>
        <w:t>超过</w:t>
      </w:r>
      <w:r>
        <w:rPr>
          <w:spacing w:val="-60"/>
        </w:rPr>
        <w:t> </w:t>
      </w:r>
      <w:r>
        <w:rPr>
          <w:rFonts w:ascii="Times New Roman" w:hAnsi="Times New Roman" w:cs="Times New Roman" w:eastAsia="Times New Roman" w:hint="default"/>
        </w:rPr>
        <w:t>200 </w:t>
      </w:r>
      <w:r>
        <w:rPr/>
        <w:t>万箱</w:t>
      </w:r>
      <w:r>
        <w:rPr>
          <w:spacing w:val="-10"/>
        </w:rPr>
        <w:t>，</w:t>
      </w:r>
      <w:r>
        <w:rPr>
          <w:rFonts w:ascii="Times New Roman" w:hAnsi="Times New Roman" w:cs="Times New Roman" w:eastAsia="Times New Roman" w:hint="default"/>
          <w:spacing w:val="-1"/>
          <w:w w:val="44"/>
        </w:rPr>
        <w:t>―</w:t>
      </w:r>
      <w:r>
        <w:rPr>
          <w:rFonts w:ascii="Times New Roman" w:hAnsi="Times New Roman" w:cs="Times New Roman" w:eastAsia="Times New Roman" w:hint="default"/>
          <w:w w:val="109"/>
        </w:rPr>
        <w:t>532</w:t>
      </w:r>
      <w:r>
        <w:rPr>
          <w:rFonts w:ascii="Times New Roman" w:hAnsi="Times New Roman" w:cs="Times New Roman" w:eastAsia="Times New Roman" w:hint="default"/>
          <w:spacing w:val="-1"/>
          <w:w w:val="109"/>
        </w:rPr>
        <w:t>‖</w:t>
      </w:r>
      <w:r>
        <w:rPr/>
        <w:t>品牌发展目标</w:t>
      </w:r>
      <w:r>
        <w:rPr>
          <w:spacing w:val="2"/>
        </w:rPr>
        <w:t>正</w:t>
      </w:r>
      <w:r>
        <w:rPr/>
        <w:t>在</w:t>
      </w:r>
    </w:p>
    <w:p>
      <w:pPr>
        <w:pStyle w:val="BodyText"/>
        <w:spacing w:line="240" w:lineRule="auto" w:before="135"/>
        <w:ind w:right="0"/>
        <w:jc w:val="both"/>
      </w:pPr>
      <w:r>
        <w:rPr/>
        <w:t>加快推进</w:t>
      </w:r>
      <w:r>
        <w:rPr>
          <w:spacing w:val="-46"/>
        </w:rPr>
        <w:t>；</w:t>
      </w:r>
      <w:r>
        <w:rPr/>
        <w:t>有</w:t>
      </w:r>
      <w:r>
        <w:rPr>
          <w:spacing w:val="-60"/>
        </w:rPr>
        <w:t> </w:t>
      </w:r>
      <w:r>
        <w:rPr>
          <w:rFonts w:ascii="Times New Roman" w:hAnsi="Times New Roman" w:cs="Times New Roman" w:eastAsia="Times New Roman" w:hint="default"/>
        </w:rPr>
        <w:t>9 </w:t>
      </w:r>
      <w:r>
        <w:rPr/>
        <w:t>个品牌商业批发销售收入超过</w:t>
      </w:r>
      <w:r>
        <w:rPr>
          <w:spacing w:val="-60"/>
        </w:rPr>
        <w:t> </w:t>
      </w:r>
      <w:r>
        <w:rPr>
          <w:rFonts w:ascii="Times New Roman" w:hAnsi="Times New Roman" w:cs="Times New Roman" w:eastAsia="Times New Roman" w:hint="default"/>
        </w:rPr>
        <w:t>400 </w:t>
      </w:r>
      <w:r>
        <w:rPr/>
        <w:t>亿元</w:t>
      </w:r>
      <w:r>
        <w:rPr>
          <w:spacing w:val="-46"/>
        </w:rPr>
        <w:t>，</w:t>
      </w:r>
      <w:r>
        <w:rPr>
          <w:rFonts w:ascii="Times New Roman" w:hAnsi="Times New Roman" w:cs="Times New Roman" w:eastAsia="Times New Roman" w:hint="default"/>
          <w:spacing w:val="-1"/>
          <w:w w:val="44"/>
        </w:rPr>
        <w:t>―</w:t>
      </w:r>
      <w:r>
        <w:rPr>
          <w:rFonts w:ascii="Times New Roman" w:hAnsi="Times New Roman" w:cs="Times New Roman" w:eastAsia="Times New Roman" w:hint="default"/>
          <w:w w:val="109"/>
        </w:rPr>
        <w:t>461</w:t>
      </w:r>
      <w:r>
        <w:rPr>
          <w:rFonts w:ascii="Times New Roman" w:hAnsi="Times New Roman" w:cs="Times New Roman" w:eastAsia="Times New Roman" w:hint="default"/>
          <w:spacing w:val="-1"/>
          <w:w w:val="109"/>
        </w:rPr>
        <w:t>‖</w:t>
      </w:r>
      <w:r>
        <w:rPr/>
        <w:t>知</w:t>
      </w:r>
      <w:r>
        <w:rPr>
          <w:spacing w:val="2"/>
        </w:rPr>
        <w:t>名</w:t>
      </w:r>
      <w:r>
        <w:rPr/>
        <w:t>品牌格局已初步形成</w:t>
      </w:r>
      <w:r>
        <w:rPr>
          <w:spacing w:val="-45"/>
        </w:rPr>
        <w:t>。</w:t>
      </w:r>
      <w:r>
        <w:rPr>
          <w:rFonts w:ascii="Times New Roman" w:hAnsi="Times New Roman" w:cs="Times New Roman" w:eastAsia="Times New Roman" w:hint="default"/>
          <w:spacing w:val="1"/>
        </w:rPr>
        <w:t>(</w:t>
      </w:r>
      <w:r>
        <w:rPr/>
        <w:t>数</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144.550pt;height:.5pt;mso-position-horizontal-relative:char;mso-position-vertical-relative:line" coordorigin="0,0" coordsize="2891,10">
            <v:group style="position:absolute;left:5;top:5;width:2881;height:2" coordorigin="5,5" coordsize="2881,2">
              <v:shape style="position:absolute;left:5;top:5;width:2881;height:2" coordorigin="5,5" coordsize="2881,0" path="m5,5l2886,5e" filled="false" stroked="true" strokeweight=".47998pt" strokecolor="#000000">
                <v:path arrowok="t"/>
              </v:shape>
            </v:group>
          </v:group>
        </w:pict>
      </w:r>
      <w:r>
        <w:rPr>
          <w:rFonts w:ascii="宋体" w:hAnsi="宋体" w:cs="宋体" w:eastAsia="宋体" w:hint="default"/>
          <w:sz w:val="2"/>
          <w:szCs w:val="2"/>
        </w:rPr>
      </w:r>
    </w:p>
    <w:p>
      <w:pPr>
        <w:spacing w:line="293" w:lineRule="exact" w:before="28"/>
        <w:ind w:left="112" w:right="0" w:firstLine="0"/>
        <w:jc w:val="left"/>
        <w:rPr>
          <w:rFonts w:ascii="宋体" w:hAnsi="宋体" w:cs="宋体" w:eastAsia="宋体" w:hint="default"/>
          <w:sz w:val="18"/>
          <w:szCs w:val="18"/>
        </w:rPr>
      </w:pPr>
      <w:r>
        <w:rPr>
          <w:rFonts w:ascii="Times New Roman" w:hAnsi="Times New Roman" w:cs="Times New Roman" w:eastAsia="Times New Roman" w:hint="default"/>
          <w:position w:val="11"/>
          <w:sz w:val="16"/>
          <w:szCs w:val="16"/>
        </w:rPr>
        <w:t>1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年全国烟草工作会议上，国家烟草专卖局提出卷烟品牌的“</w:t>
      </w:r>
      <w:r>
        <w:rPr>
          <w:rFonts w:ascii="Times New Roman" w:hAnsi="Times New Roman" w:cs="Times New Roman" w:eastAsia="Times New Roman" w:hint="default"/>
          <w:sz w:val="18"/>
          <w:szCs w:val="18"/>
        </w:rPr>
        <w:t>532</w:t>
      </w:r>
      <w:r>
        <w:rPr>
          <w:rFonts w:ascii="宋体" w:hAnsi="宋体" w:cs="宋体" w:eastAsia="宋体" w:hint="default"/>
          <w:sz w:val="18"/>
          <w:szCs w:val="18"/>
        </w:rPr>
        <w:t>”发展规划和销售收入“</w:t>
      </w:r>
      <w:r>
        <w:rPr>
          <w:rFonts w:ascii="Times New Roman" w:hAnsi="Times New Roman" w:cs="Times New Roman" w:eastAsia="Times New Roman" w:hint="default"/>
          <w:sz w:val="18"/>
          <w:szCs w:val="18"/>
        </w:rPr>
        <w:t>461</w:t>
      </w:r>
      <w:r>
        <w:rPr>
          <w:rFonts w:ascii="宋体" w:hAnsi="宋体" w:cs="宋体" w:eastAsia="宋体" w:hint="default"/>
          <w:sz w:val="18"/>
          <w:szCs w:val="18"/>
        </w:rPr>
        <w:t>”目标，即要争取用五</w:t>
      </w:r>
    </w:p>
    <w:p>
      <w:pPr>
        <w:spacing w:line="235" w:lineRule="exact"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年或更长一段的时间，着力培育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个年产量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万箱、</w:t>
      </w:r>
      <w:r>
        <w:rPr>
          <w:rFonts w:ascii="Times New Roman" w:hAnsi="Times New Roman" w:cs="Times New Roman" w:eastAsia="Times New Roman" w:hint="default"/>
          <w:sz w:val="18"/>
          <w:szCs w:val="18"/>
        </w:rPr>
        <w:t>3 </w:t>
      </w:r>
      <w:r>
        <w:rPr>
          <w:rFonts w:ascii="宋体" w:hAnsi="宋体" w:cs="宋体" w:eastAsia="宋体" w:hint="default"/>
          <w:sz w:val="18"/>
          <w:szCs w:val="18"/>
        </w:rPr>
        <w:t>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万箱、</w:t>
      </w:r>
      <w:r>
        <w:rPr>
          <w:rFonts w:ascii="Times New Roman" w:hAnsi="Times New Roman" w:cs="Times New Roman" w:eastAsia="Times New Roman" w:hint="default"/>
          <w:sz w:val="18"/>
          <w:szCs w:val="18"/>
        </w:rPr>
        <w:t>2 </w:t>
      </w:r>
      <w:r>
        <w:rPr>
          <w:rFonts w:ascii="宋体" w:hAnsi="宋体" w:cs="宋体" w:eastAsia="宋体" w:hint="default"/>
          <w:sz w:val="18"/>
          <w:szCs w:val="18"/>
        </w:rPr>
        <w:t>个</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万箱重点骨干品牌，努力形成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个销售收</w:t>
      </w:r>
    </w:p>
    <w:p>
      <w:pPr>
        <w:spacing w:line="241" w:lineRule="exact"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入超过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亿元的品牌，其中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亿元。</w:t>
      </w:r>
    </w:p>
    <w:p>
      <w:pPr>
        <w:spacing w:after="0" w:line="241" w:lineRule="exact"/>
        <w:jc w:val="left"/>
        <w:rPr>
          <w:rFonts w:ascii="宋体" w:hAnsi="宋体" w:cs="宋体" w:eastAsia="宋体" w:hint="default"/>
          <w:sz w:val="18"/>
          <w:szCs w:val="18"/>
        </w:rPr>
        <w:sectPr>
          <w:pgSz w:w="11910" w:h="16840"/>
          <w:pgMar w:header="920" w:footer="936" w:top="1140" w:bottom="1120" w:left="1020" w:right="0"/>
        </w:sectPr>
      </w:pPr>
    </w:p>
    <w:p>
      <w:pPr>
        <w:pStyle w:val="BodyText"/>
        <w:spacing w:line="367" w:lineRule="auto" w:before="19"/>
        <w:ind w:left="593" w:right="1153" w:hanging="481"/>
        <w:jc w:val="left"/>
      </w:pPr>
      <w:r>
        <w:rPr/>
        <w:t>据来源：国家烟草局统计数据</w:t>
      </w:r>
      <w:r>
        <w:rPr>
          <w:rFonts w:ascii="Times New Roman" w:hAnsi="Times New Roman" w:cs="Times New Roman" w:eastAsia="Times New Roman" w:hint="default"/>
        </w:rPr>
        <w:t>)</w:t>
      </w:r>
      <w:r>
        <w:rPr/>
        <w:t>。 目前公司在烟草重点区域市场布局更趋合理，在云南、贵州、川渝、江西、江苏的下属</w:t>
      </w:r>
    </w:p>
    <w:p>
      <w:pPr>
        <w:pStyle w:val="BodyText"/>
        <w:spacing w:line="357" w:lineRule="auto" w:before="24"/>
        <w:ind w:right="1011"/>
        <w:jc w:val="both"/>
      </w:pPr>
      <w:r>
        <w:rPr>
          <w:spacing w:val="-8"/>
        </w:rPr>
        <w:t>子公司生产的烟标基本覆盖了国内烟草行业的规模品牌，如“玉溪”、“红金龙”，“利群”、</w:t>
      </w:r>
      <w:r>
        <w:rPr>
          <w:spacing w:val="-105"/>
        </w:rPr>
        <w:t> </w:t>
      </w:r>
      <w:r>
        <w:rPr>
          <w:spacing w:val="-105"/>
        </w:rPr>
      </w:r>
      <w:r>
        <w:rPr>
          <w:spacing w:val="-8"/>
        </w:rPr>
        <w:t>“红河”、“黄果树”、“白沙”、“双喜”、“云烟”、“黄山”、“七匹狼”、“天子”、</w:t>
      </w:r>
      <w:r>
        <w:rPr>
          <w:spacing w:val="-109"/>
        </w:rPr>
        <w:t> </w:t>
      </w:r>
      <w:r>
        <w:rPr>
          <w:spacing w:val="-109"/>
        </w:rPr>
      </w:r>
      <w:r>
        <w:rPr/>
        <w:t>“骄子”、“红塔山”等。</w:t>
      </w:r>
    </w:p>
    <w:p>
      <w:pPr>
        <w:spacing w:line="240" w:lineRule="auto" w:before="4"/>
        <w:rPr>
          <w:rFonts w:ascii="宋体" w:hAnsi="宋体" w:cs="宋体" w:eastAsia="宋体" w:hint="default"/>
          <w:sz w:val="30"/>
          <w:szCs w:val="30"/>
        </w:rPr>
      </w:pPr>
    </w:p>
    <w:p>
      <w:pPr>
        <w:pStyle w:val="BodyText"/>
        <w:spacing w:line="364" w:lineRule="auto"/>
        <w:ind w:left="533" w:right="0" w:hanging="137"/>
        <w:jc w:val="left"/>
      </w:pPr>
      <w:r>
        <w:rPr>
          <w:rFonts w:ascii="Times New Roman" w:hAnsi="Times New Roman" w:cs="Times New Roman" w:eastAsia="Times New Roman" w:hint="default"/>
        </w:rPr>
        <w:t>2</w:t>
      </w:r>
      <w:r>
        <w:rPr/>
        <w:t>、</w:t>
      </w:r>
      <w:r>
        <w:rPr>
          <w:spacing w:val="76"/>
        </w:rPr>
        <w:t> </w:t>
      </w:r>
      <w:r>
        <w:rPr/>
        <w:t>公司的竞争优势</w:t>
      </w:r>
      <w:r>
        <w:rPr/>
        <w:t> </w:t>
      </w:r>
      <w:r>
        <w:rPr>
          <w:spacing w:val="2"/>
        </w:rPr>
        <w:t>面对烟标行业的新形势，竞争的新格局，公司管理层将采取积极措施来应对新的挑战，</w:t>
      </w:r>
      <w:r>
        <w:rPr/>
      </w:r>
    </w:p>
    <w:p>
      <w:pPr>
        <w:pStyle w:val="BodyText"/>
        <w:spacing w:line="240" w:lineRule="auto" w:before="26"/>
        <w:ind w:right="0"/>
        <w:jc w:val="both"/>
      </w:pPr>
      <w:r>
        <w:rPr/>
        <w:t>既看到市场竞争的不利影响，也看到公司所具备的竞争优势。</w:t>
      </w:r>
    </w:p>
    <w:p>
      <w:pPr>
        <w:spacing w:line="240" w:lineRule="auto" w:before="0"/>
        <w:rPr>
          <w:rFonts w:ascii="宋体" w:hAnsi="宋体" w:cs="宋体" w:eastAsia="宋体" w:hint="default"/>
          <w:sz w:val="24"/>
          <w:szCs w:val="24"/>
        </w:rPr>
      </w:pPr>
    </w:p>
    <w:p>
      <w:pPr>
        <w:pStyle w:val="BodyText"/>
        <w:spacing w:line="240" w:lineRule="auto" w:before="200"/>
        <w:ind w:left="473" w:right="0"/>
        <w:jc w:val="left"/>
      </w:pPr>
      <w:r>
        <w:rPr>
          <w:rFonts w:ascii="宋体" w:hAnsi="宋体" w:cs="宋体" w:eastAsia="宋体" w:hint="default"/>
        </w:rPr>
        <w:t>(1)</w:t>
      </w:r>
      <w:r>
        <w:rPr>
          <w:rFonts w:ascii="宋体" w:hAnsi="宋体" w:cs="宋体" w:eastAsia="宋体" w:hint="default"/>
          <w:spacing w:val="-60"/>
        </w:rPr>
        <w:t> </w:t>
      </w:r>
      <w:r>
        <w:rPr/>
        <w:t>市场竞争优势</w:t>
      </w:r>
    </w:p>
    <w:p>
      <w:pPr>
        <w:pStyle w:val="BodyText"/>
        <w:spacing w:line="240" w:lineRule="auto" w:before="194"/>
        <w:ind w:left="593" w:right="0"/>
        <w:jc w:val="left"/>
      </w:pPr>
      <w:r>
        <w:rPr>
          <w:rFonts w:ascii="宋体" w:hAnsi="宋体" w:cs="宋体" w:eastAsia="宋体" w:hint="default"/>
        </w:rPr>
        <w:t>2011</w:t>
      </w:r>
      <w:r>
        <w:rPr>
          <w:rFonts w:ascii="宋体" w:hAnsi="宋体" w:cs="宋体" w:eastAsia="宋体" w:hint="default"/>
          <w:spacing w:val="-82"/>
        </w:rPr>
        <w:t> </w:t>
      </w:r>
      <w:r>
        <w:rPr/>
        <w:t>年烟草行业在全国全面推行烟标公开招投标工作</w:t>
      </w:r>
      <w:r>
        <w:rPr>
          <w:spacing w:val="-120"/>
        </w:rPr>
        <w:t>，</w:t>
      </w:r>
      <w:r>
        <w:rPr/>
        <w:t>给烟标供求市场带来了重大变化，</w:t>
      </w:r>
    </w:p>
    <w:p>
      <w:pPr>
        <w:pStyle w:val="BodyText"/>
        <w:spacing w:line="355" w:lineRule="auto" w:before="151"/>
        <w:ind w:right="1131"/>
        <w:jc w:val="both"/>
      </w:pPr>
      <w:r>
        <w:rPr/>
        <w:t>也对烟标营销工作提出新的课题。公司在</w:t>
      </w:r>
      <w:r>
        <w:rPr>
          <w:spacing w:val="-71"/>
        </w:rPr>
        <w:t> </w:t>
      </w:r>
      <w:r>
        <w:rPr>
          <w:rFonts w:ascii="宋体" w:hAnsi="宋体" w:cs="宋体" w:eastAsia="宋体" w:hint="default"/>
        </w:rPr>
        <w:t>2011</w:t>
      </w:r>
      <w:r>
        <w:rPr>
          <w:rFonts w:ascii="宋体" w:hAnsi="宋体" w:cs="宋体" w:eastAsia="宋体" w:hint="default"/>
          <w:spacing w:val="-71"/>
        </w:rPr>
        <w:t> </w:t>
      </w:r>
      <w:r>
        <w:rPr>
          <w:spacing w:val="-3"/>
        </w:rPr>
        <w:t>年初竞标不利的情况下，积极改变策略，利用</w:t>
      </w:r>
      <w:r>
        <w:rPr/>
        <w:t> 公司技术、成本、管理等综合优势，扭转了不利局面。</w:t>
      </w:r>
    </w:p>
    <w:p>
      <w:pPr>
        <w:spacing w:line="240" w:lineRule="auto" w:before="4"/>
        <w:rPr>
          <w:rFonts w:ascii="宋体" w:hAnsi="宋体" w:cs="宋体" w:eastAsia="宋体" w:hint="default"/>
          <w:sz w:val="30"/>
          <w:szCs w:val="30"/>
        </w:rPr>
      </w:pPr>
    </w:p>
    <w:p>
      <w:pPr>
        <w:pStyle w:val="BodyText"/>
        <w:spacing w:line="388" w:lineRule="auto"/>
        <w:ind w:left="533" w:right="0" w:hanging="60"/>
        <w:jc w:val="left"/>
      </w:pPr>
      <w:r>
        <w:rPr>
          <w:rFonts w:ascii="宋体" w:hAnsi="宋体" w:cs="宋体" w:eastAsia="宋体" w:hint="default"/>
        </w:rPr>
        <w:t>(2)</w:t>
      </w:r>
      <w:r>
        <w:rPr>
          <w:rFonts w:ascii="宋体" w:hAnsi="宋体" w:cs="宋体" w:eastAsia="宋体" w:hint="default"/>
          <w:spacing w:val="-60"/>
        </w:rPr>
        <w:t> </w:t>
      </w:r>
      <w:r>
        <w:rPr/>
        <w:t>技术领先优势 </w:t>
      </w:r>
      <w:r>
        <w:rPr>
          <w:spacing w:val="2"/>
        </w:rPr>
        <w:t>公司作为烟标行业的标准制定者，在行业内具有技术研发和品牌效应的竞争优势。报告</w:t>
      </w:r>
      <w:r>
        <w:rPr/>
      </w:r>
    </w:p>
    <w:p>
      <w:pPr>
        <w:pStyle w:val="BodyText"/>
        <w:spacing w:line="357" w:lineRule="auto" w:before="3"/>
        <w:ind w:right="1049"/>
        <w:jc w:val="both"/>
      </w:pPr>
      <w:r>
        <w:rPr/>
        <w:t>期内公司又申请了十四项专利，其中九项为发明专利。截至报告期末公司共获得专利</w:t>
      </w:r>
      <w:r>
        <w:rPr>
          <w:spacing w:val="-60"/>
        </w:rPr>
        <w:t> </w:t>
      </w:r>
      <w:r>
        <w:rPr>
          <w:rFonts w:ascii="宋体" w:hAnsi="宋体" w:cs="宋体" w:eastAsia="宋体" w:hint="default"/>
        </w:rPr>
        <w:t>17</w:t>
      </w:r>
      <w:r>
        <w:rPr>
          <w:rFonts w:ascii="宋体" w:hAnsi="宋体" w:cs="宋体" w:eastAsia="宋体" w:hint="default"/>
          <w:spacing w:val="-60"/>
        </w:rPr>
        <w:t> </w:t>
      </w:r>
      <w:r>
        <w:rPr/>
        <w:t>项， 其中六项为发明专利。</w:t>
      </w:r>
    </w:p>
    <w:p>
      <w:pPr>
        <w:pStyle w:val="BodyText"/>
        <w:spacing w:line="357" w:lineRule="auto" w:before="74"/>
        <w:ind w:right="1111" w:firstLine="480"/>
        <w:jc w:val="both"/>
      </w:pPr>
      <w:r>
        <w:rPr>
          <w:rFonts w:ascii="宋体" w:hAnsi="宋体" w:cs="宋体" w:eastAsia="宋体" w:hint="default"/>
        </w:rPr>
        <w:t>2011</w:t>
      </w:r>
      <w:r>
        <w:rPr>
          <w:rFonts w:ascii="宋体" w:hAnsi="宋体" w:cs="宋体" w:eastAsia="宋体" w:hint="default"/>
          <w:spacing w:val="-61"/>
        </w:rPr>
        <w:t> </w:t>
      </w:r>
      <w:r>
        <w:rPr/>
        <w:t>年公司继续加大对新型、环保的烟标设计的研发投入，提升烟标的整体设计水平， 进一步为烟草客户提供更好的专业化服务，不断开发新产品。</w:t>
      </w:r>
      <w:r>
        <w:rPr>
          <w:rFonts w:ascii="宋体" w:hAnsi="宋体" w:cs="宋体" w:eastAsia="宋体" w:hint="default"/>
        </w:rPr>
        <w:t>2011 </w:t>
      </w:r>
      <w:r>
        <w:rPr/>
        <w:t>年公司有 </w:t>
      </w:r>
      <w:r>
        <w:rPr>
          <w:rFonts w:ascii="宋体" w:hAnsi="宋体" w:cs="宋体" w:eastAsia="宋体" w:hint="default"/>
        </w:rPr>
        <w:t>20</w:t>
      </w:r>
      <w:r>
        <w:rPr>
          <w:rFonts w:ascii="宋体" w:hAnsi="宋体" w:cs="宋体" w:eastAsia="宋体" w:hint="default"/>
          <w:spacing w:val="-82"/>
        </w:rPr>
        <w:t> </w:t>
      </w:r>
      <w:r>
        <w:rPr/>
        <w:t>款烟标新产 品中标，公司继续保持了在技术研发上的领先优势。</w:t>
      </w:r>
    </w:p>
    <w:p>
      <w:pPr>
        <w:spacing w:line="240" w:lineRule="auto" w:before="1"/>
        <w:rPr>
          <w:rFonts w:ascii="宋体" w:hAnsi="宋体" w:cs="宋体" w:eastAsia="宋体" w:hint="default"/>
          <w:sz w:val="30"/>
          <w:szCs w:val="30"/>
        </w:rPr>
      </w:pPr>
    </w:p>
    <w:p>
      <w:pPr>
        <w:pStyle w:val="BodyText"/>
        <w:spacing w:line="388" w:lineRule="auto"/>
        <w:ind w:left="533" w:right="0" w:hanging="60"/>
        <w:jc w:val="left"/>
      </w:pPr>
      <w:r>
        <w:rPr>
          <w:rFonts w:ascii="宋体" w:hAnsi="宋体" w:cs="宋体" w:eastAsia="宋体" w:hint="default"/>
        </w:rPr>
        <w:t>(3)</w:t>
      </w:r>
      <w:r>
        <w:rPr>
          <w:rFonts w:ascii="宋体" w:hAnsi="宋体" w:cs="宋体" w:eastAsia="宋体" w:hint="default"/>
          <w:spacing w:val="-60"/>
        </w:rPr>
        <w:t> </w:t>
      </w:r>
      <w:r>
        <w:rPr/>
        <w:t>生产规模优势 </w:t>
      </w:r>
      <w:r>
        <w:rPr>
          <w:spacing w:val="2"/>
        </w:rPr>
        <w:t>随着烟草行业的重组，品牌集中度进一步提高，烟草客户对烟标配套生产企业将提出更</w:t>
      </w:r>
      <w:r>
        <w:rPr/>
      </w:r>
    </w:p>
    <w:p>
      <w:pPr>
        <w:pStyle w:val="BodyText"/>
        <w:spacing w:line="352" w:lineRule="auto" w:before="5"/>
        <w:ind w:right="1131"/>
        <w:jc w:val="both"/>
      </w:pPr>
      <w:r>
        <w:rPr/>
        <w:t>高的要求，具有规模化的烟标生产企业将具备更强的竞争优势。随着公司募集资金项目贵阳</w:t>
      </w:r>
      <w:r>
        <w:rPr>
          <w:spacing w:val="-86"/>
        </w:rPr>
        <w:t> </w:t>
      </w:r>
      <w:r>
        <w:rPr>
          <w:spacing w:val="-86"/>
        </w:rPr>
      </w:r>
      <w:r>
        <w:rPr/>
        <w:t>新型印刷包装材料建设项目</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3"/>
        </w:rPr>
        <w:t>月正式投产，</w:t>
      </w:r>
      <w:r>
        <w:rPr>
          <w:rFonts w:ascii="宋体" w:hAnsi="宋体" w:cs="宋体" w:eastAsia="宋体" w:hint="default"/>
          <w:spacing w:val="-3"/>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月对江西丰彩丽印刷包装有限 公司、重庆宏声印务有限责任公司的股权收购，公司的产能进一步扩大，继续保持在烟标行</w:t>
      </w:r>
      <w:r>
        <w:rPr>
          <w:spacing w:val="-89"/>
        </w:rPr>
        <w:t> </w:t>
      </w:r>
      <w:r>
        <w:rPr>
          <w:spacing w:val="-89"/>
        </w:rPr>
      </w:r>
      <w:r>
        <w:rPr/>
        <w:t>业的生产规模领先地位，为进一步提高在烟草重点区域的市场占有率，保持市场上的竞争优</w:t>
      </w:r>
      <w:r>
        <w:rPr>
          <w:spacing w:val="-89"/>
        </w:rPr>
        <w:t> </w:t>
      </w:r>
      <w:r>
        <w:rPr>
          <w:spacing w:val="-89"/>
        </w:rPr>
      </w:r>
      <w:r>
        <w:rPr/>
        <w:t>势打下坚实基础。</w:t>
      </w:r>
    </w:p>
    <w:p>
      <w:pPr>
        <w:spacing w:after="0" w:line="352" w:lineRule="auto"/>
        <w:jc w:val="both"/>
        <w:sectPr>
          <w:pgSz w:w="11910" w:h="16840"/>
          <w:pgMar w:header="920" w:footer="936" w:top="1140" w:bottom="1120" w:left="1020" w:right="0"/>
        </w:sectPr>
      </w:pPr>
    </w:p>
    <w:p>
      <w:pPr>
        <w:pStyle w:val="BodyText"/>
        <w:spacing w:line="388" w:lineRule="auto" w:before="19"/>
        <w:ind w:left="553" w:right="1119" w:hanging="60"/>
        <w:jc w:val="left"/>
      </w:pPr>
      <w:r>
        <w:rPr>
          <w:rFonts w:ascii="宋体" w:hAnsi="宋体" w:cs="宋体" w:eastAsia="宋体" w:hint="default"/>
        </w:rPr>
        <w:t>(4)</w:t>
      </w:r>
      <w:r>
        <w:rPr>
          <w:rFonts w:ascii="宋体" w:hAnsi="宋体" w:cs="宋体" w:eastAsia="宋体" w:hint="default"/>
          <w:spacing w:val="-60"/>
        </w:rPr>
        <w:t> </w:t>
      </w:r>
      <w:r>
        <w:rPr/>
        <w:t>成本控制优势 </w:t>
      </w:r>
      <w:r>
        <w:rPr>
          <w:spacing w:val="2"/>
        </w:rPr>
        <w:t>面对卷烟生产企业控制生产成本的要求，具有规模化竞争优势的企业，可以通过规模化</w:t>
      </w:r>
      <w:r>
        <w:rPr/>
      </w:r>
    </w:p>
    <w:p>
      <w:pPr>
        <w:pStyle w:val="BodyText"/>
        <w:spacing w:line="357" w:lineRule="auto" w:before="2"/>
        <w:ind w:left="132" w:right="1119"/>
        <w:jc w:val="left"/>
      </w:pPr>
      <w:r>
        <w:rPr/>
        <w:t>生产和集中采购降低生产成本。公司将充分利用在生产规模上的优势，通过集中采购，管理</w:t>
      </w:r>
      <w:r>
        <w:rPr>
          <w:spacing w:val="-91"/>
        </w:rPr>
        <w:t> </w:t>
      </w:r>
      <w:r>
        <w:rPr>
          <w:spacing w:val="-91"/>
        </w:rPr>
      </w:r>
      <w:r>
        <w:rPr/>
        <w:t>体系的各项优化措施，积极降低生产成本，保持竞争优势。</w:t>
      </w:r>
    </w:p>
    <w:p>
      <w:pPr>
        <w:spacing w:line="240" w:lineRule="auto" w:before="12"/>
        <w:rPr>
          <w:rFonts w:ascii="宋体" w:hAnsi="宋体" w:cs="宋体" w:eastAsia="宋体" w:hint="default"/>
          <w:sz w:val="20"/>
          <w:szCs w:val="20"/>
        </w:rPr>
      </w:pPr>
    </w:p>
    <w:p>
      <w:pPr>
        <w:pStyle w:val="Heading3"/>
        <w:spacing w:line="240" w:lineRule="auto"/>
        <w:ind w:left="132" w:right="1119"/>
        <w:jc w:val="left"/>
        <w:rPr>
          <w:b w:val="0"/>
          <w:bCs w:val="0"/>
        </w:rPr>
      </w:pPr>
      <w:r>
        <w:rPr/>
        <w:t>（五）现金流状况分析</w:t>
      </w:r>
      <w:r>
        <w:rPr>
          <w:b w:val="0"/>
          <w:bCs w:val="0"/>
        </w:rPr>
      </w:r>
    </w:p>
    <w:p>
      <w:pPr>
        <w:spacing w:line="240" w:lineRule="auto" w:before="0"/>
        <w:rPr>
          <w:rFonts w:ascii="宋体" w:hAnsi="宋体" w:cs="宋体" w:eastAsia="宋体" w:hint="default"/>
          <w:b/>
          <w:bCs/>
          <w:sz w:val="24"/>
          <w:szCs w:val="24"/>
        </w:rPr>
      </w:pPr>
    </w:p>
    <w:p>
      <w:pPr>
        <w:spacing w:before="213"/>
        <w:ind w:left="0" w:right="1129"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8"/>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409"/>
        <w:gridCol w:w="1754"/>
        <w:gridCol w:w="1757"/>
        <w:gridCol w:w="1388"/>
      </w:tblGrid>
      <w:tr>
        <w:trPr>
          <w:trHeight w:val="368"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441" w:val="left" w:leader="none"/>
              </w:tabs>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项</w:t>
              <w:tab/>
              <w:t>目</w:t>
            </w:r>
          </w:p>
        </w:tc>
        <w:tc>
          <w:tcPr>
            <w:tcW w:w="17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left="489"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年度</w:t>
            </w:r>
          </w:p>
        </w:tc>
        <w:tc>
          <w:tcPr>
            <w:tcW w:w="17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left="49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年度</w:t>
            </w:r>
          </w:p>
        </w:tc>
        <w:tc>
          <w:tcPr>
            <w:tcW w:w="13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0"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3" w:right="0"/>
              <w:jc w:val="left"/>
              <w:rPr>
                <w:rFonts w:ascii="宋体" w:hAnsi="宋体" w:cs="宋体" w:eastAsia="宋体" w:hint="default"/>
                <w:sz w:val="22"/>
                <w:szCs w:val="22"/>
              </w:rPr>
            </w:pPr>
            <w:r>
              <w:rPr>
                <w:rFonts w:ascii="宋体" w:hAnsi="宋体" w:cs="宋体" w:eastAsia="宋体" w:hint="default"/>
                <w:w w:val="100"/>
                <w:sz w:val="22"/>
                <w:szCs w:val="22"/>
              </w:rPr>
              <w:t>一</w:t>
            </w:r>
            <w:r>
              <w:rPr>
                <w:rFonts w:ascii="宋体" w:hAnsi="宋体" w:cs="宋体" w:eastAsia="宋体" w:hint="default"/>
                <w:spacing w:val="-108"/>
                <w:w w:val="100"/>
                <w:sz w:val="22"/>
                <w:szCs w:val="22"/>
              </w:rPr>
              <w:t>、</w:t>
            </w:r>
            <w:r>
              <w:rPr>
                <w:rFonts w:ascii="宋体" w:hAnsi="宋体" w:cs="宋体" w:eastAsia="宋体" w:hint="default"/>
                <w:w w:val="100"/>
                <w:sz w:val="22"/>
                <w:szCs w:val="22"/>
              </w:rPr>
              <w:t>经</w:t>
            </w:r>
            <w:r>
              <w:rPr>
                <w:rFonts w:ascii="宋体" w:hAnsi="宋体" w:cs="宋体" w:eastAsia="宋体" w:hint="default"/>
                <w:spacing w:val="-3"/>
                <w:w w:val="100"/>
                <w:sz w:val="22"/>
                <w:szCs w:val="22"/>
              </w:rPr>
              <w:t>营</w:t>
            </w:r>
            <w:r>
              <w:rPr>
                <w:rFonts w:ascii="宋体" w:hAnsi="宋体" w:cs="宋体" w:eastAsia="宋体" w:hint="default"/>
                <w:w w:val="100"/>
                <w:sz w:val="22"/>
                <w:szCs w:val="22"/>
              </w:rPr>
              <w:t>活动</w:t>
            </w:r>
            <w:r>
              <w:rPr>
                <w:rFonts w:ascii="宋体" w:hAnsi="宋体" w:cs="宋体" w:eastAsia="宋体" w:hint="default"/>
                <w:spacing w:val="-3"/>
                <w:w w:val="100"/>
                <w:sz w:val="22"/>
                <w:szCs w:val="22"/>
              </w:rPr>
              <w:t>产</w:t>
            </w:r>
            <w:r>
              <w:rPr>
                <w:rFonts w:ascii="宋体" w:hAnsi="宋体" w:cs="宋体" w:eastAsia="宋体" w:hint="default"/>
                <w:w w:val="100"/>
                <w:sz w:val="22"/>
                <w:szCs w:val="22"/>
              </w:rPr>
              <w:t>生的</w:t>
            </w:r>
            <w:r>
              <w:rPr>
                <w:rFonts w:ascii="宋体" w:hAnsi="宋体" w:cs="宋体" w:eastAsia="宋体" w:hint="default"/>
                <w:spacing w:val="-3"/>
                <w:w w:val="100"/>
                <w:sz w:val="22"/>
                <w:szCs w:val="22"/>
              </w:rPr>
              <w:t>现金</w:t>
            </w:r>
            <w:r>
              <w:rPr>
                <w:rFonts w:ascii="宋体" w:hAnsi="宋体" w:cs="宋体" w:eastAsia="宋体" w:hint="default"/>
                <w:w w:val="100"/>
                <w:sz w:val="22"/>
                <w:szCs w:val="22"/>
              </w:rPr>
              <w:t>流量净额</w:t>
            </w:r>
          </w:p>
        </w:tc>
        <w:tc>
          <w:tcPr>
            <w:tcW w:w="1754" w:type="dxa"/>
            <w:tcBorders>
              <w:top w:val="single" w:sz="17" w:space="0" w:color="C0C0C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pacing w:val="-1"/>
                <w:sz w:val="18"/>
              </w:rPr>
              <w:t>64,927.69</w:t>
            </w:r>
          </w:p>
        </w:tc>
        <w:tc>
          <w:tcPr>
            <w:tcW w:w="1757" w:type="dxa"/>
            <w:tcBorders>
              <w:top w:val="single" w:sz="17" w:space="0" w:color="C0C0C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pacing w:val="-1"/>
                <w:sz w:val="18"/>
              </w:rPr>
              <w:t>37,321.48</w:t>
            </w:r>
          </w:p>
        </w:tc>
        <w:tc>
          <w:tcPr>
            <w:tcW w:w="1388" w:type="dxa"/>
            <w:tcBorders>
              <w:top w:val="single" w:sz="17" w:space="0" w:color="C0C0C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18"/>
                <w:szCs w:val="18"/>
              </w:rPr>
            </w:pPr>
            <w:r>
              <w:rPr>
                <w:rFonts w:ascii="宋体"/>
                <w:sz w:val="18"/>
              </w:rPr>
              <w:t>73.97%</w:t>
            </w:r>
          </w:p>
        </w:tc>
      </w:tr>
      <w:tr>
        <w:trPr>
          <w:trHeight w:val="387"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sz w:val="22"/>
                <w:szCs w:val="22"/>
              </w:rPr>
              <w:t>经营活动现金流入量</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宋体" w:hAnsi="宋体" w:cs="宋体" w:eastAsia="宋体" w:hint="default"/>
                <w:sz w:val="18"/>
                <w:szCs w:val="18"/>
              </w:rPr>
            </w:pPr>
            <w:r>
              <w:rPr>
                <w:rFonts w:ascii="宋体"/>
                <w:spacing w:val="-1"/>
                <w:sz w:val="18"/>
              </w:rPr>
              <w:t>244,825.49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宋体" w:hAnsi="宋体" w:cs="宋体" w:eastAsia="宋体" w:hint="default"/>
                <w:sz w:val="18"/>
                <w:szCs w:val="18"/>
              </w:rPr>
            </w:pPr>
            <w:r>
              <w:rPr>
                <w:rFonts w:ascii="宋体"/>
                <w:spacing w:val="-1"/>
                <w:sz w:val="18"/>
              </w:rPr>
              <w:t>211,786.48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宋体" w:hAnsi="宋体" w:cs="宋体" w:eastAsia="宋体" w:hint="default"/>
                <w:sz w:val="18"/>
                <w:szCs w:val="18"/>
              </w:rPr>
            </w:pPr>
            <w:r>
              <w:rPr>
                <w:rFonts w:ascii="宋体"/>
                <w:sz w:val="18"/>
              </w:rPr>
              <w:t>15.60%</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3" w:right="0"/>
              <w:jc w:val="left"/>
              <w:rPr>
                <w:rFonts w:ascii="宋体" w:hAnsi="宋体" w:cs="宋体" w:eastAsia="宋体" w:hint="default"/>
                <w:sz w:val="22"/>
                <w:szCs w:val="22"/>
              </w:rPr>
            </w:pPr>
            <w:r>
              <w:rPr>
                <w:rFonts w:ascii="宋体" w:hAnsi="宋体" w:cs="宋体" w:eastAsia="宋体" w:hint="default"/>
                <w:sz w:val="22"/>
                <w:szCs w:val="22"/>
              </w:rPr>
              <w:t>经营活动现金流出量</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179,897.80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174,465.00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3.11%</w:t>
            </w:r>
          </w:p>
        </w:tc>
      </w:tr>
      <w:tr>
        <w:trPr>
          <w:trHeight w:val="389"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3" w:right="0"/>
              <w:jc w:val="left"/>
              <w:rPr>
                <w:rFonts w:ascii="宋体" w:hAnsi="宋体" w:cs="宋体" w:eastAsia="宋体" w:hint="default"/>
                <w:sz w:val="22"/>
                <w:szCs w:val="22"/>
              </w:rPr>
            </w:pPr>
            <w:r>
              <w:rPr>
                <w:rFonts w:ascii="宋体" w:hAnsi="宋体" w:cs="宋体" w:eastAsia="宋体" w:hint="default"/>
                <w:w w:val="100"/>
                <w:sz w:val="22"/>
                <w:szCs w:val="22"/>
              </w:rPr>
              <w:t>二</w:t>
            </w:r>
            <w:r>
              <w:rPr>
                <w:rFonts w:ascii="宋体" w:hAnsi="宋体" w:cs="宋体" w:eastAsia="宋体" w:hint="default"/>
                <w:spacing w:val="-108"/>
                <w:w w:val="100"/>
                <w:sz w:val="22"/>
                <w:szCs w:val="22"/>
              </w:rPr>
              <w:t>、</w:t>
            </w:r>
            <w:r>
              <w:rPr>
                <w:rFonts w:ascii="宋体" w:hAnsi="宋体" w:cs="宋体" w:eastAsia="宋体" w:hint="default"/>
                <w:w w:val="100"/>
                <w:sz w:val="22"/>
                <w:szCs w:val="22"/>
              </w:rPr>
              <w:t>投</w:t>
            </w:r>
            <w:r>
              <w:rPr>
                <w:rFonts w:ascii="宋体" w:hAnsi="宋体" w:cs="宋体" w:eastAsia="宋体" w:hint="default"/>
                <w:spacing w:val="-3"/>
                <w:w w:val="100"/>
                <w:sz w:val="22"/>
                <w:szCs w:val="22"/>
              </w:rPr>
              <w:t>资</w:t>
            </w:r>
            <w:r>
              <w:rPr>
                <w:rFonts w:ascii="宋体" w:hAnsi="宋体" w:cs="宋体" w:eastAsia="宋体" w:hint="default"/>
                <w:w w:val="100"/>
                <w:sz w:val="22"/>
                <w:szCs w:val="22"/>
              </w:rPr>
              <w:t>活动</w:t>
            </w:r>
            <w:r>
              <w:rPr>
                <w:rFonts w:ascii="宋体" w:hAnsi="宋体" w:cs="宋体" w:eastAsia="宋体" w:hint="default"/>
                <w:spacing w:val="-3"/>
                <w:w w:val="100"/>
                <w:sz w:val="22"/>
                <w:szCs w:val="22"/>
              </w:rPr>
              <w:t>产</w:t>
            </w:r>
            <w:r>
              <w:rPr>
                <w:rFonts w:ascii="宋体" w:hAnsi="宋体" w:cs="宋体" w:eastAsia="宋体" w:hint="default"/>
                <w:w w:val="100"/>
                <w:sz w:val="22"/>
                <w:szCs w:val="22"/>
              </w:rPr>
              <w:t>生的</w:t>
            </w:r>
            <w:r>
              <w:rPr>
                <w:rFonts w:ascii="宋体" w:hAnsi="宋体" w:cs="宋体" w:eastAsia="宋体" w:hint="default"/>
                <w:spacing w:val="-3"/>
                <w:w w:val="100"/>
                <w:sz w:val="22"/>
                <w:szCs w:val="22"/>
              </w:rPr>
              <w:t>现金</w:t>
            </w:r>
            <w:r>
              <w:rPr>
                <w:rFonts w:ascii="宋体" w:hAnsi="宋体" w:cs="宋体" w:eastAsia="宋体" w:hint="default"/>
                <w:w w:val="100"/>
                <w:sz w:val="22"/>
                <w:szCs w:val="22"/>
              </w:rPr>
              <w:t>流量净额</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-14,287.64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-19,865.13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sz w:val="18"/>
              </w:rPr>
              <w:t>-28.08%</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sz w:val="22"/>
                <w:szCs w:val="22"/>
              </w:rPr>
              <w:t>投资活动现金流入量</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3,147.05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1,598.41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宋体"/>
                <w:sz w:val="18"/>
              </w:rPr>
              <w:t>96.89%</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sz w:val="22"/>
                <w:szCs w:val="22"/>
              </w:rPr>
              <w:t>投资活动现金流出量</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17,434.69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21,463.54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宋体"/>
                <w:sz w:val="18"/>
              </w:rPr>
              <w:t>-18.77%</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3" w:right="0"/>
              <w:jc w:val="left"/>
              <w:rPr>
                <w:rFonts w:ascii="宋体" w:hAnsi="宋体" w:cs="宋体" w:eastAsia="宋体" w:hint="default"/>
                <w:sz w:val="22"/>
                <w:szCs w:val="22"/>
              </w:rPr>
            </w:pPr>
            <w:r>
              <w:rPr>
                <w:rFonts w:ascii="宋体" w:hAnsi="宋体" w:cs="宋体" w:eastAsia="宋体" w:hint="default"/>
                <w:w w:val="100"/>
                <w:sz w:val="22"/>
                <w:szCs w:val="22"/>
              </w:rPr>
              <w:t>三</w:t>
            </w:r>
            <w:r>
              <w:rPr>
                <w:rFonts w:ascii="宋体" w:hAnsi="宋体" w:cs="宋体" w:eastAsia="宋体" w:hint="default"/>
                <w:spacing w:val="-108"/>
                <w:w w:val="100"/>
                <w:sz w:val="22"/>
                <w:szCs w:val="22"/>
              </w:rPr>
              <w:t>、</w:t>
            </w:r>
            <w:r>
              <w:rPr>
                <w:rFonts w:ascii="宋体" w:hAnsi="宋体" w:cs="宋体" w:eastAsia="宋体" w:hint="default"/>
                <w:w w:val="100"/>
                <w:sz w:val="22"/>
                <w:szCs w:val="22"/>
              </w:rPr>
              <w:t>筹</w:t>
            </w:r>
            <w:r>
              <w:rPr>
                <w:rFonts w:ascii="宋体" w:hAnsi="宋体" w:cs="宋体" w:eastAsia="宋体" w:hint="default"/>
                <w:spacing w:val="-3"/>
                <w:w w:val="100"/>
                <w:sz w:val="22"/>
                <w:szCs w:val="22"/>
              </w:rPr>
              <w:t>资</w:t>
            </w:r>
            <w:r>
              <w:rPr>
                <w:rFonts w:ascii="宋体" w:hAnsi="宋体" w:cs="宋体" w:eastAsia="宋体" w:hint="default"/>
                <w:w w:val="100"/>
                <w:sz w:val="22"/>
                <w:szCs w:val="22"/>
              </w:rPr>
              <w:t>活动</w:t>
            </w:r>
            <w:r>
              <w:rPr>
                <w:rFonts w:ascii="宋体" w:hAnsi="宋体" w:cs="宋体" w:eastAsia="宋体" w:hint="default"/>
                <w:spacing w:val="-3"/>
                <w:w w:val="100"/>
                <w:sz w:val="22"/>
                <w:szCs w:val="22"/>
              </w:rPr>
              <w:t>产</w:t>
            </w:r>
            <w:r>
              <w:rPr>
                <w:rFonts w:ascii="宋体" w:hAnsi="宋体" w:cs="宋体" w:eastAsia="宋体" w:hint="default"/>
                <w:w w:val="100"/>
                <w:sz w:val="22"/>
                <w:szCs w:val="22"/>
              </w:rPr>
              <w:t>生的</w:t>
            </w:r>
            <w:r>
              <w:rPr>
                <w:rFonts w:ascii="宋体" w:hAnsi="宋体" w:cs="宋体" w:eastAsia="宋体" w:hint="default"/>
                <w:spacing w:val="-3"/>
                <w:w w:val="100"/>
                <w:sz w:val="22"/>
                <w:szCs w:val="22"/>
              </w:rPr>
              <w:t>现金</w:t>
            </w:r>
            <w:r>
              <w:rPr>
                <w:rFonts w:ascii="宋体" w:hAnsi="宋体" w:cs="宋体" w:eastAsia="宋体" w:hint="default"/>
                <w:w w:val="100"/>
                <w:sz w:val="22"/>
                <w:szCs w:val="22"/>
              </w:rPr>
              <w:t>流量净额</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-37,903.88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-20,559.20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sz w:val="18"/>
              </w:rPr>
              <w:t>84.36%</w:t>
            </w:r>
          </w:p>
        </w:tc>
      </w:tr>
      <w:tr>
        <w:trPr>
          <w:trHeight w:val="389"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3" w:right="0"/>
              <w:jc w:val="left"/>
              <w:rPr>
                <w:rFonts w:ascii="宋体" w:hAnsi="宋体" w:cs="宋体" w:eastAsia="宋体" w:hint="default"/>
                <w:sz w:val="22"/>
                <w:szCs w:val="22"/>
              </w:rPr>
            </w:pPr>
            <w:r>
              <w:rPr>
                <w:rFonts w:ascii="宋体" w:hAnsi="宋体" w:cs="宋体" w:eastAsia="宋体" w:hint="default"/>
                <w:sz w:val="22"/>
                <w:szCs w:val="22"/>
              </w:rPr>
              <w:t>筹资活动现金流入量</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71,196.99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125,982.39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sz w:val="18"/>
              </w:rPr>
              <w:t>-43.49%</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sz w:val="22"/>
                <w:szCs w:val="22"/>
              </w:rPr>
              <w:t>筹资活动现金流出量</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109,100.87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146,541.59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宋体"/>
                <w:sz w:val="18"/>
              </w:rPr>
              <w:t>-25.55%</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sz w:val="22"/>
                <w:szCs w:val="22"/>
              </w:rPr>
              <w:t>四、现金及现金等价物净额增加</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12,572.43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
                <w:sz w:val="18"/>
              </w:rPr>
              <w:t>-3,235.77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-488.55%</w:t>
            </w:r>
          </w:p>
        </w:tc>
      </w:tr>
      <w:tr>
        <w:trPr>
          <w:trHeight w:val="387"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3" w:right="0"/>
              <w:jc w:val="left"/>
              <w:rPr>
                <w:rFonts w:ascii="宋体" w:hAnsi="宋体" w:cs="宋体" w:eastAsia="宋体" w:hint="default"/>
                <w:sz w:val="22"/>
                <w:szCs w:val="22"/>
              </w:rPr>
            </w:pPr>
            <w:r>
              <w:rPr>
                <w:rFonts w:ascii="宋体" w:hAnsi="宋体" w:cs="宋体" w:eastAsia="宋体" w:hint="default"/>
                <w:sz w:val="22"/>
                <w:szCs w:val="22"/>
              </w:rPr>
              <w:t>现金流入总计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宋体" w:hAnsi="宋体" w:cs="宋体" w:eastAsia="宋体" w:hint="default"/>
                <w:sz w:val="18"/>
                <w:szCs w:val="18"/>
              </w:rPr>
            </w:pPr>
            <w:r>
              <w:rPr>
                <w:rFonts w:ascii="宋体"/>
                <w:spacing w:val="-1"/>
                <w:sz w:val="18"/>
              </w:rPr>
              <w:t>319,169.52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宋体" w:hAnsi="宋体" w:cs="宋体" w:eastAsia="宋体" w:hint="default"/>
                <w:sz w:val="18"/>
                <w:szCs w:val="18"/>
              </w:rPr>
            </w:pPr>
            <w:r>
              <w:rPr>
                <w:rFonts w:ascii="宋体"/>
                <w:spacing w:val="-1"/>
                <w:sz w:val="18"/>
              </w:rPr>
              <w:t>339,367.29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sz w:val="18"/>
              </w:rPr>
              <w:t>-5.95%</w:t>
            </w:r>
          </w:p>
        </w:tc>
      </w:tr>
      <w:tr>
        <w:trPr>
          <w:trHeight w:val="389"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3" w:right="0"/>
              <w:jc w:val="left"/>
              <w:rPr>
                <w:rFonts w:ascii="宋体" w:hAnsi="宋体" w:cs="宋体" w:eastAsia="宋体" w:hint="default"/>
                <w:sz w:val="22"/>
                <w:szCs w:val="22"/>
              </w:rPr>
            </w:pPr>
            <w:r>
              <w:rPr>
                <w:rFonts w:ascii="宋体" w:hAnsi="宋体" w:cs="宋体" w:eastAsia="宋体" w:hint="default"/>
                <w:sz w:val="22"/>
                <w:szCs w:val="22"/>
              </w:rPr>
              <w:t>现金流出总计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306,433.36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pacing w:val="-1"/>
                <w:sz w:val="18"/>
              </w:rPr>
              <w:t>342,470.14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sz w:val="18"/>
              </w:rPr>
              <w:t>-10.52%</w:t>
            </w:r>
          </w:p>
        </w:tc>
      </w:tr>
    </w:tbl>
    <w:p>
      <w:pPr>
        <w:spacing w:line="240" w:lineRule="auto" w:before="12"/>
        <w:rPr>
          <w:rFonts w:ascii="宋体" w:hAnsi="宋体" w:cs="宋体" w:eastAsia="宋体" w:hint="default"/>
          <w:sz w:val="10"/>
          <w:szCs w:val="10"/>
        </w:rPr>
      </w:pPr>
    </w:p>
    <w:p>
      <w:pPr>
        <w:pStyle w:val="BodyText"/>
        <w:spacing w:line="240" w:lineRule="auto" w:before="26"/>
        <w:ind w:left="613" w:right="1119"/>
        <w:jc w:val="left"/>
      </w:pPr>
      <w:r>
        <w:rPr/>
        <w:t>变动情况说明：</w:t>
      </w:r>
    </w:p>
    <w:p>
      <w:pPr>
        <w:pStyle w:val="BodyText"/>
        <w:spacing w:line="398" w:lineRule="auto" w:before="204"/>
        <w:ind w:left="132" w:right="1121" w:firstLine="566"/>
        <w:jc w:val="left"/>
      </w:pPr>
      <w:r>
        <w:rPr>
          <w:spacing w:val="-1"/>
        </w:rPr>
        <w:t>①报告期公司经营活动产生的现金净流量比上年同期增加</w:t>
      </w:r>
      <w:r>
        <w:rPr>
          <w:spacing w:val="-36"/>
        </w:rPr>
        <w:t> </w:t>
      </w:r>
      <w:r>
        <w:rPr>
          <w:rFonts w:ascii="宋体" w:hAnsi="宋体" w:cs="宋体" w:eastAsia="宋体" w:hint="default"/>
          <w:spacing w:val="-7"/>
        </w:rPr>
        <w:t>73.97%</w:t>
      </w:r>
      <w:r>
        <w:rPr>
          <w:spacing w:val="-7"/>
        </w:rPr>
        <w:t>，主要系报告期销售回</w:t>
      </w:r>
      <w:r>
        <w:rPr/>
        <w:t> 款增加所致。</w:t>
      </w:r>
    </w:p>
    <w:p>
      <w:pPr>
        <w:pStyle w:val="BodyText"/>
        <w:spacing w:line="396" w:lineRule="auto" w:before="48"/>
        <w:ind w:left="132" w:right="1114" w:firstLine="480"/>
        <w:jc w:val="left"/>
      </w:pPr>
      <w:r>
        <w:rPr/>
        <w:t>②报告期公司筹资活动产生的现金净流量比上年同期多减少</w:t>
      </w:r>
      <w:r>
        <w:rPr>
          <w:spacing w:val="-80"/>
        </w:rPr>
        <w:t> </w:t>
      </w:r>
      <w:r>
        <w:rPr>
          <w:rFonts w:ascii="宋体" w:hAnsi="宋体" w:cs="宋体" w:eastAsia="宋体" w:hint="default"/>
        </w:rPr>
        <w:t>84.36%</w:t>
      </w:r>
      <w:r>
        <w:rPr/>
        <w:t>，主要系报告期股利 及利息支付增加所致。</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pStyle w:val="Heading3"/>
        <w:spacing w:line="240" w:lineRule="auto"/>
        <w:ind w:left="132" w:right="1119"/>
        <w:jc w:val="left"/>
        <w:rPr>
          <w:b w:val="0"/>
          <w:bCs w:val="0"/>
        </w:rPr>
      </w:pPr>
      <w:r>
        <w:rPr/>
        <w:t>（六）会计制度实施情况</w:t>
      </w:r>
      <w:r>
        <w:rPr>
          <w:b w:val="0"/>
          <w:bCs w:val="0"/>
        </w:rPr>
      </w:r>
    </w:p>
    <w:p>
      <w:pPr>
        <w:spacing w:line="240" w:lineRule="auto" w:before="0"/>
        <w:rPr>
          <w:rFonts w:ascii="宋体" w:hAnsi="宋体" w:cs="宋体" w:eastAsia="宋体" w:hint="default"/>
          <w:b/>
          <w:bCs/>
          <w:sz w:val="24"/>
          <w:szCs w:val="24"/>
        </w:rPr>
      </w:pPr>
    </w:p>
    <w:p>
      <w:pPr>
        <w:pStyle w:val="BodyText"/>
        <w:spacing w:line="398" w:lineRule="auto" w:before="166"/>
        <w:ind w:left="613" w:right="4753"/>
        <w:jc w:val="left"/>
      </w:pPr>
      <w:r>
        <w:rPr/>
        <w:t>报告期内，公司无重大会计政策变更事项发生； 报告期内，公司无重大会计估计变更事项发生； 报告期内，公司无重大会计核算方法变更事项发生； 报告期内，公司无重大前期会计差错事项发生。</w:t>
      </w:r>
    </w:p>
    <w:p>
      <w:pPr>
        <w:spacing w:after="0" w:line="398" w:lineRule="auto"/>
        <w:jc w:val="left"/>
        <w:sectPr>
          <w:pgSz w:w="11910" w:h="16840"/>
          <w:pgMar w:header="920" w:footer="936" w:top="1140" w:bottom="112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3"/>
        <w:spacing w:line="240" w:lineRule="auto" w:before="26"/>
        <w:ind w:right="0"/>
        <w:jc w:val="left"/>
        <w:rPr>
          <w:b w:val="0"/>
          <w:bCs w:val="0"/>
        </w:rPr>
      </w:pPr>
      <w:r>
        <w:rPr/>
        <w:t>（七）公司主要资产构成</w:t>
      </w:r>
      <w:r>
        <w:rPr>
          <w:b w:val="0"/>
          <w:bCs w:val="0"/>
        </w:rPr>
      </w:r>
    </w:p>
    <w:p>
      <w:pPr>
        <w:spacing w:line="240" w:lineRule="auto" w:before="0"/>
        <w:rPr>
          <w:rFonts w:ascii="宋体" w:hAnsi="宋体" w:cs="宋体" w:eastAsia="宋体" w:hint="default"/>
          <w:b/>
          <w:bCs/>
          <w:sz w:val="24"/>
          <w:szCs w:val="24"/>
        </w:rPr>
      </w:pPr>
    </w:p>
    <w:p>
      <w:pPr>
        <w:pStyle w:val="BodyText"/>
        <w:spacing w:line="398" w:lineRule="auto" w:before="168"/>
        <w:ind w:right="1136" w:firstLine="480"/>
        <w:jc w:val="both"/>
      </w:pPr>
      <w:r>
        <w:rPr/>
        <w:t>报告期末公司主要房屋建筑物、生产设备及土地的地点分别在公司注册地深圳以及下属 子公司注册地合肥、昆明、贵阳、淮安及珠海，公司合法拥有所有主要房屋建筑物、生产设</w:t>
      </w:r>
      <w:r>
        <w:rPr>
          <w:spacing w:val="-89"/>
        </w:rPr>
        <w:t> </w:t>
      </w:r>
      <w:r>
        <w:rPr>
          <w:spacing w:val="-89"/>
        </w:rPr>
      </w:r>
      <w:r>
        <w:rPr/>
        <w:t>备的所有权及土地使用权，除下表所列资产用于向银行授信或贷款抵押外，公司其它资产不</w:t>
      </w:r>
      <w:r>
        <w:rPr>
          <w:spacing w:val="-91"/>
        </w:rPr>
        <w:t> </w:t>
      </w:r>
      <w:r>
        <w:rPr>
          <w:spacing w:val="-91"/>
        </w:rPr>
      </w:r>
      <w:r>
        <w:rPr/>
        <w:t>存在担保、抵押、诉讼等情形。资产抵押情况如下：</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Arial" w:hAnsi="Arial" w:cs="Arial" w:eastAsia="Arial" w:hint="default"/>
          <w:spacing w:val="-1"/>
          <w:sz w:val="21"/>
          <w:szCs w:val="21"/>
        </w:rPr>
        <w:t>(</w:t>
      </w:r>
      <w:r>
        <w:rPr>
          <w:rFonts w:ascii="宋体" w:hAnsi="宋体" w:cs="宋体" w:eastAsia="宋体" w:hint="default"/>
          <w:spacing w:val="-1"/>
          <w:sz w:val="21"/>
          <w:szCs w:val="21"/>
        </w:rPr>
        <w:t>人民币</w:t>
      </w:r>
      <w:r>
        <w:rPr>
          <w:rFonts w:ascii="Arial" w:hAnsi="Arial" w:cs="Arial" w:eastAsia="Arial" w:hint="default"/>
          <w:spacing w:val="-1"/>
          <w:sz w:val="21"/>
          <w:szCs w:val="21"/>
        </w:rPr>
        <w:t>)</w:t>
      </w:r>
      <w:r>
        <w:rPr>
          <w:rFonts w:ascii="宋体" w:hAnsi="宋体" w:cs="宋体" w:eastAsia="宋体" w:hint="default"/>
          <w:spacing w:val="-1"/>
          <w:sz w:val="21"/>
          <w:szCs w:val="21"/>
        </w:rPr>
        <w:t>元</w:t>
      </w:r>
    </w:p>
    <w:tbl>
      <w:tblPr>
        <w:tblW w:w="0" w:type="auto"/>
        <w:jc w:val="left"/>
        <w:tblInd w:w="107" w:type="dxa"/>
        <w:tblLayout w:type="fixed"/>
        <w:tblCellMar>
          <w:top w:w="0" w:type="dxa"/>
          <w:left w:w="0" w:type="dxa"/>
          <w:bottom w:w="0" w:type="dxa"/>
          <w:right w:w="0" w:type="dxa"/>
        </w:tblCellMar>
        <w:tblLook w:val="01E0"/>
      </w:tblPr>
      <w:tblGrid>
        <w:gridCol w:w="1908"/>
        <w:gridCol w:w="1779"/>
        <w:gridCol w:w="1844"/>
        <w:gridCol w:w="1529"/>
        <w:gridCol w:w="1520"/>
      </w:tblGrid>
      <w:tr>
        <w:trPr>
          <w:trHeight w:val="242" w:hRule="exact"/>
        </w:trPr>
        <w:tc>
          <w:tcPr>
            <w:tcW w:w="1908" w:type="dxa"/>
            <w:tcBorders>
              <w:top w:val="single" w:sz="4" w:space="0" w:color="000000"/>
              <w:left w:val="nil" w:sz="6" w:space="0" w:color="auto"/>
              <w:bottom w:val="single" w:sz="4" w:space="0" w:color="000000"/>
              <w:right w:val="single" w:sz="4" w:space="0" w:color="000000"/>
            </w:tcBorders>
            <w:shd w:val="clear" w:color="auto" w:fill="DFDFDF"/>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资产项目</w:t>
            </w:r>
          </w:p>
        </w:tc>
        <w:tc>
          <w:tcPr>
            <w:tcW w:w="177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05" w:lineRule="exact"/>
              <w:ind w:left="556"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2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05" w:lineRule="exact"/>
              <w:ind w:left="309" w:right="0"/>
              <w:jc w:val="left"/>
              <w:rPr>
                <w:rFonts w:ascii="宋体" w:hAnsi="宋体" w:cs="宋体" w:eastAsia="宋体" w:hint="default"/>
                <w:sz w:val="18"/>
                <w:szCs w:val="18"/>
              </w:rPr>
            </w:pPr>
            <w:r>
              <w:rPr>
                <w:rFonts w:ascii="宋体" w:hAnsi="宋体" w:cs="宋体" w:eastAsia="宋体" w:hint="default"/>
                <w:sz w:val="18"/>
                <w:szCs w:val="18"/>
              </w:rPr>
              <w:t>受限制原因</w:t>
            </w:r>
          </w:p>
        </w:tc>
        <w:tc>
          <w:tcPr>
            <w:tcW w:w="1520" w:type="dxa"/>
            <w:tcBorders>
              <w:top w:val="single" w:sz="4" w:space="0" w:color="000000"/>
              <w:left w:val="single" w:sz="4" w:space="0" w:color="000000"/>
              <w:bottom w:val="single" w:sz="4" w:space="0" w:color="000000"/>
              <w:right w:val="nil" w:sz="6" w:space="0" w:color="auto"/>
            </w:tcBorders>
            <w:shd w:val="clear" w:color="auto" w:fill="DFDFDF"/>
          </w:tcPr>
          <w:p>
            <w:pPr>
              <w:pStyle w:val="TableParagraph"/>
              <w:spacing w:line="205" w:lineRule="exact"/>
              <w:ind w:left="393" w:right="0"/>
              <w:jc w:val="left"/>
              <w:rPr>
                <w:rFonts w:ascii="宋体" w:hAnsi="宋体" w:cs="宋体" w:eastAsia="宋体" w:hint="default"/>
                <w:sz w:val="18"/>
                <w:szCs w:val="18"/>
              </w:rPr>
            </w:pPr>
            <w:r>
              <w:rPr>
                <w:rFonts w:ascii="宋体" w:hAnsi="宋体" w:cs="宋体" w:eastAsia="宋体" w:hint="default"/>
                <w:sz w:val="18"/>
                <w:szCs w:val="18"/>
              </w:rPr>
              <w:t>资产项目</w:t>
            </w:r>
          </w:p>
        </w:tc>
      </w:tr>
      <w:tr>
        <w:trPr>
          <w:trHeight w:val="996"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7" w:right="101"/>
              <w:jc w:val="left"/>
              <w:rPr>
                <w:rFonts w:ascii="宋体" w:hAnsi="宋体" w:cs="宋体" w:eastAsia="宋体" w:hint="default"/>
                <w:sz w:val="18"/>
                <w:szCs w:val="18"/>
              </w:rPr>
            </w:pPr>
            <w:r>
              <w:rPr>
                <w:rFonts w:ascii="宋体" w:hAnsi="宋体" w:cs="宋体" w:eastAsia="宋体" w:hint="default"/>
                <w:spacing w:val="7"/>
                <w:sz w:val="18"/>
                <w:szCs w:val="18"/>
              </w:rPr>
              <w:t>昆明彩印办公楼及厂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房</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1,470.53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1,280.07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8"/>
              <w:ind w:left="103" w:right="98"/>
              <w:jc w:val="both"/>
              <w:rPr>
                <w:rFonts w:ascii="宋体" w:hAnsi="宋体" w:cs="宋体" w:eastAsia="宋体" w:hint="default"/>
                <w:sz w:val="18"/>
                <w:szCs w:val="18"/>
              </w:rPr>
            </w:pPr>
            <w:r>
              <w:rPr>
                <w:rFonts w:ascii="宋体" w:hAnsi="宋体" w:cs="宋体" w:eastAsia="宋体" w:hint="default"/>
                <w:sz w:val="18"/>
                <w:szCs w:val="18"/>
              </w:rPr>
              <w:t>用于 </w:t>
            </w:r>
            <w:r>
              <w:rPr>
                <w:rFonts w:ascii="宋体" w:hAnsi="宋体" w:cs="宋体" w:eastAsia="宋体" w:hint="default"/>
                <w:sz w:val="18"/>
                <w:szCs w:val="18"/>
              </w:rPr>
              <w:t>3,000</w:t>
            </w:r>
            <w:r>
              <w:rPr>
                <w:rFonts w:ascii="宋体" w:hAnsi="宋体" w:cs="宋体" w:eastAsia="宋体" w:hint="default"/>
                <w:spacing w:val="-37"/>
                <w:sz w:val="18"/>
                <w:szCs w:val="18"/>
              </w:rPr>
              <w:t> </w:t>
            </w:r>
            <w:r>
              <w:rPr>
                <w:rFonts w:ascii="宋体" w:hAnsi="宋体" w:cs="宋体" w:eastAsia="宋体" w:hint="default"/>
                <w:sz w:val="18"/>
                <w:szCs w:val="18"/>
              </w:rPr>
              <w:t>万元 </w:t>
            </w:r>
            <w:r>
              <w:rPr>
                <w:rFonts w:ascii="宋体" w:hAnsi="宋体" w:cs="宋体" w:eastAsia="宋体" w:hint="default"/>
                <w:spacing w:val="7"/>
                <w:sz w:val="18"/>
                <w:szCs w:val="18"/>
              </w:rPr>
              <w:t>银行授信额度的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抵押</w:t>
            </w:r>
          </w:p>
        </w:tc>
        <w:tc>
          <w:tcPr>
            <w:tcW w:w="1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pacing w:val="7"/>
                <w:sz w:val="18"/>
                <w:szCs w:val="18"/>
              </w:rPr>
              <w:t>昆明彩印办公楼 </w:t>
            </w:r>
            <w:r>
              <w:rPr>
                <w:rFonts w:ascii="宋体" w:hAnsi="宋体" w:cs="宋体" w:eastAsia="宋体" w:hint="default"/>
                <w:sz w:val="18"/>
                <w:szCs w:val="18"/>
              </w:rPr>
              <w:t>及厂房</w:t>
            </w:r>
          </w:p>
        </w:tc>
      </w:tr>
      <w:tr>
        <w:trPr>
          <w:trHeight w:val="1138"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昆明彩印土地使用权</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1,555.86</w:t>
            </w:r>
            <w:r>
              <w:rPr>
                <w:rFonts w:ascii="宋体"/>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1,287.12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用于 </w:t>
            </w:r>
            <w:r>
              <w:rPr>
                <w:rFonts w:ascii="宋体" w:hAnsi="宋体" w:cs="宋体" w:eastAsia="宋体" w:hint="default"/>
                <w:sz w:val="18"/>
                <w:szCs w:val="18"/>
              </w:rPr>
              <w:t>3,000</w:t>
            </w:r>
            <w:r>
              <w:rPr>
                <w:rFonts w:ascii="宋体" w:hAnsi="宋体" w:cs="宋体" w:eastAsia="宋体" w:hint="default"/>
                <w:spacing w:val="-37"/>
                <w:sz w:val="18"/>
                <w:szCs w:val="18"/>
              </w:rPr>
              <w:t> </w:t>
            </w:r>
            <w:r>
              <w:rPr>
                <w:rFonts w:ascii="宋体" w:hAnsi="宋体" w:cs="宋体" w:eastAsia="宋体" w:hint="default"/>
                <w:sz w:val="18"/>
                <w:szCs w:val="18"/>
              </w:rPr>
              <w:t>万元 </w:t>
            </w:r>
            <w:r>
              <w:rPr>
                <w:rFonts w:ascii="宋体" w:hAnsi="宋体" w:cs="宋体" w:eastAsia="宋体" w:hint="default"/>
                <w:spacing w:val="7"/>
                <w:sz w:val="18"/>
                <w:szCs w:val="18"/>
              </w:rPr>
              <w:t>银行授信额度的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抵押</w:t>
            </w:r>
          </w:p>
        </w:tc>
        <w:tc>
          <w:tcPr>
            <w:tcW w:w="1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32" w:lineRule="exact"/>
              <w:ind w:left="103" w:right="99"/>
              <w:jc w:val="left"/>
              <w:rPr>
                <w:rFonts w:ascii="宋体" w:hAnsi="宋体" w:cs="宋体" w:eastAsia="宋体" w:hint="default"/>
                <w:sz w:val="18"/>
                <w:szCs w:val="18"/>
              </w:rPr>
            </w:pPr>
            <w:r>
              <w:rPr>
                <w:rFonts w:ascii="宋体" w:hAnsi="宋体" w:cs="宋体" w:eastAsia="宋体" w:hint="default"/>
                <w:spacing w:val="7"/>
                <w:sz w:val="18"/>
                <w:szCs w:val="18"/>
              </w:rPr>
              <w:t>昆明彩印土地使 </w:t>
            </w:r>
            <w:r>
              <w:rPr>
                <w:rFonts w:ascii="宋体" w:hAnsi="宋体" w:cs="宋体" w:eastAsia="宋体" w:hint="default"/>
                <w:sz w:val="18"/>
                <w:szCs w:val="18"/>
              </w:rPr>
              <w:t>用权</w:t>
            </w:r>
          </w:p>
        </w:tc>
      </w:tr>
    </w:tbl>
    <w:p>
      <w:pPr>
        <w:spacing w:line="240" w:lineRule="auto" w:before="3"/>
        <w:rPr>
          <w:rFonts w:ascii="宋体" w:hAnsi="宋体" w:cs="宋体" w:eastAsia="宋体" w:hint="default"/>
          <w:sz w:val="12"/>
          <w:szCs w:val="12"/>
        </w:rPr>
      </w:pPr>
    </w:p>
    <w:p>
      <w:pPr>
        <w:pStyle w:val="BodyText"/>
        <w:spacing w:line="398" w:lineRule="auto" w:before="26"/>
        <w:ind w:right="1139" w:firstLine="480"/>
        <w:jc w:val="both"/>
      </w:pPr>
      <w:r>
        <w:rPr/>
        <w:t>公司主要经营业务为生产销售烟标及镭射转移膜，主要核心资产为赛鲁迪印刷机、海德 堡印刷机、日本小森印刷机、模切机、涂布机、镀铝机、模压机等，公司上述主要资产在报</w:t>
      </w:r>
      <w:r>
        <w:rPr>
          <w:spacing w:val="-91"/>
        </w:rPr>
        <w:t> </w:t>
      </w:r>
      <w:r>
        <w:rPr>
          <w:spacing w:val="-91"/>
        </w:rPr>
      </w:r>
      <w:r>
        <w:rPr/>
        <w:t>告期末不存在已经闲置或即将闲置的情况，也不存在减值的迹象。</w:t>
      </w:r>
    </w:p>
    <w:p>
      <w:pPr>
        <w:pStyle w:val="Heading3"/>
        <w:spacing w:line="240" w:lineRule="auto" w:before="79"/>
        <w:ind w:right="0"/>
        <w:jc w:val="left"/>
        <w:rPr>
          <w:b w:val="0"/>
          <w:bCs w:val="0"/>
        </w:rPr>
      </w:pPr>
      <w:r>
        <w:rPr/>
        <w:t>（八）主要控股公司及参股公司的经营情况及业绩</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6"/>
        <w:ind w:left="593" w:right="0"/>
        <w:jc w:val="left"/>
      </w:pPr>
      <w:r>
        <w:rPr>
          <w:rFonts w:ascii="Arial" w:hAnsi="Arial" w:cs="Arial" w:eastAsia="Arial" w:hint="default"/>
        </w:rPr>
        <w:t>1</w:t>
      </w:r>
      <w:r>
        <w:rPr/>
        <w:t>、控股子公司：中华香港国际烟草集团有限公司</w:t>
      </w:r>
    </w:p>
    <w:p>
      <w:pPr>
        <w:pStyle w:val="BodyText"/>
        <w:spacing w:line="398" w:lineRule="auto" w:before="189"/>
        <w:ind w:right="996" w:firstLine="480"/>
        <w:jc w:val="left"/>
      </w:pPr>
      <w:r>
        <w:rPr/>
        <w:t>成立于</w:t>
      </w:r>
      <w:r>
        <w:rPr>
          <w:spacing w:val="-64"/>
        </w:rPr>
        <w:t> </w:t>
      </w:r>
      <w:r>
        <w:rPr>
          <w:rFonts w:ascii="宋体" w:hAnsi="宋体" w:cs="宋体" w:eastAsia="宋体" w:hint="default"/>
        </w:rPr>
        <w:t>1998</w:t>
      </w:r>
      <w:r>
        <w:rPr>
          <w:rFonts w:ascii="宋体" w:hAnsi="宋体" w:cs="宋体" w:eastAsia="宋体" w:hint="default"/>
          <w:spacing w:val="-63"/>
        </w:rPr>
        <w:t> </w:t>
      </w:r>
      <w:r>
        <w:rPr/>
        <w:t>年</w:t>
      </w:r>
      <w:r>
        <w:rPr>
          <w:spacing w:val="-63"/>
        </w:rPr>
        <w:t> </w:t>
      </w:r>
      <w:r>
        <w:rPr>
          <w:rFonts w:ascii="宋体" w:hAnsi="宋体" w:cs="宋体" w:eastAsia="宋体" w:hint="default"/>
        </w:rPr>
        <w:t>7</w:t>
      </w:r>
      <w:r>
        <w:rPr>
          <w:rFonts w:ascii="宋体" w:hAnsi="宋体" w:cs="宋体" w:eastAsia="宋体" w:hint="default"/>
          <w:spacing w:val="-63"/>
        </w:rPr>
        <w:t> </w:t>
      </w:r>
      <w:r>
        <w:rPr/>
        <w:t>月</w:t>
      </w:r>
      <w:r>
        <w:rPr>
          <w:spacing w:val="-63"/>
        </w:rPr>
        <w:t> </w:t>
      </w:r>
      <w:r>
        <w:rPr>
          <w:rFonts w:ascii="宋体" w:hAnsi="宋体" w:cs="宋体" w:eastAsia="宋体" w:hint="default"/>
        </w:rPr>
        <w:t>22</w:t>
      </w:r>
      <w:r>
        <w:rPr>
          <w:rFonts w:ascii="宋体" w:hAnsi="宋体" w:cs="宋体" w:eastAsia="宋体" w:hint="default"/>
          <w:spacing w:val="-63"/>
        </w:rPr>
        <w:t> </w:t>
      </w:r>
      <w:r>
        <w:rPr/>
        <w:t>日，注册资本为港币</w:t>
      </w:r>
      <w:r>
        <w:rPr>
          <w:spacing w:val="-63"/>
        </w:rPr>
        <w:t> </w:t>
      </w:r>
      <w:r>
        <w:rPr>
          <w:rFonts w:ascii="宋体" w:hAnsi="宋体" w:cs="宋体" w:eastAsia="宋体" w:hint="default"/>
        </w:rPr>
        <w:t>50,200</w:t>
      </w:r>
      <w:r>
        <w:rPr>
          <w:rFonts w:ascii="宋体" w:hAnsi="宋体" w:cs="宋体" w:eastAsia="宋体" w:hint="default"/>
          <w:spacing w:val="-63"/>
        </w:rPr>
        <w:t> </w:t>
      </w:r>
      <w:r>
        <w:rPr/>
        <w:t>万元元，公司持有该公司</w:t>
      </w:r>
      <w:r>
        <w:rPr>
          <w:spacing w:val="-63"/>
        </w:rPr>
        <w:t> </w:t>
      </w:r>
      <w:r>
        <w:rPr>
          <w:rFonts w:ascii="宋体" w:hAnsi="宋体" w:cs="宋体" w:eastAsia="宋体" w:hint="default"/>
        </w:rPr>
        <w:t>100%</w:t>
      </w:r>
      <w:r>
        <w:rPr/>
        <w:t>股权。 </w:t>
      </w:r>
      <w:r>
        <w:rPr>
          <w:spacing w:val="-2"/>
        </w:rPr>
        <w:t>经营范围为：包装材料的设计、制版、印刷及相关业务，为公司在香港的国际业务拓展平台。</w:t>
      </w:r>
    </w:p>
    <w:p>
      <w:pPr>
        <w:pStyle w:val="BodyText"/>
        <w:spacing w:line="240" w:lineRule="auto" w:before="46"/>
        <w:ind w:left="593" w:right="0"/>
        <w:jc w:val="left"/>
      </w:pPr>
      <w:r>
        <w:rPr/>
        <w:t>报告期末该公司总资产</w:t>
      </w:r>
      <w:r>
        <w:rPr>
          <w:spacing w:val="-50"/>
        </w:rPr>
        <w:t> </w:t>
      </w:r>
      <w:r>
        <w:rPr>
          <w:rFonts w:ascii="宋体" w:hAnsi="宋体" w:cs="宋体" w:eastAsia="宋体" w:hint="default"/>
        </w:rPr>
        <w:t>62,308.74</w:t>
      </w:r>
      <w:r>
        <w:rPr>
          <w:rFonts w:ascii="宋体" w:hAnsi="宋体" w:cs="宋体" w:eastAsia="宋体" w:hint="default"/>
          <w:spacing w:val="-51"/>
        </w:rPr>
        <w:t> </w:t>
      </w:r>
      <w:r>
        <w:rPr/>
        <w:t>万元，净资产</w:t>
      </w:r>
      <w:r>
        <w:rPr>
          <w:spacing w:val="-50"/>
        </w:rPr>
        <w:t> </w:t>
      </w:r>
      <w:r>
        <w:rPr>
          <w:rFonts w:ascii="宋体" w:hAnsi="宋体" w:cs="宋体" w:eastAsia="宋体" w:hint="default"/>
        </w:rPr>
        <w:t>61,925.15</w:t>
      </w:r>
      <w:r>
        <w:rPr>
          <w:rFonts w:ascii="宋体" w:hAnsi="宋体" w:cs="宋体" w:eastAsia="宋体" w:hint="default"/>
          <w:spacing w:val="-51"/>
        </w:rPr>
        <w:t> </w:t>
      </w:r>
      <w:r>
        <w:rPr/>
        <w:t>万元，报告期实现营业收入</w:t>
      </w:r>
    </w:p>
    <w:p>
      <w:pPr>
        <w:pStyle w:val="BodyText"/>
        <w:spacing w:line="240" w:lineRule="auto" w:before="207"/>
        <w:ind w:right="0"/>
        <w:jc w:val="left"/>
      </w:pPr>
      <w:r>
        <w:rPr>
          <w:rFonts w:ascii="宋体" w:hAnsi="宋体" w:cs="宋体" w:eastAsia="宋体" w:hint="default"/>
        </w:rPr>
        <w:t>893.35</w:t>
      </w:r>
      <w:r>
        <w:rPr>
          <w:rFonts w:ascii="宋体" w:hAnsi="宋体" w:cs="宋体" w:eastAsia="宋体" w:hint="default"/>
          <w:spacing w:val="-60"/>
        </w:rPr>
        <w:t> </w:t>
      </w:r>
      <w:r>
        <w:rPr/>
        <w:t>万元，净利润</w:t>
      </w:r>
      <w:r>
        <w:rPr>
          <w:spacing w:val="-61"/>
        </w:rPr>
        <w:t> </w:t>
      </w:r>
      <w:r>
        <w:rPr>
          <w:rFonts w:ascii="宋体" w:hAnsi="宋体" w:cs="宋体" w:eastAsia="宋体" w:hint="default"/>
        </w:rPr>
        <w:t>11,096.70</w:t>
      </w:r>
      <w:r>
        <w:rPr>
          <w:rFonts w:ascii="宋体" w:hAnsi="宋体" w:cs="宋体" w:eastAsia="宋体" w:hint="default"/>
          <w:spacing w:val="-60"/>
        </w:rPr>
        <w:t> </w:t>
      </w:r>
      <w:r>
        <w:rPr/>
        <w:t>万元。</w:t>
      </w:r>
    </w:p>
    <w:p>
      <w:pPr>
        <w:pStyle w:val="BodyText"/>
        <w:spacing w:line="240" w:lineRule="auto" w:before="206"/>
        <w:ind w:left="593" w:right="0"/>
        <w:jc w:val="left"/>
      </w:pPr>
      <w:r>
        <w:rPr>
          <w:rFonts w:ascii="宋体" w:hAnsi="宋体" w:cs="宋体" w:eastAsia="宋体" w:hint="default"/>
        </w:rPr>
        <w:t>2</w:t>
      </w:r>
      <w:r>
        <w:rPr/>
        <w:t>、控股子公司：安徽安泰新型包装材料有限公司</w:t>
      </w:r>
    </w:p>
    <w:p>
      <w:pPr>
        <w:pStyle w:val="BodyText"/>
        <w:spacing w:line="398" w:lineRule="auto" w:before="204"/>
        <w:ind w:right="1123" w:firstLine="480"/>
        <w:jc w:val="left"/>
      </w:pPr>
      <w:r>
        <w:rPr/>
        <w:t>成立于</w:t>
      </w:r>
      <w:r>
        <w:rPr>
          <w:spacing w:val="-60"/>
        </w:rPr>
        <w:t> </w:t>
      </w:r>
      <w:r>
        <w:rPr>
          <w:rFonts w:ascii="宋体" w:hAnsi="宋体" w:cs="宋体" w:eastAsia="宋体" w:hint="default"/>
        </w:rPr>
        <w:t>2002</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27</w:t>
      </w:r>
      <w:r>
        <w:rPr>
          <w:rFonts w:ascii="宋体" w:hAnsi="宋体" w:cs="宋体" w:eastAsia="宋体" w:hint="default"/>
          <w:spacing w:val="-59"/>
        </w:rPr>
        <w:t> </w:t>
      </w:r>
      <w:r>
        <w:rPr>
          <w:spacing w:val="-6"/>
        </w:rPr>
        <w:t>日，注册资本为</w:t>
      </w:r>
      <w:r>
        <w:rPr>
          <w:spacing w:val="-59"/>
        </w:rPr>
        <w:t> </w:t>
      </w:r>
      <w:r>
        <w:rPr>
          <w:rFonts w:ascii="宋体" w:hAnsi="宋体" w:cs="宋体" w:eastAsia="宋体" w:hint="default"/>
        </w:rPr>
        <w:t>8,400</w:t>
      </w:r>
      <w:r>
        <w:rPr>
          <w:rFonts w:ascii="宋体" w:hAnsi="宋体" w:cs="宋体" w:eastAsia="宋体" w:hint="default"/>
          <w:spacing w:val="-59"/>
        </w:rPr>
        <w:t> </w:t>
      </w:r>
      <w:r>
        <w:rPr>
          <w:spacing w:val="-3"/>
        </w:rPr>
        <w:t>万元人民币，公司直接和间接持有该公司</w:t>
      </w:r>
      <w:r>
        <w:rPr/>
        <w:t> </w:t>
      </w:r>
      <w:r>
        <w:rPr>
          <w:rFonts w:ascii="宋体" w:hAnsi="宋体" w:cs="宋体" w:eastAsia="宋体" w:hint="default"/>
        </w:rPr>
        <w:t>100%</w:t>
      </w:r>
      <w:r>
        <w:rPr/>
        <w:t>股权。经营范围为：新型包装材料、包装装潢印刷品的设计、生产和销售。</w:t>
      </w:r>
    </w:p>
    <w:p>
      <w:pPr>
        <w:pStyle w:val="BodyText"/>
        <w:spacing w:line="240" w:lineRule="auto" w:before="48"/>
        <w:ind w:left="593" w:right="0"/>
        <w:jc w:val="left"/>
      </w:pPr>
      <w:r>
        <w:rPr/>
        <w:t>报告期末该公司总资产</w:t>
      </w:r>
      <w:r>
        <w:rPr>
          <w:spacing w:val="-50"/>
        </w:rPr>
        <w:t> </w:t>
      </w:r>
      <w:r>
        <w:rPr>
          <w:rFonts w:ascii="宋体" w:hAnsi="宋体" w:cs="宋体" w:eastAsia="宋体" w:hint="default"/>
        </w:rPr>
        <w:t>43,865.51</w:t>
      </w:r>
      <w:r>
        <w:rPr>
          <w:rFonts w:ascii="宋体" w:hAnsi="宋体" w:cs="宋体" w:eastAsia="宋体" w:hint="default"/>
          <w:spacing w:val="-51"/>
        </w:rPr>
        <w:t> </w:t>
      </w:r>
      <w:r>
        <w:rPr/>
        <w:t>万元，净资产</w:t>
      </w:r>
      <w:r>
        <w:rPr>
          <w:spacing w:val="-50"/>
        </w:rPr>
        <w:t> </w:t>
      </w:r>
      <w:r>
        <w:rPr>
          <w:rFonts w:ascii="宋体" w:hAnsi="宋体" w:cs="宋体" w:eastAsia="宋体" w:hint="default"/>
        </w:rPr>
        <w:t>26,822.47</w:t>
      </w:r>
      <w:r>
        <w:rPr>
          <w:rFonts w:ascii="宋体" w:hAnsi="宋体" w:cs="宋体" w:eastAsia="宋体" w:hint="default"/>
          <w:spacing w:val="-51"/>
        </w:rPr>
        <w:t> </w:t>
      </w:r>
      <w:r>
        <w:rPr/>
        <w:t>万元，报告期实现营业收入</w:t>
      </w:r>
    </w:p>
    <w:p>
      <w:pPr>
        <w:pStyle w:val="BodyText"/>
        <w:spacing w:line="240" w:lineRule="auto" w:before="204"/>
        <w:ind w:right="0"/>
        <w:jc w:val="left"/>
      </w:pPr>
      <w:r>
        <w:rPr>
          <w:rFonts w:ascii="宋体" w:hAnsi="宋体" w:cs="宋体" w:eastAsia="宋体" w:hint="default"/>
        </w:rPr>
        <w:t>48,029.57</w:t>
      </w:r>
      <w:r>
        <w:rPr>
          <w:rFonts w:ascii="宋体" w:hAnsi="宋体" w:cs="宋体" w:eastAsia="宋体" w:hint="default"/>
          <w:spacing w:val="-60"/>
        </w:rPr>
        <w:t> </w:t>
      </w:r>
      <w:r>
        <w:rPr/>
        <w:t>万元，净利润</w:t>
      </w:r>
      <w:r>
        <w:rPr>
          <w:spacing w:val="-60"/>
        </w:rPr>
        <w:t> </w:t>
      </w:r>
      <w:r>
        <w:rPr>
          <w:rFonts w:ascii="宋体" w:hAnsi="宋体" w:cs="宋体" w:eastAsia="宋体" w:hint="default"/>
        </w:rPr>
        <w:t>13,618.01</w:t>
      </w:r>
      <w:r>
        <w:rPr>
          <w:rFonts w:ascii="宋体" w:hAnsi="宋体" w:cs="宋体" w:eastAsia="宋体" w:hint="default"/>
          <w:spacing w:val="-60"/>
        </w:rPr>
        <w:t> </w:t>
      </w:r>
      <w:r>
        <w:rPr/>
        <w:t>万元。</w:t>
      </w:r>
    </w:p>
    <w:p>
      <w:pPr>
        <w:spacing w:after="0" w:line="240" w:lineRule="auto"/>
        <w:jc w:val="left"/>
        <w:sectPr>
          <w:pgSz w:w="11910" w:h="16840"/>
          <w:pgMar w:header="920" w:footer="936" w:top="1140" w:bottom="1120" w:left="1020" w:right="0"/>
        </w:sectPr>
      </w:pPr>
    </w:p>
    <w:p>
      <w:pPr>
        <w:spacing w:line="240" w:lineRule="auto" w:before="6"/>
        <w:rPr>
          <w:rFonts w:ascii="宋体" w:hAnsi="宋体" w:cs="宋体" w:eastAsia="宋体" w:hint="default"/>
          <w:sz w:val="15"/>
          <w:szCs w:val="15"/>
        </w:rPr>
      </w:pPr>
    </w:p>
    <w:p>
      <w:pPr>
        <w:pStyle w:val="BodyText"/>
        <w:spacing w:line="240" w:lineRule="auto" w:before="26"/>
        <w:ind w:left="593" w:right="0"/>
        <w:jc w:val="left"/>
      </w:pPr>
      <w:r>
        <w:rPr>
          <w:rFonts w:ascii="宋体" w:hAnsi="宋体" w:cs="宋体" w:eastAsia="宋体" w:hint="default"/>
        </w:rPr>
        <w:t>3</w:t>
      </w:r>
      <w:r>
        <w:rPr/>
        <w:t>、控股子公司：贵州劲嘉新型包装材料有限公司</w:t>
      </w:r>
    </w:p>
    <w:p>
      <w:pPr>
        <w:pStyle w:val="BodyText"/>
        <w:spacing w:line="398" w:lineRule="auto" w:before="207"/>
        <w:ind w:right="1001" w:firstLine="480"/>
        <w:jc w:val="left"/>
      </w:pPr>
      <w:r>
        <w:rPr/>
        <w:t>成立于</w:t>
      </w:r>
      <w:r>
        <w:rPr>
          <w:spacing w:val="-60"/>
        </w:rPr>
        <w:t> </w:t>
      </w:r>
      <w:r>
        <w:rPr>
          <w:rFonts w:ascii="宋体" w:hAnsi="宋体" w:cs="宋体" w:eastAsia="宋体" w:hint="default"/>
        </w:rPr>
        <w:t>2006</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23</w:t>
      </w:r>
      <w:r>
        <w:rPr>
          <w:rFonts w:ascii="宋体" w:hAnsi="宋体" w:cs="宋体" w:eastAsia="宋体" w:hint="default"/>
          <w:spacing w:val="-59"/>
        </w:rPr>
        <w:t> </w:t>
      </w:r>
      <w:r>
        <w:rPr>
          <w:spacing w:val="-11"/>
        </w:rPr>
        <w:t>日，注册资本为</w:t>
      </w:r>
      <w:r>
        <w:rPr>
          <w:spacing w:val="-59"/>
        </w:rPr>
        <w:t> </w:t>
      </w:r>
      <w:r>
        <w:rPr>
          <w:rFonts w:ascii="宋体" w:hAnsi="宋体" w:cs="宋体" w:eastAsia="宋体" w:hint="default"/>
        </w:rPr>
        <w:t>10,000</w:t>
      </w:r>
      <w:r>
        <w:rPr>
          <w:rFonts w:ascii="宋体" w:hAnsi="宋体" w:cs="宋体" w:eastAsia="宋体" w:hint="default"/>
          <w:spacing w:val="-59"/>
        </w:rPr>
        <w:t> </w:t>
      </w:r>
      <w:r>
        <w:rPr>
          <w:spacing w:val="-6"/>
        </w:rPr>
        <w:t>万元人民币，公司持有该公司</w:t>
      </w:r>
      <w:r>
        <w:rPr>
          <w:spacing w:val="-59"/>
        </w:rPr>
        <w:t> </w:t>
      </w:r>
      <w:r>
        <w:rPr>
          <w:rFonts w:ascii="宋体" w:hAnsi="宋体" w:cs="宋体" w:eastAsia="宋体" w:hint="default"/>
        </w:rPr>
        <w:t>100%</w:t>
      </w:r>
      <w:r>
        <w:rPr/>
        <w:t>股权。 经营范围为：生产经营包装材料，承接包装材料的设计、制版、包装装潢印刷品印刷。</w:t>
      </w:r>
    </w:p>
    <w:p>
      <w:pPr>
        <w:pStyle w:val="BodyText"/>
        <w:spacing w:line="240" w:lineRule="auto" w:before="46"/>
        <w:ind w:left="593" w:right="0"/>
        <w:jc w:val="left"/>
      </w:pPr>
      <w:r>
        <w:rPr/>
        <w:t>报告期末该公司总资产</w:t>
      </w:r>
      <w:r>
        <w:rPr>
          <w:spacing w:val="-50"/>
        </w:rPr>
        <w:t> </w:t>
      </w:r>
      <w:r>
        <w:rPr>
          <w:rFonts w:ascii="宋体" w:hAnsi="宋体" w:cs="宋体" w:eastAsia="宋体" w:hint="default"/>
        </w:rPr>
        <w:t>44,237.96</w:t>
      </w:r>
      <w:r>
        <w:rPr>
          <w:rFonts w:ascii="宋体" w:hAnsi="宋体" w:cs="宋体" w:eastAsia="宋体" w:hint="default"/>
          <w:spacing w:val="-51"/>
        </w:rPr>
        <w:t> </w:t>
      </w:r>
      <w:r>
        <w:rPr/>
        <w:t>万元，净资产</w:t>
      </w:r>
      <w:r>
        <w:rPr>
          <w:spacing w:val="-50"/>
        </w:rPr>
        <w:t> </w:t>
      </w:r>
      <w:r>
        <w:rPr>
          <w:rFonts w:ascii="宋体" w:hAnsi="宋体" w:cs="宋体" w:eastAsia="宋体" w:hint="default"/>
        </w:rPr>
        <w:t>40,137.80</w:t>
      </w:r>
      <w:r>
        <w:rPr>
          <w:rFonts w:ascii="宋体" w:hAnsi="宋体" w:cs="宋体" w:eastAsia="宋体" w:hint="default"/>
          <w:spacing w:val="-51"/>
        </w:rPr>
        <w:t> </w:t>
      </w:r>
      <w:r>
        <w:rPr/>
        <w:t>万元，报告期实现营业收入</w:t>
      </w:r>
    </w:p>
    <w:p>
      <w:pPr>
        <w:pStyle w:val="BodyText"/>
        <w:spacing w:line="240" w:lineRule="auto" w:before="206"/>
        <w:ind w:right="0"/>
        <w:jc w:val="left"/>
      </w:pPr>
      <w:r>
        <w:rPr>
          <w:rFonts w:ascii="宋体" w:hAnsi="宋体" w:cs="宋体" w:eastAsia="宋体" w:hint="default"/>
        </w:rPr>
        <w:t>24,520.15</w:t>
      </w:r>
      <w:r>
        <w:rPr>
          <w:rFonts w:ascii="宋体" w:hAnsi="宋体" w:cs="宋体" w:eastAsia="宋体" w:hint="default"/>
          <w:spacing w:val="-60"/>
        </w:rPr>
        <w:t> </w:t>
      </w:r>
      <w:r>
        <w:rPr/>
        <w:t>万元，净利润</w:t>
      </w:r>
      <w:r>
        <w:rPr>
          <w:spacing w:val="-60"/>
        </w:rPr>
        <w:t> </w:t>
      </w:r>
      <w:r>
        <w:rPr>
          <w:rFonts w:ascii="宋体" w:hAnsi="宋体" w:cs="宋体" w:eastAsia="宋体" w:hint="default"/>
        </w:rPr>
        <w:t>7,778.62</w:t>
      </w:r>
      <w:r>
        <w:rPr>
          <w:rFonts w:ascii="宋体" w:hAnsi="宋体" w:cs="宋体" w:eastAsia="宋体" w:hint="default"/>
          <w:spacing w:val="-60"/>
        </w:rPr>
        <w:t> </w:t>
      </w:r>
      <w:r>
        <w:rPr/>
        <w:t>万元。</w:t>
      </w:r>
    </w:p>
    <w:p>
      <w:pPr>
        <w:pStyle w:val="BodyText"/>
        <w:spacing w:line="240" w:lineRule="auto" w:before="206"/>
        <w:ind w:left="593" w:right="0"/>
        <w:jc w:val="left"/>
      </w:pPr>
      <w:r>
        <w:rPr>
          <w:rFonts w:ascii="宋体" w:hAnsi="宋体" w:cs="宋体" w:eastAsia="宋体" w:hint="default"/>
        </w:rPr>
        <w:t>4</w:t>
      </w:r>
      <w:r>
        <w:rPr/>
        <w:t>、控股子公司：深圳市劲嘉科技有限公司</w:t>
      </w:r>
    </w:p>
    <w:p>
      <w:pPr>
        <w:pStyle w:val="BodyText"/>
        <w:spacing w:line="398" w:lineRule="auto" w:before="204"/>
        <w:ind w:right="1002" w:firstLine="480"/>
        <w:jc w:val="left"/>
      </w:pPr>
      <w:r>
        <w:rPr/>
        <w:t>成立于</w:t>
      </w:r>
      <w:r>
        <w:rPr>
          <w:spacing w:val="-64"/>
        </w:rPr>
        <w:t> </w:t>
      </w:r>
      <w:r>
        <w:rPr>
          <w:rFonts w:ascii="宋体" w:hAnsi="宋体" w:cs="宋体" w:eastAsia="宋体" w:hint="default"/>
        </w:rPr>
        <w:t>2004</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3"/>
        </w:rPr>
        <w:t> </w:t>
      </w:r>
      <w:r>
        <w:rPr>
          <w:rFonts w:ascii="宋体" w:hAnsi="宋体" w:cs="宋体" w:eastAsia="宋体" w:hint="default"/>
        </w:rPr>
        <w:t>20</w:t>
      </w:r>
      <w:r>
        <w:rPr>
          <w:rFonts w:ascii="宋体" w:hAnsi="宋体" w:cs="宋体" w:eastAsia="宋体" w:hint="default"/>
          <w:spacing w:val="-63"/>
        </w:rPr>
        <w:t> </w:t>
      </w:r>
      <w:r>
        <w:rPr/>
        <w:t>日，注册资本为</w:t>
      </w:r>
      <w:r>
        <w:rPr>
          <w:spacing w:val="-63"/>
        </w:rPr>
        <w:t> </w:t>
      </w:r>
      <w:r>
        <w:rPr>
          <w:rFonts w:ascii="宋体" w:hAnsi="宋体" w:cs="宋体" w:eastAsia="宋体" w:hint="default"/>
        </w:rPr>
        <w:t>2,000</w:t>
      </w:r>
      <w:r>
        <w:rPr>
          <w:rFonts w:ascii="宋体" w:hAnsi="宋体" w:cs="宋体" w:eastAsia="宋体" w:hint="default"/>
          <w:spacing w:val="-63"/>
        </w:rPr>
        <w:t> </w:t>
      </w:r>
      <w:r>
        <w:rPr/>
        <w:t>万元人民币，公司持有该公司</w:t>
      </w:r>
      <w:r>
        <w:rPr>
          <w:spacing w:val="-63"/>
        </w:rPr>
        <w:t> </w:t>
      </w:r>
      <w:r>
        <w:rPr>
          <w:rFonts w:ascii="宋体" w:hAnsi="宋体" w:cs="宋体" w:eastAsia="宋体" w:hint="default"/>
        </w:rPr>
        <w:t>100%</w:t>
      </w:r>
      <w:r>
        <w:rPr/>
        <w:t>股权。 </w:t>
      </w:r>
      <w:r>
        <w:rPr>
          <w:spacing w:val="-3"/>
        </w:rPr>
        <w:t>经营范围为：激光全息技术研究、开发；生产、销售镭射膜、银色膜；国内商业及物资供销。</w:t>
      </w:r>
    </w:p>
    <w:p>
      <w:pPr>
        <w:pStyle w:val="BodyText"/>
        <w:spacing w:line="240" w:lineRule="auto" w:before="49"/>
        <w:ind w:left="593" w:right="0"/>
        <w:jc w:val="left"/>
      </w:pPr>
      <w:r>
        <w:rPr/>
        <w:t>报告期末该公司总资产 </w:t>
      </w:r>
      <w:r>
        <w:rPr>
          <w:rFonts w:ascii="宋体" w:hAnsi="宋体" w:cs="宋体" w:eastAsia="宋体" w:hint="default"/>
        </w:rPr>
        <w:t>4,880.71 </w:t>
      </w:r>
      <w:r>
        <w:rPr/>
        <w:t>万元，净资产 </w:t>
      </w:r>
      <w:r>
        <w:rPr>
          <w:rFonts w:ascii="宋体" w:hAnsi="宋体" w:cs="宋体" w:eastAsia="宋体" w:hint="default"/>
        </w:rPr>
        <w:t>4,017.79</w:t>
      </w:r>
      <w:r>
        <w:rPr>
          <w:rFonts w:ascii="宋体" w:hAnsi="宋体" w:cs="宋体" w:eastAsia="宋体" w:hint="default"/>
          <w:spacing w:val="34"/>
        </w:rPr>
        <w:t> </w:t>
      </w:r>
      <w:r>
        <w:rPr/>
        <w:t>万元，报告期实现营业收入</w:t>
      </w:r>
    </w:p>
    <w:p>
      <w:pPr>
        <w:pStyle w:val="BodyText"/>
        <w:spacing w:line="240" w:lineRule="auto" w:before="204"/>
        <w:ind w:right="0"/>
        <w:jc w:val="left"/>
      </w:pPr>
      <w:r>
        <w:rPr>
          <w:rFonts w:ascii="宋体" w:hAnsi="宋体" w:cs="宋体" w:eastAsia="宋体" w:hint="default"/>
        </w:rPr>
        <w:t>314.03</w:t>
      </w:r>
      <w:r>
        <w:rPr>
          <w:rFonts w:ascii="宋体" w:hAnsi="宋体" w:cs="宋体" w:eastAsia="宋体" w:hint="default"/>
          <w:spacing w:val="-60"/>
        </w:rPr>
        <w:t> </w:t>
      </w:r>
      <w:r>
        <w:rPr/>
        <w:t>万元，净利润</w:t>
      </w:r>
      <w:r>
        <w:rPr>
          <w:spacing w:val="-61"/>
        </w:rPr>
        <w:t> </w:t>
      </w:r>
      <w:r>
        <w:rPr>
          <w:rFonts w:ascii="宋体" w:hAnsi="宋体" w:cs="宋体" w:eastAsia="宋体" w:hint="default"/>
        </w:rPr>
        <w:t>43.55</w:t>
      </w:r>
      <w:r>
        <w:rPr>
          <w:rFonts w:ascii="宋体" w:hAnsi="宋体" w:cs="宋体" w:eastAsia="宋体" w:hint="default"/>
          <w:spacing w:val="-60"/>
        </w:rPr>
        <w:t> </w:t>
      </w:r>
      <w:r>
        <w:rPr/>
        <w:t>万元。</w:t>
      </w:r>
    </w:p>
    <w:p>
      <w:pPr>
        <w:pStyle w:val="BodyText"/>
        <w:spacing w:line="240" w:lineRule="auto" w:before="206"/>
        <w:ind w:left="593" w:right="0"/>
        <w:jc w:val="left"/>
      </w:pPr>
      <w:r>
        <w:rPr>
          <w:rFonts w:ascii="宋体" w:hAnsi="宋体" w:cs="宋体" w:eastAsia="宋体" w:hint="default"/>
        </w:rPr>
        <w:t>5</w:t>
      </w:r>
      <w:r>
        <w:rPr/>
        <w:t>、控股子公司：昆明彩印有限责任公司</w:t>
      </w:r>
    </w:p>
    <w:p>
      <w:pPr>
        <w:pStyle w:val="BodyText"/>
        <w:spacing w:line="396" w:lineRule="auto" w:before="206"/>
        <w:ind w:right="1133" w:firstLine="480"/>
        <w:jc w:val="both"/>
      </w:pPr>
      <w:r>
        <w:rPr/>
        <w:t>成立于</w:t>
      </w:r>
      <w:r>
        <w:rPr>
          <w:spacing w:val="-64"/>
        </w:rPr>
        <w:t> </w:t>
      </w:r>
      <w:r>
        <w:rPr>
          <w:rFonts w:ascii="宋体" w:hAnsi="宋体" w:cs="宋体" w:eastAsia="宋体" w:hint="default"/>
        </w:rPr>
        <w:t>2004</w:t>
      </w:r>
      <w:r>
        <w:rPr>
          <w:rFonts w:ascii="宋体" w:hAnsi="宋体" w:cs="宋体" w:eastAsia="宋体" w:hint="default"/>
          <w:spacing w:val="-63"/>
        </w:rPr>
        <w:t> </w:t>
      </w:r>
      <w:r>
        <w:rPr/>
        <w:t>年</w:t>
      </w:r>
      <w:r>
        <w:rPr>
          <w:spacing w:val="-63"/>
        </w:rPr>
        <w:t> </w:t>
      </w:r>
      <w:r>
        <w:rPr>
          <w:rFonts w:ascii="宋体" w:hAnsi="宋体" w:cs="宋体" w:eastAsia="宋体" w:hint="default"/>
        </w:rPr>
        <w:t>9</w:t>
      </w:r>
      <w:r>
        <w:rPr>
          <w:rFonts w:ascii="宋体" w:hAnsi="宋体" w:cs="宋体" w:eastAsia="宋体" w:hint="default"/>
          <w:spacing w:val="-63"/>
        </w:rPr>
        <w:t> </w:t>
      </w:r>
      <w:r>
        <w:rPr/>
        <w:t>月</w:t>
      </w:r>
      <w:r>
        <w:rPr>
          <w:spacing w:val="-63"/>
        </w:rPr>
        <w:t> </w:t>
      </w:r>
      <w:r>
        <w:rPr>
          <w:rFonts w:ascii="宋体" w:hAnsi="宋体" w:cs="宋体" w:eastAsia="宋体" w:hint="default"/>
        </w:rPr>
        <w:t>30</w:t>
      </w:r>
      <w:r>
        <w:rPr>
          <w:rFonts w:ascii="宋体" w:hAnsi="宋体" w:cs="宋体" w:eastAsia="宋体" w:hint="default"/>
          <w:spacing w:val="-63"/>
        </w:rPr>
        <w:t> </w:t>
      </w:r>
      <w:r>
        <w:rPr/>
        <w:t>日，注册资本为</w:t>
      </w:r>
      <w:r>
        <w:rPr>
          <w:spacing w:val="-63"/>
        </w:rPr>
        <w:t> </w:t>
      </w:r>
      <w:r>
        <w:rPr>
          <w:rFonts w:ascii="宋体" w:hAnsi="宋体" w:cs="宋体" w:eastAsia="宋体" w:hint="default"/>
        </w:rPr>
        <w:t>750</w:t>
      </w:r>
      <w:r>
        <w:rPr>
          <w:rFonts w:ascii="宋体" w:hAnsi="宋体" w:cs="宋体" w:eastAsia="宋体" w:hint="default"/>
          <w:spacing w:val="-63"/>
        </w:rPr>
        <w:t> </w:t>
      </w:r>
      <w:r>
        <w:rPr/>
        <w:t>万美元，公司直接和间接持有该公司</w:t>
      </w:r>
      <w:r>
        <w:rPr>
          <w:spacing w:val="-62"/>
        </w:rPr>
        <w:t> </w:t>
      </w:r>
      <w:r>
        <w:rPr>
          <w:rFonts w:ascii="宋体" w:hAnsi="宋体" w:cs="宋体" w:eastAsia="宋体" w:hint="default"/>
        </w:rPr>
        <w:t>51.61% </w:t>
      </w:r>
      <w:r>
        <w:rPr/>
        <w:t>股权。经营范围为：内部资料性出版物、包装装潢印刷品、纸制品商标标识的印刷、纸盒加</w:t>
      </w:r>
      <w:r>
        <w:rPr>
          <w:spacing w:val="-91"/>
        </w:rPr>
        <w:t> </w:t>
      </w:r>
      <w:r>
        <w:rPr>
          <w:spacing w:val="-91"/>
        </w:rPr>
      </w:r>
      <w:r>
        <w:rPr/>
        <w:t>工。</w:t>
      </w:r>
    </w:p>
    <w:p>
      <w:pPr>
        <w:pStyle w:val="BodyText"/>
        <w:spacing w:line="240" w:lineRule="auto" w:before="51"/>
        <w:ind w:left="593" w:right="0"/>
        <w:jc w:val="left"/>
      </w:pPr>
      <w:r>
        <w:rPr/>
        <w:t>报告期末该公司总资产</w:t>
      </w:r>
      <w:r>
        <w:rPr>
          <w:spacing w:val="-50"/>
        </w:rPr>
        <w:t> </w:t>
      </w:r>
      <w:r>
        <w:rPr>
          <w:rFonts w:ascii="宋体" w:hAnsi="宋体" w:cs="宋体" w:eastAsia="宋体" w:hint="default"/>
        </w:rPr>
        <w:t>21,533.29</w:t>
      </w:r>
      <w:r>
        <w:rPr>
          <w:rFonts w:ascii="宋体" w:hAnsi="宋体" w:cs="宋体" w:eastAsia="宋体" w:hint="default"/>
          <w:spacing w:val="-51"/>
        </w:rPr>
        <w:t> </w:t>
      </w:r>
      <w:r>
        <w:rPr/>
        <w:t>万元，净资产</w:t>
      </w:r>
      <w:r>
        <w:rPr>
          <w:spacing w:val="-50"/>
        </w:rPr>
        <w:t> </w:t>
      </w:r>
      <w:r>
        <w:rPr>
          <w:rFonts w:ascii="宋体" w:hAnsi="宋体" w:cs="宋体" w:eastAsia="宋体" w:hint="default"/>
        </w:rPr>
        <w:t>10,549.20</w:t>
      </w:r>
      <w:r>
        <w:rPr>
          <w:rFonts w:ascii="宋体" w:hAnsi="宋体" w:cs="宋体" w:eastAsia="宋体" w:hint="default"/>
          <w:spacing w:val="-51"/>
        </w:rPr>
        <w:t> </w:t>
      </w:r>
      <w:r>
        <w:rPr/>
        <w:t>万元，报告期实现营业收入</w:t>
      </w:r>
    </w:p>
    <w:p>
      <w:pPr>
        <w:pStyle w:val="BodyText"/>
        <w:spacing w:line="240" w:lineRule="auto" w:before="204"/>
        <w:ind w:right="0"/>
        <w:jc w:val="left"/>
      </w:pPr>
      <w:r>
        <w:rPr>
          <w:rFonts w:ascii="宋体" w:hAnsi="宋体" w:cs="宋体" w:eastAsia="宋体" w:hint="default"/>
        </w:rPr>
        <w:t>16,710.72</w:t>
      </w:r>
      <w:r>
        <w:rPr>
          <w:rFonts w:ascii="宋体" w:hAnsi="宋体" w:cs="宋体" w:eastAsia="宋体" w:hint="default"/>
          <w:spacing w:val="-60"/>
        </w:rPr>
        <w:t> </w:t>
      </w:r>
      <w:r>
        <w:rPr/>
        <w:t>万元，净利润</w:t>
      </w:r>
      <w:r>
        <w:rPr>
          <w:spacing w:val="-60"/>
        </w:rPr>
        <w:t> </w:t>
      </w:r>
      <w:r>
        <w:rPr>
          <w:rFonts w:ascii="宋体" w:hAnsi="宋体" w:cs="宋体" w:eastAsia="宋体" w:hint="default"/>
        </w:rPr>
        <w:t>1,856.59</w:t>
      </w:r>
      <w:r>
        <w:rPr>
          <w:rFonts w:ascii="宋体" w:hAnsi="宋体" w:cs="宋体" w:eastAsia="宋体" w:hint="default"/>
          <w:spacing w:val="-60"/>
        </w:rPr>
        <w:t> </w:t>
      </w:r>
      <w:r>
        <w:rPr/>
        <w:t>万元。</w:t>
      </w:r>
    </w:p>
    <w:p>
      <w:pPr>
        <w:pStyle w:val="BodyText"/>
        <w:spacing w:line="240" w:lineRule="auto" w:before="206"/>
        <w:ind w:left="593" w:right="0"/>
        <w:jc w:val="left"/>
      </w:pPr>
      <w:r>
        <w:rPr>
          <w:rFonts w:ascii="宋体" w:hAnsi="宋体" w:cs="宋体" w:eastAsia="宋体" w:hint="default"/>
        </w:rPr>
        <w:t>6</w:t>
      </w:r>
      <w:r>
        <w:rPr/>
        <w:t>、控股子公司：江苏劲嘉新型包装材料有限公司</w:t>
      </w:r>
    </w:p>
    <w:p>
      <w:pPr>
        <w:pStyle w:val="BodyText"/>
        <w:spacing w:line="396" w:lineRule="auto" w:before="206"/>
        <w:ind w:right="1119" w:firstLine="480"/>
        <w:jc w:val="left"/>
      </w:pPr>
      <w:r>
        <w:rPr/>
        <w:t>成立于</w:t>
      </w:r>
      <w:r>
        <w:rPr>
          <w:spacing w:val="-50"/>
        </w:rPr>
        <w:t> </w:t>
      </w:r>
      <w:r>
        <w:rPr>
          <w:rFonts w:ascii="宋体" w:hAnsi="宋体" w:cs="宋体" w:eastAsia="宋体" w:hint="default"/>
        </w:rPr>
        <w:t>2006</w:t>
      </w:r>
      <w:r>
        <w:rPr>
          <w:rFonts w:ascii="宋体" w:hAnsi="宋体" w:cs="宋体" w:eastAsia="宋体" w:hint="default"/>
          <w:spacing w:val="-49"/>
        </w:rPr>
        <w:t> </w:t>
      </w:r>
      <w:r>
        <w:rPr/>
        <w:t>年</w:t>
      </w:r>
      <w:r>
        <w:rPr>
          <w:spacing w:val="-52"/>
        </w:rPr>
        <w:t> </w:t>
      </w:r>
      <w:r>
        <w:rPr>
          <w:rFonts w:ascii="宋体" w:hAnsi="宋体" w:cs="宋体" w:eastAsia="宋体" w:hint="default"/>
        </w:rPr>
        <w:t>6</w:t>
      </w:r>
      <w:r>
        <w:rPr>
          <w:rFonts w:ascii="宋体" w:hAnsi="宋体" w:cs="宋体" w:eastAsia="宋体" w:hint="default"/>
          <w:spacing w:val="-49"/>
        </w:rPr>
        <w:t> </w:t>
      </w:r>
      <w:r>
        <w:rPr/>
        <w:t>月</w:t>
      </w:r>
      <w:r>
        <w:rPr>
          <w:spacing w:val="-49"/>
        </w:rPr>
        <w:t> </w:t>
      </w:r>
      <w:r>
        <w:rPr>
          <w:rFonts w:ascii="宋体" w:hAnsi="宋体" w:cs="宋体" w:eastAsia="宋体" w:hint="default"/>
        </w:rPr>
        <w:t>26</w:t>
      </w:r>
      <w:r>
        <w:rPr>
          <w:rFonts w:ascii="宋体" w:hAnsi="宋体" w:cs="宋体" w:eastAsia="宋体" w:hint="default"/>
          <w:spacing w:val="-49"/>
        </w:rPr>
        <w:t> </w:t>
      </w:r>
      <w:r>
        <w:rPr/>
        <w:t>日，注册资本为</w:t>
      </w:r>
      <w:r>
        <w:rPr>
          <w:spacing w:val="-49"/>
        </w:rPr>
        <w:t> </w:t>
      </w:r>
      <w:r>
        <w:rPr>
          <w:rFonts w:ascii="宋体" w:hAnsi="宋体" w:cs="宋体" w:eastAsia="宋体" w:hint="default"/>
        </w:rPr>
        <w:t>6,000</w:t>
      </w:r>
      <w:r>
        <w:rPr>
          <w:rFonts w:ascii="宋体" w:hAnsi="宋体" w:cs="宋体" w:eastAsia="宋体" w:hint="default"/>
          <w:spacing w:val="-49"/>
        </w:rPr>
        <w:t> </w:t>
      </w:r>
      <w:r>
        <w:rPr/>
        <w:t>万元，公司直接和间接持有该公司</w:t>
      </w:r>
      <w:r>
        <w:rPr>
          <w:spacing w:val="-49"/>
        </w:rPr>
        <w:t> </w:t>
      </w:r>
      <w:r>
        <w:rPr>
          <w:rFonts w:ascii="宋体" w:hAnsi="宋体" w:cs="宋体" w:eastAsia="宋体" w:hint="default"/>
        </w:rPr>
        <w:t>60%</w:t>
      </w:r>
      <w:r>
        <w:rPr/>
        <w:t>股 权。经营范围为：生产新型包装材料，销售自产产品。</w:t>
      </w:r>
    </w:p>
    <w:p>
      <w:pPr>
        <w:pStyle w:val="BodyText"/>
        <w:spacing w:line="240" w:lineRule="auto" w:before="50"/>
        <w:ind w:left="593" w:right="0"/>
        <w:jc w:val="left"/>
      </w:pPr>
      <w:r>
        <w:rPr/>
        <w:t>报告期末该公司总资产</w:t>
      </w:r>
      <w:r>
        <w:rPr>
          <w:spacing w:val="-50"/>
        </w:rPr>
        <w:t> </w:t>
      </w:r>
      <w:r>
        <w:rPr>
          <w:rFonts w:ascii="宋体" w:hAnsi="宋体" w:cs="宋体" w:eastAsia="宋体" w:hint="default"/>
        </w:rPr>
        <w:t>20,167.32</w:t>
      </w:r>
      <w:r>
        <w:rPr>
          <w:rFonts w:ascii="宋体" w:hAnsi="宋体" w:cs="宋体" w:eastAsia="宋体" w:hint="default"/>
          <w:spacing w:val="-51"/>
        </w:rPr>
        <w:t> </w:t>
      </w:r>
      <w:r>
        <w:rPr/>
        <w:t>万元，净资产</w:t>
      </w:r>
      <w:r>
        <w:rPr>
          <w:spacing w:val="-50"/>
        </w:rPr>
        <w:t> </w:t>
      </w:r>
      <w:r>
        <w:rPr>
          <w:rFonts w:ascii="宋体" w:hAnsi="宋体" w:cs="宋体" w:eastAsia="宋体" w:hint="default"/>
        </w:rPr>
        <w:t>15,108.53</w:t>
      </w:r>
      <w:r>
        <w:rPr>
          <w:rFonts w:ascii="宋体" w:hAnsi="宋体" w:cs="宋体" w:eastAsia="宋体" w:hint="default"/>
          <w:spacing w:val="-51"/>
        </w:rPr>
        <w:t> </w:t>
      </w:r>
      <w:r>
        <w:rPr/>
        <w:t>万元，报告期实现营业收入</w:t>
      </w:r>
    </w:p>
    <w:p>
      <w:pPr>
        <w:pStyle w:val="BodyText"/>
        <w:spacing w:line="240" w:lineRule="auto" w:before="206"/>
        <w:ind w:right="0"/>
        <w:jc w:val="left"/>
      </w:pPr>
      <w:r>
        <w:rPr>
          <w:rFonts w:ascii="宋体" w:hAnsi="宋体" w:cs="宋体" w:eastAsia="宋体" w:hint="default"/>
        </w:rPr>
        <w:t>14,891.66</w:t>
      </w:r>
      <w:r>
        <w:rPr>
          <w:rFonts w:ascii="宋体" w:hAnsi="宋体" w:cs="宋体" w:eastAsia="宋体" w:hint="default"/>
          <w:spacing w:val="-60"/>
        </w:rPr>
        <w:t> </w:t>
      </w:r>
      <w:r>
        <w:rPr/>
        <w:t>万元，净利润</w:t>
      </w:r>
      <w:r>
        <w:rPr>
          <w:spacing w:val="-60"/>
        </w:rPr>
        <w:t> </w:t>
      </w:r>
      <w:r>
        <w:rPr>
          <w:rFonts w:ascii="宋体" w:hAnsi="宋体" w:cs="宋体" w:eastAsia="宋体" w:hint="default"/>
        </w:rPr>
        <w:t>2,954.81</w:t>
      </w:r>
      <w:r>
        <w:rPr>
          <w:rFonts w:ascii="宋体" w:hAnsi="宋体" w:cs="宋体" w:eastAsia="宋体" w:hint="default"/>
          <w:spacing w:val="-60"/>
        </w:rPr>
        <w:t> </w:t>
      </w:r>
      <w:r>
        <w:rPr/>
        <w:t>万元。</w:t>
      </w:r>
    </w:p>
    <w:p>
      <w:pPr>
        <w:pStyle w:val="BodyText"/>
        <w:spacing w:line="240" w:lineRule="auto" w:before="205"/>
        <w:ind w:left="593" w:right="0"/>
        <w:jc w:val="left"/>
      </w:pPr>
      <w:r>
        <w:rPr>
          <w:rFonts w:ascii="宋体" w:hAnsi="宋体" w:cs="宋体" w:eastAsia="宋体" w:hint="default"/>
        </w:rPr>
        <w:t>7</w:t>
      </w:r>
      <w:r>
        <w:rPr/>
        <w:t>、控股子公司：中丰田光电科技</w:t>
      </w:r>
      <w:r>
        <w:rPr>
          <w:rFonts w:ascii="宋体" w:hAnsi="宋体" w:cs="宋体" w:eastAsia="宋体" w:hint="default"/>
        </w:rPr>
        <w:t>(</w:t>
      </w:r>
      <w:r>
        <w:rPr/>
        <w:t>珠海</w:t>
      </w:r>
      <w:r>
        <w:rPr>
          <w:rFonts w:ascii="宋体" w:hAnsi="宋体" w:cs="宋体" w:eastAsia="宋体" w:hint="default"/>
        </w:rPr>
        <w:t>)</w:t>
      </w:r>
      <w:r>
        <w:rPr/>
        <w:t>有限公司</w:t>
      </w:r>
    </w:p>
    <w:p>
      <w:pPr>
        <w:pStyle w:val="BodyText"/>
        <w:spacing w:line="398" w:lineRule="auto" w:before="206"/>
        <w:ind w:right="1118" w:firstLine="480"/>
        <w:jc w:val="left"/>
      </w:pPr>
      <w:r>
        <w:rPr/>
        <w:t>成立于</w:t>
      </w:r>
      <w:r>
        <w:rPr>
          <w:spacing w:val="-49"/>
        </w:rPr>
        <w:t> </w:t>
      </w:r>
      <w:r>
        <w:rPr>
          <w:rFonts w:ascii="宋体" w:hAnsi="宋体" w:cs="宋体" w:eastAsia="宋体" w:hint="default"/>
        </w:rPr>
        <w:t>2001</w:t>
      </w:r>
      <w:r>
        <w:rPr>
          <w:rFonts w:ascii="宋体" w:hAnsi="宋体" w:cs="宋体" w:eastAsia="宋体" w:hint="default"/>
          <w:spacing w:val="-48"/>
        </w:rPr>
        <w:t> </w:t>
      </w:r>
      <w:r>
        <w:rPr/>
        <w:t>年</w:t>
      </w:r>
      <w:r>
        <w:rPr>
          <w:spacing w:val="-51"/>
        </w:rPr>
        <w:t> </w:t>
      </w:r>
      <w:r>
        <w:rPr>
          <w:rFonts w:ascii="宋体" w:hAnsi="宋体" w:cs="宋体" w:eastAsia="宋体" w:hint="default"/>
        </w:rPr>
        <w:t>7</w:t>
      </w:r>
      <w:r>
        <w:rPr>
          <w:rFonts w:ascii="宋体" w:hAnsi="宋体" w:cs="宋体" w:eastAsia="宋体" w:hint="default"/>
          <w:spacing w:val="-48"/>
        </w:rPr>
        <w:t> </w:t>
      </w:r>
      <w:r>
        <w:rPr/>
        <w:t>月</w:t>
      </w:r>
      <w:r>
        <w:rPr>
          <w:spacing w:val="-51"/>
        </w:rPr>
        <w:t> </w:t>
      </w:r>
      <w:r>
        <w:rPr>
          <w:rFonts w:ascii="宋体" w:hAnsi="宋体" w:cs="宋体" w:eastAsia="宋体" w:hint="default"/>
        </w:rPr>
        <w:t>6</w:t>
      </w:r>
      <w:r>
        <w:rPr>
          <w:rFonts w:ascii="宋体" w:hAnsi="宋体" w:cs="宋体" w:eastAsia="宋体" w:hint="default"/>
          <w:spacing w:val="-50"/>
        </w:rPr>
        <w:t> </w:t>
      </w:r>
      <w:r>
        <w:rPr/>
        <w:t>日，注册资本为</w:t>
      </w:r>
      <w:r>
        <w:rPr>
          <w:spacing w:val="-48"/>
        </w:rPr>
        <w:t> </w:t>
      </w:r>
      <w:r>
        <w:rPr>
          <w:rFonts w:ascii="宋体" w:hAnsi="宋体" w:cs="宋体" w:eastAsia="宋体" w:hint="default"/>
        </w:rPr>
        <w:t>1090</w:t>
      </w:r>
      <w:r>
        <w:rPr>
          <w:rFonts w:ascii="宋体" w:hAnsi="宋体" w:cs="宋体" w:eastAsia="宋体" w:hint="default"/>
          <w:spacing w:val="-51"/>
        </w:rPr>
        <w:t> </w:t>
      </w:r>
      <w:r>
        <w:rPr/>
        <w:t>万美元，公司间接持有该公司</w:t>
      </w:r>
      <w:r>
        <w:rPr>
          <w:spacing w:val="-48"/>
        </w:rPr>
        <w:t> </w:t>
      </w:r>
      <w:r>
        <w:rPr>
          <w:rFonts w:ascii="宋体" w:hAnsi="宋体" w:cs="宋体" w:eastAsia="宋体" w:hint="default"/>
        </w:rPr>
        <w:t>60%</w:t>
      </w:r>
      <w:r>
        <w:rPr/>
        <w:t>股权。经 营范围为：开发生产销售激光新材料和高性能涂料。</w:t>
      </w:r>
    </w:p>
    <w:p>
      <w:pPr>
        <w:pStyle w:val="BodyText"/>
        <w:spacing w:line="240" w:lineRule="auto" w:before="46"/>
        <w:ind w:left="593" w:right="0"/>
        <w:jc w:val="left"/>
      </w:pPr>
      <w:r>
        <w:rPr/>
        <w:t>报告期末该公司总资产</w:t>
      </w:r>
      <w:r>
        <w:rPr>
          <w:spacing w:val="-50"/>
        </w:rPr>
        <w:t> </w:t>
      </w:r>
      <w:r>
        <w:rPr>
          <w:rFonts w:ascii="宋体" w:hAnsi="宋体" w:cs="宋体" w:eastAsia="宋体" w:hint="default"/>
        </w:rPr>
        <w:t>57,167.84</w:t>
      </w:r>
      <w:r>
        <w:rPr>
          <w:rFonts w:ascii="宋体" w:hAnsi="宋体" w:cs="宋体" w:eastAsia="宋体" w:hint="default"/>
          <w:spacing w:val="-51"/>
        </w:rPr>
        <w:t> </w:t>
      </w:r>
      <w:r>
        <w:rPr/>
        <w:t>万元，净资产</w:t>
      </w:r>
      <w:r>
        <w:rPr>
          <w:spacing w:val="-50"/>
        </w:rPr>
        <w:t> </w:t>
      </w:r>
      <w:r>
        <w:rPr>
          <w:rFonts w:ascii="宋体" w:hAnsi="宋体" w:cs="宋体" w:eastAsia="宋体" w:hint="default"/>
        </w:rPr>
        <w:t>41,464.48</w:t>
      </w:r>
      <w:r>
        <w:rPr>
          <w:rFonts w:ascii="宋体" w:hAnsi="宋体" w:cs="宋体" w:eastAsia="宋体" w:hint="default"/>
          <w:spacing w:val="-51"/>
        </w:rPr>
        <w:t> </w:t>
      </w:r>
      <w:r>
        <w:rPr/>
        <w:t>万元，报告期实现营业收入</w:t>
      </w:r>
    </w:p>
    <w:p>
      <w:pPr>
        <w:pStyle w:val="BodyText"/>
        <w:spacing w:line="240" w:lineRule="auto" w:before="206"/>
        <w:ind w:right="0"/>
        <w:jc w:val="left"/>
      </w:pPr>
      <w:r>
        <w:rPr>
          <w:rFonts w:ascii="宋体" w:hAnsi="宋体" w:cs="宋体" w:eastAsia="宋体" w:hint="default"/>
        </w:rPr>
        <w:t>23,306.40</w:t>
      </w:r>
      <w:r>
        <w:rPr>
          <w:rFonts w:ascii="宋体" w:hAnsi="宋体" w:cs="宋体" w:eastAsia="宋体" w:hint="default"/>
          <w:spacing w:val="-60"/>
        </w:rPr>
        <w:t> </w:t>
      </w:r>
      <w:r>
        <w:rPr/>
        <w:t>万元，净利润</w:t>
      </w:r>
      <w:r>
        <w:rPr>
          <w:spacing w:val="-60"/>
        </w:rPr>
        <w:t> </w:t>
      </w:r>
      <w:r>
        <w:rPr>
          <w:rFonts w:ascii="宋体" w:hAnsi="宋体" w:cs="宋体" w:eastAsia="宋体" w:hint="default"/>
        </w:rPr>
        <w:t>814.54</w:t>
      </w:r>
      <w:r>
        <w:rPr>
          <w:rFonts w:ascii="宋体" w:hAnsi="宋体" w:cs="宋体" w:eastAsia="宋体" w:hint="default"/>
          <w:spacing w:val="-60"/>
        </w:rPr>
        <w:t> </w:t>
      </w:r>
      <w:r>
        <w:rPr/>
        <w:t>万元。</w:t>
      </w:r>
    </w:p>
    <w:p>
      <w:pPr>
        <w:spacing w:after="0" w:line="240" w:lineRule="auto"/>
        <w:jc w:val="left"/>
        <w:sectPr>
          <w:headerReference w:type="default" r:id="rId22"/>
          <w:pgSz w:w="11910" w:h="16840"/>
          <w:pgMar w:header="920" w:footer="936" w:top="1140" w:bottom="1120" w:left="1020" w:right="0"/>
        </w:sectPr>
      </w:pPr>
    </w:p>
    <w:p>
      <w:pPr>
        <w:pStyle w:val="Heading3"/>
        <w:spacing w:line="240" w:lineRule="auto" w:before="19"/>
        <w:ind w:left="132" w:right="1119"/>
        <w:jc w:val="left"/>
        <w:rPr>
          <w:b w:val="0"/>
          <w:bCs w:val="0"/>
        </w:rPr>
      </w:pPr>
      <w:r>
        <w:rPr/>
        <w:t>（九）期末存货分析</w:t>
      </w:r>
      <w:r>
        <w:rPr>
          <w:b w:val="0"/>
          <w:bCs w:val="0"/>
        </w:rPr>
      </w:r>
    </w:p>
    <w:p>
      <w:pPr>
        <w:spacing w:line="240" w:lineRule="auto" w:before="9"/>
        <w:rPr>
          <w:rFonts w:ascii="宋体" w:hAnsi="宋体" w:cs="宋体" w:eastAsia="宋体" w:hint="default"/>
          <w:b/>
          <w:bCs/>
          <w:sz w:val="18"/>
          <w:szCs w:val="18"/>
        </w:rPr>
      </w:pPr>
    </w:p>
    <w:p>
      <w:pPr>
        <w:spacing w:before="36"/>
        <w:ind w:left="0" w:right="1131"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万元</w:t>
      </w:r>
      <w:r>
        <w:rPr>
          <w:rFonts w:ascii="宋体" w:hAnsi="宋体" w:cs="宋体" w:eastAsia="宋体" w:hint="default"/>
          <w:w w:val="100"/>
          <w:sz w:val="21"/>
          <w:szCs w:val="21"/>
        </w:rPr>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331"/>
        <w:gridCol w:w="1942"/>
        <w:gridCol w:w="2036"/>
        <w:gridCol w:w="2012"/>
      </w:tblGrid>
      <w:tr>
        <w:trPr>
          <w:trHeight w:val="660" w:hRule="exact"/>
        </w:trPr>
        <w:tc>
          <w:tcPr>
            <w:tcW w:w="23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3"/>
              <w:ind w:left="336" w:right="0"/>
              <w:jc w:val="left"/>
              <w:rPr>
                <w:rFonts w:ascii="宋体" w:hAnsi="宋体" w:cs="宋体" w:eastAsia="宋体" w:hint="default"/>
                <w:sz w:val="21"/>
                <w:szCs w:val="21"/>
              </w:rPr>
            </w:pPr>
            <w:r>
              <w:rPr>
                <w:rFonts w:ascii="宋体" w:hAnsi="宋体" w:cs="宋体" w:eastAsia="宋体" w:hint="default"/>
                <w:sz w:val="21"/>
                <w:szCs w:val="21"/>
              </w:rPr>
              <w:t>报告期末金额</w:t>
            </w:r>
          </w:p>
        </w:tc>
        <w:tc>
          <w:tcPr>
            <w:tcW w:w="20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p>
        </w:tc>
        <w:tc>
          <w:tcPr>
            <w:tcW w:w="20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49"/>
              <w:ind w:left="527" w:right="156" w:hanging="368"/>
              <w:jc w:val="left"/>
              <w:rPr>
                <w:rFonts w:ascii="宋体" w:hAnsi="宋体" w:cs="宋体" w:eastAsia="宋体" w:hint="default"/>
                <w:sz w:val="21"/>
                <w:szCs w:val="21"/>
              </w:rPr>
            </w:pPr>
            <w:r>
              <w:rPr>
                <w:rFonts w:ascii="宋体" w:hAnsi="宋体" w:cs="宋体" w:eastAsia="宋体" w:hint="default"/>
                <w:sz w:val="21"/>
                <w:szCs w:val="21"/>
              </w:rPr>
              <w:t>占报告期末总资产</w:t>
            </w:r>
            <w:r>
              <w:rPr>
                <w:rFonts w:ascii="宋体" w:hAnsi="宋体" w:cs="宋体" w:eastAsia="宋体" w:hint="default"/>
                <w:w w:val="100"/>
                <w:sz w:val="21"/>
                <w:szCs w:val="21"/>
              </w:rPr>
              <w:t> </w:t>
            </w:r>
            <w:r>
              <w:rPr>
                <w:rFonts w:ascii="宋体" w:hAnsi="宋体" w:cs="宋体" w:eastAsia="宋体" w:hint="default"/>
                <w:sz w:val="21"/>
                <w:szCs w:val="21"/>
              </w:rPr>
              <w:t>比重（</w:t>
            </w:r>
            <w:r>
              <w:rPr>
                <w:rFonts w:ascii="宋体" w:hAnsi="宋体" w:cs="宋体" w:eastAsia="宋体" w:hint="default"/>
                <w:sz w:val="21"/>
                <w:szCs w:val="21"/>
              </w:rPr>
              <w:t>%</w:t>
            </w:r>
            <w:r>
              <w:rPr>
                <w:rFonts w:ascii="宋体" w:hAnsi="宋体" w:cs="宋体" w:eastAsia="宋体" w:hint="default"/>
                <w:sz w:val="21"/>
                <w:szCs w:val="21"/>
              </w:rPr>
              <w:t>）</w:t>
            </w:r>
          </w:p>
        </w:tc>
      </w:tr>
      <w:tr>
        <w:trPr>
          <w:trHeight w:val="420"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7,144.73</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sz w:val="21"/>
              </w:rPr>
              <w:t>-25.29%</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35"/>
              <w:jc w:val="right"/>
              <w:rPr>
                <w:rFonts w:ascii="宋体" w:hAnsi="宋体" w:cs="宋体" w:eastAsia="宋体" w:hint="default"/>
                <w:sz w:val="21"/>
                <w:szCs w:val="21"/>
              </w:rPr>
            </w:pPr>
            <w:r>
              <w:rPr>
                <w:rFonts w:ascii="宋体"/>
                <w:sz w:val="21"/>
              </w:rPr>
              <w:t>2.06%</w:t>
            </w:r>
          </w:p>
        </w:tc>
      </w:tr>
      <w:tr>
        <w:trPr>
          <w:trHeight w:val="420"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z w:val="21"/>
              </w:rPr>
              <w:t>636.94</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sz w:val="21"/>
              </w:rPr>
              <w:t>38.75%</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35"/>
              <w:jc w:val="right"/>
              <w:rPr>
                <w:rFonts w:ascii="宋体" w:hAnsi="宋体" w:cs="宋体" w:eastAsia="宋体" w:hint="default"/>
                <w:sz w:val="21"/>
                <w:szCs w:val="21"/>
              </w:rPr>
            </w:pPr>
            <w:r>
              <w:rPr>
                <w:rFonts w:ascii="宋体"/>
                <w:sz w:val="21"/>
              </w:rPr>
              <w:t>0.18%</w:t>
            </w:r>
          </w:p>
        </w:tc>
      </w:tr>
      <w:tr>
        <w:trPr>
          <w:trHeight w:val="418"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2,776.02</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sz w:val="21"/>
              </w:rPr>
              <w:t>-24.07%</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35"/>
              <w:jc w:val="right"/>
              <w:rPr>
                <w:rFonts w:ascii="宋体" w:hAnsi="宋体" w:cs="宋体" w:eastAsia="宋体" w:hint="default"/>
                <w:sz w:val="21"/>
                <w:szCs w:val="21"/>
              </w:rPr>
            </w:pPr>
            <w:r>
              <w:rPr>
                <w:rFonts w:ascii="宋体"/>
                <w:sz w:val="21"/>
              </w:rPr>
              <w:t>0.80%</w:t>
            </w:r>
          </w:p>
        </w:tc>
      </w:tr>
      <w:tr>
        <w:trPr>
          <w:trHeight w:val="420"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16,427.41</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sz w:val="21"/>
              </w:rPr>
              <w:t>-4.89%</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35"/>
              <w:jc w:val="right"/>
              <w:rPr>
                <w:rFonts w:ascii="宋体" w:hAnsi="宋体" w:cs="宋体" w:eastAsia="宋体" w:hint="default"/>
                <w:sz w:val="21"/>
                <w:szCs w:val="21"/>
              </w:rPr>
            </w:pPr>
            <w:r>
              <w:rPr>
                <w:rFonts w:ascii="宋体"/>
                <w:sz w:val="21"/>
              </w:rPr>
              <w:t>4.74%</w:t>
            </w:r>
          </w:p>
        </w:tc>
      </w:tr>
      <w:tr>
        <w:trPr>
          <w:trHeight w:val="418"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24,417.40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sz w:val="21"/>
              </w:rPr>
              <w:t>16.71%</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35"/>
              <w:jc w:val="right"/>
              <w:rPr>
                <w:rFonts w:ascii="宋体" w:hAnsi="宋体" w:cs="宋体" w:eastAsia="宋体" w:hint="default"/>
                <w:sz w:val="21"/>
                <w:szCs w:val="21"/>
              </w:rPr>
            </w:pPr>
            <w:r>
              <w:rPr>
                <w:rFonts w:ascii="宋体"/>
                <w:sz w:val="21"/>
              </w:rPr>
              <w:t>7.05%</w:t>
            </w:r>
          </w:p>
        </w:tc>
      </w:tr>
      <w:tr>
        <w:trPr>
          <w:trHeight w:val="420"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51,402.50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sz w:val="21"/>
              </w:rPr>
              <w:t>-0.90%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682"/>
              <w:jc w:val="right"/>
              <w:rPr>
                <w:rFonts w:ascii="宋体" w:hAnsi="宋体" w:cs="宋体" w:eastAsia="宋体" w:hint="default"/>
                <w:sz w:val="21"/>
                <w:szCs w:val="21"/>
              </w:rPr>
            </w:pPr>
            <w:r>
              <w:rPr>
                <w:rFonts w:ascii="宋体"/>
                <w:sz w:val="21"/>
              </w:rPr>
              <w:t>14.83%</w:t>
            </w:r>
          </w:p>
        </w:tc>
      </w:tr>
      <w:tr>
        <w:trPr>
          <w:trHeight w:val="421"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减：存货跌价准备</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1,280.58</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sz w:val="21"/>
              </w:rPr>
              <w:t>23.20%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35"/>
              <w:jc w:val="right"/>
              <w:rPr>
                <w:rFonts w:ascii="宋体" w:hAnsi="宋体" w:cs="宋体" w:eastAsia="宋体" w:hint="default"/>
                <w:sz w:val="21"/>
                <w:szCs w:val="21"/>
              </w:rPr>
            </w:pPr>
            <w:r>
              <w:rPr>
                <w:rFonts w:ascii="宋体"/>
                <w:sz w:val="21"/>
              </w:rPr>
              <w:t>0.37%</w:t>
            </w:r>
          </w:p>
        </w:tc>
      </w:tr>
      <w:tr>
        <w:trPr>
          <w:trHeight w:val="418"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存货净额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50,121.92</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sz w:val="21"/>
              </w:rPr>
              <w:t>-1.40%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682"/>
              <w:jc w:val="right"/>
              <w:rPr>
                <w:rFonts w:ascii="宋体" w:hAnsi="宋体" w:cs="宋体" w:eastAsia="宋体" w:hint="default"/>
                <w:sz w:val="21"/>
                <w:szCs w:val="21"/>
              </w:rPr>
            </w:pPr>
            <w:r>
              <w:rPr>
                <w:rFonts w:ascii="宋体"/>
                <w:sz w:val="21"/>
              </w:rPr>
              <w:t>14.46%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7"/>
        <w:ind w:left="132" w:right="1119"/>
        <w:jc w:val="left"/>
        <w:rPr>
          <w:b w:val="0"/>
          <w:bCs w:val="0"/>
        </w:rPr>
      </w:pPr>
      <w:r>
        <w:rPr/>
        <w:t>（十）主要债务及偿债能力分析</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8"/>
        <w:ind w:left="613" w:right="1119"/>
        <w:jc w:val="left"/>
      </w:pPr>
      <w:r>
        <w:rPr>
          <w:rFonts w:ascii="宋体" w:hAnsi="宋体" w:cs="宋体" w:eastAsia="宋体" w:hint="default"/>
        </w:rPr>
        <w:t>1</w:t>
      </w:r>
      <w:r>
        <w:rPr/>
        <w:t>、主要债权债务</w:t>
      </w:r>
    </w:p>
    <w:p>
      <w:pPr>
        <w:spacing w:line="240" w:lineRule="auto" w:before="3"/>
        <w:rPr>
          <w:rFonts w:ascii="宋体" w:hAnsi="宋体" w:cs="宋体" w:eastAsia="宋体" w:hint="default"/>
          <w:sz w:val="16"/>
          <w:szCs w:val="16"/>
        </w:rPr>
      </w:pPr>
    </w:p>
    <w:p>
      <w:pPr>
        <w:spacing w:before="36"/>
        <w:ind w:left="0" w:right="1129"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630"/>
        <w:gridCol w:w="1755"/>
        <w:gridCol w:w="1754"/>
        <w:gridCol w:w="1553"/>
        <w:gridCol w:w="1621"/>
      </w:tblGrid>
      <w:tr>
        <w:trPr>
          <w:trHeight w:val="759" w:hRule="exact"/>
        </w:trPr>
        <w:tc>
          <w:tcPr>
            <w:tcW w:w="163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b/>
                <w:bCs/>
                <w:sz w:val="21"/>
                <w:szCs w:val="21"/>
              </w:rPr>
              <w:t>主要债权</w:t>
            </w:r>
            <w:r>
              <w:rPr>
                <w:rFonts w:ascii="宋体" w:hAnsi="宋体" w:cs="宋体" w:eastAsia="宋体" w:hint="default"/>
                <w:sz w:val="21"/>
                <w:szCs w:val="21"/>
              </w:rPr>
            </w:r>
          </w:p>
        </w:tc>
        <w:tc>
          <w:tcPr>
            <w:tcW w:w="17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4"/>
                <w:sz w:val="21"/>
                <w:szCs w:val="21"/>
              </w:rPr>
              <w:t> </w:t>
            </w:r>
            <w:r>
              <w:rPr>
                <w:rFonts w:ascii="宋体" w:hAnsi="宋体" w:cs="宋体" w:eastAsia="宋体" w:hint="default"/>
                <w:b/>
                <w:bCs/>
                <w:sz w:val="21"/>
                <w:szCs w:val="21"/>
              </w:rPr>
              <w:t>年度末</w:t>
            </w:r>
            <w:r>
              <w:rPr>
                <w:rFonts w:ascii="宋体" w:hAnsi="宋体" w:cs="宋体" w:eastAsia="宋体" w:hint="default"/>
                <w:sz w:val="21"/>
                <w:szCs w:val="21"/>
              </w:rPr>
            </w:r>
          </w:p>
        </w:tc>
        <w:tc>
          <w:tcPr>
            <w:tcW w:w="17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97"/>
              <w:ind w:left="139" w:right="134"/>
              <w:jc w:val="left"/>
              <w:rPr>
                <w:rFonts w:ascii="宋体" w:hAnsi="宋体" w:cs="宋体" w:eastAsia="宋体" w:hint="default"/>
                <w:sz w:val="21"/>
                <w:szCs w:val="21"/>
              </w:rPr>
            </w:pPr>
            <w:r>
              <w:rPr>
                <w:rFonts w:ascii="宋体" w:hAnsi="宋体" w:cs="宋体" w:eastAsia="宋体" w:hint="default"/>
                <w:b/>
                <w:bCs/>
                <w:sz w:val="21"/>
                <w:szCs w:val="21"/>
              </w:rPr>
              <w:t>本报告期末比</w:t>
            </w:r>
            <w:r>
              <w:rPr>
                <w:rFonts w:ascii="宋体" w:hAnsi="宋体" w:cs="宋体" w:eastAsia="宋体" w:hint="default"/>
                <w:b/>
                <w:bCs/>
                <w:spacing w:val="-104"/>
                <w:sz w:val="21"/>
                <w:szCs w:val="21"/>
              </w:rPr>
              <w:t> </w:t>
            </w:r>
            <w:r>
              <w:rPr>
                <w:rFonts w:ascii="宋体" w:hAnsi="宋体" w:cs="宋体" w:eastAsia="宋体" w:hint="default"/>
                <w:b/>
                <w:bCs/>
                <w:sz w:val="21"/>
                <w:szCs w:val="21"/>
              </w:rPr>
              <w:t>上年度末增减</w:t>
            </w:r>
            <w:r>
              <w:rPr>
                <w:rFonts w:ascii="宋体" w:hAnsi="宋体" w:cs="宋体" w:eastAsia="宋体" w:hint="default"/>
                <w:sz w:val="21"/>
                <w:szCs w:val="21"/>
              </w:rPr>
            </w:r>
          </w:p>
        </w:tc>
        <w:tc>
          <w:tcPr>
            <w:tcW w:w="16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75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、应收帐款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30,575.03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30,522.29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0.17%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31,676.89</w:t>
            </w:r>
          </w:p>
        </w:tc>
      </w:tr>
      <w:tr>
        <w:trPr>
          <w:trHeight w:val="75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、其他应收款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10,678.69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3,154.95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238.47%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1,290.77</w:t>
            </w:r>
          </w:p>
        </w:tc>
      </w:tr>
      <w:tr>
        <w:trPr>
          <w:trHeight w:val="75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、预付帐款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5,090.17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2,585.49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96.87%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1,419.53</w:t>
            </w:r>
          </w:p>
        </w:tc>
      </w:tr>
      <w:tr>
        <w:trPr>
          <w:trHeight w:val="758" w:hRule="exact"/>
        </w:trPr>
        <w:tc>
          <w:tcPr>
            <w:tcW w:w="163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b/>
                <w:bCs/>
                <w:sz w:val="21"/>
                <w:szCs w:val="21"/>
              </w:rPr>
              <w:t>主要债务</w:t>
            </w:r>
            <w:r>
              <w:rPr>
                <w:rFonts w:ascii="宋体" w:hAnsi="宋体" w:cs="宋体" w:eastAsia="宋体" w:hint="default"/>
                <w:sz w:val="21"/>
                <w:szCs w:val="21"/>
              </w:rPr>
            </w:r>
          </w:p>
        </w:tc>
        <w:tc>
          <w:tcPr>
            <w:tcW w:w="17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4"/>
                <w:sz w:val="21"/>
                <w:szCs w:val="21"/>
              </w:rPr>
              <w:t> </w:t>
            </w:r>
            <w:r>
              <w:rPr>
                <w:rFonts w:ascii="宋体" w:hAnsi="宋体" w:cs="宋体" w:eastAsia="宋体" w:hint="default"/>
                <w:b/>
                <w:bCs/>
                <w:sz w:val="21"/>
                <w:szCs w:val="21"/>
              </w:rPr>
              <w:t>年度末</w:t>
            </w:r>
            <w:r>
              <w:rPr>
                <w:rFonts w:ascii="宋体" w:hAnsi="宋体" w:cs="宋体" w:eastAsia="宋体" w:hint="default"/>
                <w:sz w:val="21"/>
                <w:szCs w:val="21"/>
              </w:rPr>
            </w:r>
          </w:p>
        </w:tc>
        <w:tc>
          <w:tcPr>
            <w:tcW w:w="17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97"/>
              <w:ind w:left="139" w:right="134"/>
              <w:jc w:val="left"/>
              <w:rPr>
                <w:rFonts w:ascii="宋体" w:hAnsi="宋体" w:cs="宋体" w:eastAsia="宋体" w:hint="default"/>
                <w:sz w:val="21"/>
                <w:szCs w:val="21"/>
              </w:rPr>
            </w:pPr>
            <w:r>
              <w:rPr>
                <w:rFonts w:ascii="宋体" w:hAnsi="宋体" w:cs="宋体" w:eastAsia="宋体" w:hint="default"/>
                <w:b/>
                <w:bCs/>
                <w:sz w:val="21"/>
                <w:szCs w:val="21"/>
              </w:rPr>
              <w:t>本报告期末比</w:t>
            </w:r>
            <w:r>
              <w:rPr>
                <w:rFonts w:ascii="宋体" w:hAnsi="宋体" w:cs="宋体" w:eastAsia="宋体" w:hint="default"/>
                <w:b/>
                <w:bCs/>
                <w:spacing w:val="-104"/>
                <w:sz w:val="21"/>
                <w:szCs w:val="21"/>
              </w:rPr>
              <w:t> </w:t>
            </w:r>
            <w:r>
              <w:rPr>
                <w:rFonts w:ascii="宋体" w:hAnsi="宋体" w:cs="宋体" w:eastAsia="宋体" w:hint="default"/>
                <w:b/>
                <w:bCs/>
                <w:sz w:val="21"/>
                <w:szCs w:val="21"/>
              </w:rPr>
              <w:t>上年度末增减</w:t>
            </w:r>
            <w:r>
              <w:rPr>
                <w:rFonts w:ascii="宋体" w:hAnsi="宋体" w:cs="宋体" w:eastAsia="宋体" w:hint="default"/>
                <w:sz w:val="21"/>
                <w:szCs w:val="21"/>
              </w:rPr>
            </w:r>
          </w:p>
        </w:tc>
        <w:tc>
          <w:tcPr>
            <w:tcW w:w="16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759"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、短期借款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60,200.00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54,950.00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9.55%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43,997.00</w:t>
            </w:r>
          </w:p>
        </w:tc>
      </w:tr>
      <w:tr>
        <w:trPr>
          <w:trHeight w:val="75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、应付帐款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22,590.97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26,073.33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-13.36%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27,690.26</w:t>
            </w:r>
          </w:p>
        </w:tc>
      </w:tr>
      <w:tr>
        <w:trPr>
          <w:trHeight w:val="75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、应付票据</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15,571.63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15,831.23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-1.64%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16,781.97</w:t>
            </w:r>
          </w:p>
        </w:tc>
      </w:tr>
    </w:tbl>
    <w:p>
      <w:pPr>
        <w:spacing w:line="240" w:lineRule="auto" w:before="12"/>
        <w:rPr>
          <w:rFonts w:ascii="宋体" w:hAnsi="宋体" w:cs="宋体" w:eastAsia="宋体" w:hint="default"/>
          <w:sz w:val="10"/>
          <w:szCs w:val="10"/>
        </w:rPr>
      </w:pPr>
    </w:p>
    <w:p>
      <w:pPr>
        <w:pStyle w:val="BodyText"/>
        <w:spacing w:line="240" w:lineRule="auto" w:before="26"/>
        <w:ind w:left="613" w:right="1119"/>
        <w:jc w:val="left"/>
      </w:pPr>
      <w:r>
        <w:rPr/>
        <w:t>变动说明：</w:t>
      </w:r>
    </w:p>
    <w:p>
      <w:pPr>
        <w:pStyle w:val="BodyText"/>
        <w:spacing w:line="240" w:lineRule="auto" w:before="204"/>
        <w:ind w:left="613" w:right="0"/>
        <w:jc w:val="left"/>
      </w:pPr>
      <w:r>
        <w:rPr/>
        <w:t>①报告期末公司其他应收款比上年同期末增加</w:t>
      </w:r>
      <w:r>
        <w:rPr>
          <w:spacing w:val="-76"/>
        </w:rPr>
        <w:t> </w:t>
      </w:r>
      <w:r>
        <w:rPr>
          <w:rFonts w:ascii="Arial" w:hAnsi="Arial" w:cs="Arial" w:eastAsia="Arial" w:hint="default"/>
        </w:rPr>
        <w:t>238.47%</w:t>
      </w:r>
      <w:r>
        <w:rPr/>
        <w:t>，主要系报告期末增加应收转让</w:t>
      </w:r>
    </w:p>
    <w:p>
      <w:pPr>
        <w:spacing w:after="0" w:line="240" w:lineRule="auto"/>
        <w:jc w:val="left"/>
        <w:sectPr>
          <w:pgSz w:w="11910" w:h="16840"/>
          <w:pgMar w:header="920" w:footer="936" w:top="1140" w:bottom="1120" w:left="1000" w:right="0"/>
        </w:sectPr>
      </w:pPr>
    </w:p>
    <w:p>
      <w:pPr>
        <w:spacing w:line="240" w:lineRule="auto" w:before="6"/>
        <w:rPr>
          <w:rFonts w:ascii="宋体" w:hAnsi="宋体" w:cs="宋体" w:eastAsia="宋体" w:hint="default"/>
          <w:sz w:val="15"/>
          <w:szCs w:val="15"/>
        </w:rPr>
      </w:pPr>
    </w:p>
    <w:p>
      <w:pPr>
        <w:pStyle w:val="BodyText"/>
        <w:spacing w:line="240" w:lineRule="auto" w:before="26"/>
        <w:ind w:left="132" w:right="1119"/>
        <w:jc w:val="left"/>
      </w:pPr>
      <w:r>
        <w:rPr/>
        <w:t>原控股子公司天外绿包股权转让款所致。</w:t>
      </w:r>
    </w:p>
    <w:p>
      <w:pPr>
        <w:pStyle w:val="BodyText"/>
        <w:spacing w:line="376" w:lineRule="auto" w:before="207"/>
        <w:ind w:left="132" w:right="1120" w:firstLine="480"/>
        <w:jc w:val="left"/>
      </w:pPr>
      <w:r>
        <w:rPr>
          <w:spacing w:val="-3"/>
        </w:rPr>
        <w:t>②、报告期末公司预付帐款比上年同期末增加</w:t>
      </w:r>
      <w:r>
        <w:rPr>
          <w:spacing w:val="-57"/>
        </w:rPr>
        <w:t> </w:t>
      </w:r>
      <w:r>
        <w:rPr>
          <w:rFonts w:ascii="Arial" w:hAnsi="Arial" w:cs="Arial" w:eastAsia="Arial" w:hint="default"/>
          <w:spacing w:val="-3"/>
        </w:rPr>
        <w:t>96.87%</w:t>
      </w:r>
      <w:r>
        <w:rPr>
          <w:spacing w:val="-3"/>
        </w:rPr>
        <w:t>，主要系报告期预付纸张材料款增</w:t>
      </w:r>
      <w:r>
        <w:rPr/>
        <w:t> 加所致。</w:t>
      </w:r>
    </w:p>
    <w:p>
      <w:pPr>
        <w:pStyle w:val="BodyText"/>
        <w:spacing w:line="240" w:lineRule="auto" w:before="67"/>
        <w:ind w:left="613" w:right="1119"/>
        <w:jc w:val="left"/>
      </w:pPr>
      <w:r>
        <w:rPr>
          <w:rFonts w:ascii="宋体" w:hAnsi="宋体" w:cs="宋体" w:eastAsia="宋体" w:hint="default"/>
        </w:rPr>
        <w:t>2</w:t>
      </w:r>
      <w:r>
        <w:rPr/>
        <w:t>、偿债能力分析</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2600"/>
        <w:gridCol w:w="1441"/>
        <w:gridCol w:w="1440"/>
        <w:gridCol w:w="1601"/>
        <w:gridCol w:w="1441"/>
      </w:tblGrid>
      <w:tr>
        <w:trPr>
          <w:trHeight w:val="634" w:hRule="exact"/>
        </w:trPr>
        <w:tc>
          <w:tcPr>
            <w:tcW w:w="26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662" w:right="0"/>
              <w:jc w:val="left"/>
              <w:rPr>
                <w:rFonts w:ascii="宋体" w:hAnsi="宋体" w:cs="宋体" w:eastAsia="宋体" w:hint="default"/>
                <w:sz w:val="21"/>
                <w:szCs w:val="21"/>
              </w:rPr>
            </w:pPr>
            <w:r>
              <w:rPr>
                <w:rFonts w:ascii="宋体" w:hAnsi="宋体" w:cs="宋体" w:eastAsia="宋体" w:hint="default"/>
                <w:b/>
                <w:bCs/>
                <w:sz w:val="21"/>
                <w:szCs w:val="21"/>
              </w:rPr>
              <w:t>财务指标名称</w:t>
            </w:r>
            <w:r>
              <w:rPr>
                <w:rFonts w:ascii="宋体" w:hAnsi="宋体" w:cs="宋体" w:eastAsia="宋体" w:hint="default"/>
                <w:sz w:val="21"/>
                <w:szCs w:val="21"/>
              </w:rPr>
            </w:r>
          </w:p>
        </w:tc>
        <w:tc>
          <w:tcPr>
            <w:tcW w:w="14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5" w:right="0"/>
              <w:jc w:val="center"/>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34"/>
              <w:ind w:left="271" w:right="156" w:hanging="106"/>
              <w:jc w:val="left"/>
              <w:rPr>
                <w:rFonts w:ascii="宋体" w:hAnsi="宋体" w:cs="宋体" w:eastAsia="宋体" w:hint="default"/>
                <w:sz w:val="21"/>
                <w:szCs w:val="21"/>
              </w:rPr>
            </w:pPr>
            <w:r>
              <w:rPr>
                <w:rFonts w:ascii="宋体" w:hAnsi="宋体" w:cs="宋体" w:eastAsia="宋体" w:hint="default"/>
                <w:b/>
                <w:bCs/>
                <w:sz w:val="21"/>
                <w:szCs w:val="21"/>
              </w:rPr>
              <w:t>本报告期比上</w:t>
            </w:r>
            <w:r>
              <w:rPr>
                <w:rFonts w:ascii="宋体" w:hAnsi="宋体" w:cs="宋体" w:eastAsia="宋体" w:hint="default"/>
                <w:b/>
                <w:bCs/>
                <w:spacing w:val="-104"/>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tc>
        <w:tc>
          <w:tcPr>
            <w:tcW w:w="14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371"/>
              <w:jc w:val="righ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7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、流动比率</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宋体" w:hAnsi="宋体" w:cs="宋体" w:eastAsia="宋体" w:hint="default"/>
                <w:sz w:val="21"/>
                <w:szCs w:val="21"/>
              </w:rPr>
            </w:pPr>
            <w:r>
              <w:rPr>
                <w:rFonts w:ascii="宋体"/>
                <w:sz w:val="21"/>
              </w:rPr>
              <w:t>1.88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sz w:val="21"/>
              </w:rPr>
              <w:t>1.83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sz w:val="21"/>
              </w:rPr>
              <w:t>0.05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1.69</w:t>
            </w:r>
          </w:p>
        </w:tc>
      </w:tr>
      <w:tr>
        <w:trPr>
          <w:trHeight w:val="476"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、速动比率</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宋体" w:hAnsi="宋体" w:cs="宋体" w:eastAsia="宋体" w:hint="default"/>
                <w:sz w:val="21"/>
                <w:szCs w:val="21"/>
              </w:rPr>
            </w:pPr>
            <w:r>
              <w:rPr>
                <w:rFonts w:ascii="宋体"/>
                <w:sz w:val="21"/>
              </w:rPr>
              <w:t>1.43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sz w:val="21"/>
              </w:rPr>
              <w:t>1.36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sz w:val="21"/>
              </w:rPr>
              <w:t>0.07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1.29</w:t>
            </w:r>
          </w:p>
        </w:tc>
      </w:tr>
      <w:tr>
        <w:trPr>
          <w:trHeight w:val="47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母公司</w:t>
            </w:r>
            <w:r>
              <w:rPr>
                <w:rFonts w:ascii="宋体" w:hAnsi="宋体" w:cs="宋体" w:eastAsia="宋体" w:hint="default"/>
                <w:sz w:val="21"/>
                <w:szCs w:val="21"/>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宋体" w:hAnsi="宋体" w:cs="宋体" w:eastAsia="宋体" w:hint="default"/>
                <w:sz w:val="21"/>
                <w:szCs w:val="21"/>
              </w:rPr>
            </w:pPr>
            <w:r>
              <w:rPr>
                <w:rFonts w:ascii="宋体"/>
                <w:sz w:val="21"/>
              </w:rPr>
              <w:t>35.22%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sz w:val="21"/>
              </w:rPr>
              <w:t>35.04%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宋体" w:hAnsi="宋体" w:cs="宋体" w:eastAsia="宋体" w:hint="default"/>
                <w:sz w:val="21"/>
                <w:szCs w:val="21"/>
              </w:rPr>
            </w:pPr>
            <w:r>
              <w:rPr>
                <w:rFonts w:ascii="宋体"/>
                <w:sz w:val="21"/>
              </w:rPr>
              <w:t>0.19%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98"/>
              <w:jc w:val="right"/>
              <w:rPr>
                <w:rFonts w:ascii="宋体" w:hAnsi="宋体" w:cs="宋体" w:eastAsia="宋体" w:hint="default"/>
                <w:sz w:val="21"/>
                <w:szCs w:val="21"/>
              </w:rPr>
            </w:pPr>
            <w:r>
              <w:rPr>
                <w:rFonts w:ascii="宋体"/>
                <w:sz w:val="21"/>
              </w:rPr>
              <w:t>35.63%</w:t>
            </w:r>
          </w:p>
        </w:tc>
      </w:tr>
      <w:tr>
        <w:trPr>
          <w:trHeight w:val="47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、利息保障倍数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宋体" w:hAnsi="宋体" w:cs="宋体" w:eastAsia="宋体" w:hint="default"/>
                <w:sz w:val="21"/>
                <w:szCs w:val="21"/>
              </w:rPr>
            </w:pPr>
            <w:r>
              <w:rPr>
                <w:rFonts w:ascii="宋体"/>
                <w:sz w:val="21"/>
              </w:rPr>
              <w:t>21.12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sz w:val="21"/>
              </w:rPr>
              <w:t>20.23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sz w:val="21"/>
              </w:rPr>
              <w:t>0.88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1" w:right="0"/>
              <w:jc w:val="left"/>
              <w:rPr>
                <w:rFonts w:ascii="宋体" w:hAnsi="宋体" w:cs="宋体" w:eastAsia="宋体" w:hint="default"/>
                <w:sz w:val="21"/>
                <w:szCs w:val="21"/>
              </w:rPr>
            </w:pPr>
            <w:r>
              <w:rPr>
                <w:rFonts w:ascii="宋体"/>
                <w:sz w:val="21"/>
              </w:rPr>
              <w:t>44.67</w:t>
            </w:r>
          </w:p>
        </w:tc>
      </w:tr>
    </w:tbl>
    <w:p>
      <w:pPr>
        <w:spacing w:line="240" w:lineRule="auto" w:before="12"/>
        <w:rPr>
          <w:rFonts w:ascii="宋体" w:hAnsi="宋体" w:cs="宋体" w:eastAsia="宋体" w:hint="default"/>
          <w:sz w:val="10"/>
          <w:szCs w:val="10"/>
        </w:rPr>
      </w:pPr>
    </w:p>
    <w:p>
      <w:pPr>
        <w:pStyle w:val="BodyText"/>
        <w:spacing w:line="398" w:lineRule="auto" w:before="26"/>
        <w:ind w:left="132" w:right="1119" w:firstLine="480"/>
        <w:jc w:val="left"/>
      </w:pPr>
      <w:r>
        <w:rPr/>
        <w:t>报告期公司流动比率、速动比率有所上升，资产负债率比上年同期略有上升，负债率仍 处于较低水平。</w:t>
      </w:r>
    </w:p>
    <w:p>
      <w:pPr>
        <w:pStyle w:val="BodyText"/>
        <w:spacing w:line="398" w:lineRule="auto" w:before="46"/>
        <w:ind w:left="613" w:right="1153"/>
        <w:jc w:val="left"/>
      </w:pPr>
      <w:r>
        <w:rPr/>
        <w:t>报告期公司利息保障倍数仍较高，公司的偿债能力较强，可以足额偿还银行借款利息。 </w:t>
      </w:r>
      <w:r>
        <w:rPr>
          <w:rFonts w:ascii="宋体" w:hAnsi="宋体" w:cs="宋体" w:eastAsia="宋体" w:hint="default"/>
        </w:rPr>
        <w:t>3</w:t>
      </w:r>
      <w:r>
        <w:rPr/>
        <w:t>、资产营运能力分析</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424"/>
        <w:gridCol w:w="1561"/>
        <w:gridCol w:w="1227"/>
        <w:gridCol w:w="1711"/>
        <w:gridCol w:w="1573"/>
      </w:tblGrid>
      <w:tr>
        <w:trPr>
          <w:trHeight w:val="726" w:hRule="exact"/>
        </w:trPr>
        <w:tc>
          <w:tcPr>
            <w:tcW w:w="242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b/>
                <w:bCs/>
                <w:sz w:val="21"/>
                <w:szCs w:val="21"/>
              </w:rPr>
              <w:t>财务指标名称</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2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81"/>
              <w:ind w:left="431" w:right="107" w:hanging="317"/>
              <w:jc w:val="left"/>
              <w:rPr>
                <w:rFonts w:ascii="宋体" w:hAnsi="宋体" w:cs="宋体" w:eastAsia="宋体" w:hint="default"/>
                <w:sz w:val="21"/>
                <w:szCs w:val="21"/>
              </w:rPr>
            </w:pPr>
            <w:r>
              <w:rPr>
                <w:rFonts w:ascii="宋体" w:hAnsi="宋体" w:cs="宋体" w:eastAsia="宋体" w:hint="default"/>
                <w:b/>
                <w:bCs/>
                <w:sz w:val="21"/>
                <w:szCs w:val="21"/>
              </w:rPr>
              <w:t>本报告期比上年</w:t>
            </w:r>
            <w:r>
              <w:rPr>
                <w:rFonts w:ascii="宋体" w:hAnsi="宋体" w:cs="宋体" w:eastAsia="宋体" w:hint="default"/>
                <w:b/>
                <w:bCs/>
                <w:spacing w:val="-104"/>
                <w:sz w:val="21"/>
                <w:szCs w:val="21"/>
              </w:rPr>
              <w:t> </w:t>
            </w:r>
            <w:r>
              <w:rPr>
                <w:rFonts w:ascii="宋体" w:hAnsi="宋体" w:cs="宋体" w:eastAsia="宋体" w:hint="default"/>
                <w:b/>
                <w:bCs/>
                <w:sz w:val="21"/>
                <w:szCs w:val="21"/>
              </w:rPr>
              <w:t>同期增减</w:t>
            </w:r>
            <w:r>
              <w:rPr>
                <w:rFonts w:ascii="宋体" w:hAnsi="宋体" w:cs="宋体" w:eastAsia="宋体" w:hint="default"/>
                <w:sz w:val="21"/>
                <w:szCs w:val="21"/>
              </w:rPr>
            </w:r>
          </w:p>
        </w:tc>
        <w:tc>
          <w:tcPr>
            <w:tcW w:w="15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46"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、应收帐款周转率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 w:right="0"/>
              <w:jc w:val="center"/>
              <w:rPr>
                <w:rFonts w:ascii="宋体" w:hAnsi="宋体" w:cs="宋体" w:eastAsia="宋体" w:hint="default"/>
                <w:sz w:val="21"/>
                <w:szCs w:val="21"/>
              </w:rPr>
            </w:pPr>
            <w:r>
              <w:rPr>
                <w:rFonts w:ascii="宋体"/>
                <w:sz w:val="21"/>
              </w:rPr>
              <w:t>7.41</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6.39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40" w:right="0"/>
              <w:jc w:val="left"/>
              <w:rPr>
                <w:rFonts w:ascii="宋体" w:hAnsi="宋体" w:cs="宋体" w:eastAsia="宋体" w:hint="default"/>
                <w:sz w:val="21"/>
                <w:szCs w:val="21"/>
              </w:rPr>
            </w:pPr>
            <w:r>
              <w:rPr>
                <w:rFonts w:ascii="宋体"/>
                <w:sz w:val="21"/>
              </w:rPr>
              <w:t>1.02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7.19</w:t>
            </w:r>
          </w:p>
        </w:tc>
      </w:tr>
      <w:tr>
        <w:trPr>
          <w:trHeight w:val="446"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、存货周转率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 w:right="0"/>
              <w:jc w:val="center"/>
              <w:rPr>
                <w:rFonts w:ascii="宋体" w:hAnsi="宋体" w:cs="宋体" w:eastAsia="宋体" w:hint="default"/>
                <w:sz w:val="21"/>
                <w:szCs w:val="21"/>
              </w:rPr>
            </w:pPr>
            <w:r>
              <w:rPr>
                <w:rFonts w:ascii="宋体"/>
                <w:sz w:val="21"/>
              </w:rPr>
              <w:t>2.78</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2.59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40" w:right="0"/>
              <w:jc w:val="left"/>
              <w:rPr>
                <w:rFonts w:ascii="宋体" w:hAnsi="宋体" w:cs="宋体" w:eastAsia="宋体" w:hint="default"/>
                <w:sz w:val="21"/>
                <w:szCs w:val="21"/>
              </w:rPr>
            </w:pPr>
            <w:r>
              <w:rPr>
                <w:rFonts w:ascii="宋体"/>
                <w:sz w:val="21"/>
              </w:rPr>
              <w:t>0.18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2.93</w:t>
            </w:r>
          </w:p>
        </w:tc>
      </w:tr>
    </w:tbl>
    <w:p>
      <w:pPr>
        <w:spacing w:line="240" w:lineRule="auto" w:before="12"/>
        <w:rPr>
          <w:rFonts w:ascii="宋体" w:hAnsi="宋体" w:cs="宋体" w:eastAsia="宋体" w:hint="default"/>
          <w:sz w:val="10"/>
          <w:szCs w:val="10"/>
        </w:rPr>
      </w:pPr>
    </w:p>
    <w:p>
      <w:pPr>
        <w:pStyle w:val="BodyText"/>
        <w:spacing w:line="376" w:lineRule="auto" w:before="26"/>
        <w:ind w:left="132" w:right="1122" w:firstLine="480"/>
        <w:jc w:val="left"/>
      </w:pPr>
      <w:r>
        <w:rPr/>
        <w:t>报告期由于公司营业总收入较上年同期增加</w:t>
      </w:r>
      <w:r>
        <w:rPr>
          <w:spacing w:val="-50"/>
        </w:rPr>
        <w:t> </w:t>
      </w:r>
      <w:r>
        <w:rPr>
          <w:rFonts w:ascii="Arial" w:hAnsi="Arial" w:cs="Arial" w:eastAsia="Arial" w:hint="default"/>
          <w:spacing w:val="-6"/>
          <w:w w:val="99"/>
        </w:rPr>
        <w:t>13.66%</w:t>
      </w:r>
      <w:r>
        <w:rPr>
          <w:spacing w:val="-6"/>
          <w:w w:val="99"/>
        </w:rPr>
        <w:t>，因此报告期公司应收帐款周转率较</w:t>
      </w:r>
      <w:r>
        <w:rPr/>
        <w:t> 上年同期有所上升，应收账款周转率处于较高水平。</w:t>
      </w:r>
    </w:p>
    <w:p>
      <w:pPr>
        <w:pStyle w:val="BodyText"/>
        <w:spacing w:line="398" w:lineRule="auto" w:before="67"/>
        <w:ind w:left="132" w:right="1119" w:firstLine="480"/>
        <w:jc w:val="left"/>
      </w:pPr>
      <w:r>
        <w:rPr/>
        <w:t>公司采取以销定产的生产销售模式，报告期公司存货周转良好，存货周转率较上年同期 上升了</w:t>
      </w:r>
      <w:r>
        <w:rPr>
          <w:spacing w:val="-61"/>
        </w:rPr>
        <w:t> </w:t>
      </w:r>
      <w:r>
        <w:rPr>
          <w:rFonts w:ascii="宋体" w:hAnsi="宋体" w:cs="宋体" w:eastAsia="宋体" w:hint="default"/>
        </w:rPr>
        <w:t>0.18</w:t>
      </w:r>
      <w:r>
        <w:rPr/>
        <w:t>。</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pStyle w:val="Heading3"/>
        <w:spacing w:line="240" w:lineRule="auto"/>
        <w:ind w:left="132" w:right="1119"/>
        <w:jc w:val="left"/>
        <w:rPr>
          <w:b w:val="0"/>
          <w:bCs w:val="0"/>
        </w:rPr>
      </w:pPr>
      <w:r>
        <w:rPr/>
        <w:t>（十一）研发情况</w:t>
      </w:r>
      <w:r>
        <w:rPr>
          <w:b w:val="0"/>
          <w:bCs w:val="0"/>
        </w:rPr>
      </w:r>
    </w:p>
    <w:p>
      <w:pPr>
        <w:spacing w:line="240" w:lineRule="auto" w:before="0"/>
        <w:rPr>
          <w:rFonts w:ascii="宋体" w:hAnsi="宋体" w:cs="宋体" w:eastAsia="宋体" w:hint="default"/>
          <w:b/>
          <w:bCs/>
          <w:sz w:val="24"/>
          <w:szCs w:val="24"/>
        </w:rPr>
      </w:pPr>
    </w:p>
    <w:p>
      <w:pPr>
        <w:pStyle w:val="BodyText"/>
        <w:spacing w:line="398" w:lineRule="auto" w:before="168"/>
        <w:ind w:left="132" w:right="1119" w:firstLine="600"/>
        <w:jc w:val="left"/>
      </w:pPr>
      <w:r>
        <w:rPr>
          <w:spacing w:val="-3"/>
        </w:rPr>
        <w:t>截止到报告日，本公司及下属子公司已经拥有六项发明专利。报告期内公司又申请了六</w:t>
      </w:r>
      <w:r>
        <w:rPr/>
        <w:t> 项专利，其中五项为发明专利。</w:t>
      </w:r>
    </w:p>
    <w:p>
      <w:pPr>
        <w:spacing w:after="0" w:line="398" w:lineRule="auto"/>
        <w:jc w:val="left"/>
        <w:sectPr>
          <w:headerReference w:type="default" r:id="rId23"/>
          <w:pgSz w:w="11910" w:h="16840"/>
          <w:pgMar w:header="920" w:footer="936" w:top="1140" w:bottom="1120" w:left="1000" w:right="0"/>
        </w:sectPr>
      </w:pPr>
    </w:p>
    <w:p>
      <w:pPr>
        <w:pStyle w:val="BodyText"/>
        <w:spacing w:line="240" w:lineRule="auto" w:before="19"/>
        <w:ind w:left="416" w:right="1119"/>
        <w:jc w:val="left"/>
      </w:pPr>
      <w:r>
        <w:rPr>
          <w:rFonts w:ascii="Times New Roman" w:hAnsi="Times New Roman" w:cs="Times New Roman" w:eastAsia="Times New Roman" w:hint="default"/>
        </w:rPr>
        <w:t>1</w:t>
      </w:r>
      <w:r>
        <w:rPr/>
        <w:t>、</w:t>
      </w:r>
      <w:r>
        <w:rPr>
          <w:spacing w:val="75"/>
        </w:rPr>
        <w:t> </w:t>
      </w:r>
      <w:r>
        <w:rPr/>
        <w:t>公司近三年研发投入情况</w:t>
      </w:r>
    </w:p>
    <w:p>
      <w:pPr>
        <w:spacing w:line="240" w:lineRule="auto" w:before="7"/>
        <w:rPr>
          <w:rFonts w:ascii="宋体" w:hAnsi="宋体" w:cs="宋体" w:eastAsia="宋体" w:hint="default"/>
          <w:sz w:val="27"/>
          <w:szCs w:val="27"/>
        </w:rPr>
      </w:pPr>
    </w:p>
    <w:p>
      <w:pPr>
        <w:pStyle w:val="BodyText"/>
        <w:spacing w:line="240" w:lineRule="auto" w:before="26"/>
        <w:ind w:left="6254" w:right="1119"/>
        <w:jc w:val="left"/>
      </w:pPr>
      <w:r>
        <w:rPr/>
        <w:t>单位</w:t>
      </w:r>
      <w:r>
        <w:rPr>
          <w:spacing w:val="-120"/>
        </w:rPr>
        <w:t>：</w:t>
      </w:r>
      <w:r>
        <w:rPr/>
        <w:t>（人民币）万元</w:t>
      </w: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273"/>
        <w:gridCol w:w="1431"/>
        <w:gridCol w:w="1625"/>
        <w:gridCol w:w="1529"/>
        <w:gridCol w:w="1628"/>
      </w:tblGrid>
      <w:tr>
        <w:trPr>
          <w:trHeight w:val="636" w:hRule="exact"/>
        </w:trPr>
        <w:tc>
          <w:tcPr>
            <w:tcW w:w="22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710"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left="232" w:right="122" w:hanging="106"/>
              <w:jc w:val="left"/>
              <w:rPr>
                <w:rFonts w:ascii="宋体" w:hAnsi="宋体" w:cs="宋体" w:eastAsia="宋体" w:hint="default"/>
                <w:sz w:val="21"/>
                <w:szCs w:val="21"/>
              </w:rPr>
            </w:pPr>
            <w:r>
              <w:rPr>
                <w:rFonts w:ascii="宋体" w:hAnsi="宋体" w:cs="宋体" w:eastAsia="宋体" w:hint="default"/>
                <w:b/>
                <w:bCs/>
                <w:sz w:val="21"/>
                <w:szCs w:val="21"/>
              </w:rPr>
              <w:t>本报告期比上</w:t>
            </w:r>
            <w:r>
              <w:rPr>
                <w:rFonts w:ascii="宋体" w:hAnsi="宋体" w:cs="宋体" w:eastAsia="宋体" w:hint="default"/>
                <w:b/>
                <w:bCs/>
                <w:spacing w:val="-104"/>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7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、研发支出</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sz w:val="21"/>
              </w:rPr>
              <w:t>5,864.76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4,545.17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43" w:right="0"/>
              <w:jc w:val="left"/>
              <w:rPr>
                <w:rFonts w:ascii="宋体" w:hAnsi="宋体" w:cs="宋体" w:eastAsia="宋体" w:hint="default"/>
                <w:sz w:val="21"/>
                <w:szCs w:val="21"/>
              </w:rPr>
            </w:pPr>
            <w:r>
              <w:rPr>
                <w:rFonts w:ascii="宋体"/>
                <w:sz w:val="21"/>
              </w:rPr>
              <w:t>29.03%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sz w:val="21"/>
              </w:rPr>
              <w:t>4,227.92</w:t>
            </w:r>
          </w:p>
        </w:tc>
      </w:tr>
      <w:tr>
        <w:trPr>
          <w:trHeight w:val="47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其中：资本化支出</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5.27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sz w:val="21"/>
              </w:rPr>
              <w:t>55.69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91" w:right="0"/>
              <w:jc w:val="left"/>
              <w:rPr>
                <w:rFonts w:ascii="宋体" w:hAnsi="宋体" w:cs="宋体" w:eastAsia="宋体" w:hint="default"/>
                <w:sz w:val="21"/>
                <w:szCs w:val="21"/>
              </w:rPr>
            </w:pPr>
            <w:r>
              <w:rPr>
                <w:rFonts w:ascii="宋体"/>
                <w:sz w:val="21"/>
              </w:rPr>
              <w:t>-90.53%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21"/>
                <w:szCs w:val="21"/>
              </w:rPr>
            </w:pPr>
            <w:r>
              <w:rPr>
                <w:rFonts w:ascii="宋体"/>
                <w:sz w:val="21"/>
              </w:rPr>
              <w:t>0.00</w:t>
            </w:r>
          </w:p>
        </w:tc>
      </w:tr>
      <w:tr>
        <w:trPr>
          <w:trHeight w:val="47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、营业总收入</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sz w:val="21"/>
              </w:rPr>
              <w:t>230,027.23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202,374.38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43" w:right="0"/>
              <w:jc w:val="left"/>
              <w:rPr>
                <w:rFonts w:ascii="宋体" w:hAnsi="宋体" w:cs="宋体" w:eastAsia="宋体" w:hint="default"/>
                <w:sz w:val="21"/>
                <w:szCs w:val="21"/>
              </w:rPr>
            </w:pPr>
            <w:r>
              <w:rPr>
                <w:rFonts w:ascii="宋体"/>
                <w:sz w:val="21"/>
              </w:rPr>
              <w:t>13.66%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sz w:val="21"/>
              </w:rPr>
              <w:t>215,444.42</w:t>
            </w:r>
          </w:p>
        </w:tc>
      </w:tr>
      <w:tr>
        <w:trPr>
          <w:trHeight w:val="478"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、占营业总收入比重</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2.55%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sz w:val="21"/>
              </w:rPr>
              <w:t>2.25%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96" w:right="0"/>
              <w:jc w:val="left"/>
              <w:rPr>
                <w:rFonts w:ascii="宋体" w:hAnsi="宋体" w:cs="宋体" w:eastAsia="宋体" w:hint="default"/>
                <w:sz w:val="21"/>
                <w:szCs w:val="21"/>
              </w:rPr>
            </w:pPr>
            <w:r>
              <w:rPr>
                <w:rFonts w:ascii="宋体"/>
                <w:sz w:val="21"/>
              </w:rPr>
              <w:t>0.30%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sz w:val="21"/>
              </w:rPr>
              <w:t>1.96%</w:t>
            </w:r>
          </w:p>
        </w:tc>
      </w:tr>
    </w:tbl>
    <w:p>
      <w:pPr>
        <w:spacing w:line="240" w:lineRule="auto" w:before="6"/>
        <w:rPr>
          <w:rFonts w:ascii="宋体" w:hAnsi="宋体" w:cs="宋体" w:eastAsia="宋体" w:hint="default"/>
          <w:sz w:val="22"/>
          <w:szCs w:val="22"/>
        </w:rPr>
      </w:pPr>
    </w:p>
    <w:p>
      <w:pPr>
        <w:pStyle w:val="BodyText"/>
        <w:spacing w:line="240" w:lineRule="auto" w:before="26"/>
        <w:ind w:left="416" w:right="1119"/>
        <w:jc w:val="left"/>
      </w:pPr>
      <w:r>
        <w:rPr>
          <w:rFonts w:ascii="Times New Roman" w:hAnsi="Times New Roman" w:cs="Times New Roman" w:eastAsia="Times New Roman" w:hint="default"/>
        </w:rPr>
        <w:t>2</w:t>
      </w:r>
      <w:r>
        <w:rPr/>
        <w:t>、</w:t>
      </w:r>
      <w:r>
        <w:rPr>
          <w:spacing w:val="76"/>
        </w:rPr>
        <w:t> </w:t>
      </w:r>
      <w:r>
        <w:rPr/>
        <w:t>报告期前公司申请并已获得的专利</w:t>
      </w:r>
    </w:p>
    <w:p>
      <w:pPr>
        <w:spacing w:line="240" w:lineRule="auto" w:before="5"/>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442"/>
        <w:gridCol w:w="1699"/>
        <w:gridCol w:w="1136"/>
        <w:gridCol w:w="1976"/>
        <w:gridCol w:w="2422"/>
        <w:gridCol w:w="1253"/>
      </w:tblGrid>
      <w:tr>
        <w:trPr>
          <w:trHeight w:val="634" w:hRule="exact"/>
        </w:trPr>
        <w:tc>
          <w:tcPr>
            <w:tcW w:w="4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34"/>
              <w:ind w:left="110" w:right="108"/>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424" w:right="0"/>
              <w:jc w:val="left"/>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141" w:right="0"/>
              <w:jc w:val="left"/>
              <w:rPr>
                <w:rFonts w:ascii="宋体" w:hAnsi="宋体" w:cs="宋体" w:eastAsia="宋体" w:hint="default"/>
                <w:sz w:val="21"/>
                <w:szCs w:val="21"/>
              </w:rPr>
            </w:pPr>
            <w:r>
              <w:rPr>
                <w:rFonts w:ascii="宋体" w:hAnsi="宋体" w:cs="宋体" w:eastAsia="宋体" w:hint="default"/>
                <w:b/>
                <w:bCs/>
                <w:sz w:val="21"/>
                <w:szCs w:val="21"/>
              </w:rPr>
              <w:t>专利类型</w:t>
            </w:r>
            <w:r>
              <w:rPr>
                <w:rFonts w:ascii="宋体" w:hAnsi="宋体" w:cs="宋体" w:eastAsia="宋体" w:hint="default"/>
                <w:sz w:val="21"/>
                <w:szCs w:val="21"/>
              </w:rPr>
            </w:r>
          </w:p>
        </w:tc>
        <w:tc>
          <w:tcPr>
            <w:tcW w:w="19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242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787" w:right="0"/>
              <w:jc w:val="left"/>
              <w:rPr>
                <w:rFonts w:ascii="宋体" w:hAnsi="宋体" w:cs="宋体" w:eastAsia="宋体" w:hint="default"/>
                <w:sz w:val="21"/>
                <w:szCs w:val="21"/>
              </w:rPr>
            </w:pPr>
            <w:r>
              <w:rPr>
                <w:rFonts w:ascii="宋体" w:hAnsi="宋体" w:cs="宋体" w:eastAsia="宋体" w:hint="default"/>
                <w:b/>
                <w:bCs/>
                <w:sz w:val="21"/>
                <w:szCs w:val="21"/>
              </w:rPr>
              <w:t>专利效期</w:t>
            </w:r>
            <w:r>
              <w:rPr>
                <w:rFonts w:ascii="宋体" w:hAnsi="宋体" w:cs="宋体" w:eastAsia="宋体" w:hint="default"/>
                <w:sz w:val="21"/>
                <w:szCs w:val="21"/>
              </w:rPr>
            </w:r>
          </w:p>
        </w:tc>
        <w:tc>
          <w:tcPr>
            <w:tcW w:w="125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199" w:right="0"/>
              <w:jc w:val="left"/>
              <w:rPr>
                <w:rFonts w:ascii="宋体" w:hAnsi="宋体" w:cs="宋体" w:eastAsia="宋体" w:hint="default"/>
                <w:sz w:val="21"/>
                <w:szCs w:val="21"/>
              </w:rPr>
            </w:pPr>
            <w:r>
              <w:rPr>
                <w:rFonts w:ascii="宋体" w:hAnsi="宋体" w:cs="宋体" w:eastAsia="宋体" w:hint="default"/>
                <w:b/>
                <w:bCs/>
                <w:sz w:val="21"/>
                <w:szCs w:val="21"/>
              </w:rPr>
              <w:t>专利权人</w:t>
            </w:r>
            <w:r>
              <w:rPr>
                <w:rFonts w:ascii="宋体" w:hAnsi="宋体" w:cs="宋体" w:eastAsia="宋体" w:hint="default"/>
                <w:sz w:val="21"/>
                <w:szCs w:val="21"/>
              </w:rPr>
            </w:r>
          </w:p>
        </w:tc>
      </w:tr>
      <w:tr>
        <w:trPr>
          <w:trHeight w:val="674"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w w:val="100"/>
                <w:sz w:val="21"/>
              </w:rPr>
              <w:t>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复合转移印刷机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宋体" w:hAnsi="宋体" w:cs="宋体" w:eastAsia="宋体" w:hint="default"/>
                <w:sz w:val="21"/>
                <w:szCs w:val="21"/>
              </w:rPr>
            </w:pPr>
            <w:r>
              <w:rPr>
                <w:rFonts w:ascii="宋体"/>
                <w:sz w:val="21"/>
              </w:rPr>
              <w:t>ZL01242885.X</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5" w:right="0"/>
              <w:jc w:val="left"/>
              <w:rPr>
                <w:rFonts w:ascii="宋体" w:hAnsi="宋体" w:cs="宋体" w:eastAsia="宋体" w:hint="default"/>
                <w:sz w:val="21"/>
                <w:szCs w:val="21"/>
              </w:rPr>
            </w:pPr>
            <w:r>
              <w:rPr>
                <w:rFonts w:ascii="宋体"/>
                <w:sz w:val="21"/>
              </w:rPr>
              <w:t>2001.7.28-2011.7.27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
              <w:ind w:left="103" w:right="295"/>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w w:val="100"/>
                <w:sz w:val="21"/>
                <w:szCs w:val="21"/>
              </w:rPr>
              <w:t> </w:t>
            </w:r>
            <w:r>
              <w:rPr>
                <w:rFonts w:ascii="宋体" w:hAnsi="宋体" w:cs="宋体" w:eastAsia="宋体" w:hint="default"/>
                <w:sz w:val="21"/>
                <w:szCs w:val="21"/>
              </w:rPr>
              <w:t>谢良玉</w:t>
            </w:r>
          </w:p>
        </w:tc>
      </w:tr>
      <w:tr>
        <w:trPr>
          <w:trHeight w:val="674"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w w:val="100"/>
                <w:sz w:val="21"/>
              </w:rPr>
              <w:t>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6"/>
              <w:ind w:left="103" w:right="110"/>
              <w:jc w:val="left"/>
              <w:rPr>
                <w:rFonts w:ascii="宋体" w:hAnsi="宋体" w:cs="宋体" w:eastAsia="宋体" w:hint="default"/>
                <w:sz w:val="21"/>
                <w:szCs w:val="21"/>
              </w:rPr>
            </w:pPr>
            <w:r>
              <w:rPr>
                <w:rFonts w:ascii="宋体" w:hAnsi="宋体" w:cs="宋体" w:eastAsia="宋体" w:hint="default"/>
                <w:sz w:val="21"/>
                <w:szCs w:val="21"/>
              </w:rPr>
              <w:t>全息图像、文字</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的印刷方法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5"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sz w:val="21"/>
              </w:rPr>
              <w:t>ZL01114609.5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5" w:right="0"/>
              <w:jc w:val="left"/>
              <w:rPr>
                <w:rFonts w:ascii="宋体" w:hAnsi="宋体" w:cs="宋体" w:eastAsia="宋体" w:hint="default"/>
                <w:sz w:val="21"/>
                <w:szCs w:val="21"/>
              </w:rPr>
            </w:pPr>
            <w:r>
              <w:rPr>
                <w:rFonts w:ascii="宋体"/>
                <w:sz w:val="21"/>
              </w:rPr>
              <w:t>2001.4.7-2021.4.6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
              <w:ind w:left="103" w:right="295"/>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w w:val="100"/>
                <w:sz w:val="21"/>
                <w:szCs w:val="21"/>
              </w:rPr>
              <w:t> </w:t>
            </w:r>
            <w:r>
              <w:rPr>
                <w:rFonts w:ascii="宋体" w:hAnsi="宋体" w:cs="宋体" w:eastAsia="宋体" w:hint="default"/>
                <w:sz w:val="21"/>
                <w:szCs w:val="21"/>
              </w:rPr>
              <w:t>谢良玉</w:t>
            </w:r>
          </w:p>
        </w:tc>
      </w:tr>
      <w:tr>
        <w:trPr>
          <w:trHeight w:val="1181"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0"/>
              <w:jc w:val="center"/>
              <w:rPr>
                <w:rFonts w:ascii="宋体" w:hAnsi="宋体" w:cs="宋体" w:eastAsia="宋体" w:hint="default"/>
                <w:sz w:val="21"/>
                <w:szCs w:val="21"/>
              </w:rPr>
            </w:pPr>
            <w:r>
              <w:rPr>
                <w:rFonts w:ascii="宋体"/>
                <w:w w:val="100"/>
                <w:sz w:val="21"/>
              </w:rPr>
              <w:t>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72" w:lineRule="exact"/>
              <w:ind w:left="103" w:right="110"/>
              <w:jc w:val="left"/>
              <w:rPr>
                <w:rFonts w:ascii="宋体" w:hAnsi="宋体" w:cs="宋体" w:eastAsia="宋体" w:hint="default"/>
                <w:sz w:val="21"/>
                <w:szCs w:val="21"/>
              </w:rPr>
            </w:pPr>
            <w:r>
              <w:rPr>
                <w:rFonts w:ascii="宋体" w:hAnsi="宋体" w:cs="宋体" w:eastAsia="宋体" w:hint="default"/>
                <w:sz w:val="21"/>
                <w:szCs w:val="21"/>
              </w:rPr>
              <w:t>具可热封性的彩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虹膜</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3" w:right="0"/>
              <w:jc w:val="left"/>
              <w:rPr>
                <w:rFonts w:ascii="宋体" w:hAnsi="宋体" w:cs="宋体" w:eastAsia="宋体" w:hint="default"/>
                <w:sz w:val="21"/>
                <w:szCs w:val="21"/>
              </w:rPr>
            </w:pPr>
            <w:r>
              <w:rPr>
                <w:rFonts w:ascii="宋体"/>
                <w:sz w:val="21"/>
              </w:rPr>
              <w:t>ZL03272842.5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5" w:right="0"/>
              <w:jc w:val="left"/>
              <w:rPr>
                <w:rFonts w:ascii="宋体" w:hAnsi="宋体" w:cs="宋体" w:eastAsia="宋体" w:hint="default"/>
                <w:sz w:val="21"/>
                <w:szCs w:val="21"/>
              </w:rPr>
            </w:pPr>
            <w:r>
              <w:rPr>
                <w:rFonts w:ascii="宋体"/>
                <w:sz w:val="21"/>
              </w:rPr>
              <w:t>2003.6.27-2013.6.26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03" w:right="98"/>
              <w:jc w:val="left"/>
              <w:rPr>
                <w:rFonts w:ascii="宋体" w:hAnsi="宋体" w:cs="宋体" w:eastAsia="宋体" w:hint="default"/>
                <w:sz w:val="21"/>
                <w:szCs w:val="21"/>
              </w:rPr>
            </w:pPr>
            <w:r>
              <w:rPr>
                <w:rFonts w:ascii="宋体" w:hAnsi="宋体" w:cs="宋体" w:eastAsia="宋体" w:hint="default"/>
                <w:sz w:val="21"/>
                <w:szCs w:val="21"/>
              </w:rPr>
              <w:t>中丰田光</w:t>
            </w:r>
            <w:r>
              <w:rPr>
                <w:rFonts w:ascii="宋体" w:hAnsi="宋体" w:cs="宋体" w:eastAsia="宋体" w:hint="default"/>
                <w:w w:val="100"/>
                <w:sz w:val="21"/>
                <w:szCs w:val="21"/>
              </w:rPr>
              <w:t> </w:t>
            </w:r>
            <w:r>
              <w:rPr>
                <w:rFonts w:ascii="宋体" w:hAnsi="宋体" w:cs="宋体" w:eastAsia="宋体" w:hint="default"/>
                <w:spacing w:val="-4"/>
                <w:sz w:val="21"/>
                <w:szCs w:val="21"/>
              </w:rPr>
              <w:t>电科技（珠</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海）有限公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r>
      <w:tr>
        <w:trPr>
          <w:trHeight w:val="1179"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0"/>
              <w:jc w:val="center"/>
              <w:rPr>
                <w:rFonts w:ascii="宋体" w:hAnsi="宋体" w:cs="宋体" w:eastAsia="宋体" w:hint="default"/>
                <w:sz w:val="21"/>
                <w:szCs w:val="21"/>
              </w:rPr>
            </w:pPr>
            <w:r>
              <w:rPr>
                <w:rFonts w:ascii="宋体"/>
                <w:w w:val="100"/>
                <w:sz w:val="21"/>
              </w:rPr>
              <w:t>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1"/>
              <w:ind w:left="103" w:right="110"/>
              <w:jc w:val="both"/>
              <w:rPr>
                <w:rFonts w:ascii="宋体" w:hAnsi="宋体" w:cs="宋体" w:eastAsia="宋体" w:hint="default"/>
                <w:sz w:val="21"/>
                <w:szCs w:val="21"/>
              </w:rPr>
            </w:pPr>
            <w:r>
              <w:rPr>
                <w:rFonts w:ascii="宋体" w:hAnsi="宋体" w:cs="宋体" w:eastAsia="宋体" w:hint="default"/>
                <w:sz w:val="21"/>
                <w:szCs w:val="21"/>
              </w:rPr>
              <w:t>具有全息图像表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面的纸的制作方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105"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103" w:right="0"/>
              <w:jc w:val="left"/>
              <w:rPr>
                <w:rFonts w:ascii="宋体" w:hAnsi="宋体" w:cs="宋体" w:eastAsia="宋体" w:hint="default"/>
                <w:sz w:val="21"/>
                <w:szCs w:val="21"/>
              </w:rPr>
            </w:pPr>
            <w:r>
              <w:rPr>
                <w:rFonts w:ascii="宋体"/>
                <w:sz w:val="21"/>
              </w:rPr>
              <w:t>ZL200410074218.8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105" w:right="0"/>
              <w:jc w:val="left"/>
              <w:rPr>
                <w:rFonts w:ascii="宋体" w:hAnsi="宋体" w:cs="宋体" w:eastAsia="宋体" w:hint="default"/>
                <w:sz w:val="21"/>
                <w:szCs w:val="21"/>
              </w:rPr>
            </w:pPr>
            <w:r>
              <w:rPr>
                <w:rFonts w:ascii="宋体"/>
                <w:sz w:val="21"/>
              </w:rPr>
              <w:t>2004.9.3-2024.9.2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3" w:right="98"/>
              <w:jc w:val="left"/>
              <w:rPr>
                <w:rFonts w:ascii="宋体" w:hAnsi="宋体" w:cs="宋体" w:eastAsia="宋体" w:hint="default"/>
                <w:sz w:val="21"/>
                <w:szCs w:val="21"/>
              </w:rPr>
            </w:pPr>
            <w:r>
              <w:rPr>
                <w:rFonts w:ascii="宋体" w:hAnsi="宋体" w:cs="宋体" w:eastAsia="宋体" w:hint="default"/>
                <w:sz w:val="21"/>
                <w:szCs w:val="21"/>
              </w:rPr>
              <w:t>中丰田光</w:t>
            </w:r>
            <w:r>
              <w:rPr>
                <w:rFonts w:ascii="宋体" w:hAnsi="宋体" w:cs="宋体" w:eastAsia="宋体" w:hint="default"/>
                <w:w w:val="100"/>
                <w:sz w:val="21"/>
                <w:szCs w:val="21"/>
              </w:rPr>
              <w:t> </w:t>
            </w:r>
            <w:r>
              <w:rPr>
                <w:rFonts w:ascii="宋体" w:hAnsi="宋体" w:cs="宋体" w:eastAsia="宋体" w:hint="default"/>
                <w:spacing w:val="-4"/>
                <w:sz w:val="21"/>
                <w:szCs w:val="21"/>
              </w:rPr>
              <w:t>电科技（珠</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海）有限公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r>
      <w:tr>
        <w:trPr>
          <w:trHeight w:val="1181"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0"/>
              <w:jc w:val="center"/>
              <w:rPr>
                <w:rFonts w:ascii="宋体" w:hAnsi="宋体" w:cs="宋体" w:eastAsia="宋体" w:hint="default"/>
                <w:sz w:val="21"/>
                <w:szCs w:val="21"/>
              </w:rPr>
            </w:pPr>
            <w:r>
              <w:rPr>
                <w:rFonts w:ascii="宋体"/>
                <w:w w:val="100"/>
                <w:sz w:val="21"/>
              </w:rPr>
              <w:t>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6"/>
              <w:ind w:left="103" w:right="110"/>
              <w:jc w:val="both"/>
              <w:rPr>
                <w:rFonts w:ascii="宋体" w:hAnsi="宋体" w:cs="宋体" w:eastAsia="宋体" w:hint="default"/>
                <w:sz w:val="21"/>
                <w:szCs w:val="21"/>
              </w:rPr>
            </w:pPr>
            <w:r>
              <w:rPr>
                <w:rFonts w:ascii="宋体" w:hAnsi="宋体" w:cs="宋体" w:eastAsia="宋体" w:hint="default"/>
                <w:sz w:val="21"/>
                <w:szCs w:val="21"/>
              </w:rPr>
              <w:t>供金属蒸镀的高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光泽纸的制作方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5"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3" w:right="0"/>
              <w:jc w:val="left"/>
              <w:rPr>
                <w:rFonts w:ascii="宋体" w:hAnsi="宋体" w:cs="宋体" w:eastAsia="宋体" w:hint="default"/>
                <w:sz w:val="21"/>
                <w:szCs w:val="21"/>
              </w:rPr>
            </w:pPr>
            <w:r>
              <w:rPr>
                <w:rFonts w:ascii="宋体"/>
                <w:sz w:val="21"/>
              </w:rPr>
              <w:t>ZL200410074219.2</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5" w:right="0"/>
              <w:jc w:val="left"/>
              <w:rPr>
                <w:rFonts w:ascii="宋体" w:hAnsi="宋体" w:cs="宋体" w:eastAsia="宋体" w:hint="default"/>
                <w:sz w:val="21"/>
                <w:szCs w:val="21"/>
              </w:rPr>
            </w:pPr>
            <w:r>
              <w:rPr>
                <w:rFonts w:ascii="宋体"/>
                <w:sz w:val="21"/>
              </w:rPr>
              <w:t>2004.9.3-2024.9.2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3" w:right="98"/>
              <w:jc w:val="left"/>
              <w:rPr>
                <w:rFonts w:ascii="宋体" w:hAnsi="宋体" w:cs="宋体" w:eastAsia="宋体" w:hint="default"/>
                <w:sz w:val="21"/>
                <w:szCs w:val="21"/>
              </w:rPr>
            </w:pPr>
            <w:r>
              <w:rPr>
                <w:rFonts w:ascii="宋体" w:hAnsi="宋体" w:cs="宋体" w:eastAsia="宋体" w:hint="default"/>
                <w:sz w:val="21"/>
                <w:szCs w:val="21"/>
              </w:rPr>
              <w:t>中丰田光</w:t>
            </w:r>
            <w:r>
              <w:rPr>
                <w:rFonts w:ascii="宋体" w:hAnsi="宋体" w:cs="宋体" w:eastAsia="宋体" w:hint="default"/>
                <w:w w:val="100"/>
                <w:sz w:val="21"/>
                <w:szCs w:val="21"/>
              </w:rPr>
              <w:t> </w:t>
            </w:r>
            <w:r>
              <w:rPr>
                <w:rFonts w:ascii="宋体" w:hAnsi="宋体" w:cs="宋体" w:eastAsia="宋体" w:hint="default"/>
                <w:spacing w:val="-4"/>
                <w:sz w:val="21"/>
                <w:szCs w:val="21"/>
              </w:rPr>
              <w:t>电科技（珠</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海）有限公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r>
      <w:tr>
        <w:trPr>
          <w:trHeight w:val="1178"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0"/>
              <w:jc w:val="center"/>
              <w:rPr>
                <w:rFonts w:ascii="宋体" w:hAnsi="宋体" w:cs="宋体" w:eastAsia="宋体" w:hint="default"/>
                <w:sz w:val="21"/>
                <w:szCs w:val="21"/>
              </w:rPr>
            </w:pPr>
            <w:r>
              <w:rPr>
                <w:rFonts w:ascii="宋体"/>
                <w:w w:val="100"/>
                <w:sz w:val="21"/>
              </w:rPr>
              <w:t>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2" w:lineRule="exact"/>
              <w:ind w:left="103" w:right="110"/>
              <w:jc w:val="left"/>
              <w:rPr>
                <w:rFonts w:ascii="宋体" w:hAnsi="宋体" w:cs="宋体" w:eastAsia="宋体" w:hint="default"/>
                <w:sz w:val="21"/>
                <w:szCs w:val="21"/>
              </w:rPr>
            </w:pPr>
            <w:r>
              <w:rPr>
                <w:rFonts w:ascii="宋体" w:hAnsi="宋体" w:cs="宋体" w:eastAsia="宋体" w:hint="default"/>
                <w:sz w:val="21"/>
                <w:szCs w:val="21"/>
              </w:rPr>
              <w:t>共挤压金属效果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全面转移膜</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41" w:right="0"/>
              <w:jc w:val="left"/>
              <w:rPr>
                <w:rFonts w:ascii="宋体" w:hAnsi="宋体" w:cs="宋体" w:eastAsia="宋体" w:hint="default"/>
                <w:sz w:val="21"/>
                <w:szCs w:val="21"/>
              </w:rPr>
            </w:pPr>
            <w:r>
              <w:rPr>
                <w:rFonts w:ascii="宋体"/>
                <w:sz w:val="21"/>
              </w:rPr>
              <w:t>ZL200820050514.8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05" w:right="0"/>
              <w:jc w:val="left"/>
              <w:rPr>
                <w:rFonts w:ascii="宋体" w:hAnsi="宋体" w:cs="宋体" w:eastAsia="宋体" w:hint="default"/>
                <w:sz w:val="21"/>
                <w:szCs w:val="21"/>
              </w:rPr>
            </w:pPr>
            <w:r>
              <w:rPr>
                <w:rFonts w:ascii="宋体"/>
                <w:sz w:val="21"/>
              </w:rPr>
              <w:t>2008.7.10-2018.7.9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3" w:right="98"/>
              <w:jc w:val="left"/>
              <w:rPr>
                <w:rFonts w:ascii="宋体" w:hAnsi="宋体" w:cs="宋体" w:eastAsia="宋体" w:hint="default"/>
                <w:sz w:val="21"/>
                <w:szCs w:val="21"/>
              </w:rPr>
            </w:pPr>
            <w:r>
              <w:rPr>
                <w:rFonts w:ascii="宋体" w:hAnsi="宋体" w:cs="宋体" w:eastAsia="宋体" w:hint="default"/>
                <w:sz w:val="21"/>
                <w:szCs w:val="21"/>
              </w:rPr>
              <w:t>中丰田光</w:t>
            </w:r>
            <w:r>
              <w:rPr>
                <w:rFonts w:ascii="宋体" w:hAnsi="宋体" w:cs="宋体" w:eastAsia="宋体" w:hint="default"/>
                <w:w w:val="100"/>
                <w:sz w:val="21"/>
                <w:szCs w:val="21"/>
              </w:rPr>
              <w:t> </w:t>
            </w:r>
            <w:r>
              <w:rPr>
                <w:rFonts w:ascii="宋体" w:hAnsi="宋体" w:cs="宋体" w:eastAsia="宋体" w:hint="default"/>
                <w:spacing w:val="-4"/>
                <w:sz w:val="21"/>
                <w:szCs w:val="21"/>
              </w:rPr>
              <w:t>电科技（珠</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海）有限公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r>
      <w:tr>
        <w:trPr>
          <w:trHeight w:val="637"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w w:val="100"/>
                <w:sz w:val="21"/>
              </w:rPr>
              <w:t>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5"/>
              <w:ind w:left="103" w:right="110"/>
              <w:jc w:val="left"/>
              <w:rPr>
                <w:rFonts w:ascii="宋体" w:hAnsi="宋体" w:cs="宋体" w:eastAsia="宋体" w:hint="default"/>
                <w:sz w:val="21"/>
                <w:szCs w:val="21"/>
              </w:rPr>
            </w:pPr>
            <w:r>
              <w:rPr>
                <w:rFonts w:ascii="宋体" w:hAnsi="宋体" w:cs="宋体" w:eastAsia="宋体" w:hint="default"/>
                <w:sz w:val="21"/>
                <w:szCs w:val="21"/>
              </w:rPr>
              <w:t>香烟的软质包装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结构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ZL200620014887.0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sz w:val="21"/>
              </w:rPr>
              <w:t>2006.9.21-2016.9.20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34"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w w:val="100"/>
                <w:sz w:val="21"/>
              </w:rPr>
              <w:t>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10"/>
              <w:jc w:val="left"/>
              <w:rPr>
                <w:rFonts w:ascii="宋体" w:hAnsi="宋体" w:cs="宋体" w:eastAsia="宋体" w:hint="default"/>
                <w:sz w:val="21"/>
                <w:szCs w:val="21"/>
              </w:rPr>
            </w:pPr>
            <w:r>
              <w:rPr>
                <w:rFonts w:ascii="宋体" w:hAnsi="宋体" w:cs="宋体" w:eastAsia="宋体" w:hint="default"/>
                <w:sz w:val="21"/>
                <w:szCs w:val="21"/>
              </w:rPr>
              <w:t>香烟的直角形软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质包装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sz w:val="21"/>
              </w:rPr>
              <w:t>ZL200620016356.5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sz w:val="21"/>
              </w:rPr>
              <w:t>2006.12.6-2016.12.5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422"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仿真木纹纸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sz w:val="21"/>
              </w:rPr>
              <w:t>ZL200720121782.X</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sz w:val="21"/>
              </w:rPr>
              <w:t>2007.7.23-2017.7.22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36"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110"/>
              <w:jc w:val="left"/>
              <w:rPr>
                <w:rFonts w:ascii="宋体" w:hAnsi="宋体" w:cs="宋体" w:eastAsia="宋体" w:hint="default"/>
                <w:sz w:val="21"/>
                <w:szCs w:val="21"/>
              </w:rPr>
            </w:pPr>
            <w:r>
              <w:rPr>
                <w:rFonts w:ascii="宋体" w:hAnsi="宋体" w:cs="宋体" w:eastAsia="宋体" w:hint="default"/>
                <w:sz w:val="21"/>
                <w:szCs w:val="21"/>
              </w:rPr>
              <w:t>一种冷烫印刷设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1" w:right="0"/>
              <w:jc w:val="left"/>
              <w:rPr>
                <w:rFonts w:ascii="宋体" w:hAnsi="宋体" w:cs="宋体" w:eastAsia="宋体" w:hint="default"/>
                <w:sz w:val="21"/>
                <w:szCs w:val="21"/>
              </w:rPr>
            </w:pPr>
            <w:r>
              <w:rPr>
                <w:rFonts w:ascii="宋体"/>
                <w:sz w:val="21"/>
              </w:rPr>
              <w:t>ZL200910222541.8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sz w:val="21"/>
              </w:rPr>
              <w:t>2009.11.13-2029.11.13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34"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15" w:right="103" w:hanging="106"/>
              <w:jc w:val="left"/>
              <w:rPr>
                <w:rFonts w:ascii="宋体" w:hAnsi="宋体" w:cs="宋体" w:eastAsia="宋体" w:hint="default"/>
                <w:sz w:val="21"/>
                <w:szCs w:val="21"/>
              </w:rPr>
            </w:pPr>
            <w:r>
              <w:rPr>
                <w:rFonts w:ascii="宋体" w:hAnsi="宋体" w:cs="宋体" w:eastAsia="宋体" w:hint="default"/>
                <w:sz w:val="21"/>
                <w:szCs w:val="21"/>
              </w:rPr>
              <w:t>硫酸纸香烟包结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构及制作方法</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56" w:right="0"/>
              <w:jc w:val="left"/>
              <w:rPr>
                <w:rFonts w:ascii="Times New Roman" w:hAnsi="Times New Roman" w:cs="Times New Roman" w:eastAsia="Times New Roman" w:hint="default"/>
                <w:sz w:val="21"/>
                <w:szCs w:val="21"/>
              </w:rPr>
            </w:pPr>
            <w:r>
              <w:rPr>
                <w:rFonts w:ascii="Times New Roman"/>
                <w:spacing w:val="-3"/>
                <w:sz w:val="21"/>
              </w:rPr>
              <w:t>ZL200810111192.8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Times New Roman"/>
                <w:sz w:val="21"/>
              </w:rPr>
              <w:t>2008.06.12</w:t>
            </w:r>
            <w:r>
              <w:rPr>
                <w:rFonts w:ascii="宋体"/>
                <w:sz w:val="21"/>
              </w:rPr>
              <w:t>-2028.06.11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bl>
    <w:p>
      <w:pPr>
        <w:spacing w:after="0" w:line="240" w:lineRule="auto"/>
        <w:jc w:val="left"/>
        <w:rPr>
          <w:rFonts w:ascii="宋体" w:hAnsi="宋体" w:cs="宋体" w:eastAsia="宋体" w:hint="default"/>
          <w:sz w:val="21"/>
          <w:szCs w:val="21"/>
        </w:rPr>
        <w:sectPr>
          <w:pgSz w:w="11910" w:h="16840"/>
          <w:pgMar w:header="920" w:footer="936" w:top="1140" w:bottom="1120" w:left="1000" w:right="0"/>
        </w:sectPr>
      </w:pPr>
    </w:p>
    <w:p>
      <w:pPr>
        <w:spacing w:line="240" w:lineRule="auto" w:before="2"/>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442"/>
        <w:gridCol w:w="1699"/>
        <w:gridCol w:w="1136"/>
        <w:gridCol w:w="1976"/>
        <w:gridCol w:w="2422"/>
        <w:gridCol w:w="1253"/>
      </w:tblGrid>
      <w:tr>
        <w:trPr>
          <w:trHeight w:val="1176" w:hRule="exact"/>
        </w:trPr>
        <w:tc>
          <w:tcPr>
            <w:tcW w:w="44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10" w:right="0"/>
              <w:jc w:val="left"/>
              <w:rPr>
                <w:rFonts w:ascii="宋体" w:hAnsi="宋体" w:cs="宋体" w:eastAsia="宋体" w:hint="default"/>
                <w:sz w:val="21"/>
                <w:szCs w:val="21"/>
              </w:rPr>
            </w:pPr>
            <w:r>
              <w:rPr>
                <w:rFonts w:ascii="宋体"/>
                <w:sz w:val="21"/>
              </w:rPr>
              <w:t>12</w:t>
            </w:r>
          </w:p>
        </w:tc>
        <w:tc>
          <w:tcPr>
            <w:tcW w:w="16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72" w:lineRule="exact"/>
              <w:ind w:left="103" w:right="110"/>
              <w:jc w:val="left"/>
              <w:rPr>
                <w:rFonts w:ascii="宋体" w:hAnsi="宋体" w:cs="宋体" w:eastAsia="宋体" w:hint="default"/>
                <w:sz w:val="21"/>
                <w:szCs w:val="21"/>
              </w:rPr>
            </w:pPr>
            <w:r>
              <w:rPr>
                <w:rFonts w:ascii="宋体" w:hAnsi="宋体" w:cs="宋体" w:eastAsia="宋体" w:hint="default"/>
                <w:sz w:val="21"/>
                <w:szCs w:val="21"/>
              </w:rPr>
              <w:t>高挺度中式香烟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包装</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5"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197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41" w:right="0"/>
              <w:jc w:val="left"/>
              <w:rPr>
                <w:rFonts w:ascii="宋体" w:hAnsi="宋体" w:cs="宋体" w:eastAsia="宋体" w:hint="default"/>
                <w:sz w:val="21"/>
                <w:szCs w:val="21"/>
              </w:rPr>
            </w:pPr>
            <w:r>
              <w:rPr>
                <w:rFonts w:ascii="宋体"/>
                <w:sz w:val="21"/>
              </w:rPr>
              <w:t>ZL200810147400.X</w:t>
            </w:r>
          </w:p>
        </w:tc>
        <w:tc>
          <w:tcPr>
            <w:tcW w:w="242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5" w:right="0"/>
              <w:jc w:val="left"/>
              <w:rPr>
                <w:rFonts w:ascii="宋体" w:hAnsi="宋体" w:cs="宋体" w:eastAsia="宋体" w:hint="default"/>
                <w:sz w:val="21"/>
                <w:szCs w:val="21"/>
              </w:rPr>
            </w:pPr>
            <w:r>
              <w:rPr>
                <w:rFonts w:ascii="宋体"/>
                <w:sz w:val="21"/>
              </w:rPr>
              <w:t>2008.08.14-2028.08.13</w:t>
            </w:r>
          </w:p>
        </w:tc>
        <w:tc>
          <w:tcPr>
            <w:tcW w:w="1253"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9"/>
              <w:ind w:left="103" w:right="295"/>
              <w:jc w:val="both"/>
              <w:rPr>
                <w:rFonts w:ascii="宋体" w:hAnsi="宋体" w:cs="宋体" w:eastAsia="宋体" w:hint="default"/>
                <w:sz w:val="21"/>
                <w:szCs w:val="21"/>
              </w:rPr>
            </w:pPr>
            <w:r>
              <w:rPr>
                <w:rFonts w:ascii="宋体" w:hAnsi="宋体" w:cs="宋体" w:eastAsia="宋体" w:hint="default"/>
                <w:sz w:val="21"/>
                <w:szCs w:val="21"/>
              </w:rPr>
              <w:t>安徽安泰</w:t>
            </w:r>
            <w:r>
              <w:rPr>
                <w:rFonts w:ascii="宋体" w:hAnsi="宋体" w:cs="宋体" w:eastAsia="宋体" w:hint="default"/>
                <w:w w:val="100"/>
                <w:sz w:val="21"/>
                <w:szCs w:val="21"/>
              </w:rPr>
              <w:t> </w:t>
            </w:r>
            <w:r>
              <w:rPr>
                <w:rFonts w:ascii="宋体" w:hAnsi="宋体" w:cs="宋体" w:eastAsia="宋体" w:hint="default"/>
                <w:sz w:val="21"/>
                <w:szCs w:val="21"/>
              </w:rPr>
              <w:t>新型包装</w:t>
            </w:r>
            <w:r>
              <w:rPr>
                <w:rFonts w:ascii="宋体" w:hAnsi="宋体" w:cs="宋体" w:eastAsia="宋体" w:hint="default"/>
                <w:w w:val="100"/>
                <w:sz w:val="21"/>
                <w:szCs w:val="21"/>
              </w:rPr>
              <w:t> </w:t>
            </w:r>
            <w:r>
              <w:rPr>
                <w:rFonts w:ascii="宋体" w:hAnsi="宋体" w:cs="宋体" w:eastAsia="宋体" w:hint="default"/>
                <w:sz w:val="21"/>
                <w:szCs w:val="21"/>
              </w:rPr>
              <w:t>材料有限</w:t>
            </w:r>
            <w:r>
              <w:rPr>
                <w:rFonts w:ascii="宋体" w:hAnsi="宋体" w:cs="宋体" w:eastAsia="宋体" w:hint="default"/>
                <w:w w:val="100"/>
                <w:sz w:val="21"/>
                <w:szCs w:val="21"/>
              </w:rPr>
              <w:t> </w:t>
            </w:r>
            <w:r>
              <w:rPr>
                <w:rFonts w:ascii="宋体" w:hAnsi="宋体" w:cs="宋体" w:eastAsia="宋体" w:hint="default"/>
                <w:sz w:val="21"/>
                <w:szCs w:val="21"/>
              </w:rPr>
              <w:t>公司</w:t>
            </w:r>
          </w:p>
        </w:tc>
      </w:tr>
      <w:tr>
        <w:trPr>
          <w:trHeight w:val="634"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10" w:right="0"/>
              <w:jc w:val="left"/>
              <w:rPr>
                <w:rFonts w:ascii="宋体" w:hAnsi="宋体" w:cs="宋体" w:eastAsia="宋体" w:hint="default"/>
                <w:sz w:val="21"/>
                <w:szCs w:val="21"/>
              </w:rPr>
            </w:pPr>
            <w:r>
              <w:rPr>
                <w:rFonts w:ascii="宋体"/>
                <w:sz w:val="21"/>
              </w:rPr>
              <w:t>13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10"/>
              <w:jc w:val="left"/>
              <w:rPr>
                <w:rFonts w:ascii="宋体" w:hAnsi="宋体" w:cs="宋体" w:eastAsia="宋体" w:hint="default"/>
                <w:sz w:val="21"/>
                <w:szCs w:val="21"/>
              </w:rPr>
            </w:pPr>
            <w:r>
              <w:rPr>
                <w:rFonts w:ascii="宋体" w:hAnsi="宋体" w:cs="宋体" w:eastAsia="宋体" w:hint="default"/>
                <w:sz w:val="21"/>
                <w:szCs w:val="21"/>
              </w:rPr>
              <w:t>卷筒纸烫金模切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设备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ZL200920150585.X</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sz w:val="21"/>
              </w:rPr>
              <w:t>2009.5.13-2019.5.12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422"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10" w:right="0"/>
              <w:jc w:val="left"/>
              <w:rPr>
                <w:rFonts w:ascii="宋体" w:hAnsi="宋体" w:cs="宋体" w:eastAsia="宋体" w:hint="default"/>
                <w:sz w:val="21"/>
                <w:szCs w:val="21"/>
              </w:rPr>
            </w:pPr>
            <w:r>
              <w:rPr>
                <w:rFonts w:ascii="宋体"/>
                <w:sz w:val="21"/>
              </w:rPr>
              <w:t>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21"/>
                <w:szCs w:val="21"/>
              </w:rPr>
            </w:pPr>
            <w:r>
              <w:rPr>
                <w:rFonts w:ascii="宋体" w:hAnsi="宋体" w:cs="宋体" w:eastAsia="宋体" w:hint="default"/>
                <w:sz w:val="21"/>
                <w:szCs w:val="21"/>
              </w:rPr>
              <w:t>模切压痕装置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1" w:right="0"/>
              <w:jc w:val="left"/>
              <w:rPr>
                <w:rFonts w:ascii="宋体" w:hAnsi="宋体" w:cs="宋体" w:eastAsia="宋体" w:hint="default"/>
                <w:sz w:val="21"/>
                <w:szCs w:val="21"/>
              </w:rPr>
            </w:pPr>
            <w:r>
              <w:rPr>
                <w:rFonts w:ascii="宋体"/>
                <w:sz w:val="21"/>
              </w:rPr>
              <w:t>ZL200920161760.5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sz w:val="21"/>
              </w:rPr>
              <w:t>2009.7.27-2019.07.26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425"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10" w:right="0"/>
              <w:jc w:val="left"/>
              <w:rPr>
                <w:rFonts w:ascii="宋体" w:hAnsi="宋体" w:cs="宋体" w:eastAsia="宋体" w:hint="default"/>
                <w:sz w:val="21"/>
                <w:szCs w:val="21"/>
              </w:rPr>
            </w:pPr>
            <w:r>
              <w:rPr>
                <w:rFonts w:ascii="宋体"/>
                <w:sz w:val="21"/>
              </w:rPr>
              <w:t>15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21"/>
                <w:szCs w:val="21"/>
              </w:rPr>
            </w:pPr>
            <w:r>
              <w:rPr>
                <w:rFonts w:ascii="宋体" w:hAnsi="宋体" w:cs="宋体" w:eastAsia="宋体" w:hint="default"/>
                <w:sz w:val="21"/>
                <w:szCs w:val="21"/>
              </w:rPr>
              <w:t>印品检测设备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1" w:right="0"/>
              <w:jc w:val="left"/>
              <w:rPr>
                <w:rFonts w:ascii="宋体" w:hAnsi="宋体" w:cs="宋体" w:eastAsia="宋体" w:hint="default"/>
                <w:sz w:val="21"/>
                <w:szCs w:val="21"/>
              </w:rPr>
            </w:pPr>
            <w:r>
              <w:rPr>
                <w:rFonts w:ascii="宋体"/>
                <w:sz w:val="21"/>
              </w:rPr>
              <w:t>ZL200920170033.5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sz w:val="21"/>
              </w:rPr>
              <w:t>2009.08.07-2019.08.06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34"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10" w:right="0"/>
              <w:jc w:val="left"/>
              <w:rPr>
                <w:rFonts w:ascii="宋体" w:hAnsi="宋体" w:cs="宋体" w:eastAsia="宋体" w:hint="default"/>
                <w:sz w:val="21"/>
                <w:szCs w:val="21"/>
              </w:rPr>
            </w:pPr>
            <w:r>
              <w:rPr>
                <w:rFonts w:ascii="宋体"/>
                <w:sz w:val="21"/>
              </w:rPr>
              <w:t>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10"/>
              <w:jc w:val="left"/>
              <w:rPr>
                <w:rFonts w:ascii="宋体" w:hAnsi="宋体" w:cs="宋体" w:eastAsia="宋体" w:hint="default"/>
                <w:sz w:val="21"/>
                <w:szCs w:val="21"/>
              </w:rPr>
            </w:pPr>
            <w:r>
              <w:rPr>
                <w:rFonts w:ascii="宋体" w:hAnsi="宋体" w:cs="宋体" w:eastAsia="宋体" w:hint="default"/>
                <w:sz w:val="21"/>
                <w:szCs w:val="21"/>
              </w:rPr>
              <w:t>一种冷烫印刷设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ZL200920178356.9</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Times New Roman"/>
                <w:sz w:val="21"/>
              </w:rPr>
              <w:t>2009.11.13</w:t>
            </w:r>
            <w:r>
              <w:rPr>
                <w:rFonts w:ascii="宋体"/>
                <w:sz w:val="21"/>
              </w:rPr>
              <w:t>-2019.11.12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422"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10" w:right="0"/>
              <w:jc w:val="left"/>
              <w:rPr>
                <w:rFonts w:ascii="宋体" w:hAnsi="宋体" w:cs="宋体" w:eastAsia="宋体" w:hint="default"/>
                <w:sz w:val="21"/>
                <w:szCs w:val="21"/>
              </w:rPr>
            </w:pPr>
            <w:r>
              <w:rPr>
                <w:rFonts w:ascii="宋体"/>
                <w:sz w:val="21"/>
              </w:rPr>
              <w:t>17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21"/>
                <w:szCs w:val="21"/>
              </w:rPr>
            </w:pPr>
            <w:r>
              <w:rPr>
                <w:rFonts w:ascii="宋体" w:hAnsi="宋体" w:cs="宋体" w:eastAsia="宋体" w:hint="default"/>
                <w:sz w:val="21"/>
                <w:szCs w:val="21"/>
              </w:rPr>
              <w:t>镭射定位电化铝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8" w:right="0"/>
              <w:jc w:val="left"/>
              <w:rPr>
                <w:rFonts w:ascii="Times New Roman" w:hAnsi="Times New Roman" w:cs="Times New Roman" w:eastAsia="Times New Roman" w:hint="default"/>
                <w:sz w:val="21"/>
                <w:szCs w:val="21"/>
              </w:rPr>
            </w:pPr>
            <w:r>
              <w:rPr>
                <w:rFonts w:ascii="Times New Roman"/>
                <w:sz w:val="21"/>
              </w:rPr>
              <w:t>ZL201020114599.9</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Times New Roman"/>
                <w:sz w:val="21"/>
              </w:rPr>
              <w:t>2010.02.03</w:t>
            </w:r>
            <w:r>
              <w:rPr>
                <w:rFonts w:ascii="宋体"/>
                <w:sz w:val="21"/>
              </w:rPr>
              <w:t>-2020.02.02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26"/>
        <w:ind w:left="493" w:right="1119"/>
        <w:jc w:val="left"/>
      </w:pPr>
      <w:r>
        <w:rPr>
          <w:rFonts w:ascii="Times New Roman" w:hAnsi="Times New Roman" w:cs="Times New Roman" w:eastAsia="Times New Roman" w:hint="default"/>
        </w:rPr>
        <w:t>3</w:t>
      </w:r>
      <w:r>
        <w:rPr/>
        <w:t>、报告期公司已申请的专利</w:t>
      </w:r>
    </w:p>
    <w:p>
      <w:pPr>
        <w:spacing w:line="240" w:lineRule="auto" w:before="5"/>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562"/>
        <w:gridCol w:w="2693"/>
        <w:gridCol w:w="826"/>
        <w:gridCol w:w="1750"/>
        <w:gridCol w:w="1351"/>
        <w:gridCol w:w="1349"/>
      </w:tblGrid>
      <w:tr>
        <w:trPr>
          <w:trHeight w:val="636" w:hRule="exact"/>
        </w:trPr>
        <w:tc>
          <w:tcPr>
            <w:tcW w:w="5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left="170" w:right="168"/>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left="196" w:right="194"/>
              <w:jc w:val="left"/>
              <w:rPr>
                <w:rFonts w:ascii="宋体" w:hAnsi="宋体" w:cs="宋体" w:eastAsia="宋体" w:hint="default"/>
                <w:sz w:val="21"/>
                <w:szCs w:val="21"/>
              </w:rPr>
            </w:pPr>
            <w:r>
              <w:rPr>
                <w:rFonts w:ascii="宋体" w:hAnsi="宋体" w:cs="宋体" w:eastAsia="宋体" w:hint="default"/>
                <w:b/>
                <w:bCs/>
                <w:sz w:val="21"/>
                <w:szCs w:val="21"/>
              </w:rPr>
              <w:t>专利</w:t>
            </w:r>
            <w:r>
              <w:rPr>
                <w:rFonts w:ascii="宋体" w:hAnsi="宋体" w:cs="宋体" w:eastAsia="宋体" w:hint="default"/>
                <w:b/>
                <w:bCs/>
                <w:w w:val="100"/>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551" w:right="0"/>
              <w:jc w:val="left"/>
              <w:rPr>
                <w:rFonts w:ascii="宋体" w:hAnsi="宋体" w:cs="宋体" w:eastAsia="宋体" w:hint="default"/>
                <w:sz w:val="21"/>
                <w:szCs w:val="21"/>
              </w:rPr>
            </w:pPr>
            <w:r>
              <w:rPr>
                <w:rFonts w:ascii="宋体" w:hAnsi="宋体" w:cs="宋体" w:eastAsia="宋体" w:hint="default"/>
                <w:b/>
                <w:bCs/>
                <w:sz w:val="21"/>
                <w:szCs w:val="21"/>
              </w:rPr>
              <w:t>申请号</w:t>
            </w:r>
            <w:r>
              <w:rPr>
                <w:rFonts w:ascii="宋体" w:hAnsi="宋体" w:cs="宋体" w:eastAsia="宋体" w:hint="default"/>
                <w:sz w:val="21"/>
                <w:szCs w:val="21"/>
              </w:rPr>
            </w:r>
          </w:p>
        </w:tc>
        <w:tc>
          <w:tcPr>
            <w:tcW w:w="135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申请日</w:t>
            </w:r>
            <w:r>
              <w:rPr>
                <w:rFonts w:ascii="宋体" w:hAnsi="宋体" w:cs="宋体" w:eastAsia="宋体" w:hint="default"/>
                <w:sz w:val="21"/>
                <w:szCs w:val="21"/>
              </w:rPr>
            </w:r>
          </w:p>
        </w:tc>
        <w:tc>
          <w:tcPr>
            <w:tcW w:w="13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352" w:right="0"/>
              <w:jc w:val="left"/>
              <w:rPr>
                <w:rFonts w:ascii="宋体" w:hAnsi="宋体" w:cs="宋体" w:eastAsia="宋体" w:hint="default"/>
                <w:sz w:val="21"/>
                <w:szCs w:val="21"/>
              </w:rPr>
            </w:pPr>
            <w:r>
              <w:rPr>
                <w:rFonts w:ascii="宋体" w:hAnsi="宋体" w:cs="宋体" w:eastAsia="宋体" w:hint="default"/>
                <w:b/>
                <w:bCs/>
                <w:sz w:val="21"/>
                <w:szCs w:val="21"/>
              </w:rPr>
              <w:t>申请人</w:t>
            </w:r>
            <w:r>
              <w:rPr>
                <w:rFonts w:ascii="宋体" w:hAnsi="宋体" w:cs="宋体" w:eastAsia="宋体" w:hint="default"/>
                <w:sz w:val="21"/>
                <w:szCs w:val="21"/>
              </w:rPr>
            </w:r>
          </w:p>
        </w:tc>
      </w:tr>
      <w:tr>
        <w:trPr>
          <w:trHeight w:val="509"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3" w:right="0"/>
              <w:jc w:val="left"/>
              <w:rPr>
                <w:rFonts w:ascii="宋体" w:hAnsi="宋体" w:cs="宋体" w:eastAsia="宋体" w:hint="default"/>
                <w:sz w:val="21"/>
                <w:szCs w:val="21"/>
              </w:rPr>
            </w:pPr>
            <w:r>
              <w:rPr>
                <w:rFonts w:ascii="宋体"/>
                <w:w w:val="100"/>
                <w:sz w:val="21"/>
              </w:rPr>
              <w:t>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条形码印刷设备及其方法</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发明</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39" w:right="0"/>
              <w:jc w:val="left"/>
              <w:rPr>
                <w:rFonts w:ascii="Times New Roman" w:hAnsi="Times New Roman" w:cs="Times New Roman" w:eastAsia="Times New Roman" w:hint="default"/>
                <w:sz w:val="22"/>
                <w:szCs w:val="22"/>
              </w:rPr>
            </w:pPr>
            <w:r>
              <w:rPr>
                <w:rFonts w:ascii="Times New Roman"/>
                <w:spacing w:val="-3"/>
                <w:sz w:val="22"/>
              </w:rPr>
              <w:t>201110048119.2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Times New Roman" w:hAnsi="Times New Roman" w:cs="Times New Roman" w:eastAsia="Times New Roman" w:hint="default"/>
                <w:sz w:val="22"/>
                <w:szCs w:val="22"/>
              </w:rPr>
            </w:pPr>
            <w:r>
              <w:rPr>
                <w:rFonts w:ascii="Times New Roman"/>
                <w:sz w:val="22"/>
              </w:rPr>
              <w:t>2011.02.25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511"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3" w:right="0"/>
              <w:jc w:val="left"/>
              <w:rPr>
                <w:rFonts w:ascii="宋体" w:hAnsi="宋体" w:cs="宋体" w:eastAsia="宋体" w:hint="default"/>
                <w:sz w:val="21"/>
                <w:szCs w:val="21"/>
              </w:rPr>
            </w:pPr>
            <w:r>
              <w:rPr>
                <w:rFonts w:ascii="宋体"/>
                <w:w w:val="100"/>
                <w:sz w:val="21"/>
              </w:rPr>
              <w:t>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立体印刷制品和包装盒</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发明</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31" w:right="0"/>
              <w:jc w:val="left"/>
              <w:rPr>
                <w:rFonts w:ascii="Times New Roman" w:hAnsi="Times New Roman" w:cs="Times New Roman" w:eastAsia="Times New Roman" w:hint="default"/>
                <w:sz w:val="22"/>
                <w:szCs w:val="22"/>
              </w:rPr>
            </w:pPr>
            <w:r>
              <w:rPr>
                <w:rFonts w:ascii="Times New Roman"/>
                <w:sz w:val="22"/>
              </w:rPr>
              <w:t>201120074309.7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Times New Roman" w:hAnsi="Times New Roman" w:cs="Times New Roman" w:eastAsia="Times New Roman" w:hint="default"/>
                <w:sz w:val="22"/>
                <w:szCs w:val="22"/>
              </w:rPr>
            </w:pPr>
            <w:r>
              <w:rPr>
                <w:rFonts w:ascii="Times New Roman"/>
                <w:sz w:val="22"/>
              </w:rPr>
              <w:t>2011.03.17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34"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3" w:right="0"/>
              <w:jc w:val="left"/>
              <w:rPr>
                <w:rFonts w:ascii="宋体" w:hAnsi="宋体" w:cs="宋体" w:eastAsia="宋体" w:hint="default"/>
                <w:sz w:val="21"/>
                <w:szCs w:val="21"/>
              </w:rPr>
            </w:pPr>
            <w:r>
              <w:rPr>
                <w:rFonts w:ascii="宋体"/>
                <w:w w:val="100"/>
                <w:sz w:val="21"/>
              </w:rPr>
              <w:t>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55"/>
              <w:jc w:val="left"/>
              <w:rPr>
                <w:rFonts w:ascii="宋体" w:hAnsi="宋体" w:cs="宋体" w:eastAsia="宋体" w:hint="default"/>
                <w:sz w:val="21"/>
                <w:szCs w:val="21"/>
              </w:rPr>
            </w:pPr>
            <w:r>
              <w:rPr>
                <w:rFonts w:ascii="宋体" w:hAnsi="宋体" w:cs="宋体" w:eastAsia="宋体" w:hint="default"/>
                <w:spacing w:val="-2"/>
                <w:sz w:val="21"/>
                <w:szCs w:val="21"/>
              </w:rPr>
              <w:t>立体印刷设备、印刷方法、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以及包装盒</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2"/>
                <w:szCs w:val="22"/>
              </w:rPr>
            </w:pPr>
            <w:r>
              <w:rPr>
                <w:rFonts w:ascii="宋体" w:hAnsi="宋体" w:cs="宋体" w:eastAsia="宋体" w:hint="default"/>
                <w:sz w:val="22"/>
                <w:szCs w:val="22"/>
              </w:rPr>
              <w:t>发明</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34" w:right="0"/>
              <w:jc w:val="left"/>
              <w:rPr>
                <w:rFonts w:ascii="Times New Roman" w:hAnsi="Times New Roman" w:cs="Times New Roman" w:eastAsia="Times New Roman" w:hint="default"/>
                <w:sz w:val="22"/>
                <w:szCs w:val="22"/>
              </w:rPr>
            </w:pPr>
            <w:r>
              <w:rPr>
                <w:rFonts w:ascii="Times New Roman"/>
                <w:sz w:val="22"/>
              </w:rPr>
              <w:t>201110067149.8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2" w:right="0"/>
              <w:jc w:val="center"/>
              <w:rPr>
                <w:rFonts w:ascii="Times New Roman" w:hAnsi="Times New Roman" w:cs="Times New Roman" w:eastAsia="Times New Roman" w:hint="default"/>
                <w:sz w:val="22"/>
                <w:szCs w:val="22"/>
              </w:rPr>
            </w:pPr>
            <w:r>
              <w:rPr>
                <w:rFonts w:ascii="Times New Roman"/>
                <w:sz w:val="22"/>
              </w:rPr>
              <w:t>2011.03.17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36"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3" w:right="0"/>
              <w:jc w:val="left"/>
              <w:rPr>
                <w:rFonts w:ascii="宋体" w:hAnsi="宋体" w:cs="宋体" w:eastAsia="宋体" w:hint="default"/>
                <w:sz w:val="21"/>
                <w:szCs w:val="21"/>
              </w:rPr>
            </w:pPr>
            <w:r>
              <w:rPr>
                <w:rFonts w:ascii="宋体"/>
                <w:w w:val="100"/>
                <w:sz w:val="21"/>
              </w:rPr>
              <w:t>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99"/>
              <w:jc w:val="left"/>
              <w:rPr>
                <w:rFonts w:ascii="宋体" w:hAnsi="宋体" w:cs="宋体" w:eastAsia="宋体" w:hint="default"/>
                <w:sz w:val="21"/>
                <w:szCs w:val="21"/>
              </w:rPr>
            </w:pPr>
            <w:r>
              <w:rPr>
                <w:rFonts w:ascii="宋体" w:hAnsi="宋体" w:cs="宋体" w:eastAsia="宋体" w:hint="default"/>
                <w:spacing w:val="-5"/>
                <w:sz w:val="21"/>
                <w:szCs w:val="21"/>
              </w:rPr>
              <w:t>凹版印刷设备、凹版印刷方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法、以及包装盒</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2"/>
                <w:szCs w:val="22"/>
              </w:rPr>
            </w:pPr>
            <w:r>
              <w:rPr>
                <w:rFonts w:ascii="宋体" w:hAnsi="宋体" w:cs="宋体" w:eastAsia="宋体" w:hint="default"/>
                <w:sz w:val="22"/>
                <w:szCs w:val="22"/>
              </w:rPr>
              <w:t>发明</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34" w:right="0"/>
              <w:jc w:val="left"/>
              <w:rPr>
                <w:rFonts w:ascii="Times New Roman" w:hAnsi="Times New Roman" w:cs="Times New Roman" w:eastAsia="Times New Roman" w:hint="default"/>
                <w:sz w:val="22"/>
                <w:szCs w:val="22"/>
              </w:rPr>
            </w:pPr>
            <w:r>
              <w:rPr>
                <w:rFonts w:ascii="Times New Roman"/>
                <w:sz w:val="22"/>
              </w:rPr>
              <w:t>201110086035.8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Times New Roman" w:hAnsi="Times New Roman" w:cs="Times New Roman" w:eastAsia="Times New Roman" w:hint="default"/>
                <w:sz w:val="22"/>
                <w:szCs w:val="22"/>
              </w:rPr>
            </w:pPr>
            <w:r>
              <w:rPr>
                <w:rFonts w:ascii="Times New Roman"/>
                <w:sz w:val="22"/>
              </w:rPr>
              <w:t>2011.04.02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6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23" w:right="0"/>
              <w:jc w:val="left"/>
              <w:rPr>
                <w:rFonts w:ascii="宋体" w:hAnsi="宋体" w:cs="宋体" w:eastAsia="宋体" w:hint="default"/>
                <w:sz w:val="21"/>
                <w:szCs w:val="21"/>
              </w:rPr>
            </w:pPr>
            <w:r>
              <w:rPr>
                <w:rFonts w:ascii="宋体"/>
                <w:w w:val="100"/>
                <w:sz w:val="21"/>
              </w:rPr>
              <w:t>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烫金设备和烫金方法</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32"/>
              <w:ind w:left="187" w:right="185"/>
              <w:jc w:val="left"/>
              <w:rPr>
                <w:rFonts w:ascii="宋体" w:hAnsi="宋体" w:cs="宋体" w:eastAsia="宋体" w:hint="default"/>
                <w:sz w:val="22"/>
                <w:szCs w:val="22"/>
              </w:rPr>
            </w:pPr>
            <w:r>
              <w:rPr>
                <w:rFonts w:ascii="宋体" w:hAnsi="宋体" w:cs="宋体" w:eastAsia="宋体" w:hint="default"/>
                <w:sz w:val="22"/>
                <w:szCs w:val="22"/>
              </w:rPr>
              <w:t>实用</w:t>
            </w:r>
            <w:r>
              <w:rPr>
                <w:rFonts w:ascii="宋体" w:hAnsi="宋体" w:cs="宋体" w:eastAsia="宋体" w:hint="default"/>
                <w:w w:val="100"/>
                <w:sz w:val="22"/>
                <w:szCs w:val="22"/>
              </w:rPr>
              <w:t> </w:t>
            </w:r>
            <w:r>
              <w:rPr>
                <w:rFonts w:ascii="宋体" w:hAnsi="宋体" w:cs="宋体" w:eastAsia="宋体" w:hint="default"/>
                <w:sz w:val="22"/>
                <w:szCs w:val="22"/>
              </w:rPr>
              <w:t>新型</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left="134" w:right="0"/>
              <w:jc w:val="left"/>
              <w:rPr>
                <w:rFonts w:ascii="Times New Roman" w:hAnsi="Times New Roman" w:cs="Times New Roman" w:eastAsia="Times New Roman" w:hint="default"/>
                <w:sz w:val="22"/>
                <w:szCs w:val="22"/>
              </w:rPr>
            </w:pPr>
            <w:r>
              <w:rPr>
                <w:rFonts w:ascii="Times New Roman"/>
                <w:sz w:val="22"/>
              </w:rPr>
              <w:t>201110144163.3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left="2" w:right="0"/>
              <w:jc w:val="center"/>
              <w:rPr>
                <w:rFonts w:ascii="Times New Roman" w:hAnsi="Times New Roman" w:cs="Times New Roman" w:eastAsia="Times New Roman" w:hint="default"/>
                <w:sz w:val="22"/>
                <w:szCs w:val="22"/>
              </w:rPr>
            </w:pPr>
            <w:r>
              <w:rPr>
                <w:rFonts w:ascii="Times New Roman"/>
                <w:sz w:val="22"/>
              </w:rPr>
              <w:t>2011.05.27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509"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3" w:right="0"/>
              <w:jc w:val="left"/>
              <w:rPr>
                <w:rFonts w:ascii="宋体" w:hAnsi="宋体" w:cs="宋体" w:eastAsia="宋体" w:hint="default"/>
                <w:sz w:val="21"/>
                <w:szCs w:val="21"/>
              </w:rPr>
            </w:pPr>
            <w:r>
              <w:rPr>
                <w:rFonts w:ascii="宋体"/>
                <w:w w:val="100"/>
                <w:sz w:val="21"/>
              </w:rPr>
              <w:t>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烫金设备</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发明</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Times New Roman" w:hAnsi="Times New Roman" w:cs="Times New Roman" w:eastAsia="Times New Roman" w:hint="default"/>
                <w:sz w:val="22"/>
                <w:szCs w:val="22"/>
              </w:rPr>
            </w:pPr>
            <w:r>
              <w:rPr>
                <w:rFonts w:ascii="Times New Roman"/>
                <w:sz w:val="22"/>
              </w:rPr>
              <w:t>201120182064.X</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Times New Roman" w:hAnsi="Times New Roman" w:cs="Times New Roman" w:eastAsia="Times New Roman" w:hint="default"/>
                <w:sz w:val="22"/>
                <w:szCs w:val="22"/>
              </w:rPr>
            </w:pPr>
            <w:r>
              <w:rPr>
                <w:rFonts w:ascii="Times New Roman"/>
                <w:sz w:val="22"/>
              </w:rPr>
              <w:t>2011.05.27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511"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3" w:right="0"/>
              <w:jc w:val="left"/>
              <w:rPr>
                <w:rFonts w:ascii="宋体" w:hAnsi="宋体" w:cs="宋体" w:eastAsia="宋体" w:hint="default"/>
                <w:sz w:val="21"/>
                <w:szCs w:val="21"/>
              </w:rPr>
            </w:pPr>
            <w:r>
              <w:rPr>
                <w:rFonts w:ascii="宋体"/>
                <w:w w:val="100"/>
                <w:sz w:val="21"/>
              </w:rPr>
              <w:t>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定位信息防伪激光粉颗粒</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sz w:val="22"/>
                <w:szCs w:val="22"/>
              </w:rPr>
              <w:t>发明</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201120140704.0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Times New Roman" w:hAnsi="Times New Roman" w:cs="Times New Roman" w:eastAsia="Times New Roman" w:hint="default"/>
                <w:sz w:val="22"/>
                <w:szCs w:val="22"/>
              </w:rPr>
            </w:pPr>
            <w:r>
              <w:rPr>
                <w:rFonts w:ascii="Times New Roman"/>
                <w:sz w:val="22"/>
              </w:rPr>
              <w:t>2011.6.6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中丰田</w:t>
            </w:r>
          </w:p>
        </w:tc>
      </w:tr>
      <w:tr>
        <w:trPr>
          <w:trHeight w:val="66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23" w:right="0"/>
              <w:jc w:val="left"/>
              <w:rPr>
                <w:rFonts w:ascii="宋体" w:hAnsi="宋体" w:cs="宋体" w:eastAsia="宋体" w:hint="default"/>
                <w:sz w:val="21"/>
                <w:szCs w:val="21"/>
              </w:rPr>
            </w:pPr>
            <w:r>
              <w:rPr>
                <w:rFonts w:ascii="宋体"/>
                <w:w w:val="100"/>
                <w:sz w:val="21"/>
              </w:rPr>
              <w:t>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1"/>
              <w:ind w:left="103" w:right="101"/>
              <w:jc w:val="left"/>
              <w:rPr>
                <w:rFonts w:ascii="宋体" w:hAnsi="宋体" w:cs="宋体" w:eastAsia="宋体" w:hint="default"/>
                <w:sz w:val="21"/>
                <w:szCs w:val="21"/>
              </w:rPr>
            </w:pPr>
            <w:r>
              <w:rPr>
                <w:rFonts w:ascii="宋体" w:hAnsi="宋体" w:cs="宋体" w:eastAsia="宋体" w:hint="default"/>
                <w:spacing w:val="12"/>
                <w:sz w:val="21"/>
                <w:szCs w:val="21"/>
              </w:rPr>
              <w:t>定位信息防伪激光粉及其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制备方法</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30"/>
              <w:ind w:left="187" w:right="185"/>
              <w:jc w:val="left"/>
              <w:rPr>
                <w:rFonts w:ascii="宋体" w:hAnsi="宋体" w:cs="宋体" w:eastAsia="宋体" w:hint="default"/>
                <w:sz w:val="22"/>
                <w:szCs w:val="22"/>
              </w:rPr>
            </w:pPr>
            <w:r>
              <w:rPr>
                <w:rFonts w:ascii="宋体" w:hAnsi="宋体" w:cs="宋体" w:eastAsia="宋体" w:hint="default"/>
                <w:sz w:val="22"/>
                <w:szCs w:val="22"/>
              </w:rPr>
              <w:t>实用</w:t>
            </w:r>
            <w:r>
              <w:rPr>
                <w:rFonts w:ascii="宋体" w:hAnsi="宋体" w:cs="宋体" w:eastAsia="宋体" w:hint="default"/>
                <w:w w:val="100"/>
                <w:sz w:val="22"/>
                <w:szCs w:val="22"/>
              </w:rPr>
              <w:t> </w:t>
            </w:r>
            <w:r>
              <w:rPr>
                <w:rFonts w:ascii="宋体" w:hAnsi="宋体" w:cs="宋体" w:eastAsia="宋体" w:hint="default"/>
                <w:sz w:val="22"/>
                <w:szCs w:val="22"/>
              </w:rPr>
              <w:t>新型</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pacing w:val="-3"/>
                <w:sz w:val="21"/>
              </w:rPr>
              <w:t>201110115888.X</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left="2" w:right="0"/>
              <w:jc w:val="center"/>
              <w:rPr>
                <w:rFonts w:ascii="Times New Roman" w:hAnsi="Times New Roman" w:cs="Times New Roman" w:eastAsia="Times New Roman" w:hint="default"/>
                <w:sz w:val="22"/>
                <w:szCs w:val="22"/>
              </w:rPr>
            </w:pPr>
            <w:r>
              <w:rPr>
                <w:rFonts w:ascii="Times New Roman"/>
                <w:sz w:val="22"/>
              </w:rPr>
              <w:t>2011.5.6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中丰田</w:t>
            </w:r>
          </w:p>
        </w:tc>
      </w:tr>
      <w:tr>
        <w:trPr>
          <w:trHeight w:val="511"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3" w:right="0"/>
              <w:jc w:val="left"/>
              <w:rPr>
                <w:rFonts w:ascii="宋体" w:hAnsi="宋体" w:cs="宋体" w:eastAsia="宋体" w:hint="default"/>
                <w:sz w:val="21"/>
                <w:szCs w:val="21"/>
              </w:rPr>
            </w:pPr>
            <w:r>
              <w:rPr>
                <w:rFonts w:ascii="宋体"/>
                <w:w w:val="100"/>
                <w:sz w:val="21"/>
              </w:rPr>
              <w:t>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定位图案光学纹路烫片布</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发明</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201120140702.1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Times New Roman" w:hAnsi="Times New Roman" w:cs="Times New Roman" w:eastAsia="Times New Roman" w:hint="default"/>
                <w:sz w:val="22"/>
                <w:szCs w:val="22"/>
              </w:rPr>
            </w:pPr>
            <w:r>
              <w:rPr>
                <w:rFonts w:ascii="Times New Roman"/>
                <w:sz w:val="22"/>
              </w:rPr>
              <w:t>2011.5.6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中丰田</w:t>
            </w:r>
          </w:p>
        </w:tc>
      </w:tr>
      <w:tr>
        <w:trPr>
          <w:trHeight w:val="661"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70" w:right="0"/>
              <w:jc w:val="left"/>
              <w:rPr>
                <w:rFonts w:ascii="宋体" w:hAnsi="宋体" w:cs="宋体" w:eastAsia="宋体" w:hint="default"/>
                <w:sz w:val="21"/>
                <w:szCs w:val="21"/>
              </w:rPr>
            </w:pPr>
            <w:r>
              <w:rPr>
                <w:rFonts w:ascii="宋体"/>
                <w:sz w:val="21"/>
              </w:rPr>
              <w:t>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0"/>
              <w:ind w:left="103" w:right="101"/>
              <w:jc w:val="left"/>
              <w:rPr>
                <w:rFonts w:ascii="宋体" w:hAnsi="宋体" w:cs="宋体" w:eastAsia="宋体" w:hint="default"/>
                <w:sz w:val="21"/>
                <w:szCs w:val="21"/>
              </w:rPr>
            </w:pPr>
            <w:r>
              <w:rPr>
                <w:rFonts w:ascii="宋体" w:hAnsi="宋体" w:cs="宋体" w:eastAsia="宋体" w:hint="default"/>
                <w:spacing w:val="12"/>
                <w:sz w:val="21"/>
                <w:szCs w:val="21"/>
              </w:rPr>
              <w:t>定位图案光学纹路烫片布</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及其制备方法</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32"/>
              <w:ind w:left="187" w:right="185"/>
              <w:jc w:val="left"/>
              <w:rPr>
                <w:rFonts w:ascii="宋体" w:hAnsi="宋体" w:cs="宋体" w:eastAsia="宋体" w:hint="default"/>
                <w:sz w:val="22"/>
                <w:szCs w:val="22"/>
              </w:rPr>
            </w:pPr>
            <w:r>
              <w:rPr>
                <w:rFonts w:ascii="宋体" w:hAnsi="宋体" w:cs="宋体" w:eastAsia="宋体" w:hint="default"/>
                <w:sz w:val="22"/>
                <w:szCs w:val="22"/>
              </w:rPr>
              <w:t>实用</w:t>
            </w:r>
            <w:r>
              <w:rPr>
                <w:rFonts w:ascii="宋体" w:hAnsi="宋体" w:cs="宋体" w:eastAsia="宋体" w:hint="default"/>
                <w:w w:val="100"/>
                <w:sz w:val="22"/>
                <w:szCs w:val="22"/>
              </w:rPr>
              <w:t> </w:t>
            </w:r>
            <w:r>
              <w:rPr>
                <w:rFonts w:ascii="宋体" w:hAnsi="宋体" w:cs="宋体" w:eastAsia="宋体" w:hint="default"/>
                <w:sz w:val="22"/>
                <w:szCs w:val="22"/>
              </w:rPr>
              <w:t>新型</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pacing w:val="-3"/>
                <w:sz w:val="21"/>
              </w:rPr>
              <w:t>201110115859.3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1"/>
              <w:ind w:left="2" w:right="0"/>
              <w:jc w:val="center"/>
              <w:rPr>
                <w:rFonts w:ascii="Times New Roman" w:hAnsi="Times New Roman" w:cs="Times New Roman" w:eastAsia="Times New Roman" w:hint="default"/>
                <w:sz w:val="22"/>
                <w:szCs w:val="22"/>
              </w:rPr>
            </w:pPr>
            <w:r>
              <w:rPr>
                <w:rFonts w:ascii="Times New Roman"/>
                <w:sz w:val="22"/>
              </w:rPr>
              <w:t>2011.5.6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中丰田</w:t>
            </w:r>
          </w:p>
        </w:tc>
      </w:tr>
      <w:tr>
        <w:trPr>
          <w:trHeight w:val="634"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0" w:right="0"/>
              <w:jc w:val="left"/>
              <w:rPr>
                <w:rFonts w:ascii="宋体" w:hAnsi="宋体" w:cs="宋体" w:eastAsia="宋体" w:hint="default"/>
                <w:sz w:val="21"/>
                <w:szCs w:val="21"/>
              </w:rPr>
            </w:pPr>
            <w:r>
              <w:rPr>
                <w:rFonts w:ascii="宋体"/>
                <w:sz w:val="21"/>
              </w:rPr>
              <w:t>11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01"/>
              <w:jc w:val="left"/>
              <w:rPr>
                <w:rFonts w:ascii="宋体" w:hAnsi="宋体" w:cs="宋体" w:eastAsia="宋体" w:hint="default"/>
                <w:sz w:val="21"/>
                <w:szCs w:val="21"/>
              </w:rPr>
            </w:pPr>
            <w:r>
              <w:rPr>
                <w:rFonts w:ascii="宋体" w:hAnsi="宋体" w:cs="宋体" w:eastAsia="宋体" w:hint="default"/>
                <w:spacing w:val="12"/>
                <w:sz w:val="21"/>
                <w:szCs w:val="21"/>
              </w:rPr>
              <w:t>微结构立体浮雕图文制版</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系统</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2"/>
                <w:szCs w:val="22"/>
              </w:rPr>
            </w:pPr>
            <w:r>
              <w:rPr>
                <w:rFonts w:ascii="宋体" w:hAnsi="宋体" w:cs="宋体" w:eastAsia="宋体" w:hint="default"/>
                <w:sz w:val="22"/>
                <w:szCs w:val="22"/>
              </w:rPr>
              <w:t>发明</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201120140644.2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2" w:right="0"/>
              <w:jc w:val="center"/>
              <w:rPr>
                <w:rFonts w:ascii="Times New Roman" w:hAnsi="Times New Roman" w:cs="Times New Roman" w:eastAsia="Times New Roman" w:hint="default"/>
                <w:sz w:val="22"/>
                <w:szCs w:val="22"/>
              </w:rPr>
            </w:pPr>
            <w:r>
              <w:rPr>
                <w:rFonts w:ascii="Times New Roman"/>
                <w:sz w:val="22"/>
              </w:rPr>
              <w:t>2011.6.6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中丰田</w:t>
            </w:r>
          </w:p>
        </w:tc>
      </w:tr>
      <w:tr>
        <w:trPr>
          <w:trHeight w:val="66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70" w:right="0"/>
              <w:jc w:val="left"/>
              <w:rPr>
                <w:rFonts w:ascii="宋体" w:hAnsi="宋体" w:cs="宋体" w:eastAsia="宋体" w:hint="default"/>
                <w:sz w:val="21"/>
                <w:szCs w:val="21"/>
              </w:rPr>
            </w:pPr>
            <w:r>
              <w:rPr>
                <w:rFonts w:ascii="宋体"/>
                <w:sz w:val="21"/>
              </w:rPr>
              <w:t>12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101"/>
              <w:jc w:val="left"/>
              <w:rPr>
                <w:rFonts w:ascii="宋体" w:hAnsi="宋体" w:cs="宋体" w:eastAsia="宋体" w:hint="default"/>
                <w:sz w:val="21"/>
                <w:szCs w:val="21"/>
              </w:rPr>
            </w:pPr>
            <w:r>
              <w:rPr>
                <w:rFonts w:ascii="宋体" w:hAnsi="宋体" w:cs="宋体" w:eastAsia="宋体" w:hint="default"/>
                <w:spacing w:val="12"/>
                <w:sz w:val="21"/>
                <w:szCs w:val="21"/>
              </w:rPr>
              <w:t>微结构立体浮雕图文制版</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方法及装置</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34"/>
              <w:ind w:left="187" w:right="185"/>
              <w:jc w:val="left"/>
              <w:rPr>
                <w:rFonts w:ascii="宋体" w:hAnsi="宋体" w:cs="宋体" w:eastAsia="宋体" w:hint="default"/>
                <w:sz w:val="22"/>
                <w:szCs w:val="22"/>
              </w:rPr>
            </w:pPr>
            <w:r>
              <w:rPr>
                <w:rFonts w:ascii="宋体" w:hAnsi="宋体" w:cs="宋体" w:eastAsia="宋体" w:hint="default"/>
                <w:sz w:val="22"/>
                <w:szCs w:val="22"/>
              </w:rPr>
              <w:t>实用</w:t>
            </w:r>
            <w:r>
              <w:rPr>
                <w:rFonts w:ascii="宋体" w:hAnsi="宋体" w:cs="宋体" w:eastAsia="宋体" w:hint="default"/>
                <w:w w:val="100"/>
                <w:sz w:val="22"/>
                <w:szCs w:val="22"/>
              </w:rPr>
              <w:t> </w:t>
            </w:r>
            <w:r>
              <w:rPr>
                <w:rFonts w:ascii="宋体" w:hAnsi="宋体" w:cs="宋体" w:eastAsia="宋体" w:hint="default"/>
                <w:sz w:val="22"/>
                <w:szCs w:val="22"/>
              </w:rPr>
              <w:t>新型</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pacing w:val="-3"/>
                <w:sz w:val="21"/>
              </w:rPr>
              <w:t>201110115882.2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2" w:right="0"/>
              <w:jc w:val="center"/>
              <w:rPr>
                <w:rFonts w:ascii="Times New Roman" w:hAnsi="Times New Roman" w:cs="Times New Roman" w:eastAsia="Times New Roman" w:hint="default"/>
                <w:sz w:val="22"/>
                <w:szCs w:val="22"/>
              </w:rPr>
            </w:pPr>
            <w:r>
              <w:rPr>
                <w:rFonts w:ascii="Times New Roman"/>
                <w:sz w:val="22"/>
              </w:rPr>
              <w:t>2011.5.6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3" w:right="0"/>
              <w:jc w:val="left"/>
              <w:rPr>
                <w:rFonts w:ascii="宋体" w:hAnsi="宋体" w:cs="宋体" w:eastAsia="宋体" w:hint="default"/>
                <w:sz w:val="21"/>
                <w:szCs w:val="21"/>
              </w:rPr>
            </w:pPr>
            <w:r>
              <w:rPr>
                <w:rFonts w:ascii="宋体" w:hAnsi="宋体" w:cs="宋体" w:eastAsia="宋体" w:hint="default"/>
                <w:sz w:val="21"/>
                <w:szCs w:val="21"/>
              </w:rPr>
              <w:t>中丰田</w:t>
            </w:r>
          </w:p>
        </w:tc>
      </w:tr>
      <w:tr>
        <w:trPr>
          <w:trHeight w:val="509"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70" w:right="0"/>
              <w:jc w:val="left"/>
              <w:rPr>
                <w:rFonts w:ascii="宋体" w:hAnsi="宋体" w:cs="宋体" w:eastAsia="宋体" w:hint="default"/>
                <w:sz w:val="21"/>
                <w:szCs w:val="21"/>
              </w:rPr>
            </w:pPr>
            <w:r>
              <w:rPr>
                <w:rFonts w:ascii="宋体"/>
                <w:sz w:val="21"/>
              </w:rPr>
              <w:t>13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sz w:val="21"/>
                <w:szCs w:val="21"/>
              </w:rPr>
              <w:t>立体及光变纹路上光装置</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发明</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201120137891.7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Times New Roman" w:hAnsi="Times New Roman" w:cs="Times New Roman" w:eastAsia="Times New Roman" w:hint="default"/>
                <w:sz w:val="22"/>
                <w:szCs w:val="22"/>
              </w:rPr>
            </w:pPr>
            <w:r>
              <w:rPr>
                <w:rFonts w:ascii="Times New Roman"/>
                <w:sz w:val="22"/>
              </w:rPr>
              <w:t>2011.5.4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中丰田</w:t>
            </w:r>
          </w:p>
        </w:tc>
      </w:tr>
      <w:tr>
        <w:trPr>
          <w:trHeight w:val="66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70" w:right="0"/>
              <w:jc w:val="left"/>
              <w:rPr>
                <w:rFonts w:ascii="宋体" w:hAnsi="宋体" w:cs="宋体" w:eastAsia="宋体" w:hint="default"/>
                <w:sz w:val="21"/>
                <w:szCs w:val="21"/>
              </w:rPr>
            </w:pPr>
            <w:r>
              <w:rPr>
                <w:rFonts w:ascii="宋体"/>
                <w:sz w:val="21"/>
              </w:rPr>
              <w:t>14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0"/>
              <w:ind w:left="103" w:right="101"/>
              <w:jc w:val="left"/>
              <w:rPr>
                <w:rFonts w:ascii="宋体" w:hAnsi="宋体" w:cs="宋体" w:eastAsia="宋体" w:hint="default"/>
                <w:sz w:val="21"/>
                <w:szCs w:val="21"/>
              </w:rPr>
            </w:pPr>
            <w:r>
              <w:rPr>
                <w:rFonts w:ascii="宋体" w:hAnsi="宋体" w:cs="宋体" w:eastAsia="宋体" w:hint="default"/>
                <w:spacing w:val="12"/>
                <w:sz w:val="21"/>
                <w:szCs w:val="21"/>
              </w:rPr>
              <w:t>立体及光变纹路上光方法</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和装置</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30"/>
              <w:ind w:left="187" w:right="185"/>
              <w:jc w:val="left"/>
              <w:rPr>
                <w:rFonts w:ascii="宋体" w:hAnsi="宋体" w:cs="宋体" w:eastAsia="宋体" w:hint="default"/>
                <w:sz w:val="22"/>
                <w:szCs w:val="22"/>
              </w:rPr>
            </w:pPr>
            <w:r>
              <w:rPr>
                <w:rFonts w:ascii="宋体" w:hAnsi="宋体" w:cs="宋体" w:eastAsia="宋体" w:hint="default"/>
                <w:sz w:val="22"/>
                <w:szCs w:val="22"/>
              </w:rPr>
              <w:t>实用</w:t>
            </w:r>
            <w:r>
              <w:rPr>
                <w:rFonts w:ascii="宋体" w:hAnsi="宋体" w:cs="宋体" w:eastAsia="宋体" w:hint="default"/>
                <w:w w:val="100"/>
                <w:sz w:val="22"/>
                <w:szCs w:val="22"/>
              </w:rPr>
              <w:t> </w:t>
            </w:r>
            <w:r>
              <w:rPr>
                <w:rFonts w:ascii="宋体" w:hAnsi="宋体" w:cs="宋体" w:eastAsia="宋体" w:hint="default"/>
                <w:sz w:val="22"/>
                <w:szCs w:val="22"/>
              </w:rPr>
              <w:t>新型</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pacing w:val="-3"/>
                <w:sz w:val="21"/>
              </w:rPr>
              <w:t>201110114052.8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2" w:right="0"/>
              <w:jc w:val="center"/>
              <w:rPr>
                <w:rFonts w:ascii="Times New Roman" w:hAnsi="Times New Roman" w:cs="Times New Roman" w:eastAsia="Times New Roman" w:hint="default"/>
                <w:sz w:val="22"/>
                <w:szCs w:val="22"/>
              </w:rPr>
            </w:pPr>
            <w:r>
              <w:rPr>
                <w:rFonts w:ascii="Times New Roman"/>
                <w:sz w:val="22"/>
              </w:rPr>
              <w:t>2011.5.4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中丰田</w:t>
            </w:r>
          </w:p>
        </w:tc>
      </w:tr>
    </w:tbl>
    <w:p>
      <w:pPr>
        <w:spacing w:after="0" w:line="240" w:lineRule="auto"/>
        <w:jc w:val="left"/>
        <w:rPr>
          <w:rFonts w:ascii="宋体" w:hAnsi="宋体" w:cs="宋体" w:eastAsia="宋体" w:hint="default"/>
          <w:sz w:val="21"/>
          <w:szCs w:val="21"/>
        </w:rPr>
        <w:sectPr>
          <w:pgSz w:w="11910" w:h="16840"/>
          <w:pgMar w:header="920" w:footer="936" w:top="1140" w:bottom="1120" w:left="1000" w:right="0"/>
        </w:sectPr>
      </w:pPr>
    </w:p>
    <w:p>
      <w:pPr>
        <w:pStyle w:val="Heading2"/>
        <w:spacing w:line="240" w:lineRule="auto" w:before="13"/>
        <w:ind w:right="0"/>
        <w:jc w:val="both"/>
        <w:rPr>
          <w:b w:val="0"/>
          <w:bCs w:val="0"/>
        </w:rPr>
      </w:pPr>
      <w:r>
        <w:rPr/>
        <w:t>二、</w:t>
      </w:r>
      <w:r>
        <w:rPr>
          <w:spacing w:val="136"/>
        </w:rPr>
        <w:t> </w:t>
      </w:r>
      <w:r>
        <w:rPr/>
        <w:t>公司未来发展展望</w:t>
      </w:r>
      <w:r>
        <w:rPr>
          <w:b w:val="0"/>
          <w:bCs w:val="0"/>
        </w:rPr>
      </w:r>
    </w:p>
    <w:p>
      <w:pPr>
        <w:spacing w:line="240" w:lineRule="auto" w:before="4"/>
        <w:rPr>
          <w:rFonts w:ascii="宋体" w:hAnsi="宋体" w:cs="宋体" w:eastAsia="宋体" w:hint="default"/>
          <w:b/>
          <w:bCs/>
          <w:sz w:val="23"/>
          <w:szCs w:val="23"/>
        </w:rPr>
      </w:pPr>
    </w:p>
    <w:p>
      <w:pPr>
        <w:tabs>
          <w:tab w:pos="1373" w:val="left" w:leader="none"/>
        </w:tabs>
        <w:spacing w:line="424" w:lineRule="auto" w:before="0"/>
        <w:ind w:left="593" w:right="113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外部环境对公司的经营影响</w:t>
      </w:r>
      <w:r>
        <w:rPr>
          <w:rFonts w:ascii="宋体" w:hAnsi="宋体" w:cs="宋体" w:eastAsia="宋体" w:hint="default"/>
          <w:b/>
          <w:bCs/>
          <w:w w:val="99"/>
          <w:sz w:val="24"/>
          <w:szCs w:val="24"/>
        </w:rPr>
        <w:t> </w:t>
      </w:r>
      <w:r>
        <w:rPr>
          <w:rFonts w:ascii="宋体" w:hAnsi="宋体" w:cs="宋体" w:eastAsia="宋体" w:hint="default"/>
          <w:sz w:val="24"/>
          <w:szCs w:val="24"/>
        </w:rPr>
        <w:t>全国烟草行业在实施“卷烟上水平”方针的指引下，</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年全国烟草总销售量同比上涨</w:t>
      </w:r>
    </w:p>
    <w:p>
      <w:pPr>
        <w:pStyle w:val="BodyText"/>
        <w:spacing w:line="261" w:lineRule="exact"/>
        <w:ind w:right="0"/>
        <w:jc w:val="both"/>
      </w:pPr>
      <w:r>
        <w:rPr>
          <w:rFonts w:ascii="Times New Roman" w:hAnsi="Times New Roman" w:cs="Times New Roman" w:eastAsia="Times New Roman" w:hint="default"/>
        </w:rPr>
        <w:t>2.97</w:t>
      </w:r>
      <w:r>
        <w:rPr>
          <w:rFonts w:ascii="Times New Roman" w:hAnsi="Times New Roman" w:cs="Times New Roman" w:eastAsia="Times New Roman" w:hint="default"/>
          <w:spacing w:val="-1"/>
        </w:rPr>
        <w:t>%</w:t>
      </w:r>
      <w:r>
        <w:rPr/>
        <w:t>，实现利润同比增长</w:t>
      </w:r>
      <w:r>
        <w:rPr>
          <w:spacing w:val="-60"/>
        </w:rPr>
        <w:t> </w:t>
      </w:r>
      <w:r>
        <w:rPr>
          <w:rFonts w:ascii="Times New Roman" w:hAnsi="Times New Roman" w:cs="Times New Roman" w:eastAsia="Times New Roman" w:hint="default"/>
        </w:rPr>
        <w:t>22.5</w:t>
      </w:r>
      <w:r>
        <w:rPr>
          <w:rFonts w:ascii="Times New Roman" w:hAnsi="Times New Roman" w:cs="Times New Roman" w:eastAsia="Times New Roman" w:hint="default"/>
          <w:spacing w:val="-1"/>
        </w:rPr>
        <w:t>%</w:t>
      </w:r>
      <w:r>
        <w:rPr/>
        <w:t>（资料来源：国家烟草局统计数据</w:t>
      </w:r>
      <w:r>
        <w:rPr>
          <w:spacing w:val="-120"/>
        </w:rPr>
        <w:t>）</w:t>
      </w:r>
      <w:r>
        <w:rPr/>
        <w:t>。</w:t>
      </w:r>
      <w:r>
        <w:rPr>
          <w:rFonts w:ascii="Times New Roman" w:hAnsi="Times New Roman" w:cs="Times New Roman" w:eastAsia="Times New Roman" w:hint="default"/>
        </w:rPr>
        <w:t>2012 </w:t>
      </w:r>
      <w:r>
        <w:rPr/>
        <w:t>年国家烟草局又</w:t>
      </w:r>
    </w:p>
    <w:p>
      <w:pPr>
        <w:pStyle w:val="BodyText"/>
        <w:spacing w:line="357" w:lineRule="auto" w:before="135"/>
        <w:ind w:right="1133"/>
        <w:jc w:val="both"/>
      </w:pPr>
      <w:r>
        <w:rPr/>
        <w:t>提出卷烟产销保持基本稳定，加大品牌培育力度，着力推进重点品牌又快又好发展。卷烟生</w:t>
      </w:r>
      <w:r>
        <w:rPr>
          <w:spacing w:val="-86"/>
        </w:rPr>
        <w:t> </w:t>
      </w:r>
      <w:r>
        <w:rPr>
          <w:spacing w:val="-86"/>
        </w:rPr>
      </w:r>
      <w:r>
        <w:rPr/>
        <w:t>产销售总量的稳定和结构的提升，为我们提供了市场基础；重点品牌的快速发展，为我们提</w:t>
      </w:r>
      <w:r>
        <w:rPr>
          <w:spacing w:val="-89"/>
        </w:rPr>
        <w:t> </w:t>
      </w:r>
      <w:r>
        <w:rPr>
          <w:spacing w:val="-89"/>
        </w:rPr>
      </w:r>
      <w:r>
        <w:rPr/>
        <w:t>供了市场的方向。</w:t>
      </w:r>
    </w:p>
    <w:p>
      <w:pPr>
        <w:pStyle w:val="BodyText"/>
        <w:spacing w:line="357" w:lineRule="auto" w:before="74"/>
        <w:ind w:right="996" w:firstLine="480"/>
        <w:jc w:val="left"/>
      </w:pPr>
      <w:r>
        <w:rPr>
          <w:rFonts w:ascii="宋体" w:hAnsi="宋体" w:cs="宋体" w:eastAsia="宋体" w:hint="default"/>
        </w:rPr>
        <w:t>2012</w:t>
      </w:r>
      <w:r>
        <w:rPr>
          <w:rFonts w:ascii="宋体" w:hAnsi="宋体" w:cs="宋体" w:eastAsia="宋体" w:hint="default"/>
          <w:spacing w:val="-68"/>
        </w:rPr>
        <w:t> </w:t>
      </w:r>
      <w:r>
        <w:rPr/>
        <w:t>年烟标行业面临新的挑战来自以下两个方面：一是由于烟标行业实行全国公开招标 </w:t>
      </w:r>
      <w:r>
        <w:rPr>
          <w:spacing w:val="-2"/>
        </w:rPr>
        <w:t>和对标，烟标价格由于企业间的激烈竞争可能出现一定程度下滑。二是烟标生产原材料上涨，</w:t>
      </w:r>
      <w:r>
        <w:rPr>
          <w:spacing w:val="-118"/>
        </w:rPr>
        <w:t> </w:t>
      </w:r>
      <w:r>
        <w:rPr>
          <w:spacing w:val="-118"/>
        </w:rPr>
      </w:r>
      <w:r>
        <w:rPr/>
        <w:t>以及可能出现的通胀导致采购、制程、电力、运输、销售、人工等成本费用增加。公司管理</w:t>
      </w:r>
      <w:r>
        <w:rPr>
          <w:spacing w:val="-91"/>
        </w:rPr>
        <w:t> </w:t>
      </w:r>
      <w:r>
        <w:rPr>
          <w:spacing w:val="-91"/>
        </w:rPr>
      </w:r>
      <w:r>
        <w:rPr/>
        <w:t>层将积极面对新的挑战，努力稳定和提升经营业绩。</w:t>
      </w:r>
    </w:p>
    <w:p>
      <w:pPr>
        <w:spacing w:line="240" w:lineRule="auto" w:before="12"/>
        <w:rPr>
          <w:rFonts w:ascii="宋体" w:hAnsi="宋体" w:cs="宋体" w:eastAsia="宋体" w:hint="default"/>
          <w:sz w:val="20"/>
          <w:szCs w:val="20"/>
        </w:rPr>
      </w:pPr>
    </w:p>
    <w:p>
      <w:pPr>
        <w:tabs>
          <w:tab w:pos="1373" w:val="left" w:leader="none"/>
        </w:tabs>
        <w:spacing w:line="424" w:lineRule="auto" w:before="0"/>
        <w:ind w:left="593" w:right="113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公司发展战略</w:t>
      </w:r>
      <w:r>
        <w:rPr>
          <w:rFonts w:ascii="宋体" w:hAnsi="宋体" w:cs="宋体" w:eastAsia="宋体" w:hint="default"/>
          <w:b/>
          <w:bCs/>
          <w:w w:val="99"/>
          <w:sz w:val="24"/>
          <w:szCs w:val="24"/>
        </w:rPr>
        <w:t> </w:t>
      </w:r>
      <w:r>
        <w:rPr>
          <w:rFonts w:ascii="宋体" w:hAnsi="宋体" w:cs="宋体" w:eastAsia="宋体" w:hint="default"/>
          <w:sz w:val="24"/>
          <w:szCs w:val="24"/>
        </w:rPr>
        <w:t>公司将继续围绕烟标主营业务，挖掘增长潜力，稳定和提升现有烟标市场份额，借助并</w:t>
      </w:r>
    </w:p>
    <w:p>
      <w:pPr>
        <w:pStyle w:val="BodyText"/>
        <w:spacing w:line="281" w:lineRule="exact"/>
        <w:ind w:right="0"/>
        <w:jc w:val="both"/>
      </w:pPr>
      <w:r>
        <w:rPr/>
        <w:t>购重点地区的烟标企业，扩大在国家重点卷烟品牌中的市场份额，继续保持在烟标行业内的</w:t>
      </w:r>
    </w:p>
    <w:p>
      <w:pPr>
        <w:pStyle w:val="BodyText"/>
        <w:spacing w:line="355" w:lineRule="auto" w:before="154"/>
        <w:ind w:right="1139"/>
        <w:jc w:val="both"/>
      </w:pPr>
      <w:r>
        <w:rPr/>
        <w:t>领先地位。与此同时，公司将积极向上游产业镭射包装材料产业延伸，积极拓展新型包装材</w:t>
      </w:r>
      <w:r>
        <w:rPr>
          <w:spacing w:val="-91"/>
        </w:rPr>
        <w:t> </w:t>
      </w:r>
      <w:r>
        <w:rPr>
          <w:spacing w:val="-91"/>
        </w:rPr>
      </w:r>
      <w:r>
        <w:rPr/>
        <w:t>料如酒类包装和知名品牌消费包装市场，培养新的增长点。</w:t>
      </w:r>
    </w:p>
    <w:p>
      <w:pPr>
        <w:spacing w:line="240" w:lineRule="auto" w:before="4"/>
        <w:rPr>
          <w:rFonts w:ascii="宋体" w:hAnsi="宋体" w:cs="宋体" w:eastAsia="宋体" w:hint="default"/>
          <w:sz w:val="21"/>
          <w:szCs w:val="21"/>
        </w:rPr>
      </w:pPr>
    </w:p>
    <w:p>
      <w:pPr>
        <w:pStyle w:val="Heading3"/>
        <w:tabs>
          <w:tab w:pos="1373" w:val="left" w:leader="none"/>
        </w:tabs>
        <w:spacing w:line="240" w:lineRule="auto"/>
        <w:ind w:left="593"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公司</w:t>
      </w:r>
      <w:r>
        <w:rPr>
          <w:spacing w:val="-6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年经营计划</w:t>
      </w:r>
      <w:r>
        <w:rPr>
          <w:b w:val="0"/>
          <w:bCs w:val="0"/>
        </w:rPr>
      </w:r>
    </w:p>
    <w:p>
      <w:pPr>
        <w:spacing w:line="240" w:lineRule="auto" w:before="5"/>
        <w:rPr>
          <w:rFonts w:ascii="宋体" w:hAnsi="宋体" w:cs="宋体" w:eastAsia="宋体" w:hint="default"/>
          <w:b/>
          <w:bCs/>
          <w:sz w:val="19"/>
          <w:szCs w:val="19"/>
        </w:rPr>
      </w:pPr>
    </w:p>
    <w:p>
      <w:pPr>
        <w:pStyle w:val="BodyText"/>
        <w:spacing w:line="352" w:lineRule="auto"/>
        <w:ind w:right="996" w:firstLine="48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年公司将继续坚持以市场为先导，以效益为中心，加强技术创新，不断开发创新性 烟标产品，提升产品的附加值，增强产品的竞争优势；同时，进一步强化产品质量管理，通</w:t>
      </w:r>
      <w:r>
        <w:rPr>
          <w:spacing w:val="-91"/>
        </w:rPr>
        <w:t> </w:t>
      </w:r>
      <w:r>
        <w:rPr>
          <w:spacing w:val="-91"/>
        </w:rPr>
      </w:r>
      <w:r>
        <w:rPr>
          <w:spacing w:val="-2"/>
        </w:rPr>
        <w:t>过集约化管理，内部挖潜等措施，降低生产成本，提升效益，走内延和外延增长相结合之路，</w:t>
      </w:r>
      <w:r>
        <w:rPr/>
        <w:t> 推动公司规模、效益上新台阶。</w:t>
      </w:r>
      <w:r>
        <w:rPr>
          <w:rFonts w:ascii="宋体" w:hAnsi="宋体" w:cs="宋体" w:eastAsia="宋体" w:hint="default"/>
        </w:rPr>
        <w:t>2012</w:t>
      </w:r>
      <w:r>
        <w:rPr>
          <w:rFonts w:ascii="宋体" w:hAnsi="宋体" w:cs="宋体" w:eastAsia="宋体" w:hint="default"/>
          <w:spacing w:val="-68"/>
        </w:rPr>
        <w:t> </w:t>
      </w:r>
      <w:r>
        <w:rPr/>
        <w:t>年，实现公司营业总收入、净利润稳定增长，主要举措 如下：</w:t>
      </w:r>
    </w:p>
    <w:p>
      <w:pPr>
        <w:pStyle w:val="BodyText"/>
        <w:spacing w:line="369" w:lineRule="auto" w:before="82"/>
        <w:ind w:left="742" w:right="1118" w:hanging="149"/>
        <w:jc w:val="left"/>
      </w:pPr>
      <w:r>
        <w:rPr>
          <w:rFonts w:ascii="宋体" w:hAnsi="宋体" w:cs="宋体" w:eastAsia="宋体" w:hint="default"/>
        </w:rPr>
        <w:t>1</w:t>
      </w:r>
      <w:r>
        <w:rPr/>
        <w:t>、切实把握发展机遇。 </w:t>
      </w:r>
      <w:r>
        <w:rPr>
          <w:spacing w:val="-3"/>
        </w:rPr>
        <w:t>在烟草行业对烟标市场进行整合、加大合作品牌生产量以及继续推进全国招标采购的大</w:t>
      </w:r>
    </w:p>
    <w:p>
      <w:pPr>
        <w:pStyle w:val="BodyText"/>
        <w:spacing w:line="355" w:lineRule="auto" w:before="24"/>
        <w:ind w:right="1128"/>
        <w:jc w:val="both"/>
      </w:pPr>
      <w:r>
        <w:rPr/>
        <w:t>环境下，</w:t>
      </w:r>
      <w:r>
        <w:rPr>
          <w:rFonts w:ascii="宋体" w:hAnsi="宋体" w:cs="宋体" w:eastAsia="宋体" w:hint="default"/>
        </w:rPr>
        <w:t>2012</w:t>
      </w:r>
      <w:r>
        <w:rPr>
          <w:rFonts w:ascii="宋体" w:hAnsi="宋体" w:cs="宋体" w:eastAsia="宋体" w:hint="default"/>
          <w:spacing w:val="-77"/>
        </w:rPr>
        <w:t> </w:t>
      </w:r>
      <w:r>
        <w:rPr/>
        <w:t>年公司要制订相应对策，寻求生存发展的新空间。在重点品牌的市场拓展、产 品开发上加强工作力度争取有新的突破；在联营合作新产品上争取更大市场份额；增强在招</w:t>
      </w:r>
      <w:r>
        <w:rPr>
          <w:spacing w:val="-89"/>
        </w:rPr>
        <w:t> </w:t>
      </w:r>
      <w:r>
        <w:rPr>
          <w:spacing w:val="-89"/>
        </w:rPr>
      </w:r>
      <w:r>
        <w:rPr/>
        <w:t>标中的竞争力；在企业整合上，利用上市公司的优势，推进企业并购，争取抢抓机遇，实现</w:t>
      </w:r>
      <w:r>
        <w:rPr>
          <w:spacing w:val="-87"/>
        </w:rPr>
        <w:t> </w:t>
      </w:r>
      <w:r>
        <w:rPr>
          <w:spacing w:val="-87"/>
        </w:rPr>
      </w:r>
      <w:r>
        <w:rPr/>
        <w:t>快速发展。</w:t>
      </w:r>
    </w:p>
    <w:p>
      <w:pPr>
        <w:spacing w:after="0" w:line="355" w:lineRule="auto"/>
        <w:jc w:val="both"/>
        <w:sectPr>
          <w:pgSz w:w="11910" w:h="16840"/>
          <w:pgMar w:header="920" w:footer="936" w:top="1140" w:bottom="1120" w:left="1020" w:right="0"/>
        </w:sectPr>
      </w:pPr>
    </w:p>
    <w:p>
      <w:pPr>
        <w:pStyle w:val="BodyText"/>
        <w:spacing w:line="403" w:lineRule="auto" w:before="21"/>
        <w:ind w:left="744" w:right="0" w:hanging="152"/>
        <w:jc w:val="left"/>
      </w:pPr>
      <w:r>
        <w:rPr>
          <w:rFonts w:ascii="宋体" w:hAnsi="宋体" w:cs="宋体" w:eastAsia="宋体" w:hint="default"/>
        </w:rPr>
        <w:t>2</w:t>
      </w:r>
      <w:r>
        <w:rPr/>
        <w:t>、确保实现经营业绩快速增长。 </w:t>
      </w:r>
      <w:r>
        <w:rPr>
          <w:spacing w:val="-4"/>
        </w:rPr>
        <w:t>一是扩大烟标销售总量，调升烟标产品结构。公司将密切关注烟草客户的经营状况，通</w:t>
      </w:r>
    </w:p>
    <w:p>
      <w:pPr>
        <w:pStyle w:val="BodyText"/>
        <w:spacing w:line="355" w:lineRule="auto"/>
        <w:ind w:right="1135"/>
        <w:jc w:val="both"/>
      </w:pPr>
      <w:r>
        <w:rPr/>
        <w:t>过加强沟通、提高服务水平等措施，争取增加订单份额和提高产品结构，以稳定和增加销售</w:t>
      </w:r>
      <w:r>
        <w:rPr>
          <w:spacing w:val="-91"/>
        </w:rPr>
        <w:t> </w:t>
      </w:r>
      <w:r>
        <w:rPr>
          <w:spacing w:val="-91"/>
        </w:rPr>
      </w:r>
      <w:r>
        <w:rPr/>
        <w:t>额。</w:t>
      </w:r>
    </w:p>
    <w:p>
      <w:pPr>
        <w:pStyle w:val="BodyText"/>
        <w:spacing w:line="357" w:lineRule="auto" w:before="77"/>
        <w:ind w:right="1117" w:firstLine="631"/>
        <w:jc w:val="left"/>
      </w:pPr>
      <w:r>
        <w:rPr>
          <w:spacing w:val="-3"/>
        </w:rPr>
        <w:t>二是加大新品牌开发。烟草行业的效益增长，主要来自产品结构调整。公司要充分发挥</w:t>
      </w:r>
      <w:r>
        <w:rPr/>
        <w:t> 创意设计和技术优势，加强新产品开发。</w:t>
      </w:r>
    </w:p>
    <w:p>
      <w:pPr>
        <w:pStyle w:val="BodyText"/>
        <w:spacing w:line="388" w:lineRule="auto" w:before="74"/>
        <w:ind w:left="744" w:right="994"/>
        <w:jc w:val="left"/>
      </w:pPr>
      <w:r>
        <w:rPr/>
        <w:t>继续推进拓展非烟标市场和国际市场，培育新的增长点。 三是有计划有目标地推进并购。内涵扩大和外延拉动，是支撑劲嘉持续发展的杠杆。 四是继续推行</w:t>
      </w:r>
      <w:r>
        <w:rPr>
          <w:spacing w:val="-53"/>
        </w:rPr>
        <w:t> </w:t>
      </w:r>
      <w:r>
        <w:rPr>
          <w:rFonts w:ascii="宋体" w:hAnsi="宋体" w:cs="宋体" w:eastAsia="宋体" w:hint="default"/>
        </w:rPr>
        <w:t>KPI</w:t>
      </w:r>
      <w:r>
        <w:rPr>
          <w:rFonts w:ascii="宋体" w:hAnsi="宋体" w:cs="宋体" w:eastAsia="宋体" w:hint="default"/>
          <w:spacing w:val="-51"/>
        </w:rPr>
        <w:t> </w:t>
      </w:r>
      <w:r>
        <w:rPr>
          <w:spacing w:val="-8"/>
        </w:rPr>
        <w:t>绩效目标考核。各项目标都务必层层分解，落实到每个人，要求做到：</w:t>
      </w:r>
    </w:p>
    <w:p>
      <w:pPr>
        <w:pStyle w:val="BodyText"/>
        <w:spacing w:line="396" w:lineRule="auto" w:before="2"/>
        <w:ind w:left="593" w:right="0" w:hanging="481"/>
        <w:jc w:val="left"/>
      </w:pPr>
      <w:r>
        <w:rPr/>
        <w:t>事事有目标，有时间要求，有责任人，有考核标准，有奖励和处罚。 </w:t>
      </w:r>
      <w:r>
        <w:rPr>
          <w:rFonts w:ascii="宋体" w:hAnsi="宋体" w:cs="宋体" w:eastAsia="宋体" w:hint="default"/>
        </w:rPr>
        <w:t>3</w:t>
      </w:r>
      <w:r>
        <w:rPr/>
        <w:t>、坚持自主创新，推进技术进步。 </w:t>
      </w:r>
      <w:r>
        <w:rPr>
          <w:spacing w:val="-3"/>
        </w:rPr>
        <w:t>坚持自主创新，大胆改革工艺，率先运用新材料、新技术、新设备，不断研发和创新产</w:t>
      </w:r>
    </w:p>
    <w:p>
      <w:pPr>
        <w:pStyle w:val="BodyText"/>
        <w:spacing w:line="357" w:lineRule="auto"/>
        <w:ind w:right="1133"/>
        <w:jc w:val="both"/>
      </w:pPr>
      <w:r>
        <w:rPr/>
        <w:t>品是劲嘉快速发展取得的宝贵经验。</w:t>
      </w:r>
      <w:r>
        <w:rPr>
          <w:rFonts w:ascii="宋体" w:hAnsi="宋体" w:cs="宋体" w:eastAsia="宋体" w:hint="default"/>
        </w:rPr>
        <w:t>2012</w:t>
      </w:r>
      <w:r>
        <w:rPr>
          <w:rFonts w:ascii="宋体" w:hAnsi="宋体" w:cs="宋体" w:eastAsia="宋体" w:hint="default"/>
          <w:spacing w:val="-81"/>
        </w:rPr>
        <w:t> </w:t>
      </w:r>
      <w:r>
        <w:rPr/>
        <w:t>年公司将完成劲嘉技术中心的升级组建、根据卷烟 市场的变化确立研发方向和重点，做好国家标准制订工作，加强与各中烟公司的产业链技术</w:t>
      </w:r>
      <w:r>
        <w:rPr>
          <w:spacing w:val="-88"/>
        </w:rPr>
        <w:t> </w:t>
      </w:r>
      <w:r>
        <w:rPr>
          <w:spacing w:val="-88"/>
        </w:rPr>
      </w:r>
      <w:r>
        <w:rPr/>
        <w:t>合作。</w:t>
      </w:r>
    </w:p>
    <w:p>
      <w:pPr>
        <w:pStyle w:val="BodyText"/>
        <w:spacing w:line="400" w:lineRule="auto" w:before="77"/>
        <w:ind w:left="593" w:right="0"/>
        <w:jc w:val="left"/>
      </w:pPr>
      <w:r>
        <w:rPr>
          <w:rFonts w:ascii="宋体" w:hAnsi="宋体" w:cs="宋体" w:eastAsia="宋体" w:hint="default"/>
        </w:rPr>
        <w:t>4</w:t>
      </w:r>
      <w:r>
        <w:rPr/>
        <w:t>、变革内部管理，加强集团管控。 在现有基础和管理制度的前提下，以创新的思维、勇于变革的精神，切实的管控手段，</w:t>
      </w:r>
    </w:p>
    <w:p>
      <w:pPr>
        <w:pStyle w:val="BodyText"/>
        <w:spacing w:line="357" w:lineRule="auto"/>
        <w:ind w:right="1134"/>
        <w:jc w:val="both"/>
      </w:pPr>
      <w:r>
        <w:rPr/>
        <w:t>来提升管理水平、提升精细程度，增加管理效益。通过控制采购成本、管理费用、销售费用</w:t>
      </w:r>
      <w:r>
        <w:rPr>
          <w:spacing w:val="-88"/>
        </w:rPr>
        <w:t> </w:t>
      </w:r>
      <w:r>
        <w:rPr>
          <w:spacing w:val="-88"/>
        </w:rPr>
      </w:r>
      <w:r>
        <w:rPr/>
        <w:t>和打样等期间费用，增加企业效益；开展“创一流管理”活动；强化集团在人力资源、财务</w:t>
      </w:r>
      <w:r>
        <w:rPr>
          <w:spacing w:val="-89"/>
        </w:rPr>
        <w:t> </w:t>
      </w:r>
      <w:r>
        <w:rPr>
          <w:spacing w:val="-89"/>
        </w:rPr>
      </w:r>
      <w:r>
        <w:rPr/>
        <w:t>资金、物资采购等方面的管控；加强审计监督和纪律监察工作。</w:t>
      </w:r>
    </w:p>
    <w:p>
      <w:pPr>
        <w:pStyle w:val="BodyText"/>
        <w:spacing w:line="386" w:lineRule="auto" w:before="77"/>
        <w:ind w:left="744" w:right="1002"/>
        <w:jc w:val="left"/>
      </w:pPr>
      <w:r>
        <w:rPr>
          <w:rFonts w:ascii="宋体" w:hAnsi="宋体" w:cs="宋体" w:eastAsia="宋体" w:hint="default"/>
        </w:rPr>
        <w:t>5</w:t>
      </w:r>
      <w:r>
        <w:rPr/>
        <w:t>、加强团队建设，重塑劲嘉形象。 继续搞好公司经营班子建设；搞好团队思想建设，弘扬劲嘉精气神；关心、爱护员工，</w:t>
      </w:r>
    </w:p>
    <w:p>
      <w:pPr>
        <w:pStyle w:val="BodyText"/>
        <w:spacing w:line="240" w:lineRule="auto" w:before="5"/>
        <w:ind w:right="0"/>
        <w:jc w:val="both"/>
      </w:pPr>
      <w:r>
        <w:rPr/>
        <w:t>保持员工队伍的稳定性。</w:t>
      </w:r>
    </w:p>
    <w:p>
      <w:pPr>
        <w:pStyle w:val="BodyText"/>
        <w:spacing w:line="355" w:lineRule="auto" w:before="195"/>
        <w:ind w:left="593" w:right="8442" w:firstLine="151"/>
        <w:jc w:val="left"/>
      </w:pPr>
      <w:r>
        <w:rPr/>
        <w:t>（四）风险分析 </w:t>
      </w:r>
      <w:r>
        <w:rPr>
          <w:rFonts w:ascii="宋体" w:hAnsi="宋体" w:cs="宋体" w:eastAsia="宋体" w:hint="default"/>
        </w:rPr>
        <w:t>1</w:t>
      </w:r>
      <w:r>
        <w:rPr/>
        <w:t>、产业政策风险</w:t>
      </w:r>
    </w:p>
    <w:p>
      <w:pPr>
        <w:pStyle w:val="BodyText"/>
        <w:spacing w:line="357" w:lineRule="auto" w:before="38"/>
        <w:ind w:right="1137" w:firstLine="480"/>
        <w:jc w:val="both"/>
      </w:pPr>
      <w:r>
        <w:rPr/>
        <w:t>公司的主营烟标业务过分依赖于烟草行业，随着《烟草控制框架公约》的实施，国家对 烟草行业税收的提高和禁烟场所的扩大，都将有可能影响到香烟的销量，这将会直接影响到</w:t>
      </w:r>
      <w:r>
        <w:rPr>
          <w:spacing w:val="-91"/>
        </w:rPr>
        <w:t> </w:t>
      </w:r>
      <w:r>
        <w:rPr>
          <w:spacing w:val="-91"/>
        </w:rPr>
      </w:r>
      <w:r>
        <w:rPr/>
        <w:t>烟标的销量。</w:t>
      </w:r>
    </w:p>
    <w:p>
      <w:pPr>
        <w:pStyle w:val="BodyText"/>
        <w:spacing w:line="240" w:lineRule="auto" w:before="74"/>
        <w:ind w:left="593" w:right="0"/>
        <w:jc w:val="left"/>
      </w:pPr>
      <w:r>
        <w:rPr/>
        <w:t>对策：公司已制定拓展非烟标和国际市场的计划，将积极拓展新型包装印刷材料如酒类</w:t>
      </w:r>
    </w:p>
    <w:p>
      <w:pPr>
        <w:pStyle w:val="BodyText"/>
        <w:spacing w:line="240" w:lineRule="auto" w:before="151"/>
        <w:ind w:right="0"/>
        <w:jc w:val="both"/>
      </w:pPr>
      <w:r>
        <w:rPr/>
        <w:t>包装和其他知名品牌消费包装业务和新型产业，培育新的增长点。</w:t>
      </w:r>
    </w:p>
    <w:p>
      <w:pPr>
        <w:spacing w:after="0" w:line="240" w:lineRule="auto"/>
        <w:jc w:val="both"/>
        <w:sectPr>
          <w:pgSz w:w="11910" w:h="16840"/>
          <w:pgMar w:header="920" w:footer="936" w:top="1140" w:bottom="1120" w:left="1020" w:right="0"/>
        </w:sectPr>
      </w:pPr>
    </w:p>
    <w:p>
      <w:pPr>
        <w:pStyle w:val="BodyText"/>
        <w:spacing w:line="367" w:lineRule="auto" w:before="19"/>
        <w:ind w:left="593" w:right="0" w:hanging="197"/>
        <w:jc w:val="left"/>
      </w:pPr>
      <w:r>
        <w:rPr>
          <w:rFonts w:ascii="Times New Roman" w:hAnsi="Times New Roman" w:cs="Times New Roman" w:eastAsia="Times New Roman" w:hint="default"/>
        </w:rPr>
        <w:t>2</w:t>
      </w:r>
      <w:r>
        <w:rPr/>
        <w:t>、市场开拓风险 公司募集资金项目之一“劲嘉集团包装印刷及材料加工项目”中，将新增一条赛鲁迪生</w:t>
      </w:r>
    </w:p>
    <w:p>
      <w:pPr>
        <w:pStyle w:val="BodyText"/>
        <w:spacing w:line="338" w:lineRule="auto" w:before="24"/>
        <w:ind w:right="996"/>
        <w:jc w:val="left"/>
      </w:pPr>
      <w:r>
        <w:rPr>
          <w:spacing w:val="-7"/>
        </w:rPr>
        <w:t>产线及相关设备，年新增烟标产能</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4"/>
        </w:rPr>
        <w:t>万大箱。若国内国际烟标市场销售量不能同步取得增长，</w:t>
      </w:r>
      <w:r>
        <w:rPr/>
        <w:t> 可能存在产能利用率下降、市场开拓不充分风险。</w:t>
      </w:r>
    </w:p>
    <w:p>
      <w:pPr>
        <w:pStyle w:val="BodyText"/>
        <w:spacing w:line="355" w:lineRule="auto" w:before="94"/>
        <w:ind w:right="1138" w:firstLine="480"/>
        <w:jc w:val="both"/>
      </w:pPr>
      <w:r>
        <w:rPr/>
        <w:t>对策：公司将通过过技术创新，不断开发新的烟标产品，拓展新客户。同时通过市场营 销不断优化，扩大香烟规模品牌的市场份额。</w:t>
      </w:r>
    </w:p>
    <w:p>
      <w:pPr>
        <w:spacing w:line="240" w:lineRule="auto" w:before="6"/>
        <w:rPr>
          <w:rFonts w:ascii="宋体" w:hAnsi="宋体" w:cs="宋体" w:eastAsia="宋体" w:hint="default"/>
          <w:sz w:val="30"/>
          <w:szCs w:val="30"/>
        </w:rPr>
      </w:pPr>
    </w:p>
    <w:p>
      <w:pPr>
        <w:pStyle w:val="BodyText"/>
        <w:spacing w:line="364" w:lineRule="auto"/>
        <w:ind w:left="593" w:right="0" w:hanging="197"/>
        <w:jc w:val="left"/>
      </w:pPr>
      <w:r>
        <w:rPr>
          <w:rFonts w:ascii="Times New Roman" w:hAnsi="Times New Roman" w:cs="Times New Roman" w:eastAsia="Times New Roman" w:hint="default"/>
        </w:rPr>
        <w:t>3</w:t>
      </w:r>
      <w:r>
        <w:rPr/>
        <w:t>、原材料价格上升和烟标产品价格下降影响毛利率风险 由于全球的经济波动和人民币汇率的变化，原材料价格会出现上升，同时由于烟草行业</w:t>
      </w:r>
    </w:p>
    <w:p>
      <w:pPr>
        <w:pStyle w:val="BodyText"/>
        <w:spacing w:line="355" w:lineRule="auto" w:before="29"/>
        <w:ind w:right="0"/>
        <w:jc w:val="left"/>
      </w:pPr>
      <w:r>
        <w:rPr/>
        <w:t>的新的竞争格局和烟标行业全国公开招标和对标的推行，将对烟标价格产生压力，直接影响</w:t>
      </w:r>
      <w:r>
        <w:rPr>
          <w:spacing w:val="-91"/>
        </w:rPr>
        <w:t> </w:t>
      </w:r>
      <w:r>
        <w:rPr>
          <w:spacing w:val="-91"/>
        </w:rPr>
      </w:r>
      <w:r>
        <w:rPr/>
        <w:t>到公司的毛利率水平。</w:t>
      </w:r>
    </w:p>
    <w:p>
      <w:pPr>
        <w:pStyle w:val="BodyText"/>
        <w:spacing w:line="357" w:lineRule="auto" w:before="77"/>
        <w:ind w:right="1140" w:firstLine="480"/>
        <w:jc w:val="both"/>
      </w:pPr>
      <w:r>
        <w:rPr/>
        <w:t>对策：通过规模化生产、集中采购、提升管理水平和降低生产成本，将原材料的产品的 价格变化对毛利率的影响减少到最低程度。</w:t>
      </w:r>
    </w:p>
    <w:p>
      <w:pPr>
        <w:spacing w:line="240" w:lineRule="auto" w:before="1"/>
        <w:rPr>
          <w:rFonts w:ascii="宋体" w:hAnsi="宋体" w:cs="宋体" w:eastAsia="宋体" w:hint="default"/>
          <w:sz w:val="30"/>
          <w:szCs w:val="30"/>
        </w:rPr>
      </w:pPr>
    </w:p>
    <w:p>
      <w:pPr>
        <w:pStyle w:val="BodyText"/>
        <w:spacing w:line="367" w:lineRule="auto"/>
        <w:ind w:left="593" w:right="0" w:hanging="197"/>
        <w:jc w:val="left"/>
      </w:pPr>
      <w:r>
        <w:rPr>
          <w:rFonts w:ascii="Times New Roman" w:hAnsi="Times New Roman" w:cs="Times New Roman" w:eastAsia="Times New Roman" w:hint="default"/>
        </w:rPr>
        <w:t>4</w:t>
      </w:r>
      <w:r>
        <w:rPr/>
        <w:t>、管理风险和人力资源风险 公司经过几年的快速发展，规模逐渐扩大，公司也需要更多、更优秀的管理人才，如果</w:t>
      </w:r>
    </w:p>
    <w:p>
      <w:pPr>
        <w:pStyle w:val="BodyText"/>
        <w:spacing w:line="386" w:lineRule="auto" w:before="24"/>
        <w:ind w:left="593" w:right="0" w:hanging="481"/>
        <w:jc w:val="left"/>
      </w:pPr>
      <w:r>
        <w:rPr/>
        <w:t>公司的管理能力和人力资源不能适应新的环境变化，将会给公司带来不利影响。 对策：公司将积极引进专业人才，推行职业经理化，同时将完善人才约束激励机制，加</w:t>
      </w:r>
    </w:p>
    <w:p>
      <w:pPr>
        <w:pStyle w:val="BodyText"/>
        <w:spacing w:line="240" w:lineRule="auto" w:before="7"/>
        <w:ind w:right="0"/>
        <w:jc w:val="left"/>
      </w:pPr>
      <w:r>
        <w:rPr/>
        <w:t>强规范管理。</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4"/>
          <w:szCs w:val="34"/>
        </w:rPr>
      </w:pPr>
    </w:p>
    <w:p>
      <w:pPr>
        <w:pStyle w:val="Heading2"/>
        <w:tabs>
          <w:tab w:pos="953" w:val="left" w:leader="none"/>
        </w:tabs>
        <w:spacing w:line="240" w:lineRule="auto"/>
        <w:ind w:right="0"/>
        <w:jc w:val="left"/>
        <w:rPr>
          <w:b w:val="0"/>
          <w:bCs w:val="0"/>
        </w:rPr>
      </w:pPr>
      <w:r>
        <w:rPr>
          <w:w w:val="95"/>
        </w:rPr>
        <w:t>三、</w:t>
        <w:tab/>
      </w:r>
      <w:r>
        <w:rPr/>
        <w:t>报告期内的投资情况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396" w:right="0"/>
        <w:jc w:val="left"/>
      </w:pPr>
      <w:r>
        <w:rPr>
          <w:rFonts w:ascii="Times New Roman" w:hAnsi="Times New Roman" w:cs="Times New Roman" w:eastAsia="Times New Roman" w:hint="default"/>
        </w:rPr>
        <w:t>1</w:t>
      </w:r>
      <w:r>
        <w:rPr/>
        <w:t>、</w:t>
      </w:r>
      <w:r>
        <w:rPr>
          <w:spacing w:val="76"/>
        </w:rPr>
        <w:t> </w:t>
      </w:r>
      <w:r>
        <w:rPr/>
        <w:t>募集资金项目</w:t>
      </w:r>
    </w:p>
    <w:p>
      <w:pPr>
        <w:spacing w:line="240" w:lineRule="auto" w:before="0"/>
        <w:rPr>
          <w:rFonts w:ascii="宋体" w:hAnsi="宋体" w:cs="宋体" w:eastAsia="宋体" w:hint="default"/>
          <w:sz w:val="24"/>
          <w:szCs w:val="24"/>
        </w:rPr>
      </w:pPr>
    </w:p>
    <w:p>
      <w:pPr>
        <w:pStyle w:val="BodyText"/>
        <w:spacing w:line="240" w:lineRule="auto" w:before="180"/>
        <w:ind w:left="473" w:right="0"/>
        <w:jc w:val="left"/>
      </w:pPr>
      <w:r>
        <w:rPr>
          <w:rFonts w:ascii="宋体" w:hAnsi="宋体" w:cs="宋体" w:eastAsia="宋体" w:hint="default"/>
        </w:rPr>
        <w:t>(1)</w:t>
      </w:r>
      <w:r>
        <w:rPr>
          <w:rFonts w:ascii="宋体" w:hAnsi="宋体" w:cs="宋体" w:eastAsia="宋体" w:hint="default"/>
          <w:spacing w:val="-60"/>
        </w:rPr>
        <w:t> </w:t>
      </w:r>
      <w:r>
        <w:rPr/>
        <w:t>募集资金项目基本情况</w:t>
      </w:r>
    </w:p>
    <w:p>
      <w:pPr>
        <w:pStyle w:val="BodyText"/>
        <w:spacing w:line="348" w:lineRule="auto" w:before="194"/>
        <w:ind w:right="1131" w:firstLine="480"/>
        <w:jc w:val="both"/>
      </w:pPr>
      <w:r>
        <w:rPr/>
        <w:t>经中国证券监督管理委员会“证监发行字</w:t>
      </w:r>
      <w:r>
        <w:rPr>
          <w:rFonts w:ascii="Times New Roman" w:hAnsi="Times New Roman" w:cs="Times New Roman" w:eastAsia="Times New Roman" w:hint="default"/>
        </w:rPr>
        <w:t>[2007]402 </w:t>
      </w:r>
      <w:r>
        <w:rPr>
          <w:spacing w:val="-4"/>
        </w:rPr>
        <w:t>号”文核准，</w:t>
      </w:r>
      <w:r>
        <w:rPr>
          <w:rFonts w:ascii="Times New Roman" w:hAnsi="Times New Roman" w:cs="Times New Roman" w:eastAsia="Times New Roman" w:hint="default"/>
          <w:spacing w:val="-4"/>
        </w:rPr>
        <w:t>2007 </w:t>
      </w: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日公 司采用网下向询价对象定价配售与网上向社会公众投资者定价发行相结合的方式，发行人民</w:t>
      </w:r>
      <w:r>
        <w:rPr>
          <w:spacing w:val="-91"/>
        </w:rPr>
        <w:t> </w:t>
      </w:r>
      <w:r>
        <w:rPr>
          <w:spacing w:val="-91"/>
        </w:rPr>
      </w:r>
      <w:r>
        <w:rPr/>
        <w:t>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5"/>
        </w:rPr>
        <w:t> </w:t>
      </w:r>
      <w:r>
        <w:rPr/>
        <w:t>股）股票</w:t>
      </w:r>
      <w:r>
        <w:rPr>
          <w:spacing w:val="-46"/>
        </w:rPr>
        <w:t> </w:t>
      </w:r>
      <w:r>
        <w:rPr>
          <w:rFonts w:ascii="Times New Roman" w:hAnsi="Times New Roman" w:cs="Times New Roman" w:eastAsia="Times New Roman" w:hint="default"/>
        </w:rPr>
        <w:t>6,750  </w:t>
      </w:r>
      <w:r>
        <w:rPr/>
        <w:t>万股，发行价格为每股</w:t>
      </w:r>
      <w:r>
        <w:rPr>
          <w:spacing w:val="-46"/>
        </w:rPr>
        <w:t> </w:t>
      </w:r>
      <w:r>
        <w:rPr>
          <w:rFonts w:ascii="Times New Roman" w:hAnsi="Times New Roman" w:cs="Times New Roman" w:eastAsia="Times New Roman" w:hint="default"/>
        </w:rPr>
        <w:t>17.78  </w:t>
      </w:r>
      <w:r>
        <w:rPr/>
        <w:t>元，共募集资金</w:t>
      </w:r>
      <w:r>
        <w:rPr>
          <w:spacing w:val="-45"/>
        </w:rPr>
        <w:t> </w:t>
      </w:r>
      <w:r>
        <w:rPr>
          <w:rFonts w:ascii="Times New Roman" w:hAnsi="Times New Roman" w:cs="Times New Roman" w:eastAsia="Times New Roman" w:hint="default"/>
        </w:rPr>
        <w:t>120,015</w:t>
      </w:r>
      <w:r>
        <w:rPr>
          <w:rFonts w:ascii="Times New Roman" w:hAnsi="Times New Roman" w:cs="Times New Roman" w:eastAsia="Times New Roman" w:hint="default"/>
          <w:spacing w:val="14"/>
        </w:rPr>
        <w:t> </w:t>
      </w:r>
      <w:r>
        <w:rPr/>
        <w:t>万元，</w:t>
      </w:r>
    </w:p>
    <w:p>
      <w:pPr>
        <w:pStyle w:val="BodyText"/>
        <w:spacing w:line="367" w:lineRule="auto" w:before="13"/>
        <w:ind w:left="593" w:right="1115" w:hanging="481"/>
        <w:jc w:val="left"/>
      </w:pPr>
      <w:r>
        <w:rPr/>
        <w:t>扣除各项发行费用</w:t>
      </w:r>
      <w:r>
        <w:rPr>
          <w:spacing w:val="-61"/>
        </w:rPr>
        <w:t> </w:t>
      </w:r>
      <w:r>
        <w:rPr>
          <w:rFonts w:ascii="Times New Roman" w:hAnsi="Times New Roman" w:cs="Times New Roman" w:eastAsia="Times New Roman" w:hint="default"/>
        </w:rPr>
        <w:t>4,828.05</w:t>
      </w:r>
      <w:r>
        <w:rPr>
          <w:rFonts w:ascii="Times New Roman" w:hAnsi="Times New Roman" w:cs="Times New Roman" w:eastAsia="Times New Roman" w:hint="default"/>
          <w:spacing w:val="-1"/>
        </w:rPr>
        <w:t> </w:t>
      </w:r>
      <w:r>
        <w:rPr/>
        <w:t>万元，实际募集资金净额人民币</w:t>
      </w:r>
      <w:r>
        <w:rPr>
          <w:spacing w:val="-61"/>
        </w:rPr>
        <w:t> </w:t>
      </w:r>
      <w:r>
        <w:rPr>
          <w:rFonts w:ascii="Times New Roman" w:hAnsi="Times New Roman" w:cs="Times New Roman" w:eastAsia="Times New Roman" w:hint="default"/>
        </w:rPr>
        <w:t>115,186.95</w:t>
      </w:r>
      <w:r>
        <w:rPr>
          <w:rFonts w:ascii="Times New Roman" w:hAnsi="Times New Roman" w:cs="Times New Roman" w:eastAsia="Times New Roman" w:hint="default"/>
          <w:spacing w:val="-1"/>
        </w:rPr>
        <w:t> </w:t>
      </w:r>
      <w:r>
        <w:rPr/>
        <w:t>万元。 根据公司首次公开发行股票募集资金使用计划，募集资金将用于收购中丰田</w:t>
      </w:r>
      <w:r>
        <w:rPr>
          <w:spacing w:val="-42"/>
        </w:rPr>
        <w:t> </w:t>
      </w:r>
      <w:r>
        <w:rPr>
          <w:rFonts w:ascii="Times New Roman" w:hAnsi="Times New Roman" w:cs="Times New Roman" w:eastAsia="Times New Roman" w:hint="default"/>
        </w:rPr>
        <w:t>60%</w:t>
      </w:r>
      <w:r>
        <w:rPr/>
        <w:t>股权、</w:t>
      </w:r>
    </w:p>
    <w:p>
      <w:pPr>
        <w:pStyle w:val="BodyText"/>
        <w:spacing w:line="307" w:lineRule="exact"/>
        <w:ind w:right="0"/>
        <w:jc w:val="left"/>
      </w:pPr>
      <w:r>
        <w:rPr/>
        <w:t>劲嘉集团包装印刷及材料加工项目、贵阳新型印刷包装材料建设项目（一期）等三个项目，</w:t>
      </w:r>
    </w:p>
    <w:p>
      <w:pPr>
        <w:spacing w:after="0" w:line="307" w:lineRule="exact"/>
        <w:jc w:val="left"/>
        <w:sectPr>
          <w:footerReference w:type="default" r:id="rId24"/>
          <w:pgSz w:w="11910" w:h="16840"/>
          <w:pgMar w:footer="956" w:header="920" w:top="1140" w:bottom="1140" w:left="1020" w:right="0"/>
          <w:pgNumType w:start="53"/>
        </w:sectPr>
      </w:pPr>
    </w:p>
    <w:p>
      <w:pPr>
        <w:pStyle w:val="BodyText"/>
        <w:spacing w:line="240" w:lineRule="auto" w:before="19"/>
        <w:ind w:right="0"/>
        <w:jc w:val="left"/>
      </w:pPr>
      <w:r>
        <w:rPr/>
        <w:pict>
          <v:shape style="position:absolute;margin-left:56.400002pt;margin-top:180.019989pt;width:492.25pt;height:602.15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0"/>
                    <w:gridCol w:w="560"/>
                    <w:gridCol w:w="738"/>
                    <w:gridCol w:w="863"/>
                    <w:gridCol w:w="840"/>
                    <w:gridCol w:w="252"/>
                    <w:gridCol w:w="493"/>
                    <w:gridCol w:w="855"/>
                    <w:gridCol w:w="1122"/>
                    <w:gridCol w:w="207"/>
                    <w:gridCol w:w="578"/>
                    <w:gridCol w:w="650"/>
                    <w:gridCol w:w="853"/>
                  </w:tblGrid>
                  <w:tr>
                    <w:trPr>
                      <w:trHeight w:val="166" w:hRule="exact"/>
                    </w:trPr>
                    <w:tc>
                      <w:tcPr>
                        <w:tcW w:w="311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015"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955" w:type="dxa"/>
                        <w:gridSpan w:val="3"/>
                        <w:vMerge w:val="restart"/>
                        <w:tcBorders>
                          <w:top w:val="single" w:sz="4" w:space="0" w:color="000000"/>
                          <w:left w:val="single" w:sz="13" w:space="0" w:color="DCDCDC"/>
                          <w:right w:val="single" w:sz="10" w:space="0" w:color="DCDCDC"/>
                        </w:tcBorders>
                      </w:tcPr>
                      <w:p>
                        <w:pPr>
                          <w:pStyle w:val="TableParagraph"/>
                          <w:spacing w:line="240" w:lineRule="auto" w:before="45"/>
                          <w:ind w:left="1108" w:right="0"/>
                          <w:jc w:val="left"/>
                          <w:rPr>
                            <w:rFonts w:ascii="Times New Roman" w:hAnsi="Times New Roman" w:cs="Times New Roman" w:eastAsia="Times New Roman" w:hint="default"/>
                            <w:sz w:val="18"/>
                            <w:szCs w:val="18"/>
                          </w:rPr>
                        </w:pPr>
                        <w:r>
                          <w:rPr>
                            <w:rFonts w:ascii="Times New Roman"/>
                            <w:sz w:val="18"/>
                          </w:rPr>
                          <w:t>115,186.95</w:t>
                        </w:r>
                      </w:p>
                    </w:tc>
                    <w:tc>
                      <w:tcPr>
                        <w:tcW w:w="267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10" w:space="0" w:color="DCDCDC"/>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4,774.27</w:t>
                        </w:r>
                      </w:p>
                    </w:tc>
                  </w:tr>
                  <w:tr>
                    <w:trPr>
                      <w:trHeight w:val="157" w:hRule="exact"/>
                    </w:trPr>
                    <w:tc>
                      <w:tcPr>
                        <w:tcW w:w="3117" w:type="dxa"/>
                        <w:gridSpan w:val="3"/>
                        <w:vMerge/>
                        <w:tcBorders>
                          <w:left w:val="single" w:sz="4" w:space="0" w:color="000000"/>
                          <w:bottom w:val="single" w:sz="4" w:space="0" w:color="000000"/>
                          <w:right w:val="single" w:sz="4" w:space="0" w:color="000000"/>
                        </w:tcBorders>
                        <w:shd w:val="clear" w:color="auto" w:fill="DCDCDC"/>
                      </w:tcPr>
                      <w:p>
                        <w:pPr/>
                      </w:p>
                    </w:tc>
                    <w:tc>
                      <w:tcPr>
                        <w:tcW w:w="1955" w:type="dxa"/>
                        <w:gridSpan w:val="3"/>
                        <w:vMerge/>
                        <w:tcBorders>
                          <w:left w:val="single" w:sz="13" w:space="0" w:color="DCDCDC"/>
                          <w:bottom w:val="single" w:sz="4" w:space="0" w:color="000000"/>
                          <w:right w:val="single" w:sz="10" w:space="0" w:color="DCDCDC"/>
                        </w:tcBorders>
                      </w:tcPr>
                      <w:p>
                        <w:pPr/>
                      </w:p>
                    </w:tc>
                    <w:tc>
                      <w:tcPr>
                        <w:tcW w:w="2677"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1" w:type="dxa"/>
                        <w:gridSpan w:val="3"/>
                        <w:vMerge/>
                        <w:tcBorders>
                          <w:left w:val="single" w:sz="10" w:space="0" w:color="DCDCDC"/>
                          <w:right w:val="single" w:sz="4" w:space="0" w:color="000000"/>
                        </w:tcBorders>
                      </w:tcPr>
                      <w:p>
                        <w:pPr/>
                      </w:p>
                    </w:tc>
                  </w:tr>
                  <w:tr>
                    <w:trPr>
                      <w:trHeight w:val="157" w:hRule="exact"/>
                    </w:trPr>
                    <w:tc>
                      <w:tcPr>
                        <w:tcW w:w="311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20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1955" w:type="dxa"/>
                        <w:gridSpan w:val="3"/>
                        <w:vMerge w:val="restart"/>
                        <w:tcBorders>
                          <w:top w:val="single" w:sz="4" w:space="0" w:color="000000"/>
                          <w:left w:val="single" w:sz="13" w:space="0" w:color="DCDCDC"/>
                          <w:right w:val="single" w:sz="10" w:space="0" w:color="DCDCDC"/>
                        </w:tcBorders>
                      </w:tcPr>
                      <w:p>
                        <w:pPr>
                          <w:pStyle w:val="TableParagraph"/>
                          <w:spacing w:line="240" w:lineRule="auto" w:before="46"/>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2677" w:type="dxa"/>
                        <w:gridSpan w:val="4"/>
                        <w:vMerge/>
                        <w:tcBorders>
                          <w:left w:val="single" w:sz="4" w:space="0" w:color="000000"/>
                          <w:bottom w:val="nil" w:sz="6" w:space="0" w:color="auto"/>
                          <w:right w:val="single" w:sz="4" w:space="0" w:color="000000"/>
                        </w:tcBorders>
                        <w:shd w:val="clear" w:color="auto" w:fill="DCDCDC"/>
                      </w:tcPr>
                      <w:p>
                        <w:pPr/>
                      </w:p>
                    </w:tc>
                    <w:tc>
                      <w:tcPr>
                        <w:tcW w:w="2081" w:type="dxa"/>
                        <w:gridSpan w:val="3"/>
                        <w:vMerge/>
                        <w:tcBorders>
                          <w:left w:val="single" w:sz="10" w:space="0" w:color="DCDCDC"/>
                          <w:right w:val="single" w:sz="4" w:space="0" w:color="000000"/>
                        </w:tcBorders>
                      </w:tcPr>
                      <w:p>
                        <w:pPr/>
                      </w:p>
                    </w:tc>
                  </w:tr>
                  <w:tr>
                    <w:trPr>
                      <w:trHeight w:val="166" w:hRule="exact"/>
                    </w:trPr>
                    <w:tc>
                      <w:tcPr>
                        <w:tcW w:w="3117" w:type="dxa"/>
                        <w:gridSpan w:val="3"/>
                        <w:vMerge/>
                        <w:tcBorders>
                          <w:left w:val="single" w:sz="4" w:space="0" w:color="000000"/>
                          <w:bottom w:val="single" w:sz="4" w:space="0" w:color="000000"/>
                          <w:right w:val="single" w:sz="4" w:space="0" w:color="000000"/>
                        </w:tcBorders>
                        <w:shd w:val="clear" w:color="auto" w:fill="DCDCDC"/>
                      </w:tcPr>
                      <w:p>
                        <w:pPr/>
                      </w:p>
                    </w:tc>
                    <w:tc>
                      <w:tcPr>
                        <w:tcW w:w="1955" w:type="dxa"/>
                        <w:gridSpan w:val="3"/>
                        <w:vMerge/>
                        <w:tcBorders>
                          <w:left w:val="single" w:sz="13" w:space="0" w:color="DCDCDC"/>
                          <w:bottom w:val="single" w:sz="4" w:space="0" w:color="000000"/>
                          <w:right w:val="single" w:sz="10" w:space="0" w:color="DCDCDC"/>
                        </w:tcBorders>
                      </w:tcPr>
                      <w:p>
                        <w:pPr/>
                      </w:p>
                    </w:tc>
                    <w:tc>
                      <w:tcPr>
                        <w:tcW w:w="267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10" w:space="0" w:color="DCDCDC"/>
                          <w:bottom w:val="single" w:sz="4" w:space="0" w:color="000000"/>
                          <w:right w:val="single" w:sz="4" w:space="0" w:color="000000"/>
                        </w:tcBorders>
                      </w:tcPr>
                      <w:p>
                        <w:pPr/>
                      </w:p>
                    </w:tc>
                  </w:tr>
                  <w:tr>
                    <w:trPr>
                      <w:trHeight w:val="168" w:hRule="exact"/>
                    </w:trPr>
                    <w:tc>
                      <w:tcPr>
                        <w:tcW w:w="311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1955" w:type="dxa"/>
                        <w:gridSpan w:val="3"/>
                        <w:vMerge w:val="restart"/>
                        <w:tcBorders>
                          <w:top w:val="single" w:sz="4" w:space="0" w:color="000000"/>
                          <w:left w:val="single" w:sz="13" w:space="0" w:color="DCDCDC"/>
                          <w:right w:val="single" w:sz="10" w:space="0" w:color="DCDCDC"/>
                        </w:tcBorders>
                      </w:tcPr>
                      <w:p>
                        <w:pPr>
                          <w:pStyle w:val="TableParagraph"/>
                          <w:spacing w:line="240" w:lineRule="auto" w:before="48"/>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267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10" w:space="0" w:color="DCDCDC"/>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20" w:right="0"/>
                          <w:jc w:val="left"/>
                          <w:rPr>
                            <w:rFonts w:ascii="Times New Roman" w:hAnsi="Times New Roman" w:cs="Times New Roman" w:eastAsia="Times New Roman" w:hint="default"/>
                            <w:sz w:val="18"/>
                            <w:szCs w:val="18"/>
                          </w:rPr>
                        </w:pPr>
                        <w:r>
                          <w:rPr>
                            <w:rFonts w:ascii="Times New Roman"/>
                            <w:sz w:val="18"/>
                          </w:rPr>
                          <w:t>86,093.88</w:t>
                        </w:r>
                      </w:p>
                    </w:tc>
                  </w:tr>
                  <w:tr>
                    <w:trPr>
                      <w:trHeight w:val="156" w:hRule="exact"/>
                    </w:trPr>
                    <w:tc>
                      <w:tcPr>
                        <w:tcW w:w="3117" w:type="dxa"/>
                        <w:gridSpan w:val="3"/>
                        <w:vMerge/>
                        <w:tcBorders>
                          <w:left w:val="single" w:sz="4" w:space="0" w:color="000000"/>
                          <w:bottom w:val="single" w:sz="4" w:space="0" w:color="000000"/>
                          <w:right w:val="single" w:sz="4" w:space="0" w:color="000000"/>
                        </w:tcBorders>
                        <w:shd w:val="clear" w:color="auto" w:fill="DCDCDC"/>
                      </w:tcPr>
                      <w:p>
                        <w:pPr/>
                      </w:p>
                    </w:tc>
                    <w:tc>
                      <w:tcPr>
                        <w:tcW w:w="1955" w:type="dxa"/>
                        <w:gridSpan w:val="3"/>
                        <w:vMerge/>
                        <w:tcBorders>
                          <w:left w:val="single" w:sz="13" w:space="0" w:color="DCDCDC"/>
                          <w:bottom w:val="single" w:sz="4" w:space="0" w:color="000000"/>
                          <w:right w:val="single" w:sz="10" w:space="0" w:color="DCDCDC"/>
                        </w:tcBorders>
                      </w:tcPr>
                      <w:p>
                        <w:pPr/>
                      </w:p>
                    </w:tc>
                    <w:tc>
                      <w:tcPr>
                        <w:tcW w:w="2677"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1" w:type="dxa"/>
                        <w:gridSpan w:val="3"/>
                        <w:vMerge/>
                        <w:tcBorders>
                          <w:left w:val="single" w:sz="10" w:space="0" w:color="DCDCDC"/>
                          <w:right w:val="single" w:sz="4" w:space="0" w:color="000000"/>
                        </w:tcBorders>
                      </w:tcPr>
                      <w:p>
                        <w:pPr/>
                      </w:p>
                    </w:tc>
                  </w:tr>
                  <w:tr>
                    <w:trPr>
                      <w:trHeight w:val="156" w:hRule="exact"/>
                    </w:trPr>
                    <w:tc>
                      <w:tcPr>
                        <w:tcW w:w="311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20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1955" w:type="dxa"/>
                        <w:gridSpan w:val="3"/>
                        <w:vMerge w:val="restart"/>
                        <w:tcBorders>
                          <w:top w:val="single" w:sz="4" w:space="0" w:color="000000"/>
                          <w:left w:val="single" w:sz="13" w:space="0" w:color="DCDCDC"/>
                          <w:right w:val="single" w:sz="10" w:space="0" w:color="DCDCDC"/>
                        </w:tcBorders>
                      </w:tcPr>
                      <w:p>
                        <w:pPr>
                          <w:pStyle w:val="TableParagraph"/>
                          <w:spacing w:line="240" w:lineRule="auto" w:before="48"/>
                          <w:ind w:right="11"/>
                          <w:jc w:val="right"/>
                          <w:rPr>
                            <w:rFonts w:ascii="Times New Roman" w:hAnsi="Times New Roman" w:cs="Times New Roman" w:eastAsia="Times New Roman" w:hint="default"/>
                            <w:sz w:val="18"/>
                            <w:szCs w:val="18"/>
                          </w:rPr>
                        </w:pPr>
                        <w:r>
                          <w:rPr>
                            <w:rFonts w:ascii="Times New Roman"/>
                            <w:sz w:val="18"/>
                          </w:rPr>
                          <w:t>0.00%</w:t>
                        </w:r>
                      </w:p>
                    </w:tc>
                    <w:tc>
                      <w:tcPr>
                        <w:tcW w:w="2677" w:type="dxa"/>
                        <w:gridSpan w:val="4"/>
                        <w:vMerge/>
                        <w:tcBorders>
                          <w:left w:val="single" w:sz="4" w:space="0" w:color="000000"/>
                          <w:bottom w:val="nil" w:sz="6" w:space="0" w:color="auto"/>
                          <w:right w:val="single" w:sz="4" w:space="0" w:color="000000"/>
                        </w:tcBorders>
                        <w:shd w:val="clear" w:color="auto" w:fill="DCDCDC"/>
                      </w:tcPr>
                      <w:p>
                        <w:pPr/>
                      </w:p>
                    </w:tc>
                    <w:tc>
                      <w:tcPr>
                        <w:tcW w:w="2081" w:type="dxa"/>
                        <w:gridSpan w:val="3"/>
                        <w:vMerge/>
                        <w:tcBorders>
                          <w:left w:val="single" w:sz="10" w:space="0" w:color="DCDCDC"/>
                          <w:right w:val="single" w:sz="4" w:space="0" w:color="000000"/>
                        </w:tcBorders>
                      </w:tcPr>
                      <w:p>
                        <w:pPr/>
                      </w:p>
                    </w:tc>
                  </w:tr>
                  <w:tr>
                    <w:trPr>
                      <w:trHeight w:val="168" w:hRule="exact"/>
                    </w:trPr>
                    <w:tc>
                      <w:tcPr>
                        <w:tcW w:w="3117" w:type="dxa"/>
                        <w:gridSpan w:val="3"/>
                        <w:vMerge/>
                        <w:tcBorders>
                          <w:left w:val="single" w:sz="4" w:space="0" w:color="000000"/>
                          <w:bottom w:val="single" w:sz="4" w:space="0" w:color="000000"/>
                          <w:right w:val="single" w:sz="4" w:space="0" w:color="000000"/>
                        </w:tcBorders>
                        <w:shd w:val="clear" w:color="auto" w:fill="DCDCDC"/>
                      </w:tcPr>
                      <w:p>
                        <w:pPr/>
                      </w:p>
                    </w:tc>
                    <w:tc>
                      <w:tcPr>
                        <w:tcW w:w="1955" w:type="dxa"/>
                        <w:gridSpan w:val="3"/>
                        <w:vMerge/>
                        <w:tcBorders>
                          <w:left w:val="single" w:sz="13" w:space="0" w:color="DCDCDC"/>
                          <w:bottom w:val="single" w:sz="4" w:space="0" w:color="000000"/>
                          <w:right w:val="single" w:sz="10" w:space="0" w:color="DCDCDC"/>
                        </w:tcBorders>
                      </w:tcPr>
                      <w:p>
                        <w:pPr/>
                      </w:p>
                    </w:tc>
                    <w:tc>
                      <w:tcPr>
                        <w:tcW w:w="267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10" w:space="0" w:color="DCDCDC"/>
                          <w:bottom w:val="single" w:sz="4" w:space="0" w:color="000000"/>
                          <w:right w:val="single" w:sz="4" w:space="0" w:color="000000"/>
                        </w:tcBorders>
                      </w:tcPr>
                      <w:p>
                        <w:pPr/>
                      </w:p>
                    </w:tc>
                  </w:tr>
                  <w:tr>
                    <w:trPr>
                      <w:trHeight w:val="245"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60"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auto" w:before="12"/>
                          <w:ind w:left="64" w:right="63"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738" w:type="dxa"/>
                        <w:tcBorders>
                          <w:top w:val="single" w:sz="4" w:space="0" w:color="000000"/>
                          <w:left w:val="single" w:sz="4" w:space="0" w:color="000000"/>
                          <w:bottom w:val="nil" w:sz="6" w:space="0" w:color="auto"/>
                          <w:right w:val="single" w:sz="4" w:space="0" w:color="000000"/>
                        </w:tcBorders>
                        <w:shd w:val="clear" w:color="auto" w:fill="DCDCDC"/>
                      </w:tcPr>
                      <w:p>
                        <w:pPr/>
                      </w:p>
                    </w:tc>
                    <w:tc>
                      <w:tcPr>
                        <w:tcW w:w="863" w:type="dxa"/>
                        <w:vMerge w:val="restart"/>
                        <w:tcBorders>
                          <w:top w:val="single" w:sz="4" w:space="0" w:color="000000"/>
                          <w:left w:val="single" w:sz="4" w:space="0" w:color="000000"/>
                          <w:right w:val="single" w:sz="4" w:space="0" w:color="000000"/>
                        </w:tcBorders>
                        <w:shd w:val="clear" w:color="auto" w:fill="DCDCDC"/>
                      </w:tcPr>
                      <w:p>
                        <w:pPr/>
                      </w:p>
                    </w:tc>
                    <w:tc>
                      <w:tcPr>
                        <w:tcW w:w="840" w:type="dxa"/>
                        <w:vMerge w:val="restart"/>
                        <w:tcBorders>
                          <w:top w:val="single" w:sz="4" w:space="0" w:color="000000"/>
                          <w:left w:val="single" w:sz="4" w:space="0" w:color="000000"/>
                          <w:right w:val="single" w:sz="4" w:space="0" w:color="000000"/>
                        </w:tcBorders>
                        <w:shd w:val="clear" w:color="auto" w:fill="DCDCDC"/>
                      </w:tcPr>
                      <w:p>
                        <w:pPr/>
                      </w:p>
                    </w:tc>
                    <w:tc>
                      <w:tcPr>
                        <w:tcW w:w="744"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8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2" w:type="dxa"/>
                        <w:vMerge w:val="restart"/>
                        <w:tcBorders>
                          <w:top w:val="single" w:sz="4" w:space="0" w:color="000000"/>
                          <w:left w:val="single" w:sz="4" w:space="0" w:color="000000"/>
                          <w:right w:val="single" w:sz="4" w:space="0" w:color="000000"/>
                        </w:tcBorders>
                        <w:shd w:val="clear" w:color="auto" w:fill="DCDCDC"/>
                      </w:tcPr>
                      <w:p>
                        <w:pPr/>
                      </w:p>
                    </w:tc>
                    <w:tc>
                      <w:tcPr>
                        <w:tcW w:w="785" w:type="dxa"/>
                        <w:gridSpan w:val="2"/>
                        <w:vMerge w:val="restart"/>
                        <w:tcBorders>
                          <w:top w:val="single" w:sz="4" w:space="0" w:color="000000"/>
                          <w:left w:val="single" w:sz="4" w:space="0" w:color="000000"/>
                          <w:right w:val="single" w:sz="4" w:space="0" w:color="000000"/>
                        </w:tcBorders>
                        <w:shd w:val="clear" w:color="auto" w:fill="DCDCDC"/>
                      </w:tcPr>
                      <w:p>
                        <w:pPr/>
                      </w:p>
                    </w:tc>
                    <w:tc>
                      <w:tcPr>
                        <w:tcW w:w="650" w:type="dxa"/>
                        <w:vMerge w:val="restart"/>
                        <w:tcBorders>
                          <w:top w:val="single" w:sz="4" w:space="0" w:color="000000"/>
                          <w:left w:val="single" w:sz="4" w:space="0" w:color="000000"/>
                          <w:right w:val="single" w:sz="4" w:space="0" w:color="000000"/>
                        </w:tcBorders>
                        <w:shd w:val="clear" w:color="auto" w:fill="DCDCDC"/>
                      </w:tcPr>
                      <w:p>
                        <w:pPr/>
                      </w:p>
                    </w:tc>
                    <w:tc>
                      <w:tcPr>
                        <w:tcW w:w="85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4" w:hRule="exact"/>
                    </w:trPr>
                    <w:tc>
                      <w:tcPr>
                        <w:tcW w:w="1820"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738"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3"/>
                          <w:ind w:left="95" w:right="90"/>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863" w:type="dxa"/>
                        <w:vMerge/>
                        <w:tcBorders>
                          <w:left w:val="single" w:sz="4" w:space="0" w:color="000000"/>
                          <w:right w:val="single" w:sz="4" w:space="0" w:color="000000"/>
                        </w:tcBorders>
                        <w:shd w:val="clear" w:color="auto" w:fill="DCDCDC"/>
                      </w:tcPr>
                      <w:p>
                        <w:pPr/>
                      </w:p>
                    </w:tc>
                    <w:tc>
                      <w:tcPr>
                        <w:tcW w:w="840" w:type="dxa"/>
                        <w:vMerge/>
                        <w:tcBorders>
                          <w:left w:val="single" w:sz="4" w:space="0" w:color="000000"/>
                          <w:right w:val="single" w:sz="4" w:space="0" w:color="000000"/>
                        </w:tcBorders>
                        <w:shd w:val="clear" w:color="auto" w:fill="DCDCDC"/>
                      </w:tcPr>
                      <w:p>
                        <w:pPr/>
                      </w:p>
                    </w:tc>
                    <w:tc>
                      <w:tcPr>
                        <w:tcW w:w="74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7"/>
                          <w:ind w:left="97" w:right="9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55"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21"/>
                          <w:ind w:left="64" w:right="59"/>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7"/>
                          <w:ind w:left="189" w:right="0"/>
                          <w:jc w:val="left"/>
                          <w:rPr>
                            <w:rFonts w:ascii="Times New Roman" w:hAnsi="Times New Roman" w:cs="Times New Roman" w:eastAsia="Times New Roman" w:hint="default"/>
                            <w:sz w:val="18"/>
                            <w:szCs w:val="18"/>
                          </w:rPr>
                        </w:pPr>
                        <w:r>
                          <w:rPr>
                            <w:rFonts w:ascii="Times New Roman"/>
                            <w:sz w:val="18"/>
                          </w:rPr>
                          <w:t>(2)/(1)</w:t>
                        </w:r>
                      </w:p>
                    </w:tc>
                    <w:tc>
                      <w:tcPr>
                        <w:tcW w:w="1122" w:type="dxa"/>
                        <w:vMerge/>
                        <w:tcBorders>
                          <w:left w:val="single" w:sz="4" w:space="0" w:color="000000"/>
                          <w:bottom w:val="nil" w:sz="6" w:space="0" w:color="auto"/>
                          <w:right w:val="single" w:sz="4" w:space="0" w:color="000000"/>
                        </w:tcBorders>
                        <w:shd w:val="clear" w:color="auto" w:fill="DCDCDC"/>
                      </w:tcPr>
                      <w:p>
                        <w:pPr/>
                      </w:p>
                    </w:tc>
                    <w:tc>
                      <w:tcPr>
                        <w:tcW w:w="785" w:type="dxa"/>
                        <w:gridSpan w:val="2"/>
                        <w:vMerge/>
                        <w:tcBorders>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3"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7"/>
                          <w:ind w:left="60" w:right="60"/>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16"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738" w:type="dxa"/>
                        <w:vMerge/>
                        <w:tcBorders>
                          <w:left w:val="single" w:sz="4" w:space="0" w:color="000000"/>
                          <w:right w:val="single" w:sz="4" w:space="0" w:color="000000"/>
                        </w:tcBorders>
                        <w:shd w:val="clear" w:color="auto" w:fill="DCDCDC"/>
                      </w:tcPr>
                      <w:p>
                        <w:pPr/>
                      </w:p>
                    </w:tc>
                    <w:tc>
                      <w:tcPr>
                        <w:tcW w:w="863" w:type="dxa"/>
                        <w:vMerge/>
                        <w:tcBorders>
                          <w:left w:val="single" w:sz="4" w:space="0" w:color="000000"/>
                          <w:bottom w:val="nil" w:sz="6" w:space="0" w:color="auto"/>
                          <w:right w:val="single" w:sz="4" w:space="0" w:color="000000"/>
                        </w:tcBorders>
                        <w:shd w:val="clear" w:color="auto" w:fill="DCDCDC"/>
                      </w:tcPr>
                      <w:p>
                        <w:pPr/>
                      </w:p>
                    </w:tc>
                    <w:tc>
                      <w:tcPr>
                        <w:tcW w:w="840" w:type="dxa"/>
                        <w:vMerge/>
                        <w:tcBorders>
                          <w:left w:val="single" w:sz="4" w:space="0" w:color="000000"/>
                          <w:bottom w:val="nil" w:sz="6" w:space="0" w:color="auto"/>
                          <w:right w:val="single" w:sz="4" w:space="0" w:color="000000"/>
                        </w:tcBorders>
                        <w:shd w:val="clear" w:color="auto" w:fill="DCDCDC"/>
                      </w:tcPr>
                      <w:p>
                        <w:pPr/>
                      </w:p>
                    </w:tc>
                    <w:tc>
                      <w:tcPr>
                        <w:tcW w:w="74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2"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109" w:right="10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5" w:type="dxa"/>
                        <w:gridSpan w:val="2"/>
                        <w:vMerge/>
                        <w:tcBorders>
                          <w:left w:val="single" w:sz="4" w:space="0" w:color="000000"/>
                          <w:bottom w:val="nil" w:sz="6" w:space="0" w:color="auto"/>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46" w:right="52"/>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3" w:type="dxa"/>
                        <w:vMerge/>
                        <w:tcBorders>
                          <w:left w:val="single" w:sz="4" w:space="0" w:color="000000"/>
                          <w:right w:val="single" w:sz="4" w:space="0" w:color="000000"/>
                        </w:tcBorders>
                        <w:shd w:val="clear" w:color="auto" w:fill="DCDCDC"/>
                      </w:tcPr>
                      <w:p>
                        <w:pPr/>
                      </w:p>
                    </w:tc>
                  </w:tr>
                  <w:tr>
                    <w:trPr>
                      <w:trHeight w:val="547"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2"/>
                          <w:ind w:left="545" w:right="93"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560" w:type="dxa"/>
                        <w:vMerge/>
                        <w:tcBorders>
                          <w:left w:val="single" w:sz="4" w:space="0" w:color="000000"/>
                          <w:right w:val="single" w:sz="4" w:space="0" w:color="000000"/>
                        </w:tcBorders>
                        <w:shd w:val="clear" w:color="auto" w:fill="DCDCDC"/>
                      </w:tcPr>
                      <w:p>
                        <w:pPr/>
                      </w:p>
                    </w:tc>
                    <w:tc>
                      <w:tcPr>
                        <w:tcW w:w="738" w:type="dxa"/>
                        <w:vMerge/>
                        <w:tcBorders>
                          <w:left w:val="single" w:sz="4" w:space="0" w:color="000000"/>
                          <w:right w:val="single" w:sz="4" w:space="0" w:color="000000"/>
                        </w:tcBorders>
                        <w:shd w:val="clear" w:color="auto" w:fill="DCDCDC"/>
                      </w:tcPr>
                      <w:p>
                        <w:pPr/>
                      </w:p>
                    </w:tc>
                    <w:tc>
                      <w:tcPr>
                        <w:tcW w:w="86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2"/>
                          <w:ind w:left="54" w:right="46"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2"/>
                          <w:ind w:left="146" w:right="51" w:hanging="89"/>
                          <w:jc w:val="left"/>
                          <w:rPr>
                            <w:rFonts w:ascii="宋体" w:hAnsi="宋体" w:cs="宋体" w:eastAsia="宋体" w:hint="default"/>
                            <w:sz w:val="18"/>
                            <w:szCs w:val="18"/>
                          </w:rPr>
                        </w:pPr>
                        <w:r>
                          <w:rPr>
                            <w:rFonts w:ascii="宋体" w:hAnsi="宋体" w:cs="宋体" w:eastAsia="宋体" w:hint="default"/>
                            <w:sz w:val="18"/>
                            <w:szCs w:val="18"/>
                          </w:rPr>
                          <w:t>本年度投 入金额</w:t>
                        </w:r>
                      </w:p>
                    </w:tc>
                    <w:tc>
                      <w:tcPr>
                        <w:tcW w:w="74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right w:val="single" w:sz="4" w:space="0" w:color="000000"/>
                        </w:tcBorders>
                        <w:shd w:val="clear" w:color="auto" w:fill="DCDCDC"/>
                      </w:tcPr>
                      <w:p>
                        <w:pPr/>
                      </w:p>
                    </w:tc>
                    <w:tc>
                      <w:tcPr>
                        <w:tcW w:w="78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2"/>
                          <w:ind w:left="26" w:right="26"/>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650"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18"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738" w:type="dxa"/>
                        <w:vMerge/>
                        <w:tcBorders>
                          <w:left w:val="single" w:sz="4" w:space="0" w:color="000000"/>
                          <w:right w:val="single" w:sz="4" w:space="0" w:color="000000"/>
                        </w:tcBorders>
                        <w:shd w:val="clear" w:color="auto" w:fill="DCDCDC"/>
                      </w:tcPr>
                      <w:p>
                        <w:pPr/>
                      </w:p>
                    </w:tc>
                    <w:tc>
                      <w:tcPr>
                        <w:tcW w:w="863" w:type="dxa"/>
                        <w:vMerge w:val="restart"/>
                        <w:tcBorders>
                          <w:top w:val="nil" w:sz="6" w:space="0" w:color="auto"/>
                          <w:left w:val="single" w:sz="4" w:space="0" w:color="000000"/>
                          <w:right w:val="single" w:sz="4" w:space="0" w:color="000000"/>
                        </w:tcBorders>
                        <w:shd w:val="clear" w:color="auto" w:fill="DCDCDC"/>
                      </w:tcPr>
                      <w:p>
                        <w:pPr/>
                      </w:p>
                    </w:tc>
                    <w:tc>
                      <w:tcPr>
                        <w:tcW w:w="840" w:type="dxa"/>
                        <w:vMerge w:val="restart"/>
                        <w:tcBorders>
                          <w:top w:val="nil" w:sz="6" w:space="0" w:color="auto"/>
                          <w:left w:val="single" w:sz="4" w:space="0" w:color="000000"/>
                          <w:right w:val="single" w:sz="4" w:space="0" w:color="000000"/>
                        </w:tcBorders>
                        <w:shd w:val="clear" w:color="auto" w:fill="DCDCDC"/>
                      </w:tcPr>
                      <w:p>
                        <w:pPr/>
                      </w:p>
                    </w:tc>
                    <w:tc>
                      <w:tcPr>
                        <w:tcW w:w="74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bottom w:val="nil" w:sz="6" w:space="0" w:color="auto"/>
                          <w:right w:val="single" w:sz="4" w:space="0" w:color="000000"/>
                        </w:tcBorders>
                        <w:shd w:val="clear" w:color="auto" w:fill="DCDCDC"/>
                      </w:tcPr>
                      <w:p>
                        <w:pPr/>
                      </w:p>
                    </w:tc>
                    <w:tc>
                      <w:tcPr>
                        <w:tcW w:w="785" w:type="dxa"/>
                        <w:gridSpan w:val="2"/>
                        <w:vMerge w:val="restart"/>
                        <w:tcBorders>
                          <w:top w:val="nil" w:sz="6" w:space="0" w:color="auto"/>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10" w:hRule="exact"/>
                    </w:trPr>
                    <w:tc>
                      <w:tcPr>
                        <w:tcW w:w="1820"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738" w:type="dxa"/>
                        <w:vMerge/>
                        <w:tcBorders>
                          <w:left w:val="single" w:sz="4" w:space="0" w:color="000000"/>
                          <w:bottom w:val="nil" w:sz="6" w:space="0" w:color="auto"/>
                          <w:right w:val="single" w:sz="4" w:space="0" w:color="000000"/>
                        </w:tcBorders>
                        <w:shd w:val="clear" w:color="auto" w:fill="DCDCDC"/>
                      </w:tcPr>
                      <w:p>
                        <w:pPr/>
                      </w:p>
                    </w:tc>
                    <w:tc>
                      <w:tcPr>
                        <w:tcW w:w="863" w:type="dxa"/>
                        <w:vMerge/>
                        <w:tcBorders>
                          <w:left w:val="single" w:sz="4" w:space="0" w:color="000000"/>
                          <w:right w:val="single" w:sz="4" w:space="0" w:color="000000"/>
                        </w:tcBorders>
                        <w:shd w:val="clear" w:color="auto" w:fill="DCDCDC"/>
                      </w:tcPr>
                      <w:p>
                        <w:pPr/>
                      </w:p>
                    </w:tc>
                    <w:tc>
                      <w:tcPr>
                        <w:tcW w:w="840" w:type="dxa"/>
                        <w:vMerge/>
                        <w:tcBorders>
                          <w:left w:val="single" w:sz="4" w:space="0" w:color="000000"/>
                          <w:right w:val="single" w:sz="4" w:space="0" w:color="000000"/>
                        </w:tcBorders>
                        <w:shd w:val="clear" w:color="auto" w:fill="DCDCDC"/>
                      </w:tcPr>
                      <w:p>
                        <w:pPr/>
                      </w:p>
                    </w:tc>
                    <w:tc>
                      <w:tcPr>
                        <w:tcW w:w="744" w:type="dxa"/>
                        <w:gridSpan w:val="2"/>
                        <w:vMerge/>
                        <w:tcBorders>
                          <w:left w:val="single" w:sz="4" w:space="0" w:color="000000"/>
                          <w:bottom w:val="nil" w:sz="6" w:space="0" w:color="auto"/>
                          <w:right w:val="single" w:sz="4" w:space="0" w:color="000000"/>
                        </w:tcBorders>
                        <w:shd w:val="clear" w:color="auto" w:fill="DCDCDC"/>
                      </w:tcPr>
                      <w:p>
                        <w:pPr/>
                      </w:p>
                    </w:tc>
                    <w:tc>
                      <w:tcPr>
                        <w:tcW w:w="855" w:type="dxa"/>
                        <w:vMerge/>
                        <w:tcBorders>
                          <w:left w:val="single" w:sz="4" w:space="0" w:color="000000"/>
                          <w:bottom w:val="nil" w:sz="6" w:space="0" w:color="auto"/>
                          <w:right w:val="single" w:sz="4" w:space="0" w:color="000000"/>
                        </w:tcBorders>
                        <w:shd w:val="clear" w:color="auto" w:fill="DCDCDC"/>
                      </w:tcPr>
                      <w:p>
                        <w:pPr/>
                      </w:p>
                    </w:tc>
                    <w:tc>
                      <w:tcPr>
                        <w:tcW w:w="1122" w:type="dxa"/>
                        <w:vMerge w:val="restart"/>
                        <w:tcBorders>
                          <w:top w:val="nil" w:sz="6" w:space="0" w:color="auto"/>
                          <w:left w:val="single" w:sz="4" w:space="0" w:color="000000"/>
                          <w:right w:val="single" w:sz="4" w:space="0" w:color="000000"/>
                        </w:tcBorders>
                        <w:shd w:val="clear" w:color="auto" w:fill="DCDCDC"/>
                      </w:tcPr>
                      <w:p>
                        <w:pPr/>
                      </w:p>
                    </w:tc>
                    <w:tc>
                      <w:tcPr>
                        <w:tcW w:w="785" w:type="dxa"/>
                        <w:gridSpan w:val="2"/>
                        <w:vMerge/>
                        <w:tcBorders>
                          <w:left w:val="single" w:sz="4" w:space="0" w:color="000000"/>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r>
                  <w:tr>
                    <w:trPr>
                      <w:trHeight w:val="241"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60" w:type="dxa"/>
                        <w:vMerge/>
                        <w:tcBorders>
                          <w:left w:val="single" w:sz="4" w:space="0" w:color="000000"/>
                          <w:bottom w:val="single" w:sz="4" w:space="0" w:color="000000"/>
                          <w:right w:val="single" w:sz="4" w:space="0" w:color="000000"/>
                        </w:tcBorders>
                        <w:shd w:val="clear" w:color="auto" w:fill="DCDCDC"/>
                      </w:tcPr>
                      <w:p>
                        <w:pPr/>
                      </w:p>
                    </w:tc>
                    <w:tc>
                      <w:tcPr>
                        <w:tcW w:w="738" w:type="dxa"/>
                        <w:tcBorders>
                          <w:top w:val="nil" w:sz="6" w:space="0" w:color="auto"/>
                          <w:left w:val="single" w:sz="4" w:space="0" w:color="000000"/>
                          <w:bottom w:val="single" w:sz="4" w:space="0" w:color="000000"/>
                          <w:right w:val="single" w:sz="4" w:space="0" w:color="000000"/>
                        </w:tcBorders>
                        <w:shd w:val="clear" w:color="auto" w:fill="DCDCDC"/>
                      </w:tcPr>
                      <w:p>
                        <w:pPr/>
                      </w:p>
                    </w:tc>
                    <w:tc>
                      <w:tcPr>
                        <w:tcW w:w="863" w:type="dxa"/>
                        <w:vMerge/>
                        <w:tcBorders>
                          <w:left w:val="single" w:sz="4" w:space="0" w:color="000000"/>
                          <w:bottom w:val="single" w:sz="4" w:space="0" w:color="000000"/>
                          <w:right w:val="single" w:sz="4" w:space="0" w:color="000000"/>
                        </w:tcBorders>
                        <w:shd w:val="clear" w:color="auto" w:fill="DCDCDC"/>
                      </w:tcPr>
                      <w:p>
                        <w:pPr/>
                      </w:p>
                    </w:tc>
                    <w:tc>
                      <w:tcPr>
                        <w:tcW w:w="840" w:type="dxa"/>
                        <w:vMerge/>
                        <w:tcBorders>
                          <w:left w:val="single" w:sz="4" w:space="0" w:color="000000"/>
                          <w:bottom w:val="single" w:sz="4" w:space="0" w:color="000000"/>
                          <w:right w:val="single" w:sz="4" w:space="0" w:color="000000"/>
                        </w:tcBorders>
                        <w:shd w:val="clear" w:color="auto" w:fill="DCDCDC"/>
                      </w:tcPr>
                      <w:p>
                        <w:pPr/>
                      </w:p>
                    </w:tc>
                    <w:tc>
                      <w:tcPr>
                        <w:tcW w:w="744"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2" w:type="dxa"/>
                        <w:vMerge/>
                        <w:tcBorders>
                          <w:left w:val="single" w:sz="4" w:space="0" w:color="000000"/>
                          <w:bottom w:val="single" w:sz="4" w:space="0" w:color="000000"/>
                          <w:right w:val="single" w:sz="4" w:space="0" w:color="000000"/>
                        </w:tcBorders>
                        <w:shd w:val="clear" w:color="auto" w:fill="DCDCDC"/>
                      </w:tcPr>
                      <w:p>
                        <w:pPr/>
                      </w:p>
                    </w:tc>
                    <w:tc>
                      <w:tcPr>
                        <w:tcW w:w="785" w:type="dxa"/>
                        <w:gridSpan w:val="2"/>
                        <w:vMerge/>
                        <w:tcBorders>
                          <w:left w:val="single" w:sz="4" w:space="0" w:color="000000"/>
                          <w:bottom w:val="single" w:sz="4" w:space="0" w:color="000000"/>
                          <w:right w:val="single" w:sz="4" w:space="0" w:color="000000"/>
                        </w:tcBorders>
                        <w:shd w:val="clear" w:color="auto" w:fill="DCDCDC"/>
                      </w:tcPr>
                      <w:p>
                        <w:pPr/>
                      </w:p>
                    </w:tc>
                    <w:tc>
                      <w:tcPr>
                        <w:tcW w:w="650" w:type="dxa"/>
                        <w:vMerge/>
                        <w:tcBorders>
                          <w:left w:val="single" w:sz="4" w:space="0" w:color="000000"/>
                          <w:bottom w:val="single" w:sz="4" w:space="0" w:color="000000"/>
                          <w:right w:val="single" w:sz="4" w:space="0" w:color="000000"/>
                        </w:tcBorders>
                        <w:shd w:val="clear" w:color="auto" w:fill="DCDCDC"/>
                      </w:tcPr>
                      <w:p>
                        <w:pPr/>
                      </w:p>
                    </w:tc>
                    <w:tc>
                      <w:tcPr>
                        <w:tcW w:w="85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010" w:type="dxa"/>
                        <w:gridSpan w:val="12"/>
                        <w:tcBorders>
                          <w:top w:val="single" w:sz="4" w:space="0" w:color="000000"/>
                          <w:left w:val="single" w:sz="10" w:space="0" w:color="DCDCDC"/>
                          <w:bottom w:val="single" w:sz="4" w:space="0" w:color="000000"/>
                          <w:right w:val="single" w:sz="4" w:space="0" w:color="000000"/>
                        </w:tcBorders>
                      </w:tcPr>
                      <w:p>
                        <w:pPr/>
                      </w:p>
                    </w:tc>
                  </w:tr>
                  <w:tr>
                    <w:trPr>
                      <w:trHeight w:val="49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收购中丰田</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7"/>
                          <w:jc w:val="right"/>
                          <w:rPr>
                            <w:rFonts w:ascii="Times New Roman" w:hAnsi="Times New Roman" w:cs="Times New Roman" w:eastAsia="Times New Roman" w:hint="default"/>
                            <w:sz w:val="15"/>
                            <w:szCs w:val="15"/>
                          </w:rPr>
                        </w:pPr>
                        <w:r>
                          <w:rPr>
                            <w:rFonts w:ascii="Times New Roman"/>
                            <w:spacing w:val="-1"/>
                            <w:sz w:val="15"/>
                          </w:rPr>
                          <w:t>38,000.00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38,000.00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0.00</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12" w:right="0"/>
                          <w:jc w:val="left"/>
                          <w:rPr>
                            <w:rFonts w:ascii="Times New Roman" w:hAnsi="Times New Roman" w:cs="Times New Roman" w:eastAsia="Times New Roman" w:hint="default"/>
                            <w:sz w:val="15"/>
                            <w:szCs w:val="15"/>
                          </w:rPr>
                        </w:pPr>
                        <w:r>
                          <w:rPr>
                            <w:rFonts w:ascii="Times New Roman"/>
                            <w:sz w:val="15"/>
                          </w:rPr>
                          <w:t>35,977.05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5"/>
                          <w:jc w:val="right"/>
                          <w:rPr>
                            <w:rFonts w:ascii="Times New Roman" w:hAnsi="Times New Roman" w:cs="Times New Roman" w:eastAsia="Times New Roman" w:hint="default"/>
                            <w:sz w:val="15"/>
                            <w:szCs w:val="15"/>
                          </w:rPr>
                        </w:pPr>
                        <w:r>
                          <w:rPr>
                            <w:rFonts w:ascii="Times New Roman"/>
                            <w:spacing w:val="-1"/>
                            <w:sz w:val="15"/>
                          </w:rPr>
                          <w:t>94.68%</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2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2008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07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01</w:t>
                        </w:r>
                      </w:p>
                      <w:p>
                        <w:pPr>
                          <w:pStyle w:val="TableParagraph"/>
                          <w:spacing w:line="188" w:lineRule="exact"/>
                          <w:ind w:left="27" w:right="0"/>
                          <w:jc w:val="left"/>
                          <w:rPr>
                            <w:rFonts w:ascii="宋体" w:hAnsi="宋体" w:cs="宋体" w:eastAsia="宋体" w:hint="default"/>
                            <w:sz w:val="15"/>
                            <w:szCs w:val="15"/>
                          </w:rPr>
                        </w:pPr>
                        <w:r>
                          <w:rPr>
                            <w:rFonts w:ascii="宋体" w:hAnsi="宋体" w:cs="宋体" w:eastAsia="宋体" w:hint="default"/>
                            <w:w w:val="100"/>
                            <w:sz w:val="15"/>
                            <w:szCs w:val="15"/>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11" w:right="0"/>
                          <w:jc w:val="center"/>
                          <w:rPr>
                            <w:rFonts w:ascii="Times New Roman" w:hAnsi="Times New Roman" w:cs="Times New Roman" w:eastAsia="Times New Roman" w:hint="default"/>
                            <w:sz w:val="15"/>
                            <w:szCs w:val="15"/>
                          </w:rPr>
                        </w:pPr>
                        <w:r>
                          <w:rPr>
                            <w:rFonts w:ascii="Times New Roman"/>
                            <w:sz w:val="15"/>
                          </w:rPr>
                          <w:t>488.72</w:t>
                        </w:r>
                      </w:p>
                      <w:p>
                        <w:pPr>
                          <w:pStyle w:val="TableParagraph"/>
                          <w:spacing w:line="240" w:lineRule="auto" w:before="18"/>
                          <w:ind w:left="164" w:right="0"/>
                          <w:jc w:val="center"/>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w:t>
                        </w:r>
                        <w:r>
                          <w:rPr>
                            <w:rFonts w:ascii="宋体" w:hAnsi="宋体" w:cs="宋体" w:eastAsia="宋体" w:hint="default"/>
                            <w:sz w:val="15"/>
                            <w:szCs w:val="15"/>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9" w:right="0"/>
                          <w:jc w:val="lef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65"/>
                          <w:jc w:val="left"/>
                          <w:rPr>
                            <w:rFonts w:ascii="宋体" w:hAnsi="宋体" w:cs="宋体" w:eastAsia="宋体" w:hint="default"/>
                            <w:sz w:val="18"/>
                            <w:szCs w:val="18"/>
                          </w:rPr>
                        </w:pPr>
                        <w:r>
                          <w:rPr>
                            <w:rFonts w:ascii="宋体" w:hAnsi="宋体" w:cs="宋体" w:eastAsia="宋体" w:hint="default"/>
                            <w:sz w:val="18"/>
                            <w:szCs w:val="18"/>
                          </w:rPr>
                          <w:t>劲嘉集团包装印刷及 材料加工项目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5"/>
                            <w:szCs w:val="15"/>
                          </w:rPr>
                        </w:pPr>
                        <w:r>
                          <w:rPr>
                            <w:rFonts w:ascii="Times New Roman"/>
                            <w:spacing w:val="-1"/>
                            <w:sz w:val="15"/>
                          </w:rPr>
                          <w:t>43,861.00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43,861.00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4,774.27</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2" w:right="0"/>
                          <w:jc w:val="left"/>
                          <w:rPr>
                            <w:rFonts w:ascii="Times New Roman" w:hAnsi="Times New Roman" w:cs="Times New Roman" w:eastAsia="Times New Roman" w:hint="default"/>
                            <w:sz w:val="15"/>
                            <w:szCs w:val="15"/>
                          </w:rPr>
                        </w:pPr>
                        <w:r>
                          <w:rPr>
                            <w:rFonts w:ascii="Times New Roman"/>
                            <w:sz w:val="15"/>
                          </w:rPr>
                          <w:t>19,325.83</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5"/>
                            <w:szCs w:val="15"/>
                          </w:rPr>
                        </w:pPr>
                        <w:r>
                          <w:rPr>
                            <w:rFonts w:ascii="Times New Roman"/>
                            <w:spacing w:val="-1"/>
                            <w:sz w:val="15"/>
                          </w:rPr>
                          <w:t>44.06%</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53"/>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2012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21</w:t>
                        </w:r>
                      </w:p>
                      <w:p>
                        <w:pPr>
                          <w:pStyle w:val="TableParagraph"/>
                          <w:spacing w:line="190" w:lineRule="exact"/>
                          <w:ind w:left="27" w:right="0"/>
                          <w:jc w:val="left"/>
                          <w:rPr>
                            <w:rFonts w:ascii="宋体" w:hAnsi="宋体" w:cs="宋体" w:eastAsia="宋体" w:hint="default"/>
                            <w:sz w:val="15"/>
                            <w:szCs w:val="15"/>
                          </w:rPr>
                        </w:pPr>
                        <w:r>
                          <w:rPr>
                            <w:rFonts w:ascii="宋体" w:hAnsi="宋体" w:cs="宋体" w:eastAsia="宋体" w:hint="default"/>
                            <w:w w:val="100"/>
                            <w:sz w:val="15"/>
                            <w:szCs w:val="15"/>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7" w:right="0"/>
                          <w:jc w:val="left"/>
                          <w:rPr>
                            <w:rFonts w:ascii="Times New Roman" w:hAnsi="Times New Roman" w:cs="Times New Roman" w:eastAsia="Times New Roman" w:hint="default"/>
                            <w:sz w:val="15"/>
                            <w:szCs w:val="15"/>
                          </w:rPr>
                        </w:pPr>
                        <w:r>
                          <w:rPr>
                            <w:rFonts w:ascii="Times New Roman"/>
                            <w:sz w:val="15"/>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0"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9" w:right="0"/>
                          <w:jc w:val="lef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63"/>
                          <w:jc w:val="left"/>
                          <w:rPr>
                            <w:rFonts w:ascii="宋体" w:hAnsi="宋体" w:cs="宋体" w:eastAsia="宋体" w:hint="default"/>
                            <w:sz w:val="18"/>
                            <w:szCs w:val="18"/>
                          </w:rPr>
                        </w:pPr>
                        <w:r>
                          <w:rPr>
                            <w:rFonts w:ascii="宋体" w:hAnsi="宋体" w:cs="宋体" w:eastAsia="宋体" w:hint="default"/>
                            <w:sz w:val="18"/>
                            <w:szCs w:val="18"/>
                          </w:rPr>
                          <w:t>贵阳新型印刷包装材 料建设项目（一期）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5"/>
                            <w:szCs w:val="15"/>
                          </w:rPr>
                        </w:pPr>
                        <w:r>
                          <w:rPr>
                            <w:rFonts w:ascii="Times New Roman"/>
                            <w:spacing w:val="-1"/>
                            <w:sz w:val="15"/>
                          </w:rPr>
                          <w:t>23,998.00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23,998.00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0.00</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2" w:right="0"/>
                          <w:jc w:val="left"/>
                          <w:rPr>
                            <w:rFonts w:ascii="Times New Roman" w:hAnsi="Times New Roman" w:cs="Times New Roman" w:eastAsia="Times New Roman" w:hint="default"/>
                            <w:sz w:val="15"/>
                            <w:szCs w:val="15"/>
                          </w:rPr>
                        </w:pPr>
                        <w:r>
                          <w:rPr>
                            <w:rFonts w:ascii="Times New Roman"/>
                            <w:sz w:val="15"/>
                          </w:rPr>
                          <w:t>21,463.05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5"/>
                            <w:szCs w:val="15"/>
                          </w:rPr>
                        </w:pPr>
                        <w:r>
                          <w:rPr>
                            <w:rFonts w:ascii="Times New Roman"/>
                            <w:spacing w:val="-1"/>
                            <w:sz w:val="15"/>
                          </w:rPr>
                          <w:t>89.44%</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53"/>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2009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05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01</w:t>
                        </w:r>
                      </w:p>
                      <w:p>
                        <w:pPr>
                          <w:pStyle w:val="TableParagraph"/>
                          <w:spacing w:line="190" w:lineRule="exact"/>
                          <w:ind w:left="27" w:right="0"/>
                          <w:jc w:val="left"/>
                          <w:rPr>
                            <w:rFonts w:ascii="宋体" w:hAnsi="宋体" w:cs="宋体" w:eastAsia="宋体" w:hint="default"/>
                            <w:sz w:val="15"/>
                            <w:szCs w:val="15"/>
                          </w:rPr>
                        </w:pPr>
                        <w:r>
                          <w:rPr>
                            <w:rFonts w:ascii="宋体" w:hAnsi="宋体" w:cs="宋体" w:eastAsia="宋体" w:hint="default"/>
                            <w:w w:val="100"/>
                            <w:sz w:val="15"/>
                            <w:szCs w:val="15"/>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3" w:right="0"/>
                          <w:jc w:val="left"/>
                          <w:rPr>
                            <w:rFonts w:ascii="Times New Roman" w:hAnsi="Times New Roman" w:cs="Times New Roman" w:eastAsia="Times New Roman" w:hint="default"/>
                            <w:sz w:val="15"/>
                            <w:szCs w:val="15"/>
                          </w:rPr>
                        </w:pPr>
                        <w:r>
                          <w:rPr>
                            <w:rFonts w:ascii="Times New Roman"/>
                            <w:sz w:val="15"/>
                          </w:rPr>
                          <w:t>7,778.62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9" w:right="0"/>
                          <w:jc w:val="lef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9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7"/>
                          <w:jc w:val="right"/>
                          <w:rPr>
                            <w:rFonts w:ascii="Times New Roman" w:hAnsi="Times New Roman" w:cs="Times New Roman" w:eastAsia="Times New Roman" w:hint="default"/>
                            <w:sz w:val="15"/>
                            <w:szCs w:val="15"/>
                          </w:rPr>
                        </w:pPr>
                        <w:r>
                          <w:rPr>
                            <w:rFonts w:ascii="Times New Roman"/>
                            <w:spacing w:val="-1"/>
                            <w:sz w:val="15"/>
                          </w:rPr>
                          <w:t>9,327.95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9,327.95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0.00</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86" w:right="0"/>
                          <w:jc w:val="left"/>
                          <w:rPr>
                            <w:rFonts w:ascii="Times New Roman" w:hAnsi="Times New Roman" w:cs="Times New Roman" w:eastAsia="Times New Roman" w:hint="default"/>
                            <w:sz w:val="15"/>
                            <w:szCs w:val="15"/>
                          </w:rPr>
                        </w:pPr>
                        <w:r>
                          <w:rPr>
                            <w:rFonts w:ascii="Times New Roman"/>
                            <w:sz w:val="15"/>
                          </w:rPr>
                          <w:t>9,327.95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5"/>
                          <w:jc w:val="right"/>
                          <w:rPr>
                            <w:rFonts w:ascii="Times New Roman" w:hAnsi="Times New Roman" w:cs="Times New Roman" w:eastAsia="Times New Roman" w:hint="default"/>
                            <w:sz w:val="15"/>
                            <w:szCs w:val="15"/>
                          </w:rPr>
                        </w:pPr>
                        <w:r>
                          <w:rPr>
                            <w:rFonts w:ascii="Times New Roman"/>
                            <w:spacing w:val="-1"/>
                            <w:sz w:val="15"/>
                          </w:rPr>
                          <w:t>100.00%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2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2007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w:t>
                        </w:r>
                      </w:p>
                      <w:p>
                        <w:pPr>
                          <w:pStyle w:val="TableParagraph"/>
                          <w:spacing w:line="188" w:lineRule="exact"/>
                          <w:ind w:left="27" w:right="0"/>
                          <w:jc w:val="left"/>
                          <w:rPr>
                            <w:rFonts w:ascii="宋体" w:hAnsi="宋体" w:cs="宋体" w:eastAsia="宋体" w:hint="default"/>
                            <w:sz w:val="15"/>
                            <w:szCs w:val="15"/>
                          </w:rPr>
                        </w:pPr>
                        <w:r>
                          <w:rPr>
                            <w:rFonts w:ascii="宋体" w:hAnsi="宋体" w:cs="宋体" w:eastAsia="宋体" w:hint="default"/>
                            <w:w w:val="100"/>
                            <w:sz w:val="15"/>
                            <w:szCs w:val="15"/>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11" w:right="0"/>
                          <w:jc w:val="center"/>
                          <w:rPr>
                            <w:rFonts w:ascii="Times New Roman" w:hAnsi="Times New Roman" w:cs="Times New Roman" w:eastAsia="Times New Roman" w:hint="default"/>
                            <w:sz w:val="15"/>
                            <w:szCs w:val="15"/>
                          </w:rPr>
                        </w:pPr>
                        <w:r>
                          <w:rPr>
                            <w:rFonts w:ascii="Times New Roman"/>
                            <w:sz w:val="15"/>
                          </w:rPr>
                          <w:t>531.80</w:t>
                        </w:r>
                      </w:p>
                      <w:p>
                        <w:pPr>
                          <w:pStyle w:val="TableParagraph"/>
                          <w:spacing w:line="240" w:lineRule="auto" w:before="18"/>
                          <w:ind w:left="164" w:right="0"/>
                          <w:jc w:val="center"/>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2</w:t>
                        </w:r>
                        <w:r>
                          <w:rPr>
                            <w:rFonts w:ascii="宋体" w:hAnsi="宋体" w:cs="宋体" w:eastAsia="宋体" w:hint="default"/>
                            <w:sz w:val="15"/>
                            <w:szCs w:val="15"/>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9" w:right="0"/>
                          <w:jc w:val="lef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85"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
                          <w:jc w:val="right"/>
                          <w:rPr>
                            <w:rFonts w:ascii="Times New Roman" w:hAnsi="Times New Roman" w:cs="Times New Roman" w:eastAsia="Times New Roman" w:hint="default"/>
                            <w:sz w:val="15"/>
                            <w:szCs w:val="15"/>
                          </w:rPr>
                        </w:pPr>
                        <w:r>
                          <w:rPr>
                            <w:rFonts w:ascii="Times New Roman"/>
                            <w:spacing w:val="-2"/>
                            <w:sz w:val="15"/>
                          </w:rPr>
                          <w:t>115,186.95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8"/>
                          <w:jc w:val="right"/>
                          <w:rPr>
                            <w:rFonts w:ascii="Times New Roman" w:hAnsi="Times New Roman" w:cs="Times New Roman" w:eastAsia="Times New Roman" w:hint="default"/>
                            <w:sz w:val="15"/>
                            <w:szCs w:val="15"/>
                          </w:rPr>
                        </w:pPr>
                        <w:r>
                          <w:rPr>
                            <w:rFonts w:ascii="Times New Roman"/>
                            <w:spacing w:val="-2"/>
                            <w:sz w:val="15"/>
                          </w:rPr>
                          <w:t>115,186.95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6"/>
                          <w:jc w:val="right"/>
                          <w:rPr>
                            <w:rFonts w:ascii="Times New Roman" w:hAnsi="Times New Roman" w:cs="Times New Roman" w:eastAsia="Times New Roman" w:hint="default"/>
                            <w:sz w:val="15"/>
                            <w:szCs w:val="15"/>
                          </w:rPr>
                        </w:pPr>
                        <w:r>
                          <w:rPr>
                            <w:rFonts w:ascii="Times New Roman"/>
                            <w:spacing w:val="-1"/>
                            <w:sz w:val="15"/>
                          </w:rPr>
                          <w:t>4,774.27</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12" w:right="0"/>
                          <w:jc w:val="left"/>
                          <w:rPr>
                            <w:rFonts w:ascii="Times New Roman" w:hAnsi="Times New Roman" w:cs="Times New Roman" w:eastAsia="Times New Roman" w:hint="default"/>
                            <w:sz w:val="15"/>
                            <w:szCs w:val="15"/>
                          </w:rPr>
                        </w:pPr>
                        <w:r>
                          <w:rPr>
                            <w:rFonts w:ascii="Times New Roman"/>
                            <w:sz w:val="15"/>
                          </w:rPr>
                          <w:t>86,093.88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5"/>
                            <w:szCs w:val="15"/>
                          </w:rPr>
                        </w:pPr>
                        <w:r>
                          <w:rPr>
                            <w:rFonts w:ascii="Times New Roman"/>
                            <w:w w:val="100"/>
                            <w:sz w:val="15"/>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26"/>
                          <w:jc w:val="right"/>
                          <w:rPr>
                            <w:rFonts w:ascii="Times New Roman" w:hAnsi="Times New Roman" w:cs="Times New Roman" w:eastAsia="Times New Roman" w:hint="default"/>
                            <w:sz w:val="15"/>
                            <w:szCs w:val="15"/>
                          </w:rPr>
                        </w:pPr>
                        <w:r>
                          <w:rPr>
                            <w:rFonts w:ascii="Times New Roman"/>
                            <w:w w:val="100"/>
                            <w:sz w:val="15"/>
                          </w:rPr>
                          <w:t>-</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3" w:right="0"/>
                          <w:jc w:val="left"/>
                          <w:rPr>
                            <w:rFonts w:ascii="Times New Roman" w:hAnsi="Times New Roman" w:cs="Times New Roman" w:eastAsia="Times New Roman" w:hint="default"/>
                            <w:sz w:val="15"/>
                            <w:szCs w:val="15"/>
                          </w:rPr>
                        </w:pPr>
                        <w:r>
                          <w:rPr>
                            <w:rFonts w:ascii="Times New Roman"/>
                            <w:sz w:val="15"/>
                          </w:rPr>
                          <w:t>8,799.14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97"/>
                          <w:jc w:val="right"/>
                          <w:rPr>
                            <w:rFonts w:ascii="Times New Roman" w:hAnsi="Times New Roman" w:cs="Times New Roman" w:eastAsia="Times New Roman" w:hint="default"/>
                            <w:sz w:val="15"/>
                            <w:szCs w:val="15"/>
                          </w:rPr>
                        </w:pPr>
                        <w:r>
                          <w:rPr>
                            <w:rFonts w:ascii="Times New Roman"/>
                            <w:w w:val="100"/>
                            <w:sz w:val="15"/>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96"/>
                          <w:jc w:val="right"/>
                          <w:rPr>
                            <w:rFonts w:ascii="Times New Roman" w:hAnsi="Times New Roman" w:cs="Times New Roman" w:eastAsia="Times New Roman" w:hint="default"/>
                            <w:sz w:val="15"/>
                            <w:szCs w:val="15"/>
                          </w:rPr>
                        </w:pPr>
                        <w:r>
                          <w:rPr>
                            <w:rFonts w:ascii="Times New Roman"/>
                            <w:w w:val="100"/>
                            <w:sz w:val="15"/>
                          </w:rPr>
                          <w:t>-</w:t>
                        </w:r>
                      </w:p>
                    </w:tc>
                  </w:tr>
                  <w:tr>
                    <w:trPr>
                      <w:trHeight w:val="32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8010" w:type="dxa"/>
                        <w:gridSpan w:val="12"/>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15"/>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8"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44" w:type="dxa"/>
                        <w:gridSpan w:val="2"/>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26"/>
                          <w:jc w:val="right"/>
                          <w:rPr>
                            <w:rFonts w:ascii="Times New Roman" w:hAnsi="Times New Roman" w:cs="Times New Roman" w:eastAsia="Times New Roman" w:hint="default"/>
                            <w:sz w:val="15"/>
                            <w:szCs w:val="15"/>
                          </w:rPr>
                        </w:pPr>
                        <w:r>
                          <w:rPr>
                            <w:rFonts w:ascii="Times New Roman"/>
                            <w:w w:val="100"/>
                            <w:sz w:val="15"/>
                          </w:rPr>
                          <w:t>-</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Times New Roman" w:hAnsi="Times New Roman" w:cs="Times New Roman" w:eastAsia="Times New Roman" w:hint="default"/>
                            <w:sz w:val="15"/>
                            <w:szCs w:val="15"/>
                          </w:rPr>
                        </w:pPr>
                        <w:r>
                          <w:rPr>
                            <w:rFonts w:ascii="Times New Roman"/>
                            <w:w w:val="100"/>
                            <w:sz w:val="15"/>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97"/>
                          <w:jc w:val="right"/>
                          <w:rPr>
                            <w:rFonts w:ascii="Times New Roman" w:hAnsi="Times New Roman" w:cs="Times New Roman" w:eastAsia="Times New Roman" w:hint="default"/>
                            <w:sz w:val="15"/>
                            <w:szCs w:val="15"/>
                          </w:rPr>
                        </w:pPr>
                        <w:r>
                          <w:rPr>
                            <w:rFonts w:ascii="Times New Roman"/>
                            <w:w w:val="100"/>
                            <w:sz w:val="15"/>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96"/>
                          <w:jc w:val="right"/>
                          <w:rPr>
                            <w:rFonts w:ascii="Times New Roman" w:hAnsi="Times New Roman" w:cs="Times New Roman" w:eastAsia="Times New Roman" w:hint="default"/>
                            <w:sz w:val="15"/>
                            <w:szCs w:val="15"/>
                          </w:rPr>
                        </w:pPr>
                        <w:r>
                          <w:rPr>
                            <w:rFonts w:ascii="Times New Roman"/>
                            <w:w w:val="100"/>
                            <w:sz w:val="15"/>
                          </w:rPr>
                          <w:t>-</w:t>
                        </w: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15"/>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8"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44" w:type="dxa"/>
                        <w:gridSpan w:val="2"/>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26"/>
                          <w:jc w:val="right"/>
                          <w:rPr>
                            <w:rFonts w:ascii="Times New Roman" w:hAnsi="Times New Roman" w:cs="Times New Roman" w:eastAsia="Times New Roman" w:hint="default"/>
                            <w:sz w:val="15"/>
                            <w:szCs w:val="15"/>
                          </w:rPr>
                        </w:pPr>
                        <w:r>
                          <w:rPr>
                            <w:rFonts w:ascii="Times New Roman"/>
                            <w:w w:val="100"/>
                            <w:sz w:val="15"/>
                          </w:rPr>
                          <w:t>-</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Times New Roman" w:hAnsi="Times New Roman" w:cs="Times New Roman" w:eastAsia="Times New Roman" w:hint="default"/>
                            <w:sz w:val="15"/>
                            <w:szCs w:val="15"/>
                          </w:rPr>
                        </w:pPr>
                        <w:r>
                          <w:rPr>
                            <w:rFonts w:ascii="Times New Roman"/>
                            <w:w w:val="100"/>
                            <w:sz w:val="15"/>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97"/>
                          <w:jc w:val="right"/>
                          <w:rPr>
                            <w:rFonts w:ascii="Times New Roman" w:hAnsi="Times New Roman" w:cs="Times New Roman" w:eastAsia="Times New Roman" w:hint="default"/>
                            <w:sz w:val="15"/>
                            <w:szCs w:val="15"/>
                          </w:rPr>
                        </w:pPr>
                        <w:r>
                          <w:rPr>
                            <w:rFonts w:ascii="Times New Roman"/>
                            <w:w w:val="100"/>
                            <w:sz w:val="15"/>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96"/>
                          <w:jc w:val="right"/>
                          <w:rPr>
                            <w:rFonts w:ascii="Times New Roman" w:hAnsi="Times New Roman" w:cs="Times New Roman" w:eastAsia="Times New Roman" w:hint="default"/>
                            <w:sz w:val="15"/>
                            <w:szCs w:val="15"/>
                          </w:rPr>
                        </w:pPr>
                        <w:r>
                          <w:rPr>
                            <w:rFonts w:ascii="Times New Roman"/>
                            <w:w w:val="100"/>
                            <w:sz w:val="15"/>
                          </w:rPr>
                          <w:t>-</w:t>
                        </w: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85"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6"/>
                          <w:jc w:val="right"/>
                          <w:rPr>
                            <w:rFonts w:ascii="Times New Roman" w:hAnsi="Times New Roman" w:cs="Times New Roman" w:eastAsia="Times New Roman" w:hint="default"/>
                            <w:sz w:val="15"/>
                            <w:szCs w:val="15"/>
                          </w:rPr>
                        </w:pPr>
                        <w:r>
                          <w:rPr>
                            <w:rFonts w:ascii="Times New Roman"/>
                            <w:spacing w:val="-1"/>
                            <w:sz w:val="15"/>
                          </w:rPr>
                          <w:t>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6"/>
                          <w:jc w:val="right"/>
                          <w:rPr>
                            <w:rFonts w:ascii="Times New Roman" w:hAnsi="Times New Roman" w:cs="Times New Roman" w:eastAsia="Times New Roman" w:hint="default"/>
                            <w:sz w:val="15"/>
                            <w:szCs w:val="15"/>
                          </w:rPr>
                        </w:pPr>
                        <w:r>
                          <w:rPr>
                            <w:rFonts w:ascii="Times New Roman"/>
                            <w:spacing w:val="-1"/>
                            <w:sz w:val="15"/>
                          </w:rPr>
                          <w:t>0.00</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51" w:right="0"/>
                          <w:jc w:val="left"/>
                          <w:rPr>
                            <w:rFonts w:ascii="Times New Roman" w:hAnsi="Times New Roman" w:cs="Times New Roman" w:eastAsia="Times New Roman" w:hint="default"/>
                            <w:sz w:val="15"/>
                            <w:szCs w:val="15"/>
                          </w:rPr>
                        </w:pPr>
                        <w:r>
                          <w:rPr>
                            <w:rFonts w:ascii="Times New Roman"/>
                            <w:sz w:val="15"/>
                          </w:rPr>
                          <w:t>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5"/>
                            <w:szCs w:val="15"/>
                          </w:rPr>
                        </w:pPr>
                        <w:r>
                          <w:rPr>
                            <w:rFonts w:ascii="Times New Roman"/>
                            <w:w w:val="100"/>
                            <w:sz w:val="15"/>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26"/>
                          <w:jc w:val="right"/>
                          <w:rPr>
                            <w:rFonts w:ascii="Times New Roman" w:hAnsi="Times New Roman" w:cs="Times New Roman" w:eastAsia="Times New Roman" w:hint="default"/>
                            <w:sz w:val="15"/>
                            <w:szCs w:val="15"/>
                          </w:rPr>
                        </w:pPr>
                        <w:r>
                          <w:rPr>
                            <w:rFonts w:ascii="Times New Roman"/>
                            <w:w w:val="100"/>
                            <w:sz w:val="15"/>
                          </w:rPr>
                          <w:t>-</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87" w:right="0"/>
                          <w:jc w:val="left"/>
                          <w:rPr>
                            <w:rFonts w:ascii="Times New Roman" w:hAnsi="Times New Roman" w:cs="Times New Roman" w:eastAsia="Times New Roman" w:hint="default"/>
                            <w:sz w:val="15"/>
                            <w:szCs w:val="15"/>
                          </w:rPr>
                        </w:pPr>
                        <w:r>
                          <w:rPr>
                            <w:rFonts w:ascii="Times New Roman"/>
                            <w:sz w:val="15"/>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97"/>
                          <w:jc w:val="right"/>
                          <w:rPr>
                            <w:rFonts w:ascii="Times New Roman" w:hAnsi="Times New Roman" w:cs="Times New Roman" w:eastAsia="Times New Roman" w:hint="default"/>
                            <w:sz w:val="15"/>
                            <w:szCs w:val="15"/>
                          </w:rPr>
                        </w:pPr>
                        <w:r>
                          <w:rPr>
                            <w:rFonts w:ascii="Times New Roman"/>
                            <w:w w:val="100"/>
                            <w:sz w:val="15"/>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96"/>
                          <w:jc w:val="right"/>
                          <w:rPr>
                            <w:rFonts w:ascii="Times New Roman" w:hAnsi="Times New Roman" w:cs="Times New Roman" w:eastAsia="Times New Roman" w:hint="default"/>
                            <w:sz w:val="15"/>
                            <w:szCs w:val="15"/>
                          </w:rPr>
                        </w:pPr>
                        <w:r>
                          <w:rPr>
                            <w:rFonts w:ascii="Times New Roman"/>
                            <w:w w:val="100"/>
                            <w:sz w:val="15"/>
                          </w:rPr>
                          <w:t>-</w:t>
                        </w:r>
                      </w:p>
                    </w:tc>
                  </w:tr>
                  <w:tr>
                    <w:trPr>
                      <w:trHeight w:val="32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
                          <w:jc w:val="right"/>
                          <w:rPr>
                            <w:rFonts w:ascii="Times New Roman" w:hAnsi="Times New Roman" w:cs="Times New Roman" w:eastAsia="Times New Roman" w:hint="default"/>
                            <w:sz w:val="15"/>
                            <w:szCs w:val="15"/>
                          </w:rPr>
                        </w:pPr>
                        <w:r>
                          <w:rPr>
                            <w:rFonts w:ascii="Times New Roman"/>
                            <w:spacing w:val="-2"/>
                            <w:sz w:val="15"/>
                          </w:rPr>
                          <w:t>115,186.95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8"/>
                          <w:jc w:val="right"/>
                          <w:rPr>
                            <w:rFonts w:ascii="Times New Roman" w:hAnsi="Times New Roman" w:cs="Times New Roman" w:eastAsia="Times New Roman" w:hint="default"/>
                            <w:sz w:val="15"/>
                            <w:szCs w:val="15"/>
                          </w:rPr>
                        </w:pPr>
                        <w:r>
                          <w:rPr>
                            <w:rFonts w:ascii="Times New Roman"/>
                            <w:spacing w:val="-2"/>
                            <w:sz w:val="15"/>
                          </w:rPr>
                          <w:t>115,186.95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6"/>
                          <w:jc w:val="right"/>
                          <w:rPr>
                            <w:rFonts w:ascii="Times New Roman" w:hAnsi="Times New Roman" w:cs="Times New Roman" w:eastAsia="Times New Roman" w:hint="default"/>
                            <w:sz w:val="15"/>
                            <w:szCs w:val="15"/>
                          </w:rPr>
                        </w:pPr>
                        <w:r>
                          <w:rPr>
                            <w:rFonts w:ascii="Times New Roman"/>
                            <w:spacing w:val="-1"/>
                            <w:sz w:val="15"/>
                          </w:rPr>
                          <w:t>4,774.27</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12" w:right="0"/>
                          <w:jc w:val="left"/>
                          <w:rPr>
                            <w:rFonts w:ascii="Times New Roman" w:hAnsi="Times New Roman" w:cs="Times New Roman" w:eastAsia="Times New Roman" w:hint="default"/>
                            <w:sz w:val="15"/>
                            <w:szCs w:val="15"/>
                          </w:rPr>
                        </w:pPr>
                        <w:r>
                          <w:rPr>
                            <w:rFonts w:ascii="Times New Roman"/>
                            <w:sz w:val="15"/>
                          </w:rPr>
                          <w:t>86,093.88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5"/>
                            <w:szCs w:val="15"/>
                          </w:rPr>
                        </w:pPr>
                        <w:r>
                          <w:rPr>
                            <w:rFonts w:ascii="Times New Roman"/>
                            <w:w w:val="100"/>
                            <w:sz w:val="15"/>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26"/>
                          <w:jc w:val="right"/>
                          <w:rPr>
                            <w:rFonts w:ascii="Times New Roman" w:hAnsi="Times New Roman" w:cs="Times New Roman" w:eastAsia="Times New Roman" w:hint="default"/>
                            <w:sz w:val="15"/>
                            <w:szCs w:val="15"/>
                          </w:rPr>
                        </w:pPr>
                        <w:r>
                          <w:rPr>
                            <w:rFonts w:ascii="Times New Roman"/>
                            <w:w w:val="100"/>
                            <w:sz w:val="15"/>
                          </w:rPr>
                          <w:t>-</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3" w:right="0"/>
                          <w:jc w:val="left"/>
                          <w:rPr>
                            <w:rFonts w:ascii="Times New Roman" w:hAnsi="Times New Roman" w:cs="Times New Roman" w:eastAsia="Times New Roman" w:hint="default"/>
                            <w:sz w:val="15"/>
                            <w:szCs w:val="15"/>
                          </w:rPr>
                        </w:pPr>
                        <w:r>
                          <w:rPr>
                            <w:rFonts w:ascii="Times New Roman"/>
                            <w:sz w:val="15"/>
                          </w:rPr>
                          <w:t>8,799.14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97"/>
                          <w:jc w:val="right"/>
                          <w:rPr>
                            <w:rFonts w:ascii="Times New Roman" w:hAnsi="Times New Roman" w:cs="Times New Roman" w:eastAsia="Times New Roman" w:hint="default"/>
                            <w:sz w:val="15"/>
                            <w:szCs w:val="15"/>
                          </w:rPr>
                        </w:pPr>
                        <w:r>
                          <w:rPr>
                            <w:rFonts w:ascii="Times New Roman"/>
                            <w:w w:val="100"/>
                            <w:sz w:val="15"/>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96"/>
                          <w:jc w:val="right"/>
                          <w:rPr>
                            <w:rFonts w:ascii="Times New Roman" w:hAnsi="Times New Roman" w:cs="Times New Roman" w:eastAsia="Times New Roman" w:hint="default"/>
                            <w:sz w:val="15"/>
                            <w:szCs w:val="15"/>
                          </w:rPr>
                        </w:pPr>
                        <w:r>
                          <w:rPr>
                            <w:rFonts w:ascii="Times New Roman"/>
                            <w:w w:val="100"/>
                            <w:sz w:val="15"/>
                          </w:rPr>
                          <w:t>-</w:t>
                        </w:r>
                      </w:p>
                    </w:tc>
                  </w:tr>
                  <w:tr>
                    <w:trPr>
                      <w:trHeight w:val="3440"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96" w:right="93"/>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30" w:lineRule="exact"/>
                          <w:ind w:left="2"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“劲嘉集团包装印刷及材料加工项目”按公司《首次公开发行招股说明书》披露：原计划从</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年初</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开始实施前期准备工作，至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年中期完成土建安装工程，</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月份新增生产线开始正式生产</w:t>
                        </w:r>
                      </w:p>
                      <w:p>
                        <w:pPr>
                          <w:pStyle w:val="TableParagraph"/>
                          <w:spacing w:line="241" w:lineRule="exact" w:before="27"/>
                          <w:ind w:left="23" w:right="0"/>
                          <w:jc w:val="left"/>
                          <w:rPr>
                            <w:rFonts w:ascii="宋体" w:hAnsi="宋体" w:cs="宋体" w:eastAsia="宋体" w:hint="default"/>
                            <w:sz w:val="18"/>
                            <w:szCs w:val="18"/>
                          </w:rPr>
                        </w:pPr>
                        <w:r>
                          <w:rPr>
                            <w:rFonts w:ascii="宋体" w:hAnsi="宋体" w:cs="宋体" w:eastAsia="宋体" w:hint="default"/>
                            <w:sz w:val="18"/>
                            <w:szCs w:val="18"/>
                          </w:rPr>
                          <w:t>因原购置规划用地上拆迁工作部分受阻，其中规划地块内有约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26,600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平米面积的土地政府未能完成征</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地手续，经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日公司第二届董事会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年第三次董事会决议，该项目进度比原计划延迟</w:t>
                        </w:r>
                      </w:p>
                      <w:p>
                        <w:pPr>
                          <w:pStyle w:val="TableParagraph"/>
                          <w:spacing w:line="23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个月以上。为了避免再影响项目的工程进展，公司多次向政府申请土地置换。</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月政府同意</w:t>
                        </w:r>
                      </w:p>
                      <w:p>
                        <w:pPr>
                          <w:pStyle w:val="TableParagraph"/>
                          <w:spacing w:line="228" w:lineRule="auto" w:before="2"/>
                          <w:ind w:left="23" w:right="20"/>
                          <w:jc w:val="left"/>
                          <w:rPr>
                            <w:rFonts w:ascii="宋体" w:hAnsi="宋体" w:cs="宋体" w:eastAsia="宋体" w:hint="default"/>
                            <w:sz w:val="18"/>
                            <w:szCs w:val="18"/>
                          </w:rPr>
                        </w:pPr>
                        <w:r>
                          <w:rPr>
                            <w:rFonts w:ascii="宋体" w:hAnsi="宋体" w:cs="宋体" w:eastAsia="宋体" w:hint="default"/>
                            <w:spacing w:val="-4"/>
                            <w:sz w:val="18"/>
                            <w:szCs w:val="18"/>
                          </w:rPr>
                          <w:t>对该部分未能完成征收的土地进行置换。</w:t>
                        </w:r>
                        <w:r>
                          <w:rPr>
                            <w:rFonts w:ascii="Times New Roman" w:hAnsi="Times New Roman" w:cs="Times New Roman" w:eastAsia="Times New Roman" w:hint="default"/>
                            <w:spacing w:val="-4"/>
                            <w:sz w:val="18"/>
                            <w:szCs w:val="18"/>
                          </w:rPr>
                          <w:t>2009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pacing w:val="-5"/>
                            <w:sz w:val="18"/>
                            <w:szCs w:val="18"/>
                          </w:rPr>
                          <w:t>日深圳市规划局宝安分局重新核发了新的《建</w:t>
                        </w:r>
                        <w:r>
                          <w:rPr>
                            <w:rFonts w:ascii="宋体" w:hAnsi="宋体" w:cs="宋体" w:eastAsia="宋体" w:hint="default"/>
                            <w:sz w:val="18"/>
                            <w:szCs w:val="18"/>
                          </w:rPr>
                          <w:t> </w:t>
                        </w:r>
                        <w:r>
                          <w:rPr>
                            <w:rFonts w:ascii="宋体" w:hAnsi="宋体" w:cs="宋体" w:eastAsia="宋体" w:hint="default"/>
                            <w:spacing w:val="-7"/>
                            <w:sz w:val="18"/>
                            <w:szCs w:val="18"/>
                          </w:rPr>
                          <w:t>设用地规划许可证》（深规土许</w:t>
                        </w:r>
                        <w:r>
                          <w:rPr>
                            <w:rFonts w:ascii="宋体" w:hAnsi="宋体" w:cs="宋体" w:eastAsia="宋体" w:hint="default"/>
                            <w:spacing w:val="-41"/>
                            <w:sz w:val="18"/>
                            <w:szCs w:val="18"/>
                          </w:rPr>
                          <w:t> </w:t>
                        </w:r>
                        <w:r>
                          <w:rPr>
                            <w:rFonts w:ascii="Times New Roman" w:hAnsi="Times New Roman" w:cs="Times New Roman" w:eastAsia="Times New Roman" w:hint="default"/>
                            <w:spacing w:val="-1"/>
                            <w:w w:val="99"/>
                            <w:sz w:val="18"/>
                            <w:szCs w:val="18"/>
                          </w:rPr>
                          <w:t>BA-2009-0171</w:t>
                        </w:r>
                        <w:r>
                          <w:rPr>
                            <w:rFonts w:ascii="Times New Roman" w:hAnsi="Times New Roman" w:cs="Times New Roman" w:eastAsia="Times New Roman" w:hint="default"/>
                            <w:spacing w:val="5"/>
                            <w:w w:val="99"/>
                            <w:sz w:val="18"/>
                            <w:szCs w:val="18"/>
                          </w:rPr>
                          <w:t> </w:t>
                        </w:r>
                        <w:r>
                          <w:rPr>
                            <w:rFonts w:ascii="宋体" w:hAnsi="宋体" w:cs="宋体" w:eastAsia="宋体" w:hint="default"/>
                            <w:spacing w:val="-14"/>
                            <w:w w:val="99"/>
                            <w:sz w:val="18"/>
                            <w:szCs w:val="18"/>
                          </w:rPr>
                          <w:t>号），</w:t>
                        </w:r>
                        <w:r>
                          <w:rPr>
                            <w:rFonts w:ascii="Times New Roman" w:hAnsi="Times New Roman" w:cs="Times New Roman" w:eastAsia="Times New Roman" w:hint="default"/>
                            <w:spacing w:val="-14"/>
                            <w:w w:val="99"/>
                            <w:sz w:val="18"/>
                            <w:szCs w:val="18"/>
                          </w:rPr>
                          <w:t>2010</w:t>
                        </w:r>
                        <w:r>
                          <w:rPr>
                            <w:rFonts w:ascii="Times New Roman" w:hAnsi="Times New Roman" w:cs="Times New Roman" w:eastAsia="Times New Roman" w:hint="default"/>
                            <w:spacing w:val="5"/>
                            <w:w w:val="99"/>
                            <w:sz w:val="18"/>
                            <w:szCs w:val="18"/>
                          </w:rPr>
                          <w:t> </w:t>
                        </w:r>
                        <w:r>
                          <w:rPr>
                            <w:rFonts w:ascii="宋体" w:hAnsi="宋体" w:cs="宋体" w:eastAsia="宋体" w:hint="default"/>
                            <w:w w:val="99"/>
                            <w:sz w:val="18"/>
                            <w:szCs w:val="18"/>
                          </w:rPr>
                          <w:t>年</w:t>
                        </w:r>
                        <w:r>
                          <w:rPr>
                            <w:rFonts w:ascii="宋体" w:hAnsi="宋体" w:cs="宋体" w:eastAsia="宋体" w:hint="default"/>
                            <w:spacing w:val="-44"/>
                            <w:w w:val="99"/>
                            <w:sz w:val="18"/>
                            <w:szCs w:val="18"/>
                          </w:rPr>
                          <w:t> </w:t>
                        </w:r>
                        <w:r>
                          <w:rPr>
                            <w:rFonts w:ascii="Times New Roman" w:hAnsi="Times New Roman" w:cs="Times New Roman" w:eastAsia="Times New Roman" w:hint="default"/>
                            <w:w w:val="99"/>
                            <w:sz w:val="18"/>
                            <w:szCs w:val="18"/>
                          </w:rPr>
                          <w:t>12</w:t>
                        </w:r>
                        <w:r>
                          <w:rPr>
                            <w:rFonts w:ascii="Times New Roman" w:hAnsi="Times New Roman" w:cs="Times New Roman" w:eastAsia="Times New Roman" w:hint="default"/>
                            <w:spacing w:val="4"/>
                            <w:w w:val="99"/>
                            <w:sz w:val="18"/>
                            <w:szCs w:val="18"/>
                          </w:rPr>
                          <w:t> </w:t>
                        </w:r>
                        <w:r>
                          <w:rPr>
                            <w:rFonts w:ascii="宋体" w:hAnsi="宋体" w:cs="宋体" w:eastAsia="宋体" w:hint="default"/>
                            <w:w w:val="99"/>
                            <w:sz w:val="18"/>
                            <w:szCs w:val="18"/>
                          </w:rPr>
                          <w:t>月</w:t>
                        </w:r>
                        <w:r>
                          <w:rPr>
                            <w:rFonts w:ascii="宋体" w:hAnsi="宋体" w:cs="宋体" w:eastAsia="宋体" w:hint="default"/>
                            <w:spacing w:val="-44"/>
                            <w:w w:val="99"/>
                            <w:sz w:val="18"/>
                            <w:szCs w:val="18"/>
                          </w:rPr>
                          <w:t> </w:t>
                        </w:r>
                        <w:r>
                          <w:rPr>
                            <w:rFonts w:ascii="Times New Roman" w:hAnsi="Times New Roman" w:cs="Times New Roman" w:eastAsia="Times New Roman" w:hint="default"/>
                            <w:spacing w:val="-1"/>
                            <w:w w:val="99"/>
                            <w:sz w:val="18"/>
                            <w:szCs w:val="18"/>
                          </w:rPr>
                          <w:t>21</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1"/>
                            <w:w w:val="99"/>
                            <w:sz w:val="18"/>
                            <w:szCs w:val="18"/>
                          </w:rPr>
                          <w:t>日，公司取得了《关于申请办理</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pacing w:val="-3"/>
                            <w:w w:val="99"/>
                            <w:sz w:val="18"/>
                            <w:szCs w:val="18"/>
                          </w:rPr>
                          <w:t>劲嘉彩印松岗工业园用地规划许可延期的复函》（深规土宝【</w:t>
                        </w:r>
                        <w:r>
                          <w:rPr>
                            <w:rFonts w:ascii="Times New Roman" w:hAnsi="Times New Roman" w:cs="Times New Roman" w:eastAsia="Times New Roman" w:hint="default"/>
                            <w:spacing w:val="-3"/>
                            <w:w w:val="99"/>
                            <w:sz w:val="18"/>
                            <w:szCs w:val="18"/>
                          </w:rPr>
                          <w:t>2010</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2049</w:t>
                        </w:r>
                        <w:r>
                          <w:rPr>
                            <w:rFonts w:ascii="Times New Roman" w:hAnsi="Times New Roman" w:cs="Times New Roman" w:eastAsia="Times New Roman" w:hint="default"/>
                            <w:spacing w:val="11"/>
                            <w:w w:val="99"/>
                            <w:sz w:val="18"/>
                            <w:szCs w:val="18"/>
                          </w:rPr>
                          <w:t> </w:t>
                        </w:r>
                        <w:r>
                          <w:rPr>
                            <w:rFonts w:ascii="宋体" w:hAnsi="宋体" w:cs="宋体" w:eastAsia="宋体" w:hint="default"/>
                            <w:spacing w:val="-8"/>
                            <w:w w:val="99"/>
                            <w:sz w:val="18"/>
                            <w:szCs w:val="18"/>
                          </w:rPr>
                          <w:t>号），工程建设施工的行政审</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批手续已全部办理完成。目前主体工程施工已经展开，生活区主体工程全面封顶，生产区一号厂房已</w:t>
                        </w:r>
                        <w:r>
                          <w:rPr>
                            <w:rFonts w:ascii="宋体" w:hAnsi="宋体" w:cs="宋体" w:eastAsia="宋体" w:hint="default"/>
                            <w:w w:val="99"/>
                            <w:sz w:val="18"/>
                            <w:szCs w:val="18"/>
                          </w:rPr>
                          <w:t> </w:t>
                        </w:r>
                        <w:r>
                          <w:rPr>
                            <w:rFonts w:ascii="宋体" w:hAnsi="宋体" w:cs="宋体" w:eastAsia="宋体" w:hint="default"/>
                            <w:sz w:val="18"/>
                            <w:szCs w:val="18"/>
                          </w:rPr>
                          <w:t>封顶。预计项目在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年内竣工，并开始设备安装调试，</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年投入运营。该项目延期对公司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年度业绩没有影响。</w:t>
                        </w:r>
                      </w:p>
                      <w:p>
                        <w:pPr>
                          <w:pStyle w:val="TableParagraph"/>
                          <w:spacing w:line="230" w:lineRule="auto" w:before="50"/>
                          <w:ind w:left="23" w:right="39"/>
                          <w:jc w:val="both"/>
                          <w:rPr>
                            <w:rFonts w:ascii="宋体" w:hAnsi="宋体" w:cs="宋体" w:eastAsia="宋体" w:hint="default"/>
                            <w:sz w:val="18"/>
                            <w:szCs w:val="18"/>
                          </w:rPr>
                        </w:pPr>
                        <w:r>
                          <w:rPr>
                            <w:rFonts w:ascii="宋体" w:hAnsi="宋体" w:cs="宋体" w:eastAsia="宋体" w:hint="default"/>
                            <w:sz w:val="18"/>
                            <w:szCs w:val="18"/>
                          </w:rPr>
                          <w:t>中丰田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股权项目，是公司打造产业链，向上游镭射包装材料延伸的重要战略举措。中丰田原材料 受石油价格变动影响较大，本期原材料成本大幅度上升，影响产品毛利。公司目前加大新产品研发力 度，积极拓展市场，以使原材料价格的影响降至最低。</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76" w:right="93" w:hanging="18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276" w:right="21" w:hanging="253"/>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96"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实际募集资金超出募集资金项目使用的</w:t>
      </w:r>
      <w:r>
        <w:rPr>
          <w:spacing w:val="-60"/>
        </w:rPr>
        <w:t> </w:t>
      </w:r>
      <w:r>
        <w:rPr>
          <w:rFonts w:ascii="Times New Roman" w:hAnsi="Times New Roman" w:cs="Times New Roman" w:eastAsia="Times New Roman" w:hint="default"/>
        </w:rPr>
        <w:t>9,327.95 </w:t>
      </w:r>
      <w:r>
        <w:rPr/>
        <w:t>万元，全部用于补充公司流动资金。</w:t>
      </w:r>
    </w:p>
    <w:p>
      <w:pPr>
        <w:pStyle w:val="BodyText"/>
        <w:spacing w:line="240" w:lineRule="auto" w:before="177"/>
        <w:ind w:left="0" w:right="1131"/>
        <w:jc w:val="right"/>
      </w:pPr>
      <w:r>
        <w:rPr/>
        <w:t>截至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 </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rPr>
        <w:t>31 </w:t>
      </w:r>
      <w:r>
        <w:rPr>
          <w:rFonts w:ascii="Times New Roman" w:hAnsi="Times New Roman" w:cs="Times New Roman" w:eastAsia="Times New Roman" w:hint="default"/>
          <w:spacing w:val="3"/>
        </w:rPr>
        <w:t> </w:t>
      </w:r>
      <w:r>
        <w:rPr>
          <w:spacing w:val="-3"/>
        </w:rPr>
        <w:t>日，公司募集资金项目实际投资额为</w:t>
      </w:r>
      <w:r>
        <w:rPr>
          <w:spacing w:val="-59"/>
        </w:rPr>
        <w:t> </w:t>
      </w:r>
      <w:r>
        <w:rPr>
          <w:rFonts w:ascii="Times New Roman" w:hAnsi="Times New Roman" w:cs="Times New Roman" w:eastAsia="Times New Roman" w:hint="default"/>
        </w:rPr>
        <w:t>86,093.88</w:t>
      </w:r>
      <w:r>
        <w:rPr>
          <w:rFonts w:ascii="Times New Roman" w:hAnsi="Times New Roman" w:cs="Times New Roman" w:eastAsia="Times New Roman" w:hint="default"/>
          <w:spacing w:val="1"/>
        </w:rPr>
        <w:t> </w:t>
      </w:r>
      <w:r>
        <w:rPr>
          <w:spacing w:val="-5"/>
        </w:rPr>
        <w:t>万元，募集资金专</w:t>
      </w:r>
    </w:p>
    <w:p>
      <w:pPr>
        <w:pStyle w:val="BodyText"/>
        <w:spacing w:line="240" w:lineRule="auto" w:before="133"/>
        <w:ind w:right="0"/>
        <w:jc w:val="left"/>
      </w:pPr>
      <w:r>
        <w:rPr/>
        <w:t>用账户实际余额为</w:t>
      </w:r>
      <w:r>
        <w:rPr>
          <w:spacing w:val="-55"/>
        </w:rPr>
        <w:t> </w:t>
      </w:r>
      <w:r>
        <w:rPr>
          <w:rFonts w:ascii="Times New Roman" w:hAnsi="Times New Roman" w:cs="Times New Roman" w:eastAsia="Times New Roman" w:hint="default"/>
        </w:rPr>
        <w:t>16,058.41</w:t>
      </w:r>
      <w:r>
        <w:rPr>
          <w:rFonts w:ascii="Times New Roman" w:hAnsi="Times New Roman" w:cs="Times New Roman" w:eastAsia="Times New Roman" w:hint="default"/>
          <w:spacing w:val="5"/>
        </w:rPr>
        <w:t> </w:t>
      </w:r>
      <w:r>
        <w:rPr>
          <w:spacing w:val="-3"/>
        </w:rPr>
        <w:t>万元。募集资金专用账户累计共产生利息收入</w:t>
      </w:r>
      <w:r>
        <w:rPr>
          <w:spacing w:val="-55"/>
        </w:rPr>
        <w:t> </w:t>
      </w:r>
      <w:r>
        <w:rPr>
          <w:rFonts w:ascii="Times New Roman" w:hAnsi="Times New Roman" w:cs="Times New Roman" w:eastAsia="Times New Roman" w:hint="default"/>
        </w:rPr>
        <w:t>3,694.96</w:t>
      </w:r>
      <w:r>
        <w:rPr>
          <w:rFonts w:ascii="Times New Roman" w:hAnsi="Times New Roman" w:cs="Times New Roman" w:eastAsia="Times New Roman" w:hint="default"/>
          <w:spacing w:val="5"/>
        </w:rPr>
        <w:t> </w:t>
      </w:r>
      <w:r>
        <w:rPr>
          <w:spacing w:val="-11"/>
        </w:rPr>
        <w:t>万元，其</w:t>
      </w:r>
    </w:p>
    <w:p>
      <w:pPr>
        <w:pStyle w:val="BodyText"/>
        <w:spacing w:line="240" w:lineRule="auto" w:before="135"/>
        <w:ind w:right="0"/>
        <w:jc w:val="left"/>
      </w:pPr>
      <w:r>
        <w:rPr/>
        <w:t>中</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年利息收入为</w:t>
      </w:r>
      <w:r>
        <w:rPr>
          <w:spacing w:val="-61"/>
        </w:rPr>
        <w:t> </w:t>
      </w:r>
      <w:r>
        <w:rPr>
          <w:rFonts w:ascii="Times New Roman" w:hAnsi="Times New Roman" w:cs="Times New Roman" w:eastAsia="Times New Roman" w:hint="default"/>
        </w:rPr>
        <w:t>523.23 </w:t>
      </w:r>
      <w:r>
        <w:rPr/>
        <w:t>万元，使用情况如下表：</w:t>
      </w:r>
    </w:p>
    <w:p>
      <w:pPr>
        <w:spacing w:before="178"/>
        <w:ind w:left="0" w:right="1129"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0" w:right="87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920" w:footer="956" w:top="1140" w:bottom="1180" w:left="1020" w:right="0"/>
        </w:sectPr>
      </w:pPr>
    </w:p>
    <w:p>
      <w:pPr>
        <w:spacing w:line="240" w:lineRule="auto" w:before="7"/>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818"/>
        <w:gridCol w:w="8010"/>
      </w:tblGrid>
      <w:tr>
        <w:trPr>
          <w:trHeight w:val="283"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75" w:right="0"/>
              <w:jc w:val="left"/>
              <w:rPr>
                <w:rFonts w:ascii="宋体" w:hAnsi="宋体" w:cs="宋体" w:eastAsia="宋体" w:hint="default"/>
                <w:sz w:val="18"/>
                <w:szCs w:val="18"/>
              </w:rPr>
            </w:pPr>
            <w:r>
              <w:rPr>
                <w:rFonts w:ascii="宋体" w:hAnsi="宋体" w:cs="宋体" w:eastAsia="宋体" w:hint="default"/>
                <w:sz w:val="18"/>
                <w:szCs w:val="18"/>
              </w:rPr>
              <w:t>施地点变更情况</w:t>
            </w:r>
          </w:p>
        </w:tc>
        <w:tc>
          <w:tcPr>
            <w:tcW w:w="80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1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5"/>
                <w:szCs w:val="15"/>
              </w:rPr>
            </w:pPr>
          </w:p>
          <w:p>
            <w:pPr>
              <w:pStyle w:val="TableParagraph"/>
              <w:spacing w:line="232" w:lineRule="exact"/>
              <w:ind w:left="275" w:right="93" w:hanging="18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57" w:hRule="exact"/>
        </w:trPr>
        <w:tc>
          <w:tcPr>
            <w:tcW w:w="1818" w:type="dxa"/>
            <w:vMerge/>
            <w:tcBorders>
              <w:left w:val="single" w:sz="4" w:space="0" w:color="000000"/>
              <w:bottom w:val="single" w:sz="4" w:space="0" w:color="000000"/>
              <w:right w:val="single" w:sz="4" w:space="0" w:color="000000"/>
            </w:tcBorders>
            <w:shd w:val="clear" w:color="auto" w:fill="DCDCDC"/>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23"/>
              <w:jc w:val="left"/>
              <w:rPr>
                <w:rFonts w:ascii="宋体" w:hAnsi="宋体" w:cs="宋体" w:eastAsia="宋体" w:hint="default"/>
                <w:sz w:val="18"/>
                <w:szCs w:val="18"/>
              </w:rPr>
            </w:pPr>
            <w:r>
              <w:rPr>
                <w:rFonts w:ascii="宋体" w:hAnsi="宋体" w:cs="宋体" w:eastAsia="宋体" w:hint="default"/>
                <w:sz w:val="18"/>
                <w:szCs w:val="18"/>
              </w:rPr>
              <w:t>原定由公司收购中丰田科技（珠海）有限公司</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60%</w:t>
            </w:r>
            <w:r>
              <w:rPr>
                <w:rFonts w:ascii="宋体" w:hAnsi="宋体" w:cs="宋体" w:eastAsia="宋体" w:hint="default"/>
                <w:spacing w:val="-3"/>
                <w:sz w:val="18"/>
                <w:szCs w:val="18"/>
              </w:rPr>
              <w:t>股权，经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7"/>
                <w:sz w:val="18"/>
                <w:szCs w:val="18"/>
              </w:rPr>
              <w:t> ，公司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年第一次临 时股东大会批准，调整为由公司的全资子公司中华香港国际烟草集团有限公司实施。</w:t>
            </w:r>
          </w:p>
        </w:tc>
      </w:tr>
      <w:tr>
        <w:trPr>
          <w:trHeight w:val="324" w:hRule="exact"/>
        </w:trPr>
        <w:tc>
          <w:tcPr>
            <w:tcW w:w="181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23"/>
                <w:szCs w:val="23"/>
              </w:rPr>
            </w:pPr>
          </w:p>
          <w:p>
            <w:pPr>
              <w:pStyle w:val="TableParagraph"/>
              <w:spacing w:line="232" w:lineRule="exact"/>
              <w:ind w:left="184" w:right="93" w:hanging="9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90" w:hRule="exact"/>
        </w:trPr>
        <w:tc>
          <w:tcPr>
            <w:tcW w:w="1818" w:type="dxa"/>
            <w:vMerge/>
            <w:tcBorders>
              <w:left w:val="single" w:sz="4" w:space="0" w:color="000000"/>
              <w:bottom w:val="single" w:sz="4" w:space="0" w:color="000000"/>
              <w:right w:val="single" w:sz="4" w:space="0" w:color="000000"/>
            </w:tcBorders>
            <w:shd w:val="clear" w:color="auto" w:fill="DCDCDC"/>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在募集资金到位前，公司利用银行贷款及自有资金对募集资金项目累计已投入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8,479.92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金到位后，置换出了先期投入的垫付资金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8,479.92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万元。本次置换已经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日公司第二届</w:t>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年第六次会议审议通过。</w:t>
            </w:r>
          </w:p>
        </w:tc>
      </w:tr>
      <w:tr>
        <w:trPr>
          <w:trHeight w:val="324" w:hRule="exact"/>
        </w:trPr>
        <w:tc>
          <w:tcPr>
            <w:tcW w:w="181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32" w:lineRule="exact"/>
              <w:ind w:left="184" w:right="93" w:hanging="9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53" w:hRule="exact"/>
        </w:trPr>
        <w:tc>
          <w:tcPr>
            <w:tcW w:w="1818" w:type="dxa"/>
            <w:vMerge/>
            <w:tcBorders>
              <w:left w:val="single" w:sz="4" w:space="0" w:color="000000"/>
              <w:bottom w:val="single" w:sz="4" w:space="0" w:color="000000"/>
              <w:right w:val="single" w:sz="4" w:space="0" w:color="000000"/>
            </w:tcBorders>
            <w:shd w:val="clear" w:color="auto" w:fill="DCDCDC"/>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日第三届董事会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年第五次会议通过，公司使用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万元的闲置募集资金 补充流动资金，并按期予以了归还；</w:t>
            </w:r>
          </w:p>
          <w:p>
            <w:pPr>
              <w:pStyle w:val="TableParagraph"/>
              <w:spacing w:line="230" w:lineRule="exact" w:before="45"/>
              <w:ind w:left="23"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日第三届董事会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年第一次会议审议通过，公司使用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万元的闲置募集 资金补充流动资金，并按期予以了归还；</w:t>
            </w:r>
          </w:p>
          <w:p>
            <w:pPr>
              <w:pStyle w:val="TableParagraph"/>
              <w:spacing w:line="242" w:lineRule="exact" w:before="19"/>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日，公司第三届董事会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年第八次会议审议通过《关于公司继续使用部分闲置募</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集资金补充流动资金的议案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同意公司使用</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w:t>
            </w:r>
            <w:r>
              <w:rPr>
                <w:rFonts w:ascii="宋体" w:hAnsi="宋体" w:cs="宋体" w:eastAsia="宋体" w:hint="default"/>
                <w:spacing w:val="-3"/>
                <w:sz w:val="18"/>
                <w:szCs w:val="18"/>
              </w:rPr>
              <w:t>闲</w:t>
            </w:r>
            <w:r>
              <w:rPr>
                <w:rFonts w:ascii="宋体" w:hAnsi="宋体" w:cs="宋体" w:eastAsia="宋体" w:hint="default"/>
                <w:sz w:val="18"/>
                <w:szCs w:val="18"/>
              </w:rPr>
              <w:t>置募集资金继续补充流动资金，使用期</w:t>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限不超过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日从募集资金中使用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万元补充了流动资金。</w:t>
            </w:r>
          </w:p>
        </w:tc>
      </w:tr>
      <w:tr>
        <w:trPr>
          <w:trHeight w:val="322" w:hRule="exact"/>
        </w:trPr>
        <w:tc>
          <w:tcPr>
            <w:tcW w:w="181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94" w:right="93"/>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46" w:hRule="exact"/>
        </w:trPr>
        <w:tc>
          <w:tcPr>
            <w:tcW w:w="1818" w:type="dxa"/>
            <w:vMerge/>
            <w:tcBorders>
              <w:left w:val="single" w:sz="4" w:space="0" w:color="000000"/>
              <w:bottom w:val="single" w:sz="4" w:space="0" w:color="000000"/>
              <w:right w:val="single" w:sz="4" w:space="0" w:color="000000"/>
            </w:tcBorders>
            <w:shd w:val="clear" w:color="auto" w:fill="DCDCDC"/>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25"/>
              <w:ind w:left="23" w:right="22"/>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、收购中丰田光电科技（珠海）有限公司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股权项目结余资金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2,022.95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万元，系由于中华香港国际 烟草集团有限公司与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BETTER</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5"/>
                <w:sz w:val="18"/>
                <w:szCs w:val="18"/>
              </w:rPr>
              <w:t>VALUE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签署合同时间与实际购买外汇时间的美元汇率差异所</w:t>
            </w:r>
            <w:r>
              <w:rPr>
                <w:rFonts w:ascii="宋体" w:hAnsi="宋体" w:cs="宋体" w:eastAsia="宋体" w:hint="default"/>
                <w:w w:val="99"/>
                <w:sz w:val="18"/>
                <w:szCs w:val="18"/>
              </w:rPr>
              <w:t> </w:t>
            </w:r>
            <w:r>
              <w:rPr>
                <w:rFonts w:ascii="宋体" w:hAnsi="宋体" w:cs="宋体" w:eastAsia="宋体" w:hint="default"/>
                <w:sz w:val="18"/>
                <w:szCs w:val="18"/>
              </w:rPr>
              <w:t>致。</w:t>
            </w:r>
          </w:p>
          <w:p>
            <w:pPr>
              <w:pStyle w:val="TableParagraph"/>
              <w:spacing w:line="240" w:lineRule="exact" w:before="42"/>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年第一次临时股东大会决议通过，公司将贵阳新型印刷包装材料建</w:t>
            </w:r>
          </w:p>
          <w:p>
            <w:pPr>
              <w:pStyle w:val="TableParagraph"/>
              <w:spacing w:line="240" w:lineRule="exact"/>
              <w:ind w:left="23" w:right="0"/>
              <w:jc w:val="both"/>
              <w:rPr>
                <w:rFonts w:ascii="宋体" w:hAnsi="宋体" w:cs="宋体" w:eastAsia="宋体" w:hint="default"/>
                <w:sz w:val="18"/>
                <w:szCs w:val="18"/>
              </w:rPr>
            </w:pPr>
            <w:r>
              <w:rPr>
                <w:rFonts w:ascii="宋体" w:hAnsi="宋体" w:cs="宋体" w:eastAsia="宋体" w:hint="default"/>
                <w:sz w:val="18"/>
                <w:szCs w:val="18"/>
              </w:rPr>
              <w:t>设项目（一期）节余募集资金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3,137.26 </w:t>
            </w:r>
            <w:r>
              <w:rPr>
                <w:rFonts w:ascii="宋体" w:hAnsi="宋体" w:cs="宋体" w:eastAsia="宋体" w:hint="default"/>
                <w:sz w:val="18"/>
                <w:szCs w:val="18"/>
              </w:rPr>
              <w:t>万元转为流动资金。</w:t>
            </w:r>
          </w:p>
        </w:tc>
      </w:tr>
      <w:tr>
        <w:trPr>
          <w:trHeight w:val="557"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455" w:right="93" w:hanging="36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尚未使用的募集资金存放于募集资金专用账户中，其中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亿元以定期存款方式存储。</w:t>
            </w:r>
          </w:p>
        </w:tc>
      </w:tr>
      <w:tr>
        <w:trPr>
          <w:trHeight w:val="790" w:hRule="exact"/>
        </w:trPr>
        <w:tc>
          <w:tcPr>
            <w:tcW w:w="1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94" w:right="93"/>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38" w:lineRule="auto" w:before="8"/>
        <w:ind w:left="965" w:right="224" w:hanging="69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】中丰田光电科技（珠海）有限公司于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814.27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的持股比例计算，“收购中丰田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股权项 目”于本年度实现的效益为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488.72 </w:t>
      </w:r>
      <w:r>
        <w:rPr>
          <w:rFonts w:ascii="宋体" w:hAnsi="宋体" w:cs="宋体" w:eastAsia="宋体" w:hint="default"/>
          <w:sz w:val="18"/>
          <w:szCs w:val="18"/>
        </w:rPr>
        <w:t>万元。</w:t>
      </w:r>
    </w:p>
    <w:p>
      <w:pPr>
        <w:spacing w:line="336" w:lineRule="auto" w:before="60"/>
        <w:ind w:left="965" w:right="220" w:hanging="699"/>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】补充流动资金系募集资金净额超出募集资金投资计划的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9,327.95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万元，用于补充公司的流动资金，本期实现的效益系根据中 </w:t>
      </w:r>
      <w:r>
        <w:rPr>
          <w:rFonts w:ascii="宋体" w:hAnsi="宋体" w:cs="宋体" w:eastAsia="宋体" w:hint="default"/>
          <w:spacing w:val="-4"/>
          <w:sz w:val="18"/>
          <w:szCs w:val="18"/>
        </w:rPr>
        <w:t>国人民银行规定的一年期贷款基本利率计算（</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14"/>
          <w:sz w:val="18"/>
          <w:szCs w:val="18"/>
        </w:rPr>
        <w:t>日，基准利率为</w:t>
      </w:r>
      <w:r>
        <w:rPr>
          <w:rFonts w:ascii="宋体" w:hAnsi="宋体" w:cs="宋体" w:eastAsia="宋体" w:hint="default"/>
          <w:spacing w:val="-46"/>
          <w:sz w:val="18"/>
          <w:szCs w:val="18"/>
        </w:rPr>
        <w:t> </w:t>
      </w:r>
      <w:r>
        <w:rPr>
          <w:rFonts w:ascii="Times New Roman" w:hAnsi="Times New Roman" w:cs="Times New Roman" w:eastAsia="Times New Roman" w:hint="default"/>
          <w:spacing w:val="-14"/>
          <w:sz w:val="18"/>
          <w:szCs w:val="18"/>
        </w:rPr>
        <w:t>5.81%</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日起基准利率为</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6.06%,4</w:t>
      </w:r>
    </w:p>
    <w:p>
      <w:pPr>
        <w:spacing w:before="21"/>
        <w:ind w:left="0" w:right="4150" w:firstLine="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日起基准利率为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6.31%,7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日起基准利率为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6.56%</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pStyle w:val="BodyText"/>
        <w:spacing w:line="367" w:lineRule="auto"/>
        <w:ind w:left="811" w:right="0" w:hanging="416"/>
        <w:jc w:val="left"/>
      </w:pPr>
      <w:r>
        <w:rPr>
          <w:rFonts w:ascii="Times New Roman" w:hAnsi="Times New Roman" w:cs="Times New Roman" w:eastAsia="Times New Roman" w:hint="default"/>
        </w:rPr>
        <w:t>2</w:t>
      </w:r>
      <w:r>
        <w:rPr/>
        <w:t>、</w:t>
      </w:r>
      <w:r>
        <w:rPr>
          <w:spacing w:val="76"/>
        </w:rPr>
        <w:t> </w:t>
      </w:r>
      <w:r>
        <w:rPr/>
        <w:t>募集资金专户存储制度的执行情况</w:t>
      </w:r>
      <w:r>
        <w:rPr/>
        <w:t> 报告期内，公司严格按照《募集资金专项存储及使用管理制度》的规定和要求，对募</w:t>
      </w:r>
    </w:p>
    <w:p>
      <w:pPr>
        <w:pStyle w:val="BodyText"/>
        <w:spacing w:line="357" w:lineRule="auto" w:before="24"/>
        <w:ind w:left="252" w:right="1131"/>
        <w:jc w:val="both"/>
      </w:pPr>
      <w:r>
        <w:rPr>
          <w:spacing w:val="-3"/>
        </w:rPr>
        <w:t>集资金设立专用账户进行管理，并与存储银行、保荐机构签订募集资金三方监管协议。对募</w:t>
      </w:r>
      <w:r>
        <w:rPr>
          <w:spacing w:val="-102"/>
        </w:rPr>
        <w:t> </w:t>
      </w:r>
      <w:r>
        <w:rPr>
          <w:spacing w:val="-102"/>
        </w:rPr>
      </w:r>
      <w:r>
        <w:rPr>
          <w:spacing w:val="-3"/>
        </w:rPr>
        <w:t>集资金的存放和使用进行有效的监督和管理，实行专款专用。在使用募集资金时严格履行相</w:t>
      </w:r>
      <w:r>
        <w:rPr>
          <w:spacing w:val="-102"/>
        </w:rPr>
        <w:t> </w:t>
      </w:r>
      <w:r>
        <w:rPr>
          <w:spacing w:val="-102"/>
        </w:rPr>
      </w:r>
      <w:r>
        <w:rPr>
          <w:spacing w:val="-3"/>
        </w:rPr>
        <w:t>应的申请和审批手续，同时及时知会保荐机构，接受保荐代表人的监督，没有发生其他任何</w:t>
      </w:r>
      <w:r>
        <w:rPr>
          <w:spacing w:val="-102"/>
        </w:rPr>
        <w:t> </w:t>
      </w:r>
      <w:r>
        <w:rPr>
          <w:spacing w:val="-102"/>
        </w:rPr>
      </w:r>
      <w:r>
        <w:rPr/>
        <w:t>不规范的情形。</w:t>
      </w:r>
    </w:p>
    <w:p>
      <w:pPr>
        <w:spacing w:line="240" w:lineRule="auto" w:before="1"/>
        <w:rPr>
          <w:rFonts w:ascii="宋体" w:hAnsi="宋体" w:cs="宋体" w:eastAsia="宋体" w:hint="default"/>
          <w:sz w:val="30"/>
          <w:szCs w:val="30"/>
        </w:rPr>
      </w:pPr>
    </w:p>
    <w:p>
      <w:pPr>
        <w:pStyle w:val="BodyText"/>
        <w:spacing w:line="240" w:lineRule="auto"/>
        <w:ind w:left="396" w:right="0"/>
        <w:jc w:val="left"/>
      </w:pPr>
      <w:r>
        <w:rPr>
          <w:rFonts w:ascii="Times New Roman" w:hAnsi="Times New Roman" w:cs="Times New Roman" w:eastAsia="Times New Roman" w:hint="default"/>
        </w:rPr>
        <w:t>3</w:t>
      </w:r>
      <w:r>
        <w:rPr/>
        <w:t>、</w:t>
      </w:r>
      <w:r>
        <w:rPr>
          <w:spacing w:val="76"/>
        </w:rPr>
        <w:t> </w:t>
      </w:r>
      <w:r>
        <w:rPr/>
        <w:t>会计师事务所对募集资金使用情况的专项审核意见</w:t>
      </w:r>
    </w:p>
    <w:p>
      <w:pPr>
        <w:spacing w:after="0" w:line="240" w:lineRule="auto"/>
        <w:jc w:val="left"/>
        <w:sectPr>
          <w:pgSz w:w="11910" w:h="16840"/>
          <w:pgMar w:header="920" w:footer="956" w:top="1140" w:bottom="1140" w:left="1020" w:right="0"/>
        </w:sectPr>
      </w:pPr>
    </w:p>
    <w:p>
      <w:pPr>
        <w:pStyle w:val="BodyText"/>
        <w:spacing w:line="240" w:lineRule="auto" w:before="19"/>
        <w:ind w:left="593" w:right="0"/>
        <w:jc w:val="left"/>
      </w:pPr>
      <w:r>
        <w:rPr>
          <w:spacing w:val="20"/>
        </w:rPr>
        <w:t>深圳市鹏城会计师事务所有限公司对公司募集资金使用情况出具了深鹏所股专字</w:t>
      </w:r>
    </w:p>
    <w:p>
      <w:pPr>
        <w:pStyle w:val="BodyText"/>
        <w:spacing w:line="240" w:lineRule="auto" w:before="154"/>
        <w:ind w:right="0"/>
        <w:jc w:val="both"/>
      </w:pP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2012</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0179</w:t>
      </w:r>
      <w:r>
        <w:rPr>
          <w:rFonts w:ascii="Times New Roman" w:hAnsi="Times New Roman" w:cs="Times New Roman" w:eastAsia="Times New Roman" w:hint="default"/>
          <w:spacing w:val="21"/>
          <w:w w:val="99"/>
        </w:rPr>
        <w:t> </w:t>
      </w:r>
      <w:r>
        <w:rPr>
          <w:w w:val="99"/>
        </w:rPr>
        <w:t>号《深圳</w:t>
      </w:r>
      <w:r>
        <w:rPr>
          <w:spacing w:val="-3"/>
          <w:w w:val="99"/>
        </w:rPr>
        <w:t>劲</w:t>
      </w:r>
      <w:r>
        <w:rPr>
          <w:w w:val="99"/>
        </w:rPr>
        <w:t>嘉彩印集团股份有限公司募集资金</w:t>
      </w:r>
      <w:r>
        <w:rPr>
          <w:spacing w:val="-38"/>
          <w:w w:val="99"/>
        </w:rPr>
        <w:t> </w:t>
      </w:r>
      <w:r>
        <w:rPr>
          <w:rFonts w:ascii="Times New Roman" w:hAnsi="Times New Roman" w:cs="Times New Roman" w:eastAsia="Times New Roman" w:hint="default"/>
          <w:w w:val="99"/>
        </w:rPr>
        <w:t>20</w:t>
      </w:r>
      <w:r>
        <w:rPr>
          <w:rFonts w:ascii="Times New Roman" w:hAnsi="Times New Roman" w:cs="Times New Roman" w:eastAsia="Times New Roman" w:hint="default"/>
          <w:spacing w:val="-10"/>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21"/>
          <w:w w:val="99"/>
        </w:rPr>
        <w:t> </w:t>
      </w:r>
      <w:r>
        <w:rPr>
          <w:w w:val="99"/>
        </w:rPr>
        <w:t>年</w:t>
      </w:r>
      <w:r>
        <w:rPr>
          <w:spacing w:val="2"/>
          <w:w w:val="99"/>
        </w:rPr>
        <w:t>度</w:t>
      </w:r>
      <w:r>
        <w:rPr>
          <w:w w:val="99"/>
        </w:rPr>
        <w:t>使用情况的鉴证报告</w:t>
      </w:r>
      <w:r>
        <w:rPr>
          <w:spacing w:val="-120"/>
          <w:w w:val="99"/>
        </w:rPr>
        <w:t>》</w:t>
      </w:r>
      <w:r>
        <w:rPr>
          <w:w w:val="99"/>
        </w:rPr>
        <w:t>，</w:t>
      </w:r>
      <w:r>
        <w:rPr/>
      </w:r>
    </w:p>
    <w:p>
      <w:pPr>
        <w:pStyle w:val="BodyText"/>
        <w:spacing w:line="240" w:lineRule="auto" w:before="133"/>
        <w:ind w:right="0"/>
        <w:jc w:val="both"/>
      </w:pPr>
      <w:r>
        <w:rPr>
          <w:spacing w:val="-3"/>
        </w:rPr>
        <w:t>认为公司管理层编制的《关于募集资金</w:t>
      </w:r>
      <w:r>
        <w:rPr>
          <w:spacing w:val="-6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年度使用情况的专项报告》符合深圳证券交易所</w:t>
      </w:r>
    </w:p>
    <w:p>
      <w:pPr>
        <w:pStyle w:val="BodyText"/>
        <w:spacing w:line="338" w:lineRule="auto" w:before="135"/>
        <w:ind w:right="1131"/>
        <w:jc w:val="both"/>
      </w:pPr>
      <w:r>
        <w:rPr>
          <w:spacing w:val="-3"/>
        </w:rPr>
        <w:t>《中小企业板上市公司规范运作指引》的规定，如实反映了公司</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年度募集资金实际存放 与使用情况。</w:t>
      </w:r>
    </w:p>
    <w:p>
      <w:pPr>
        <w:spacing w:line="240" w:lineRule="auto" w:before="7"/>
        <w:rPr>
          <w:rFonts w:ascii="宋体" w:hAnsi="宋体" w:cs="宋体" w:eastAsia="宋体" w:hint="default"/>
          <w:sz w:val="31"/>
          <w:szCs w:val="31"/>
        </w:rPr>
      </w:pPr>
    </w:p>
    <w:p>
      <w:pPr>
        <w:pStyle w:val="BodyText"/>
        <w:spacing w:line="240" w:lineRule="auto"/>
        <w:ind w:left="396" w:right="0"/>
        <w:jc w:val="left"/>
      </w:pPr>
      <w:r>
        <w:rPr>
          <w:rFonts w:ascii="Times New Roman" w:hAnsi="Times New Roman" w:cs="Times New Roman" w:eastAsia="Times New Roman" w:hint="default"/>
        </w:rPr>
        <w:t>4</w:t>
      </w:r>
      <w:r>
        <w:rPr/>
        <w:t>、</w:t>
      </w:r>
      <w:r>
        <w:rPr>
          <w:spacing w:val="76"/>
        </w:rPr>
        <w:t> </w:t>
      </w:r>
      <w:r>
        <w:rPr/>
        <w:t>报告期内非募集资金项目投资</w:t>
      </w:r>
    </w:p>
    <w:p>
      <w:pPr>
        <w:spacing w:line="240" w:lineRule="auto" w:before="0"/>
        <w:rPr>
          <w:rFonts w:ascii="宋体" w:hAnsi="宋体" w:cs="宋体" w:eastAsia="宋体" w:hint="default"/>
          <w:sz w:val="24"/>
          <w:szCs w:val="24"/>
        </w:rPr>
      </w:pPr>
    </w:p>
    <w:p>
      <w:pPr>
        <w:pStyle w:val="BodyText"/>
        <w:spacing w:line="388" w:lineRule="auto" w:before="179"/>
        <w:ind w:left="533" w:right="0" w:hanging="60"/>
        <w:jc w:val="left"/>
      </w:pPr>
      <w:r>
        <w:rPr/>
        <w:t>（</w:t>
      </w:r>
      <w:r>
        <w:rPr>
          <w:rFonts w:ascii="宋体" w:hAnsi="宋体" w:cs="宋体" w:eastAsia="宋体" w:hint="default"/>
        </w:rPr>
        <w:t>1</w:t>
      </w:r>
      <w:r>
        <w:rPr/>
        <w:t>）劲嘉集团科技大厦 </w:t>
      </w:r>
      <w:r>
        <w:rPr>
          <w:spacing w:val="2"/>
        </w:rPr>
        <w:t>为增强公司的技术创新和新产品研发能力，充分利用集团在设计、新材料、新工艺方面</w:t>
      </w:r>
      <w:r>
        <w:rPr/>
      </w:r>
    </w:p>
    <w:p>
      <w:pPr>
        <w:pStyle w:val="BodyText"/>
        <w:spacing w:line="357" w:lineRule="auto" w:before="2"/>
        <w:ind w:right="1133"/>
        <w:jc w:val="both"/>
      </w:pPr>
      <w:r>
        <w:rPr/>
        <w:t>的资源，打造集团的技术研发平台，为各子公司提供技术支持，更好地拓展市场，保持公司</w:t>
      </w:r>
      <w:r>
        <w:rPr>
          <w:spacing w:val="-89"/>
        </w:rPr>
        <w:t> </w:t>
      </w:r>
      <w:r>
        <w:rPr>
          <w:spacing w:val="-89"/>
        </w:rPr>
      </w:r>
      <w:r>
        <w:rPr/>
        <w:t>综合竞争实力，为公司持续健康发展打下基础。公司拟以自有资金投资建设劲嘉集团科技大</w:t>
      </w:r>
      <w:r>
        <w:rPr>
          <w:spacing w:val="-86"/>
        </w:rPr>
        <w:t> </w:t>
      </w:r>
      <w:r>
        <w:rPr>
          <w:spacing w:val="-86"/>
        </w:rPr>
      </w:r>
      <w:r>
        <w:rPr/>
        <w:t>厦，该大厦在报告期内仍处于建设之中，未实现收益。</w:t>
      </w:r>
    </w:p>
    <w:p>
      <w:pPr>
        <w:pStyle w:val="BodyText"/>
        <w:spacing w:line="355" w:lineRule="auto" w:before="77"/>
        <w:ind w:right="1116" w:firstLine="480"/>
        <w:jc w:val="left"/>
      </w:pPr>
      <w:r>
        <w:rPr>
          <w:spacing w:val="3"/>
        </w:rPr>
        <w:t>劲嘉集团科技大厦项目位于深圳市南山区高新技术开发园区，地块编号：</w:t>
      </w:r>
      <w:r>
        <w:rPr>
          <w:rFonts w:ascii="宋体" w:hAnsi="宋体" w:cs="宋体" w:eastAsia="宋体" w:hint="default"/>
          <w:spacing w:val="3"/>
        </w:rPr>
        <w:t>2007</w:t>
      </w:r>
      <w:r>
        <w:rPr>
          <w:spacing w:val="3"/>
        </w:rPr>
        <w:t>－</w:t>
      </w:r>
      <w:r>
        <w:rPr>
          <w:rFonts w:ascii="宋体" w:hAnsi="宋体" w:cs="宋体" w:eastAsia="宋体" w:hint="default"/>
          <w:spacing w:val="3"/>
        </w:rPr>
        <w:t>003</w:t>
      </w:r>
      <w:r>
        <w:rPr>
          <w:spacing w:val="3"/>
        </w:rPr>
        <w:t>－</w:t>
      </w:r>
      <w:r>
        <w:rPr/>
        <w:t> </w:t>
      </w:r>
      <w:r>
        <w:rPr>
          <w:rFonts w:ascii="宋体" w:hAnsi="宋体" w:cs="宋体" w:eastAsia="宋体" w:hint="default"/>
          <w:spacing w:val="-3"/>
        </w:rPr>
        <w:t>0108</w:t>
      </w:r>
      <w:r>
        <w:rPr>
          <w:spacing w:val="-3"/>
        </w:rPr>
        <w:t>，总用地面积</w:t>
      </w:r>
      <w:r>
        <w:rPr>
          <w:spacing w:val="-59"/>
        </w:rPr>
        <w:t> </w:t>
      </w:r>
      <w:r>
        <w:rPr>
          <w:rFonts w:ascii="宋体" w:hAnsi="宋体" w:cs="宋体" w:eastAsia="宋体" w:hint="default"/>
        </w:rPr>
        <w:t>4987.50</w:t>
      </w:r>
      <w:r>
        <w:rPr>
          <w:rFonts w:ascii="宋体" w:hAnsi="宋体" w:cs="宋体" w:eastAsia="宋体" w:hint="default"/>
          <w:spacing w:val="-58"/>
        </w:rPr>
        <w:t> </w:t>
      </w:r>
      <w:r>
        <w:rPr>
          <w:spacing w:val="-5"/>
        </w:rPr>
        <w:t>平方米，拟建</w:t>
      </w:r>
      <w:r>
        <w:rPr>
          <w:spacing w:val="-58"/>
        </w:rPr>
        <w:t> </w:t>
      </w:r>
      <w:r>
        <w:rPr>
          <w:rFonts w:ascii="宋体" w:hAnsi="宋体" w:cs="宋体" w:eastAsia="宋体" w:hint="default"/>
        </w:rPr>
        <w:t>25</w:t>
      </w:r>
      <w:r>
        <w:rPr>
          <w:rFonts w:ascii="宋体" w:hAnsi="宋体" w:cs="宋体" w:eastAsia="宋体" w:hint="default"/>
          <w:spacing w:val="-58"/>
        </w:rPr>
        <w:t> </w:t>
      </w:r>
      <w:r>
        <w:rPr/>
        <w:t>层</w:t>
      </w:r>
      <w:r>
        <w:rPr>
          <w:rFonts w:ascii="宋体" w:hAnsi="宋体" w:cs="宋体" w:eastAsia="宋体" w:hint="default"/>
        </w:rPr>
        <w:t>,</w:t>
      </w:r>
      <w:r>
        <w:rPr/>
        <w:t>建筑面积约</w:t>
      </w:r>
      <w:r>
        <w:rPr>
          <w:spacing w:val="-58"/>
        </w:rPr>
        <w:t> </w:t>
      </w:r>
      <w:r>
        <w:rPr>
          <w:rFonts w:ascii="宋体" w:hAnsi="宋体" w:cs="宋体" w:eastAsia="宋体" w:hint="default"/>
        </w:rPr>
        <w:t>40,000</w:t>
      </w:r>
      <w:r>
        <w:rPr>
          <w:rFonts w:ascii="宋体" w:hAnsi="宋体" w:cs="宋体" w:eastAsia="宋体" w:hint="default"/>
          <w:spacing w:val="-58"/>
        </w:rPr>
        <w:t> </w:t>
      </w:r>
      <w:r>
        <w:rPr>
          <w:spacing w:val="-3"/>
        </w:rPr>
        <w:t>平方米。截至报告期末累</w:t>
      </w:r>
    </w:p>
    <w:p>
      <w:pPr>
        <w:pStyle w:val="BodyText"/>
        <w:spacing w:line="240" w:lineRule="auto" w:before="38"/>
        <w:ind w:right="0"/>
        <w:jc w:val="both"/>
      </w:pPr>
      <w:r>
        <w:rPr/>
        <w:t>计已投入项目资金</w:t>
      </w:r>
      <w:r>
        <w:rPr>
          <w:spacing w:val="-61"/>
        </w:rPr>
        <w:t> </w:t>
      </w:r>
      <w:r>
        <w:rPr>
          <w:rFonts w:ascii="宋体" w:hAnsi="宋体" w:cs="宋体" w:eastAsia="宋体" w:hint="default"/>
        </w:rPr>
        <w:t>1.27</w:t>
      </w:r>
      <w:r>
        <w:rPr>
          <w:rFonts w:ascii="宋体" w:hAnsi="宋体" w:cs="宋体" w:eastAsia="宋体" w:hint="default"/>
          <w:spacing w:val="-61"/>
        </w:rPr>
        <w:t> </w:t>
      </w:r>
      <w:r>
        <w:rPr/>
        <w:t>亿元</w:t>
      </w:r>
      <w:r>
        <w:rPr>
          <w:rFonts w:ascii="宋体" w:hAnsi="宋体" w:cs="宋体" w:eastAsia="宋体" w:hint="default"/>
        </w:rPr>
        <w:t>,</w:t>
      </w:r>
      <w:r>
        <w:rPr/>
        <w:t>资金总预算</w:t>
      </w:r>
      <w:r>
        <w:rPr>
          <w:spacing w:val="-61"/>
        </w:rPr>
        <w:t> </w:t>
      </w:r>
      <w:r>
        <w:rPr>
          <w:rFonts w:ascii="宋体" w:hAnsi="宋体" w:cs="宋体" w:eastAsia="宋体" w:hint="default"/>
          <w:color w:val="FF0000"/>
        </w:rPr>
        <w:t>1.88</w:t>
      </w:r>
      <w:r>
        <w:rPr>
          <w:rFonts w:ascii="宋体" w:hAnsi="宋体" w:cs="宋体" w:eastAsia="宋体" w:hint="default"/>
          <w:color w:val="FF0000"/>
          <w:spacing w:val="-61"/>
        </w:rPr>
        <w:t> </w:t>
      </w:r>
      <w:r>
        <w:rPr/>
        <w:t>亿元。</w:t>
      </w:r>
    </w:p>
    <w:p>
      <w:pPr>
        <w:spacing w:line="240" w:lineRule="auto" w:before="0"/>
        <w:rPr>
          <w:rFonts w:ascii="宋体" w:hAnsi="宋体" w:cs="宋体" w:eastAsia="宋体" w:hint="default"/>
          <w:sz w:val="24"/>
          <w:szCs w:val="24"/>
        </w:rPr>
      </w:pPr>
    </w:p>
    <w:p>
      <w:pPr>
        <w:pStyle w:val="BodyText"/>
        <w:spacing w:line="240" w:lineRule="auto" w:before="198"/>
        <w:ind w:left="473" w:right="0"/>
        <w:jc w:val="left"/>
      </w:pPr>
      <w:r>
        <w:rPr>
          <w:rFonts w:ascii="宋体" w:hAnsi="宋体" w:cs="宋体" w:eastAsia="宋体" w:hint="default"/>
        </w:rPr>
        <w:t>(2)</w:t>
      </w:r>
      <w:r>
        <w:rPr/>
        <w:t>投资设立深圳市劲嘉物业管理有限公司</w:t>
      </w:r>
    </w:p>
    <w:p>
      <w:pPr>
        <w:pStyle w:val="BodyText"/>
        <w:spacing w:line="240" w:lineRule="auto" w:before="194"/>
        <w:ind w:left="593" w:right="0"/>
        <w:jc w:val="left"/>
      </w:pP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spacing w:val="-3"/>
        </w:rPr>
        <w:t>日，公司投资人民币</w:t>
      </w:r>
      <w:r>
        <w:rPr>
          <w:spacing w:val="-60"/>
        </w:rPr>
        <w:t> </w:t>
      </w:r>
      <w:r>
        <w:rPr>
          <w:rFonts w:ascii="宋体" w:hAnsi="宋体" w:cs="宋体" w:eastAsia="宋体" w:hint="default"/>
        </w:rPr>
        <w:t>1000</w:t>
      </w:r>
      <w:r>
        <w:rPr>
          <w:rFonts w:ascii="宋体" w:hAnsi="宋体" w:cs="宋体" w:eastAsia="宋体" w:hint="default"/>
          <w:spacing w:val="-60"/>
        </w:rPr>
        <w:t> </w:t>
      </w:r>
      <w:r>
        <w:rPr/>
        <w:t>万元设立全资子公司深圳市劲嘉物业管理有限</w:t>
      </w:r>
    </w:p>
    <w:p>
      <w:pPr>
        <w:pStyle w:val="BodyText"/>
        <w:spacing w:line="355" w:lineRule="auto" w:before="151"/>
        <w:ind w:right="1132"/>
        <w:jc w:val="both"/>
      </w:pPr>
      <w:r>
        <w:rPr>
          <w:spacing w:val="-3"/>
        </w:rPr>
        <w:t>公司，该公司主要负责</w:t>
      </w:r>
      <w:r>
        <w:rPr>
          <w:spacing w:val="-47"/>
        </w:rPr>
        <w:t> </w:t>
      </w:r>
      <w:r>
        <w:rPr>
          <w:rFonts w:ascii="宋体" w:hAnsi="宋体" w:cs="宋体" w:eastAsia="宋体" w:hint="default"/>
        </w:rPr>
        <w:t>2012</w:t>
      </w:r>
      <w:r>
        <w:rPr>
          <w:rFonts w:ascii="宋体" w:hAnsi="宋体" w:cs="宋体" w:eastAsia="宋体" w:hint="default"/>
          <w:spacing w:val="-47"/>
        </w:rPr>
        <w:t> </w:t>
      </w:r>
      <w:r>
        <w:rPr>
          <w:spacing w:val="-3"/>
        </w:rPr>
        <w:t>年即将完工的劲嘉科技大厦的物业管理。截至报告期末，该公司</w:t>
      </w:r>
      <w:r>
        <w:rPr>
          <w:spacing w:val="-118"/>
        </w:rPr>
        <w:t> </w:t>
      </w:r>
      <w:r>
        <w:rPr>
          <w:spacing w:val="-118"/>
        </w:rPr>
      </w:r>
      <w:r>
        <w:rPr/>
        <w:t>尚未正式运营。</w:t>
      </w:r>
    </w:p>
    <w:p>
      <w:pPr>
        <w:spacing w:line="240" w:lineRule="auto" w:before="6"/>
        <w:rPr>
          <w:rFonts w:ascii="宋体" w:hAnsi="宋体" w:cs="宋体" w:eastAsia="宋体" w:hint="default"/>
          <w:sz w:val="25"/>
          <w:szCs w:val="25"/>
        </w:rPr>
      </w:pPr>
    </w:p>
    <w:p>
      <w:pPr>
        <w:pStyle w:val="Heading2"/>
        <w:spacing w:line="240" w:lineRule="auto"/>
        <w:ind w:right="0"/>
        <w:jc w:val="both"/>
        <w:rPr>
          <w:b w:val="0"/>
          <w:bCs w:val="0"/>
        </w:rPr>
      </w:pPr>
      <w:r>
        <w:rPr/>
        <w:t>四、</w:t>
      </w:r>
      <w:r>
        <w:rPr>
          <w:spacing w:val="135"/>
        </w:rPr>
        <w:t> </w:t>
      </w:r>
      <w:r>
        <w:rPr/>
        <w:t>董事会日常工作情况</w:t>
      </w:r>
      <w:r>
        <w:rPr>
          <w:b w:val="0"/>
          <w:bCs w:val="0"/>
        </w:rPr>
      </w:r>
    </w:p>
    <w:p>
      <w:pPr>
        <w:spacing w:line="240" w:lineRule="auto" w:before="3"/>
        <w:rPr>
          <w:rFonts w:ascii="宋体" w:hAnsi="宋体" w:cs="宋体" w:eastAsia="宋体" w:hint="default"/>
          <w:b/>
          <w:bCs/>
          <w:sz w:val="23"/>
          <w:szCs w:val="23"/>
        </w:rPr>
      </w:pPr>
    </w:p>
    <w:p>
      <w:pPr>
        <w:tabs>
          <w:tab w:pos="1373" w:val="left" w:leader="none"/>
        </w:tabs>
        <w:spacing w:line="422" w:lineRule="auto" w:before="0"/>
        <w:ind w:left="593" w:right="357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董事会召开会议情况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报告期内公司董事会共召开会议十一次，会议的主要情况如下：</w:t>
      </w:r>
    </w:p>
    <w:p>
      <w:pPr>
        <w:pStyle w:val="BodyText"/>
        <w:spacing w:line="336" w:lineRule="auto" w:before="12"/>
        <w:ind w:right="1126" w:firstLine="480"/>
        <w:jc w:val="left"/>
      </w:pPr>
      <w:r>
        <w:rPr>
          <w:rFonts w:ascii="Times New Roman" w:hAnsi="Times New Roman" w:cs="Times New Roman" w:eastAsia="Times New Roman" w:hint="default"/>
        </w:rPr>
        <w:t>1</w:t>
      </w:r>
      <w:r>
        <w:rPr/>
        <w:t>、</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4"/>
        </w:rPr>
        <w:t> </w:t>
      </w:r>
      <w:r>
        <w:rPr/>
        <w:t>月</w:t>
      </w:r>
      <w:r>
        <w:rPr>
          <w:spacing w:val="-46"/>
        </w:rPr>
        <w:t> </w:t>
      </w:r>
      <w:r>
        <w:rPr>
          <w:rFonts w:ascii="宋体" w:hAnsi="宋体" w:cs="宋体" w:eastAsia="宋体" w:hint="default"/>
        </w:rPr>
        <w:t>23</w:t>
      </w:r>
      <w:r>
        <w:rPr>
          <w:rFonts w:ascii="宋体" w:hAnsi="宋体" w:cs="宋体" w:eastAsia="宋体" w:hint="default"/>
          <w:spacing w:val="-46"/>
        </w:rPr>
        <w:t> </w:t>
      </w:r>
      <w:r>
        <w:rPr/>
        <w:t>日，公司召开了第三届董事会</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年第一次会议，会议审议通过了 以下议案：</w:t>
      </w:r>
    </w:p>
    <w:p>
      <w:pPr>
        <w:pStyle w:val="BodyText"/>
        <w:spacing w:line="240" w:lineRule="auto" w:before="96"/>
        <w:ind w:left="593" w:right="0"/>
        <w:jc w:val="left"/>
      </w:pPr>
      <w:r>
        <w:rPr/>
        <w:t>（</w:t>
      </w:r>
      <w:r>
        <w:rPr>
          <w:rFonts w:ascii="Times New Roman" w:hAnsi="Times New Roman" w:cs="Times New Roman" w:eastAsia="Times New Roman" w:hint="default"/>
        </w:rPr>
        <w:t>1</w:t>
      </w:r>
      <w:r>
        <w:rPr>
          <w:spacing w:val="-121"/>
        </w:rPr>
        <w:t>）</w:t>
      </w:r>
      <w:r>
        <w:rPr/>
        <w:t>《关于公司继续使用部分闲置募集资金补充流动资金的议</w:t>
      </w:r>
      <w:r>
        <w:rPr>
          <w:spacing w:val="1"/>
        </w:rPr>
        <w:t>案</w:t>
      </w:r>
      <w:r>
        <w:rPr>
          <w:spacing w:val="-120"/>
        </w:rPr>
        <w:t>》</w:t>
      </w:r>
      <w:r>
        <w:rPr/>
        <w:t>。</w:t>
      </w:r>
    </w:p>
    <w:p>
      <w:pPr>
        <w:pStyle w:val="BodyText"/>
        <w:spacing w:line="336" w:lineRule="auto" w:before="176"/>
        <w:ind w:right="1123" w:firstLine="480"/>
        <w:jc w:val="left"/>
      </w:pPr>
      <w:r>
        <w:rPr/>
        <w:t>公司第三届董事会</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年第一次会议决议及相关内容刊登于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24 </w:t>
      </w:r>
      <w:r>
        <w:rPr>
          <w:spacing w:val="-13"/>
        </w:rPr>
        <w:t>日《中国证</w:t>
      </w:r>
      <w:r>
        <w:rPr/>
        <w:t> </w:t>
      </w:r>
      <w:r>
        <w:rPr>
          <w:spacing w:val="-6"/>
          <w:w w:val="99"/>
        </w:rPr>
        <w:t>券报》、《证券时报》及巨潮资讯网（</w:t>
      </w:r>
      <w:r>
        <w:rPr>
          <w:rFonts w:ascii="Times New Roman" w:hAnsi="Times New Roman" w:cs="Times New Roman" w:eastAsia="Times New Roman" w:hint="default"/>
          <w:color w:val="0000FF"/>
          <w:spacing w:val="-6"/>
          <w:w w:val="99"/>
        </w:rPr>
      </w:r>
      <w:hyperlink r:id="rId12">
        <w:r>
          <w:rPr>
            <w:rFonts w:ascii="Times New Roman" w:hAnsi="Times New Roman" w:cs="Times New Roman" w:eastAsia="Times New Roman" w:hint="default"/>
            <w:color w:val="0000FF"/>
            <w:spacing w:val="-6"/>
            <w:w w:val="99"/>
            <w:u w:val="single" w:color="0000FF"/>
          </w:rPr>
          <w:t>http://www.cninfo.com.cn</w:t>
        </w:r>
        <w:r>
          <w:rPr>
            <w:rFonts w:ascii="Times New Roman" w:hAnsi="Times New Roman" w:cs="Times New Roman" w:eastAsia="Times New Roman" w:hint="default"/>
            <w:color w:val="0000FF"/>
            <w:spacing w:val="-6"/>
            <w:w w:val="99"/>
          </w:rPr>
        </w:r>
      </w:hyperlink>
      <w:r>
        <w:rPr>
          <w:spacing w:val="-6"/>
          <w:w w:val="99"/>
        </w:rPr>
        <w:t>）上。</w:t>
      </w:r>
    </w:p>
    <w:p>
      <w:pPr>
        <w:spacing w:after="0" w:line="336" w:lineRule="auto"/>
        <w:jc w:val="left"/>
        <w:sectPr>
          <w:pgSz w:w="11910" w:h="16840"/>
          <w:pgMar w:header="920" w:footer="956" w:top="1140" w:bottom="1140" w:left="1020" w:right="0"/>
        </w:sectPr>
      </w:pPr>
    </w:p>
    <w:p>
      <w:pPr>
        <w:pStyle w:val="BodyText"/>
        <w:spacing w:line="338" w:lineRule="auto" w:before="19"/>
        <w:ind w:right="1126" w:firstLine="480"/>
        <w:jc w:val="left"/>
      </w:pPr>
      <w:r>
        <w:rPr>
          <w:rFonts w:ascii="Times New Roman" w:hAnsi="Times New Roman" w:cs="Times New Roman" w:eastAsia="Times New Roman" w:hint="default"/>
        </w:rPr>
        <w:t>2</w:t>
      </w:r>
      <w:r>
        <w:rPr/>
        <w:t>、</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4"/>
        </w:rPr>
        <w:t> </w:t>
      </w:r>
      <w:r>
        <w:rPr/>
        <w:t>月</w:t>
      </w:r>
      <w:r>
        <w:rPr>
          <w:spacing w:val="-46"/>
        </w:rPr>
        <w:t> </w:t>
      </w:r>
      <w:r>
        <w:rPr>
          <w:rFonts w:ascii="宋体" w:hAnsi="宋体" w:cs="宋体" w:eastAsia="宋体" w:hint="default"/>
        </w:rPr>
        <w:t>12</w:t>
      </w:r>
      <w:r>
        <w:rPr>
          <w:rFonts w:ascii="宋体" w:hAnsi="宋体" w:cs="宋体" w:eastAsia="宋体" w:hint="default"/>
          <w:spacing w:val="-46"/>
        </w:rPr>
        <w:t> </w:t>
      </w:r>
      <w:r>
        <w:rPr/>
        <w:t>日，公司召开了第三届董事会</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年第二次会议，会议审议了以下 议案，但未形成会议决议：</w:t>
      </w:r>
    </w:p>
    <w:p>
      <w:pPr>
        <w:pStyle w:val="BodyText"/>
        <w:spacing w:line="240" w:lineRule="auto" w:before="94"/>
        <w:ind w:left="593" w:right="0"/>
        <w:jc w:val="left"/>
      </w:pPr>
      <w:r>
        <w:rPr/>
        <w:t>（</w:t>
      </w:r>
      <w:r>
        <w:rPr>
          <w:rFonts w:ascii="宋体" w:hAnsi="宋体" w:cs="宋体" w:eastAsia="宋体" w:hint="default"/>
        </w:rPr>
        <w:t>1</w:t>
      </w:r>
      <w:r>
        <w:rPr/>
        <w:t>）《</w:t>
      </w:r>
      <w:r>
        <w:rPr>
          <w:rFonts w:ascii="宋体" w:hAnsi="宋体" w:cs="宋体" w:eastAsia="宋体" w:hint="default"/>
        </w:rPr>
        <w:t>2010</w:t>
      </w:r>
      <w:r>
        <w:rPr>
          <w:rFonts w:ascii="宋体" w:hAnsi="宋体" w:cs="宋体" w:eastAsia="宋体" w:hint="default"/>
          <w:spacing w:val="-61"/>
        </w:rPr>
        <w:t> </w:t>
      </w:r>
      <w:r>
        <w:rPr/>
        <w:t>年度总经理工作报告》；</w:t>
      </w:r>
    </w:p>
    <w:p>
      <w:pPr>
        <w:pStyle w:val="BodyText"/>
        <w:spacing w:line="240" w:lineRule="auto" w:before="154"/>
        <w:ind w:left="593" w:right="0"/>
        <w:jc w:val="left"/>
      </w:pPr>
      <w:r>
        <w:rPr/>
        <w:t>（</w:t>
      </w: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61"/>
        </w:rPr>
        <w:t> </w:t>
      </w:r>
      <w:r>
        <w:rPr/>
        <w:t>年董事会工作报告》；</w:t>
      </w:r>
    </w:p>
    <w:p>
      <w:pPr>
        <w:pStyle w:val="BodyText"/>
        <w:spacing w:line="240" w:lineRule="auto" w:before="151"/>
        <w:ind w:left="593" w:right="0"/>
        <w:jc w:val="left"/>
      </w:pPr>
      <w:r>
        <w:rPr/>
        <w:t>（</w:t>
      </w:r>
      <w:r>
        <w:rPr>
          <w:rFonts w:ascii="宋体" w:hAnsi="宋体" w:cs="宋体" w:eastAsia="宋体" w:hint="default"/>
        </w:rPr>
        <w:t>3</w:t>
      </w:r>
      <w:r>
        <w:rPr/>
        <w:t>）《</w:t>
      </w:r>
      <w:r>
        <w:rPr>
          <w:rFonts w:ascii="宋体" w:hAnsi="宋体" w:cs="宋体" w:eastAsia="宋体" w:hint="default"/>
        </w:rPr>
        <w:t>2010</w:t>
      </w:r>
      <w:r>
        <w:rPr>
          <w:rFonts w:ascii="宋体" w:hAnsi="宋体" w:cs="宋体" w:eastAsia="宋体" w:hint="default"/>
          <w:spacing w:val="-61"/>
        </w:rPr>
        <w:t> </w:t>
      </w:r>
      <w:r>
        <w:rPr/>
        <w:t>年度报告》及《</w:t>
      </w:r>
      <w:r>
        <w:rPr>
          <w:rFonts w:ascii="宋体" w:hAnsi="宋体" w:cs="宋体" w:eastAsia="宋体" w:hint="default"/>
        </w:rPr>
        <w:t>2010</w:t>
      </w:r>
      <w:r>
        <w:rPr>
          <w:rFonts w:ascii="宋体" w:hAnsi="宋体" w:cs="宋体" w:eastAsia="宋体" w:hint="default"/>
          <w:spacing w:val="-61"/>
        </w:rPr>
        <w:t> </w:t>
      </w:r>
      <w:r>
        <w:rPr/>
        <w:t>年度报告摘要》；</w:t>
      </w:r>
    </w:p>
    <w:p>
      <w:pPr>
        <w:pStyle w:val="BodyText"/>
        <w:spacing w:line="240" w:lineRule="auto" w:before="154"/>
        <w:ind w:left="593" w:right="0"/>
        <w:jc w:val="left"/>
      </w:pPr>
      <w:r>
        <w:rPr/>
        <w:t>（</w:t>
      </w:r>
      <w:r>
        <w:rPr>
          <w:rFonts w:ascii="宋体" w:hAnsi="宋体" w:cs="宋体" w:eastAsia="宋体" w:hint="default"/>
        </w:rPr>
        <w:t>4</w:t>
      </w:r>
      <w:r>
        <w:rPr/>
        <w:t>）《</w:t>
      </w:r>
      <w:r>
        <w:rPr>
          <w:rFonts w:ascii="宋体" w:hAnsi="宋体" w:cs="宋体" w:eastAsia="宋体" w:hint="default"/>
        </w:rPr>
        <w:t>2010</w:t>
      </w:r>
      <w:r>
        <w:rPr>
          <w:rFonts w:ascii="宋体" w:hAnsi="宋体" w:cs="宋体" w:eastAsia="宋体" w:hint="default"/>
          <w:spacing w:val="-61"/>
        </w:rPr>
        <w:t> </w:t>
      </w:r>
      <w:r>
        <w:rPr/>
        <w:t>年度财务决算报告》；</w:t>
      </w:r>
    </w:p>
    <w:p>
      <w:pPr>
        <w:pStyle w:val="BodyText"/>
        <w:spacing w:line="240" w:lineRule="auto" w:before="151"/>
        <w:ind w:left="593" w:right="0"/>
        <w:jc w:val="left"/>
      </w:pPr>
      <w:r>
        <w:rPr/>
        <w:t>（</w:t>
      </w:r>
      <w:r>
        <w:rPr>
          <w:rFonts w:ascii="宋体" w:hAnsi="宋体" w:cs="宋体" w:eastAsia="宋体" w:hint="default"/>
        </w:rPr>
        <w:t>5</w:t>
      </w:r>
      <w:r>
        <w:rPr/>
        <w:t>）《</w:t>
      </w:r>
      <w:r>
        <w:rPr>
          <w:rFonts w:ascii="宋体" w:hAnsi="宋体" w:cs="宋体" w:eastAsia="宋体" w:hint="default"/>
        </w:rPr>
        <w:t>2010</w:t>
      </w:r>
      <w:r>
        <w:rPr>
          <w:rFonts w:ascii="宋体" w:hAnsi="宋体" w:cs="宋体" w:eastAsia="宋体" w:hint="default"/>
          <w:spacing w:val="-61"/>
        </w:rPr>
        <w:t> </w:t>
      </w:r>
      <w:r>
        <w:rPr/>
        <w:t>年利润分配的预案》；</w:t>
      </w:r>
    </w:p>
    <w:p>
      <w:pPr>
        <w:pStyle w:val="BodyText"/>
        <w:spacing w:line="240" w:lineRule="auto" w:before="154"/>
        <w:ind w:left="593" w:right="0"/>
        <w:jc w:val="left"/>
      </w:pPr>
      <w:r>
        <w:rPr/>
        <w:t>（</w:t>
      </w:r>
      <w:r>
        <w:rPr>
          <w:rFonts w:ascii="宋体" w:hAnsi="宋体" w:cs="宋体" w:eastAsia="宋体" w:hint="default"/>
        </w:rPr>
        <w:t>6</w:t>
      </w:r>
      <w:r>
        <w:rPr/>
        <w:t>）《关于</w:t>
      </w:r>
      <w:r>
        <w:rPr>
          <w:spacing w:val="-61"/>
        </w:rPr>
        <w:t> </w:t>
      </w:r>
      <w:r>
        <w:rPr>
          <w:rFonts w:ascii="宋体" w:hAnsi="宋体" w:cs="宋体" w:eastAsia="宋体" w:hint="default"/>
        </w:rPr>
        <w:t>2010</w:t>
      </w:r>
      <w:r>
        <w:rPr>
          <w:rFonts w:ascii="宋体" w:hAnsi="宋体" w:cs="宋体" w:eastAsia="宋体" w:hint="default"/>
          <w:spacing w:val="-61"/>
        </w:rPr>
        <w:t> </w:t>
      </w:r>
      <w:r>
        <w:rPr/>
        <w:t>年年度募集资金使用情况的专项说明》；</w:t>
      </w:r>
    </w:p>
    <w:p>
      <w:pPr>
        <w:pStyle w:val="BodyText"/>
        <w:spacing w:line="240" w:lineRule="auto" w:before="151"/>
        <w:ind w:left="593" w:right="0"/>
        <w:jc w:val="left"/>
      </w:pPr>
      <w:r>
        <w:rPr/>
        <w:t>（</w:t>
      </w:r>
      <w:r>
        <w:rPr>
          <w:rFonts w:ascii="宋体" w:hAnsi="宋体" w:cs="宋体" w:eastAsia="宋体" w:hint="default"/>
        </w:rPr>
        <w:t>7</w:t>
      </w:r>
      <w:r>
        <w:rPr/>
        <w:t>）《</w:t>
      </w:r>
      <w:r>
        <w:rPr>
          <w:rFonts w:ascii="宋体" w:hAnsi="宋体" w:cs="宋体" w:eastAsia="宋体" w:hint="default"/>
        </w:rPr>
        <w:t>2010</w:t>
      </w:r>
      <w:r>
        <w:rPr>
          <w:rFonts w:ascii="宋体" w:hAnsi="宋体" w:cs="宋体" w:eastAsia="宋体" w:hint="default"/>
          <w:spacing w:val="-61"/>
        </w:rPr>
        <w:t> </w:t>
      </w:r>
      <w:r>
        <w:rPr/>
        <w:t>年度内部控制的自我评价报告》；</w:t>
      </w:r>
    </w:p>
    <w:p>
      <w:pPr>
        <w:pStyle w:val="BodyText"/>
        <w:spacing w:line="240" w:lineRule="auto" w:before="154"/>
        <w:ind w:left="593" w:right="0"/>
        <w:jc w:val="left"/>
      </w:pPr>
      <w:r>
        <w:rPr/>
        <w:t>（</w:t>
      </w:r>
      <w:r>
        <w:rPr>
          <w:rFonts w:ascii="宋体" w:hAnsi="宋体" w:cs="宋体" w:eastAsia="宋体" w:hint="default"/>
        </w:rPr>
        <w:t>8</w:t>
      </w:r>
      <w:r>
        <w:rPr/>
        <w:t>）《关于续聘深圳市鹏城会计师事务所有限公司为公司</w:t>
      </w:r>
      <w:r>
        <w:rPr>
          <w:spacing w:val="-60"/>
        </w:rPr>
        <w:t> </w:t>
      </w:r>
      <w:r>
        <w:rPr>
          <w:rFonts w:ascii="宋体" w:hAnsi="宋体" w:cs="宋体" w:eastAsia="宋体" w:hint="default"/>
        </w:rPr>
        <w:t>2011</w:t>
      </w:r>
      <w:r>
        <w:rPr>
          <w:rFonts w:ascii="宋体" w:hAnsi="宋体" w:cs="宋体" w:eastAsia="宋体" w:hint="default"/>
          <w:spacing w:val="-61"/>
        </w:rPr>
        <w:t> </w:t>
      </w:r>
      <w:r>
        <w:rPr/>
        <w:t>年审计机构的议案》；</w:t>
      </w:r>
    </w:p>
    <w:p>
      <w:pPr>
        <w:pStyle w:val="BodyText"/>
        <w:spacing w:line="240" w:lineRule="auto" w:before="151"/>
        <w:ind w:left="593" w:right="0"/>
        <w:jc w:val="left"/>
      </w:pPr>
      <w:r>
        <w:rPr/>
        <w:t>（</w:t>
      </w:r>
      <w:r>
        <w:rPr>
          <w:rFonts w:ascii="宋体" w:hAnsi="宋体" w:cs="宋体" w:eastAsia="宋体" w:hint="default"/>
        </w:rPr>
        <w:t>9</w:t>
      </w:r>
      <w:r>
        <w:rPr/>
        <w:t>）《关于修订</w:t>
      </w:r>
      <w:r>
        <w:rPr>
          <w:rFonts w:ascii="宋体" w:hAnsi="宋体" w:cs="宋体" w:eastAsia="宋体" w:hint="default"/>
        </w:rPr>
        <w:t>&lt;</w:t>
      </w:r>
      <w:r>
        <w:rPr/>
        <w:t>公司章程</w:t>
      </w:r>
      <w:r>
        <w:rPr>
          <w:rFonts w:ascii="宋体" w:hAnsi="宋体" w:cs="宋体" w:eastAsia="宋体" w:hint="default"/>
        </w:rPr>
        <w:t>&gt;</w:t>
      </w:r>
      <w:r>
        <w:rPr/>
        <w:t>的议案》；</w:t>
      </w:r>
    </w:p>
    <w:p>
      <w:pPr>
        <w:pStyle w:val="BodyText"/>
        <w:spacing w:line="240" w:lineRule="auto" w:before="154"/>
        <w:ind w:left="593" w:right="0"/>
        <w:jc w:val="left"/>
      </w:pPr>
      <w:r>
        <w:rPr/>
        <w:t>（</w:t>
      </w:r>
      <w:r>
        <w:rPr>
          <w:rFonts w:ascii="宋体" w:hAnsi="宋体" w:cs="宋体" w:eastAsia="宋体" w:hint="default"/>
        </w:rPr>
        <w:t>10</w:t>
      </w:r>
      <w:r>
        <w:rPr/>
        <w:t>）《关于制订</w:t>
      </w:r>
      <w:r>
        <w:rPr>
          <w:rFonts w:ascii="宋体" w:hAnsi="宋体" w:cs="宋体" w:eastAsia="宋体" w:hint="default"/>
        </w:rPr>
        <w:t>&lt;</w:t>
      </w:r>
      <w:r>
        <w:rPr/>
        <w:t>防范股东及关联方资金占用管理制度</w:t>
      </w:r>
      <w:r>
        <w:rPr>
          <w:rFonts w:ascii="宋体" w:hAnsi="宋体" w:cs="宋体" w:eastAsia="宋体" w:hint="default"/>
        </w:rPr>
        <w:t>&gt;</w:t>
      </w:r>
      <w:r>
        <w:rPr/>
        <w:t>的议案》；</w:t>
      </w:r>
    </w:p>
    <w:p>
      <w:pPr>
        <w:pStyle w:val="BodyText"/>
        <w:spacing w:line="240" w:lineRule="auto" w:before="190"/>
        <w:ind w:left="593" w:right="0"/>
        <w:jc w:val="left"/>
      </w:pPr>
      <w:r>
        <w:rPr/>
        <w:t>（</w:t>
      </w:r>
      <w:r>
        <w:rPr>
          <w:rFonts w:ascii="宋体" w:hAnsi="宋体" w:cs="宋体" w:eastAsia="宋体" w:hint="default"/>
        </w:rPr>
        <w:t>11</w:t>
      </w:r>
      <w:r>
        <w:rPr/>
        <w:t>）《关于召开公司</w:t>
      </w:r>
      <w:r>
        <w:rPr>
          <w:spacing w:val="-61"/>
        </w:rPr>
        <w:t> </w:t>
      </w:r>
      <w:r>
        <w:rPr>
          <w:rFonts w:ascii="宋体" w:hAnsi="宋体" w:cs="宋体" w:eastAsia="宋体" w:hint="default"/>
        </w:rPr>
        <w:t>2010</w:t>
      </w:r>
      <w:r>
        <w:rPr>
          <w:rFonts w:ascii="宋体" w:hAnsi="宋体" w:cs="宋体" w:eastAsia="宋体" w:hint="default"/>
          <w:spacing w:val="-61"/>
        </w:rPr>
        <w:t> </w:t>
      </w:r>
      <w:r>
        <w:rPr/>
        <w:t>年年度股东大会的通知》。</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5"/>
          <w:szCs w:val="25"/>
        </w:rPr>
      </w:pPr>
    </w:p>
    <w:p>
      <w:pPr>
        <w:pStyle w:val="BodyText"/>
        <w:spacing w:line="338" w:lineRule="auto"/>
        <w:ind w:right="1126" w:firstLine="480"/>
        <w:jc w:val="left"/>
      </w:pPr>
      <w:r>
        <w:rPr>
          <w:rFonts w:ascii="Times New Roman" w:hAnsi="Times New Roman" w:cs="Times New Roman" w:eastAsia="Times New Roman" w:hint="default"/>
        </w:rPr>
        <w:t>3</w:t>
      </w:r>
      <w:r>
        <w:rPr/>
        <w:t>、</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4"/>
        </w:rPr>
        <w:t> </w:t>
      </w:r>
      <w:r>
        <w:rPr/>
        <w:t>月</w:t>
      </w:r>
      <w:r>
        <w:rPr>
          <w:spacing w:val="-46"/>
        </w:rPr>
        <w:t> </w:t>
      </w:r>
      <w:r>
        <w:rPr>
          <w:rFonts w:ascii="宋体" w:hAnsi="宋体" w:cs="宋体" w:eastAsia="宋体" w:hint="default"/>
        </w:rPr>
        <w:t>23</w:t>
      </w:r>
      <w:r>
        <w:rPr>
          <w:rFonts w:ascii="宋体" w:hAnsi="宋体" w:cs="宋体" w:eastAsia="宋体" w:hint="default"/>
          <w:spacing w:val="-46"/>
        </w:rPr>
        <w:t> </w:t>
      </w:r>
      <w:r>
        <w:rPr/>
        <w:t>日，公司召开了第三届董事会</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年第三次会议，会议通过了以下 议案：</w:t>
      </w:r>
    </w:p>
    <w:p>
      <w:pPr>
        <w:pStyle w:val="BodyText"/>
        <w:spacing w:line="240" w:lineRule="auto" w:before="94"/>
        <w:ind w:left="593" w:right="0"/>
        <w:jc w:val="left"/>
      </w:pPr>
      <w:r>
        <w:rPr/>
        <w:t>（</w:t>
      </w:r>
      <w:r>
        <w:rPr>
          <w:rFonts w:ascii="宋体" w:hAnsi="宋体" w:cs="宋体" w:eastAsia="宋体" w:hint="default"/>
        </w:rPr>
        <w:t>1</w:t>
      </w:r>
      <w:r>
        <w:rPr/>
        <w:t>）《</w:t>
      </w:r>
      <w:r>
        <w:rPr>
          <w:rFonts w:ascii="宋体" w:hAnsi="宋体" w:cs="宋体" w:eastAsia="宋体" w:hint="default"/>
        </w:rPr>
        <w:t>2010</w:t>
      </w:r>
      <w:r>
        <w:rPr>
          <w:rFonts w:ascii="宋体" w:hAnsi="宋体" w:cs="宋体" w:eastAsia="宋体" w:hint="default"/>
          <w:spacing w:val="-61"/>
        </w:rPr>
        <w:t> </w:t>
      </w:r>
      <w:r>
        <w:rPr/>
        <w:t>年度总经理工作报告》；</w:t>
      </w:r>
    </w:p>
    <w:p>
      <w:pPr>
        <w:pStyle w:val="BodyText"/>
        <w:spacing w:line="240" w:lineRule="auto" w:before="154"/>
        <w:ind w:left="593" w:right="0"/>
        <w:jc w:val="left"/>
      </w:pPr>
      <w:r>
        <w:rPr/>
        <w:t>（</w:t>
      </w: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61"/>
        </w:rPr>
        <w:t> </w:t>
      </w:r>
      <w:r>
        <w:rPr/>
        <w:t>年董事会工作报告》；</w:t>
      </w:r>
    </w:p>
    <w:p>
      <w:pPr>
        <w:pStyle w:val="BodyText"/>
        <w:spacing w:line="240" w:lineRule="auto" w:before="151"/>
        <w:ind w:left="593" w:right="0"/>
        <w:jc w:val="left"/>
      </w:pPr>
      <w:r>
        <w:rPr/>
        <w:t>（</w:t>
      </w:r>
      <w:r>
        <w:rPr>
          <w:rFonts w:ascii="宋体" w:hAnsi="宋体" w:cs="宋体" w:eastAsia="宋体" w:hint="default"/>
        </w:rPr>
        <w:t>3</w:t>
      </w:r>
      <w:r>
        <w:rPr/>
        <w:t>）《</w:t>
      </w:r>
      <w:r>
        <w:rPr>
          <w:rFonts w:ascii="宋体" w:hAnsi="宋体" w:cs="宋体" w:eastAsia="宋体" w:hint="default"/>
        </w:rPr>
        <w:t>2010</w:t>
      </w:r>
      <w:r>
        <w:rPr>
          <w:rFonts w:ascii="宋体" w:hAnsi="宋体" w:cs="宋体" w:eastAsia="宋体" w:hint="default"/>
          <w:spacing w:val="-61"/>
        </w:rPr>
        <w:t> </w:t>
      </w:r>
      <w:r>
        <w:rPr/>
        <w:t>年度报告》及《</w:t>
      </w:r>
      <w:r>
        <w:rPr>
          <w:rFonts w:ascii="宋体" w:hAnsi="宋体" w:cs="宋体" w:eastAsia="宋体" w:hint="default"/>
        </w:rPr>
        <w:t>2010</w:t>
      </w:r>
      <w:r>
        <w:rPr>
          <w:rFonts w:ascii="宋体" w:hAnsi="宋体" w:cs="宋体" w:eastAsia="宋体" w:hint="default"/>
          <w:spacing w:val="-61"/>
        </w:rPr>
        <w:t> </w:t>
      </w:r>
      <w:r>
        <w:rPr/>
        <w:t>年度报告摘要》；</w:t>
      </w:r>
    </w:p>
    <w:p>
      <w:pPr>
        <w:pStyle w:val="BodyText"/>
        <w:spacing w:line="240" w:lineRule="auto" w:before="154"/>
        <w:ind w:left="593" w:right="0"/>
        <w:jc w:val="left"/>
      </w:pPr>
      <w:r>
        <w:rPr/>
        <w:t>（</w:t>
      </w:r>
      <w:r>
        <w:rPr>
          <w:rFonts w:ascii="宋体" w:hAnsi="宋体" w:cs="宋体" w:eastAsia="宋体" w:hint="default"/>
        </w:rPr>
        <w:t>4</w:t>
      </w:r>
      <w:r>
        <w:rPr/>
        <w:t>）《</w:t>
      </w:r>
      <w:r>
        <w:rPr>
          <w:rFonts w:ascii="宋体" w:hAnsi="宋体" w:cs="宋体" w:eastAsia="宋体" w:hint="default"/>
        </w:rPr>
        <w:t>2010</w:t>
      </w:r>
      <w:r>
        <w:rPr>
          <w:rFonts w:ascii="宋体" w:hAnsi="宋体" w:cs="宋体" w:eastAsia="宋体" w:hint="default"/>
          <w:spacing w:val="-61"/>
        </w:rPr>
        <w:t> </w:t>
      </w:r>
      <w:r>
        <w:rPr/>
        <w:t>年度财务决算报告》；</w:t>
      </w:r>
    </w:p>
    <w:p>
      <w:pPr>
        <w:pStyle w:val="BodyText"/>
        <w:spacing w:line="240" w:lineRule="auto" w:before="151"/>
        <w:ind w:left="593" w:right="0"/>
        <w:jc w:val="left"/>
      </w:pPr>
      <w:r>
        <w:rPr/>
        <w:t>（</w:t>
      </w:r>
      <w:r>
        <w:rPr>
          <w:rFonts w:ascii="宋体" w:hAnsi="宋体" w:cs="宋体" w:eastAsia="宋体" w:hint="default"/>
        </w:rPr>
        <w:t>5</w:t>
      </w:r>
      <w:r>
        <w:rPr/>
        <w:t>）《</w:t>
      </w:r>
      <w:r>
        <w:rPr>
          <w:rFonts w:ascii="宋体" w:hAnsi="宋体" w:cs="宋体" w:eastAsia="宋体" w:hint="default"/>
        </w:rPr>
        <w:t>2010</w:t>
      </w:r>
      <w:r>
        <w:rPr>
          <w:rFonts w:ascii="宋体" w:hAnsi="宋体" w:cs="宋体" w:eastAsia="宋体" w:hint="default"/>
          <w:spacing w:val="-61"/>
        </w:rPr>
        <w:t> </w:t>
      </w:r>
      <w:r>
        <w:rPr/>
        <w:t>年利润分配的预案》；</w:t>
      </w:r>
    </w:p>
    <w:p>
      <w:pPr>
        <w:pStyle w:val="BodyText"/>
        <w:spacing w:line="240" w:lineRule="auto" w:before="154"/>
        <w:ind w:left="593" w:right="0"/>
        <w:jc w:val="left"/>
      </w:pPr>
      <w:r>
        <w:rPr/>
        <w:t>（</w:t>
      </w:r>
      <w:r>
        <w:rPr>
          <w:rFonts w:ascii="宋体" w:hAnsi="宋体" w:cs="宋体" w:eastAsia="宋体" w:hint="default"/>
        </w:rPr>
        <w:t>6</w:t>
      </w:r>
      <w:r>
        <w:rPr/>
        <w:t>）《关于</w:t>
      </w:r>
      <w:r>
        <w:rPr>
          <w:spacing w:val="-61"/>
        </w:rPr>
        <w:t> </w:t>
      </w:r>
      <w:r>
        <w:rPr>
          <w:rFonts w:ascii="宋体" w:hAnsi="宋体" w:cs="宋体" w:eastAsia="宋体" w:hint="default"/>
        </w:rPr>
        <w:t>2010</w:t>
      </w:r>
      <w:r>
        <w:rPr>
          <w:rFonts w:ascii="宋体" w:hAnsi="宋体" w:cs="宋体" w:eastAsia="宋体" w:hint="default"/>
          <w:spacing w:val="-61"/>
        </w:rPr>
        <w:t> </w:t>
      </w:r>
      <w:r>
        <w:rPr/>
        <w:t>年年度募集资金使用情况的专项说明》；</w:t>
      </w:r>
    </w:p>
    <w:p>
      <w:pPr>
        <w:pStyle w:val="BodyText"/>
        <w:spacing w:line="240" w:lineRule="auto" w:before="151"/>
        <w:ind w:left="593" w:right="0"/>
        <w:jc w:val="left"/>
      </w:pPr>
      <w:r>
        <w:rPr/>
        <w:t>（</w:t>
      </w:r>
      <w:r>
        <w:rPr>
          <w:rFonts w:ascii="宋体" w:hAnsi="宋体" w:cs="宋体" w:eastAsia="宋体" w:hint="default"/>
        </w:rPr>
        <w:t>7</w:t>
      </w:r>
      <w:r>
        <w:rPr/>
        <w:t>）《</w:t>
      </w:r>
      <w:r>
        <w:rPr>
          <w:rFonts w:ascii="宋体" w:hAnsi="宋体" w:cs="宋体" w:eastAsia="宋体" w:hint="default"/>
        </w:rPr>
        <w:t>2010</w:t>
      </w:r>
      <w:r>
        <w:rPr>
          <w:rFonts w:ascii="宋体" w:hAnsi="宋体" w:cs="宋体" w:eastAsia="宋体" w:hint="default"/>
          <w:spacing w:val="-61"/>
        </w:rPr>
        <w:t> </w:t>
      </w:r>
      <w:r>
        <w:rPr/>
        <w:t>年度内部控制的自我评价报告》；</w:t>
      </w:r>
    </w:p>
    <w:p>
      <w:pPr>
        <w:pStyle w:val="BodyText"/>
        <w:spacing w:line="240" w:lineRule="auto" w:before="154"/>
        <w:ind w:left="593" w:right="0"/>
        <w:jc w:val="left"/>
      </w:pPr>
      <w:r>
        <w:rPr/>
        <w:t>（</w:t>
      </w:r>
      <w:r>
        <w:rPr>
          <w:rFonts w:ascii="宋体" w:hAnsi="宋体" w:cs="宋体" w:eastAsia="宋体" w:hint="default"/>
        </w:rPr>
        <w:t>8</w:t>
      </w:r>
      <w:r>
        <w:rPr/>
        <w:t>）《关于续聘深圳市鹏城会计师事务所有限公司为公司</w:t>
      </w:r>
      <w:r>
        <w:rPr>
          <w:spacing w:val="-60"/>
        </w:rPr>
        <w:t> </w:t>
      </w:r>
      <w:r>
        <w:rPr>
          <w:rFonts w:ascii="宋体" w:hAnsi="宋体" w:cs="宋体" w:eastAsia="宋体" w:hint="default"/>
        </w:rPr>
        <w:t>2011</w:t>
      </w:r>
      <w:r>
        <w:rPr>
          <w:rFonts w:ascii="宋体" w:hAnsi="宋体" w:cs="宋体" w:eastAsia="宋体" w:hint="default"/>
          <w:spacing w:val="-61"/>
        </w:rPr>
        <w:t> </w:t>
      </w:r>
      <w:r>
        <w:rPr/>
        <w:t>年审计机构的议案》；</w:t>
      </w:r>
    </w:p>
    <w:p>
      <w:pPr>
        <w:pStyle w:val="BodyText"/>
        <w:spacing w:line="240" w:lineRule="auto" w:before="152"/>
        <w:ind w:left="593" w:right="0"/>
        <w:jc w:val="left"/>
      </w:pPr>
      <w:r>
        <w:rPr/>
        <w:t>（</w:t>
      </w:r>
      <w:r>
        <w:rPr>
          <w:rFonts w:ascii="宋体" w:hAnsi="宋体" w:cs="宋体" w:eastAsia="宋体" w:hint="default"/>
        </w:rPr>
        <w:t>9</w:t>
      </w:r>
      <w:r>
        <w:rPr/>
        <w:t>）《关于修订</w:t>
      </w:r>
      <w:r>
        <w:rPr>
          <w:rFonts w:ascii="宋体" w:hAnsi="宋体" w:cs="宋体" w:eastAsia="宋体" w:hint="default"/>
        </w:rPr>
        <w:t>&lt;</w:t>
      </w:r>
      <w:r>
        <w:rPr/>
        <w:t>公司章程</w:t>
      </w:r>
      <w:r>
        <w:rPr>
          <w:rFonts w:ascii="宋体" w:hAnsi="宋体" w:cs="宋体" w:eastAsia="宋体" w:hint="default"/>
        </w:rPr>
        <w:t>&gt;</w:t>
      </w:r>
      <w:r>
        <w:rPr/>
        <w:t>的议案》；</w:t>
      </w:r>
    </w:p>
    <w:p>
      <w:pPr>
        <w:pStyle w:val="BodyText"/>
        <w:spacing w:line="240" w:lineRule="auto" w:before="154"/>
        <w:ind w:left="593" w:right="0"/>
        <w:jc w:val="left"/>
      </w:pPr>
      <w:r>
        <w:rPr/>
        <w:t>（</w:t>
      </w:r>
      <w:r>
        <w:rPr>
          <w:rFonts w:ascii="宋体" w:hAnsi="宋体" w:cs="宋体" w:eastAsia="宋体" w:hint="default"/>
        </w:rPr>
        <w:t>10</w:t>
      </w:r>
      <w:r>
        <w:rPr/>
        <w:t>）《关于制订</w:t>
      </w:r>
      <w:r>
        <w:rPr>
          <w:rFonts w:ascii="宋体" w:hAnsi="宋体" w:cs="宋体" w:eastAsia="宋体" w:hint="default"/>
        </w:rPr>
        <w:t>&lt;</w:t>
      </w:r>
      <w:r>
        <w:rPr/>
        <w:t>防范股东及关联方资金占用管理制度</w:t>
      </w:r>
      <w:r>
        <w:rPr>
          <w:rFonts w:ascii="宋体" w:hAnsi="宋体" w:cs="宋体" w:eastAsia="宋体" w:hint="default"/>
        </w:rPr>
        <w:t>&gt;</w:t>
      </w:r>
      <w:r>
        <w:rPr/>
        <w:t>的议案》；</w:t>
      </w:r>
    </w:p>
    <w:p>
      <w:pPr>
        <w:pStyle w:val="BodyText"/>
        <w:spacing w:line="240" w:lineRule="auto" w:before="190"/>
        <w:ind w:left="593" w:right="0"/>
        <w:jc w:val="left"/>
      </w:pPr>
      <w:r>
        <w:rPr/>
        <w:t>（</w:t>
      </w:r>
      <w:r>
        <w:rPr>
          <w:rFonts w:ascii="宋体" w:hAnsi="宋体" w:cs="宋体" w:eastAsia="宋体" w:hint="default"/>
        </w:rPr>
        <w:t>11</w:t>
      </w:r>
      <w:r>
        <w:rPr/>
        <w:t>）《关于召开公司</w:t>
      </w:r>
      <w:r>
        <w:rPr>
          <w:spacing w:val="-61"/>
        </w:rPr>
        <w:t> </w:t>
      </w:r>
      <w:r>
        <w:rPr>
          <w:rFonts w:ascii="宋体" w:hAnsi="宋体" w:cs="宋体" w:eastAsia="宋体" w:hint="default"/>
        </w:rPr>
        <w:t>2010</w:t>
      </w:r>
      <w:r>
        <w:rPr>
          <w:rFonts w:ascii="宋体" w:hAnsi="宋体" w:cs="宋体" w:eastAsia="宋体" w:hint="default"/>
          <w:spacing w:val="-61"/>
        </w:rPr>
        <w:t> </w:t>
      </w:r>
      <w:r>
        <w:rPr/>
        <w:t>年年度股东大会的通知》。</w:t>
      </w:r>
    </w:p>
    <w:p>
      <w:pPr>
        <w:pStyle w:val="BodyText"/>
        <w:spacing w:line="338" w:lineRule="auto" w:before="194"/>
        <w:ind w:right="1123" w:firstLine="480"/>
        <w:jc w:val="left"/>
      </w:pPr>
      <w:r>
        <w:rPr/>
        <w:t>公司第三届董事会</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年第三次会议决议及相关内容刊登于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26 </w:t>
      </w:r>
      <w:r>
        <w:rPr>
          <w:spacing w:val="-13"/>
        </w:rPr>
        <w:t>日《中国证</w:t>
      </w:r>
      <w:r>
        <w:rPr/>
        <w:t> </w:t>
      </w:r>
      <w:r>
        <w:rPr>
          <w:spacing w:val="-6"/>
          <w:w w:val="99"/>
        </w:rPr>
        <w:t>券报》、《证券时报》及巨潮资讯网（</w:t>
      </w:r>
      <w:r>
        <w:rPr>
          <w:rFonts w:ascii="Times New Roman" w:hAnsi="Times New Roman" w:cs="Times New Roman" w:eastAsia="Times New Roman" w:hint="default"/>
          <w:color w:val="0000FF"/>
          <w:spacing w:val="-6"/>
          <w:w w:val="99"/>
        </w:rPr>
      </w:r>
      <w:hyperlink r:id="rId12">
        <w:r>
          <w:rPr>
            <w:rFonts w:ascii="Times New Roman" w:hAnsi="Times New Roman" w:cs="Times New Roman" w:eastAsia="Times New Roman" w:hint="default"/>
            <w:color w:val="0000FF"/>
            <w:spacing w:val="-6"/>
            <w:w w:val="99"/>
            <w:u w:val="single" w:color="0000FF"/>
          </w:rPr>
          <w:t>http://www.cninfo.com.cn</w:t>
        </w:r>
        <w:r>
          <w:rPr>
            <w:rFonts w:ascii="Times New Roman" w:hAnsi="Times New Roman" w:cs="Times New Roman" w:eastAsia="Times New Roman" w:hint="default"/>
            <w:color w:val="0000FF"/>
            <w:spacing w:val="-6"/>
            <w:w w:val="99"/>
          </w:rPr>
        </w:r>
      </w:hyperlink>
      <w:r>
        <w:rPr>
          <w:spacing w:val="-6"/>
          <w:w w:val="99"/>
        </w:rPr>
        <w:t>）上。</w:t>
      </w:r>
    </w:p>
    <w:p>
      <w:pPr>
        <w:spacing w:after="0" w:line="338" w:lineRule="auto"/>
        <w:jc w:val="left"/>
        <w:sectPr>
          <w:headerReference w:type="default" r:id="rId25"/>
          <w:pgSz w:w="11910" w:h="16840"/>
          <w:pgMar w:header="920" w:footer="956" w:top="1140" w:bottom="1140" w:left="1020" w:right="0"/>
        </w:sectPr>
      </w:pPr>
    </w:p>
    <w:p>
      <w:pPr>
        <w:pStyle w:val="BodyText"/>
        <w:spacing w:line="338" w:lineRule="auto" w:before="19"/>
        <w:ind w:right="1126" w:firstLine="480"/>
        <w:jc w:val="left"/>
      </w:pPr>
      <w:r>
        <w:rPr>
          <w:rFonts w:ascii="Times New Roman" w:hAnsi="Times New Roman" w:cs="Times New Roman" w:eastAsia="Times New Roman" w:hint="default"/>
        </w:rPr>
        <w:t>4</w:t>
      </w:r>
      <w:r>
        <w:rPr/>
        <w:t>、</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4"/>
        </w:rPr>
        <w:t> </w:t>
      </w:r>
      <w:r>
        <w:rPr/>
        <w:t>月</w:t>
      </w:r>
      <w:r>
        <w:rPr>
          <w:spacing w:val="-46"/>
        </w:rPr>
        <w:t> </w:t>
      </w:r>
      <w:r>
        <w:rPr>
          <w:rFonts w:ascii="宋体" w:hAnsi="宋体" w:cs="宋体" w:eastAsia="宋体" w:hint="default"/>
        </w:rPr>
        <w:t>28</w:t>
      </w:r>
      <w:r>
        <w:rPr>
          <w:rFonts w:ascii="宋体" w:hAnsi="宋体" w:cs="宋体" w:eastAsia="宋体" w:hint="default"/>
          <w:spacing w:val="-46"/>
        </w:rPr>
        <w:t> </w:t>
      </w:r>
      <w:r>
        <w:rPr/>
        <w:t>日，公司召开了第三届董事会</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年第四次会议，会议通过了以下 议案：</w:t>
      </w:r>
    </w:p>
    <w:p>
      <w:pPr>
        <w:pStyle w:val="BodyText"/>
        <w:spacing w:line="240" w:lineRule="auto" w:before="94"/>
        <w:ind w:left="593" w:right="0"/>
        <w:jc w:val="left"/>
      </w:pPr>
      <w:r>
        <w:rPr/>
        <w:t>（</w:t>
      </w:r>
      <w:r>
        <w:rPr>
          <w:rFonts w:ascii="Times New Roman" w:hAnsi="Times New Roman" w:cs="Times New Roman" w:eastAsia="Times New Roman" w:hint="default"/>
        </w:rPr>
        <w:t>1</w:t>
      </w:r>
      <w:r>
        <w:rPr>
          <w:spacing w:val="-120"/>
        </w:rPr>
        <w:t>）</w:t>
      </w:r>
      <w:r>
        <w:rPr>
          <w:spacing w:val="-1"/>
        </w:rPr>
        <w:t>《</w:t>
      </w:r>
      <w:r>
        <w:rPr/>
        <w:t>深圳劲嘉彩印集团股份有限公司</w:t>
      </w:r>
      <w:r>
        <w:rPr>
          <w:spacing w:val="-60"/>
        </w:rPr>
        <w:t> </w:t>
      </w:r>
      <w:r>
        <w:rPr>
          <w:rFonts w:ascii="宋体" w:hAnsi="宋体" w:cs="宋体" w:eastAsia="宋体" w:hint="default"/>
        </w:rPr>
        <w:t>2011</w:t>
      </w:r>
      <w:r>
        <w:rPr>
          <w:rFonts w:ascii="宋体" w:hAnsi="宋体" w:cs="宋体" w:eastAsia="宋体" w:hint="default"/>
          <w:spacing w:val="-60"/>
        </w:rPr>
        <w:t> </w:t>
      </w:r>
      <w:r>
        <w:rPr/>
        <w:t>年第一季度报告</w:t>
      </w:r>
      <w:r>
        <w:rPr>
          <w:spacing w:val="-120"/>
        </w:rPr>
        <w:t>》</w:t>
      </w:r>
      <w:r>
        <w:rPr/>
        <w:t>。</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3"/>
          <w:szCs w:val="23"/>
        </w:rPr>
      </w:pPr>
    </w:p>
    <w:p>
      <w:pPr>
        <w:pStyle w:val="BodyText"/>
        <w:spacing w:line="338" w:lineRule="auto"/>
        <w:ind w:right="1119" w:firstLine="480"/>
        <w:jc w:val="left"/>
      </w:pPr>
      <w:r>
        <w:rPr>
          <w:rFonts w:ascii="Times New Roman" w:hAnsi="Times New Roman" w:cs="Times New Roman" w:eastAsia="Times New Roman" w:hint="default"/>
        </w:rPr>
        <w:t>5</w:t>
      </w:r>
      <w:r>
        <w:rPr/>
        <w:t>、</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5</w:t>
      </w:r>
      <w:r>
        <w:rPr>
          <w:rFonts w:ascii="宋体" w:hAnsi="宋体" w:cs="宋体" w:eastAsia="宋体" w:hint="default"/>
          <w:spacing w:val="-62"/>
        </w:rPr>
        <w:t> </w:t>
      </w:r>
      <w:r>
        <w:rPr/>
        <w:t>月</w:t>
      </w:r>
      <w:r>
        <w:rPr>
          <w:spacing w:val="-62"/>
        </w:rPr>
        <w:t> </w:t>
      </w:r>
      <w:r>
        <w:rPr>
          <w:rFonts w:ascii="宋体" w:hAnsi="宋体" w:cs="宋体" w:eastAsia="宋体" w:hint="default"/>
        </w:rPr>
        <w:t>9</w:t>
      </w:r>
      <w:r>
        <w:rPr>
          <w:rFonts w:ascii="宋体" w:hAnsi="宋体" w:cs="宋体" w:eastAsia="宋体" w:hint="default"/>
          <w:spacing w:val="-62"/>
        </w:rPr>
        <w:t> </w:t>
      </w:r>
      <w:r>
        <w:rPr/>
        <w:t>日，公司召开了第三届董事会</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年第五次会议，会议审议了以下事 项：</w:t>
      </w:r>
    </w:p>
    <w:p>
      <w:pPr>
        <w:pStyle w:val="BodyText"/>
        <w:spacing w:line="240" w:lineRule="auto" w:before="94"/>
        <w:ind w:left="593" w:right="0"/>
        <w:jc w:val="left"/>
      </w:pPr>
      <w:r>
        <w:rPr/>
        <w:t>（</w:t>
      </w:r>
      <w:r>
        <w:rPr>
          <w:rFonts w:ascii="宋体" w:hAnsi="宋体" w:cs="宋体" w:eastAsia="宋体" w:hint="default"/>
        </w:rPr>
        <w:t>1</w:t>
      </w:r>
      <w:r>
        <w:rPr/>
        <w:t>）对太和实业向公司</w:t>
      </w:r>
      <w:r>
        <w:rPr>
          <w:spacing w:val="-61"/>
        </w:rPr>
        <w:t> </w:t>
      </w:r>
      <w:r>
        <w:rPr>
          <w:rFonts w:ascii="宋体" w:hAnsi="宋体" w:cs="宋体" w:eastAsia="宋体" w:hint="default"/>
        </w:rPr>
        <w:t>2010</w:t>
      </w:r>
      <w:r>
        <w:rPr>
          <w:rFonts w:ascii="宋体" w:hAnsi="宋体" w:cs="宋体" w:eastAsia="宋体" w:hint="default"/>
          <w:spacing w:val="-61"/>
        </w:rPr>
        <w:t> </w:t>
      </w:r>
      <w:r>
        <w:rPr/>
        <w:t>度股东大会提出的</w:t>
      </w:r>
      <w:r>
        <w:rPr>
          <w:spacing w:val="-61"/>
        </w:rPr>
        <w:t> </w:t>
      </w:r>
      <w:r>
        <w:rPr>
          <w:rFonts w:ascii="宋体" w:hAnsi="宋体" w:cs="宋体" w:eastAsia="宋体" w:hint="default"/>
        </w:rPr>
        <w:t>2010</w:t>
      </w:r>
      <w:r>
        <w:rPr>
          <w:rFonts w:ascii="宋体" w:hAnsi="宋体" w:cs="宋体" w:eastAsia="宋体" w:hint="default"/>
          <w:spacing w:val="-61"/>
        </w:rPr>
        <w:t> </w:t>
      </w:r>
      <w:r>
        <w:rPr/>
        <w:t>年年度利润分配临时提案的意见。</w:t>
      </w:r>
    </w:p>
    <w:p>
      <w:pPr>
        <w:pStyle w:val="BodyText"/>
        <w:spacing w:line="336" w:lineRule="auto" w:before="38"/>
        <w:ind w:right="1126" w:firstLine="480"/>
        <w:jc w:val="left"/>
      </w:pPr>
      <w:r>
        <w:rPr/>
        <w:t>公司第三届董事会</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年第五次会议审议事项相关内容刊登于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10 </w:t>
      </w:r>
      <w:r>
        <w:rPr>
          <w:spacing w:val="-17"/>
        </w:rPr>
        <w:t>日《中国</w:t>
      </w:r>
      <w:r>
        <w:rPr/>
        <w:t> </w:t>
      </w:r>
      <w:r>
        <w:rPr>
          <w:spacing w:val="-6"/>
          <w:w w:val="99"/>
        </w:rPr>
        <w:t>证券报》、《证券时报》及巨潮资讯网（</w:t>
      </w:r>
      <w:r>
        <w:rPr>
          <w:rFonts w:ascii="Times New Roman" w:hAnsi="Times New Roman" w:cs="Times New Roman" w:eastAsia="Times New Roman" w:hint="default"/>
          <w:color w:val="0000FF"/>
          <w:spacing w:val="-6"/>
          <w:w w:val="99"/>
        </w:rPr>
      </w:r>
      <w:hyperlink r:id="rId12">
        <w:r>
          <w:rPr>
            <w:rFonts w:ascii="Times New Roman" w:hAnsi="Times New Roman" w:cs="Times New Roman" w:eastAsia="Times New Roman" w:hint="default"/>
            <w:color w:val="0000FF"/>
            <w:spacing w:val="-6"/>
            <w:w w:val="99"/>
            <w:u w:val="single" w:color="0000FF"/>
          </w:rPr>
          <w:t>http://www.cninfo.com.cn</w:t>
        </w:r>
        <w:r>
          <w:rPr>
            <w:rFonts w:ascii="Times New Roman" w:hAnsi="Times New Roman" w:cs="Times New Roman" w:eastAsia="Times New Roman" w:hint="default"/>
            <w:color w:val="0000FF"/>
            <w:spacing w:val="-6"/>
            <w:w w:val="99"/>
          </w:rPr>
        </w:r>
      </w:hyperlink>
      <w:r>
        <w:rPr>
          <w:spacing w:val="-6"/>
          <w:w w:val="99"/>
        </w:rPr>
        <w:t>）上。</w:t>
      </w:r>
    </w:p>
    <w:p>
      <w:pPr>
        <w:spacing w:line="240" w:lineRule="auto" w:before="0"/>
        <w:rPr>
          <w:rFonts w:ascii="宋体" w:hAnsi="宋体" w:cs="宋体" w:eastAsia="宋体" w:hint="default"/>
          <w:sz w:val="24"/>
          <w:szCs w:val="24"/>
        </w:rPr>
      </w:pPr>
    </w:p>
    <w:p>
      <w:pPr>
        <w:pStyle w:val="BodyText"/>
        <w:spacing w:line="338" w:lineRule="auto" w:before="208"/>
        <w:ind w:right="1120" w:firstLine="480"/>
        <w:jc w:val="left"/>
      </w:pPr>
      <w:r>
        <w:rPr>
          <w:rFonts w:ascii="Times New Roman" w:hAnsi="Times New Roman" w:cs="Times New Roman" w:eastAsia="Times New Roman" w:hint="default"/>
        </w:rPr>
        <w:t>6</w:t>
      </w:r>
      <w:r>
        <w:rPr/>
        <w:t>、</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7</w:t>
      </w:r>
      <w:r>
        <w:rPr>
          <w:rFonts w:ascii="宋体" w:hAnsi="宋体" w:cs="宋体" w:eastAsia="宋体" w:hint="default"/>
          <w:spacing w:val="-62"/>
        </w:rPr>
        <w:t> </w:t>
      </w:r>
      <w:r>
        <w:rPr/>
        <w:t>月</w:t>
      </w:r>
      <w:r>
        <w:rPr>
          <w:spacing w:val="-62"/>
        </w:rPr>
        <w:t> </w:t>
      </w:r>
      <w:r>
        <w:rPr>
          <w:rFonts w:ascii="宋体" w:hAnsi="宋体" w:cs="宋体" w:eastAsia="宋体" w:hint="default"/>
        </w:rPr>
        <w:t>1</w:t>
      </w:r>
      <w:r>
        <w:rPr>
          <w:rFonts w:ascii="宋体" w:hAnsi="宋体" w:cs="宋体" w:eastAsia="宋体" w:hint="default"/>
          <w:spacing w:val="-62"/>
        </w:rPr>
        <w:t> </w:t>
      </w:r>
      <w:r>
        <w:rPr/>
        <w:t>日，公司召开了第三届董事会</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年第六次会议，会议审议通过了以 下议案：</w:t>
      </w:r>
    </w:p>
    <w:p>
      <w:pPr>
        <w:pStyle w:val="BodyText"/>
        <w:spacing w:line="240" w:lineRule="auto" w:before="94"/>
        <w:ind w:left="593" w:right="0"/>
        <w:jc w:val="left"/>
      </w:pPr>
      <w:r>
        <w:rPr/>
        <w:t>（</w:t>
      </w:r>
      <w:r>
        <w:rPr>
          <w:rFonts w:ascii="Times New Roman" w:hAnsi="Times New Roman" w:cs="Times New Roman" w:eastAsia="Times New Roman" w:hint="default"/>
        </w:rPr>
        <w:t>1</w:t>
      </w:r>
      <w:r>
        <w:rPr>
          <w:spacing w:val="-121"/>
        </w:rPr>
        <w:t>）</w:t>
      </w:r>
      <w:r>
        <w:rPr/>
        <w:t>《关于审议</w:t>
      </w:r>
      <w:r>
        <w:rPr>
          <w:rFonts w:ascii="宋体" w:hAnsi="宋体" w:cs="宋体" w:eastAsia="宋体" w:hint="default"/>
        </w:rPr>
        <w:t>&lt;</w:t>
      </w:r>
      <w:r>
        <w:rPr/>
        <w:t>公司信息披露工作自查报告及整改措施</w:t>
      </w:r>
      <w:r>
        <w:rPr>
          <w:rFonts w:ascii="宋体" w:hAnsi="宋体" w:cs="宋体" w:eastAsia="宋体" w:hint="default"/>
        </w:rPr>
        <w:t>&gt;</w:t>
      </w:r>
      <w:r>
        <w:rPr/>
        <w:t>的议案》。</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4"/>
          <w:szCs w:val="24"/>
        </w:rPr>
      </w:pPr>
    </w:p>
    <w:p>
      <w:pPr>
        <w:pStyle w:val="BodyText"/>
        <w:spacing w:line="336" w:lineRule="auto"/>
        <w:ind w:right="1126" w:firstLine="480"/>
        <w:jc w:val="left"/>
      </w:pPr>
      <w:r>
        <w:rPr>
          <w:rFonts w:ascii="Times New Roman" w:hAnsi="Times New Roman" w:cs="Times New Roman" w:eastAsia="Times New Roman" w:hint="default"/>
        </w:rPr>
        <w:t>7</w:t>
      </w:r>
      <w:r>
        <w:rPr/>
        <w:t>、</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4"/>
        </w:rPr>
        <w:t> </w:t>
      </w:r>
      <w:r>
        <w:rPr/>
        <w:t>月</w:t>
      </w:r>
      <w:r>
        <w:rPr>
          <w:spacing w:val="-46"/>
        </w:rPr>
        <w:t> </w:t>
      </w:r>
      <w:r>
        <w:rPr>
          <w:rFonts w:ascii="宋体" w:hAnsi="宋体" w:cs="宋体" w:eastAsia="宋体" w:hint="default"/>
        </w:rPr>
        <w:t>16</w:t>
      </w:r>
      <w:r>
        <w:rPr>
          <w:rFonts w:ascii="宋体" w:hAnsi="宋体" w:cs="宋体" w:eastAsia="宋体" w:hint="default"/>
          <w:spacing w:val="-46"/>
        </w:rPr>
        <w:t> </w:t>
      </w:r>
      <w:r>
        <w:rPr/>
        <w:t>日，公司召开了第三届董事会</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年第七次会议，会议审议通过了 以下议案：</w:t>
      </w:r>
    </w:p>
    <w:p>
      <w:pPr>
        <w:pStyle w:val="BodyText"/>
        <w:spacing w:line="240" w:lineRule="auto" w:before="96"/>
        <w:ind w:left="574" w:right="0"/>
        <w:jc w:val="left"/>
      </w:pPr>
      <w:r>
        <w:rPr/>
        <w:t>（</w:t>
      </w:r>
      <w:r>
        <w:rPr>
          <w:rFonts w:ascii="Times New Roman" w:hAnsi="Times New Roman" w:cs="Times New Roman" w:eastAsia="Times New Roman" w:hint="default"/>
        </w:rPr>
        <w:t>1</w:t>
      </w:r>
      <w:r>
        <w:rPr>
          <w:spacing w:val="-121"/>
        </w:rPr>
        <w:t>）</w:t>
      </w:r>
      <w:r>
        <w:rPr/>
        <w:t>《关于</w:t>
      </w:r>
      <w:r>
        <w:rPr>
          <w:rFonts w:ascii="宋体" w:hAnsi="宋体" w:cs="宋体" w:eastAsia="宋体" w:hint="default"/>
        </w:rPr>
        <w:t>&lt;</w:t>
      </w:r>
      <w:r>
        <w:rPr/>
        <w:t>深圳劲嘉彩印集团股份有限公司</w:t>
      </w:r>
      <w:r>
        <w:rPr>
          <w:spacing w:val="-59"/>
        </w:rPr>
        <w:t> </w:t>
      </w:r>
      <w:r>
        <w:rPr>
          <w:rFonts w:ascii="宋体" w:hAnsi="宋体" w:cs="宋体" w:eastAsia="宋体" w:hint="default"/>
        </w:rPr>
        <w:t>2011</w:t>
      </w:r>
      <w:r>
        <w:rPr>
          <w:rFonts w:ascii="宋体" w:hAnsi="宋体" w:cs="宋体" w:eastAsia="宋体" w:hint="default"/>
          <w:spacing w:val="-60"/>
        </w:rPr>
        <w:t> </w:t>
      </w:r>
      <w:r>
        <w:rPr/>
        <w:t>年半年度报告</w:t>
      </w:r>
      <w:r>
        <w:rPr>
          <w:rFonts w:ascii="宋体" w:hAnsi="宋体" w:cs="宋体" w:eastAsia="宋体" w:hint="default"/>
        </w:rPr>
        <w:t>&gt;</w:t>
      </w:r>
      <w:r>
        <w:rPr/>
        <w:t>及其摘要的议案</w:t>
      </w:r>
      <w:r>
        <w:rPr>
          <w:spacing w:val="-120"/>
        </w:rPr>
        <w:t>》</w:t>
      </w:r>
      <w:r>
        <w:rPr/>
        <w:t>；</w:t>
      </w:r>
    </w:p>
    <w:p>
      <w:pPr>
        <w:pStyle w:val="BodyText"/>
        <w:spacing w:line="240" w:lineRule="auto" w:before="174"/>
        <w:ind w:left="574" w:right="0"/>
        <w:jc w:val="left"/>
      </w:pPr>
      <w:r>
        <w:rPr/>
        <w:t>（</w:t>
      </w:r>
      <w:r>
        <w:rPr>
          <w:rFonts w:ascii="宋体" w:hAnsi="宋体" w:cs="宋体" w:eastAsia="宋体" w:hint="default"/>
        </w:rPr>
        <w:t>2</w:t>
      </w:r>
      <w:r>
        <w:rPr>
          <w:spacing w:val="-120"/>
        </w:rPr>
        <w:t>）</w:t>
      </w:r>
      <w:r>
        <w:rPr>
          <w:spacing w:val="-1"/>
        </w:rPr>
        <w:t>《</w:t>
      </w:r>
      <w:r>
        <w:rPr/>
        <w:t>关于公司向交通银行股份有限公司松岗支行申请综合授信议案</w:t>
      </w:r>
      <w:r>
        <w:rPr>
          <w:spacing w:val="-120"/>
        </w:rPr>
        <w:t>》；</w:t>
      </w:r>
      <w:r>
        <w:rPr/>
      </w:r>
    </w:p>
    <w:p>
      <w:pPr>
        <w:pStyle w:val="BodyText"/>
        <w:spacing w:line="240" w:lineRule="auto" w:before="194"/>
        <w:ind w:left="574" w:right="0"/>
        <w:jc w:val="left"/>
      </w:pPr>
      <w:r>
        <w:rPr/>
        <w:t>（</w:t>
      </w:r>
      <w:r>
        <w:rPr>
          <w:rFonts w:ascii="宋体" w:hAnsi="宋体" w:cs="宋体" w:eastAsia="宋体" w:hint="default"/>
        </w:rPr>
        <w:t>3</w:t>
      </w:r>
      <w:r>
        <w:rPr>
          <w:spacing w:val="-120"/>
        </w:rPr>
        <w:t>）</w:t>
      </w:r>
      <w:r>
        <w:rPr>
          <w:spacing w:val="-1"/>
        </w:rPr>
        <w:t>《</w:t>
      </w:r>
      <w:r>
        <w:rPr/>
        <w:t>关于公司向中信银行股份有限公司景田支行申请综合授信议案</w:t>
      </w:r>
      <w:r>
        <w:rPr>
          <w:spacing w:val="-120"/>
        </w:rPr>
        <w:t>》；</w:t>
      </w:r>
      <w:r>
        <w:rPr/>
      </w:r>
    </w:p>
    <w:p>
      <w:pPr>
        <w:pStyle w:val="BodyText"/>
        <w:spacing w:line="240" w:lineRule="auto" w:before="192"/>
        <w:ind w:left="574" w:right="0"/>
        <w:jc w:val="left"/>
      </w:pPr>
      <w:r>
        <w:rPr/>
        <w:t>（</w:t>
      </w:r>
      <w:r>
        <w:rPr>
          <w:rFonts w:ascii="宋体" w:hAnsi="宋体" w:cs="宋体" w:eastAsia="宋体" w:hint="default"/>
        </w:rPr>
        <w:t>4</w:t>
      </w:r>
      <w:r>
        <w:rPr>
          <w:spacing w:val="-120"/>
        </w:rPr>
        <w:t>）</w:t>
      </w:r>
      <w:r>
        <w:rPr>
          <w:spacing w:val="-1"/>
        </w:rPr>
        <w:t>《</w:t>
      </w:r>
      <w:r>
        <w:rPr/>
        <w:t>关于公司向深圳发展银行股份有限公司华侨城支行申请综合授信议案</w:t>
      </w:r>
      <w:r>
        <w:rPr>
          <w:spacing w:val="-120"/>
        </w:rPr>
        <w:t>》；</w:t>
      </w:r>
      <w:r>
        <w:rPr/>
      </w:r>
    </w:p>
    <w:p>
      <w:pPr>
        <w:pStyle w:val="BodyText"/>
        <w:spacing w:line="240" w:lineRule="auto" w:before="192"/>
        <w:ind w:left="574" w:right="0"/>
        <w:jc w:val="left"/>
      </w:pPr>
      <w:r>
        <w:rPr/>
        <w:t>（</w:t>
      </w:r>
      <w:r>
        <w:rPr>
          <w:rFonts w:ascii="宋体" w:hAnsi="宋体" w:cs="宋体" w:eastAsia="宋体" w:hint="default"/>
        </w:rPr>
        <w:t>5</w:t>
      </w:r>
      <w:r>
        <w:rPr>
          <w:spacing w:val="-120"/>
        </w:rPr>
        <w:t>）</w:t>
      </w:r>
      <w:r>
        <w:rPr>
          <w:spacing w:val="-1"/>
        </w:rPr>
        <w:t>《</w:t>
      </w:r>
      <w:r>
        <w:rPr/>
        <w:t>关于公司</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年中期利润分配的预案</w:t>
      </w:r>
      <w:r>
        <w:rPr>
          <w:spacing w:val="-120"/>
        </w:rPr>
        <w:t>》；</w:t>
      </w:r>
      <w:r>
        <w:rPr/>
      </w:r>
    </w:p>
    <w:p>
      <w:pPr>
        <w:pStyle w:val="BodyText"/>
        <w:spacing w:line="240" w:lineRule="auto" w:before="174"/>
        <w:ind w:left="593" w:right="0"/>
        <w:jc w:val="left"/>
      </w:pPr>
      <w:r>
        <w:rPr/>
        <w:t>（</w:t>
      </w:r>
      <w:r>
        <w:rPr>
          <w:rFonts w:ascii="宋体" w:hAnsi="宋体" w:cs="宋体" w:eastAsia="宋体" w:hint="default"/>
        </w:rPr>
        <w:t>6</w:t>
      </w:r>
      <w:r>
        <w:rPr>
          <w:spacing w:val="-121"/>
        </w:rPr>
        <w:t>）</w:t>
      </w:r>
      <w:r>
        <w:rPr/>
        <w:t>《关于调整公司第三届经营管理层部分高级管理人员薪酬的议</w:t>
      </w:r>
      <w:r>
        <w:rPr>
          <w:spacing w:val="1"/>
        </w:rPr>
        <w:t>案</w:t>
      </w:r>
      <w:r>
        <w:rPr>
          <w:spacing w:val="-120"/>
        </w:rPr>
        <w:t>》</w:t>
      </w:r>
      <w:r>
        <w:rPr/>
        <w:t>；</w:t>
      </w:r>
    </w:p>
    <w:p>
      <w:pPr>
        <w:pStyle w:val="BodyText"/>
        <w:spacing w:line="240" w:lineRule="auto" w:before="192"/>
        <w:ind w:left="593" w:right="0"/>
        <w:jc w:val="left"/>
      </w:pPr>
      <w:r>
        <w:rPr/>
        <w:t>（</w:t>
      </w:r>
      <w:r>
        <w:rPr>
          <w:rFonts w:ascii="宋体" w:hAnsi="宋体" w:cs="宋体" w:eastAsia="宋体" w:hint="default"/>
        </w:rPr>
        <w:t>7</w:t>
      </w:r>
      <w:r>
        <w:rPr>
          <w:spacing w:val="-120"/>
        </w:rPr>
        <w:t>）</w:t>
      </w:r>
      <w:r>
        <w:rPr/>
        <w:t>《关于召开公司</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年第一次临时股东大会通知</w:t>
      </w:r>
      <w:r>
        <w:rPr>
          <w:spacing w:val="-120"/>
        </w:rPr>
        <w:t>》。</w:t>
      </w:r>
      <w:r>
        <w:rPr/>
      </w:r>
    </w:p>
    <w:p>
      <w:pPr>
        <w:pStyle w:val="BodyText"/>
        <w:spacing w:line="336" w:lineRule="auto" w:before="177"/>
        <w:ind w:right="1123" w:firstLine="480"/>
        <w:jc w:val="left"/>
      </w:pPr>
      <w:r>
        <w:rPr/>
        <w:t>公司第三届董事会</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年第七次会议决议及相关内容刊登于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17 </w:t>
      </w:r>
      <w:r>
        <w:rPr>
          <w:spacing w:val="-13"/>
        </w:rPr>
        <w:t>日《中国证</w:t>
      </w:r>
      <w:r>
        <w:rPr/>
        <w:t> </w:t>
      </w:r>
      <w:r>
        <w:rPr>
          <w:spacing w:val="-6"/>
          <w:w w:val="99"/>
        </w:rPr>
        <w:t>券报》、《证券时报》及巨潮资讯网（</w:t>
      </w:r>
      <w:r>
        <w:rPr>
          <w:rFonts w:ascii="Times New Roman" w:hAnsi="Times New Roman" w:cs="Times New Roman" w:eastAsia="Times New Roman" w:hint="default"/>
          <w:color w:val="0000FF"/>
          <w:spacing w:val="-6"/>
          <w:w w:val="99"/>
        </w:rPr>
      </w:r>
      <w:hyperlink r:id="rId12">
        <w:r>
          <w:rPr>
            <w:rFonts w:ascii="Times New Roman" w:hAnsi="Times New Roman" w:cs="Times New Roman" w:eastAsia="Times New Roman" w:hint="default"/>
            <w:color w:val="0000FF"/>
            <w:spacing w:val="-6"/>
            <w:w w:val="99"/>
            <w:u w:val="single" w:color="0000FF"/>
          </w:rPr>
          <w:t>http://www.cninfo.com.cn</w:t>
        </w:r>
        <w:r>
          <w:rPr>
            <w:rFonts w:ascii="Times New Roman" w:hAnsi="Times New Roman" w:cs="Times New Roman" w:eastAsia="Times New Roman" w:hint="default"/>
            <w:color w:val="0000FF"/>
            <w:spacing w:val="-6"/>
            <w:w w:val="99"/>
          </w:rPr>
        </w:r>
      </w:hyperlink>
      <w:r>
        <w:rPr>
          <w:spacing w:val="-6"/>
          <w:w w:val="99"/>
        </w:rPr>
        <w:t>）上。</w:t>
      </w:r>
    </w:p>
    <w:p>
      <w:pPr>
        <w:spacing w:line="240" w:lineRule="auto" w:before="0"/>
        <w:rPr>
          <w:rFonts w:ascii="宋体" w:hAnsi="宋体" w:cs="宋体" w:eastAsia="宋体" w:hint="default"/>
          <w:sz w:val="24"/>
          <w:szCs w:val="24"/>
        </w:rPr>
      </w:pPr>
    </w:p>
    <w:p>
      <w:pPr>
        <w:pStyle w:val="BodyText"/>
        <w:spacing w:line="336" w:lineRule="auto" w:before="209"/>
        <w:ind w:right="1126" w:firstLine="480"/>
        <w:jc w:val="left"/>
      </w:pPr>
      <w:r>
        <w:rPr>
          <w:rFonts w:ascii="Times New Roman" w:hAnsi="Times New Roman" w:cs="Times New Roman" w:eastAsia="Times New Roman" w:hint="default"/>
        </w:rPr>
        <w:t>8</w:t>
      </w:r>
      <w:r>
        <w:rPr/>
        <w:t>、</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9</w:t>
      </w:r>
      <w:r>
        <w:rPr>
          <w:rFonts w:ascii="宋体" w:hAnsi="宋体" w:cs="宋体" w:eastAsia="宋体" w:hint="default"/>
          <w:spacing w:val="-44"/>
        </w:rPr>
        <w:t> </w:t>
      </w:r>
      <w:r>
        <w:rPr/>
        <w:t>月</w:t>
      </w:r>
      <w:r>
        <w:rPr>
          <w:spacing w:val="-46"/>
        </w:rPr>
        <w:t> </w:t>
      </w:r>
      <w:r>
        <w:rPr>
          <w:rFonts w:ascii="宋体" w:hAnsi="宋体" w:cs="宋体" w:eastAsia="宋体" w:hint="default"/>
        </w:rPr>
        <w:t>13</w:t>
      </w:r>
      <w:r>
        <w:rPr>
          <w:rFonts w:ascii="宋体" w:hAnsi="宋体" w:cs="宋体" w:eastAsia="宋体" w:hint="default"/>
          <w:spacing w:val="-46"/>
        </w:rPr>
        <w:t> </w:t>
      </w:r>
      <w:r>
        <w:rPr/>
        <w:t>日，公司召开了第三届董事会</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年第八次会议，会议审议通过了 以下议案：</w:t>
      </w:r>
    </w:p>
    <w:p>
      <w:pPr>
        <w:pStyle w:val="BodyText"/>
        <w:spacing w:line="240" w:lineRule="auto" w:before="96"/>
        <w:ind w:left="593" w:right="0"/>
        <w:jc w:val="left"/>
      </w:pPr>
      <w:r>
        <w:rPr/>
        <w:t>（</w:t>
      </w:r>
      <w:r>
        <w:rPr>
          <w:rFonts w:ascii="Times New Roman" w:hAnsi="Times New Roman" w:cs="Times New Roman" w:eastAsia="Times New Roman" w:hint="default"/>
        </w:rPr>
        <w:t>1</w:t>
      </w:r>
      <w:r>
        <w:rPr/>
        <w:t>）《关于公司继续使用部分闲置募集资金补充流动资金的议案》；</w:t>
      </w:r>
    </w:p>
    <w:p>
      <w:pPr>
        <w:pStyle w:val="BodyText"/>
        <w:spacing w:line="240" w:lineRule="auto" w:before="174"/>
        <w:ind w:left="593" w:right="0"/>
        <w:jc w:val="left"/>
      </w:pPr>
      <w:r>
        <w:rPr/>
        <w:t>（</w:t>
      </w:r>
      <w:r>
        <w:rPr>
          <w:rFonts w:ascii="宋体" w:hAnsi="宋体" w:cs="宋体" w:eastAsia="宋体" w:hint="default"/>
        </w:rPr>
        <w:t>2</w:t>
      </w:r>
      <w:r>
        <w:rPr/>
        <w:t>）《关于调整公司独立董事薪酬的议案》。</w:t>
      </w:r>
    </w:p>
    <w:p>
      <w:pPr>
        <w:spacing w:after="0" w:line="240" w:lineRule="auto"/>
        <w:jc w:val="left"/>
        <w:sectPr>
          <w:headerReference w:type="default" r:id="rId26"/>
          <w:pgSz w:w="11910" w:h="16840"/>
          <w:pgMar w:header="920" w:footer="956" w:top="1140" w:bottom="1140" w:left="1020" w:right="0"/>
        </w:sectPr>
      </w:pPr>
    </w:p>
    <w:p>
      <w:pPr>
        <w:pStyle w:val="BodyText"/>
        <w:spacing w:line="338" w:lineRule="auto" w:before="19"/>
        <w:ind w:right="1123" w:firstLine="480"/>
        <w:jc w:val="left"/>
      </w:pPr>
      <w:r>
        <w:rPr/>
        <w:t>公司第三届董事会</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年第八次会议决议及相关内容刊登于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14 </w:t>
      </w:r>
      <w:r>
        <w:rPr>
          <w:spacing w:val="-13"/>
        </w:rPr>
        <w:t>日《中国证</w:t>
      </w:r>
      <w:r>
        <w:rPr/>
        <w:t> </w:t>
      </w:r>
      <w:r>
        <w:rPr>
          <w:spacing w:val="-6"/>
          <w:w w:val="99"/>
        </w:rPr>
        <w:t>券报》、《证券时报》及巨潮资讯网（</w:t>
      </w:r>
      <w:r>
        <w:rPr>
          <w:rFonts w:ascii="Times New Roman" w:hAnsi="Times New Roman" w:cs="Times New Roman" w:eastAsia="Times New Roman" w:hint="default"/>
          <w:color w:val="0000FF"/>
          <w:spacing w:val="-6"/>
          <w:w w:val="99"/>
        </w:rPr>
      </w:r>
      <w:hyperlink r:id="rId12">
        <w:r>
          <w:rPr>
            <w:rFonts w:ascii="Times New Roman" w:hAnsi="Times New Roman" w:cs="Times New Roman" w:eastAsia="Times New Roman" w:hint="default"/>
            <w:color w:val="0000FF"/>
            <w:spacing w:val="-6"/>
            <w:w w:val="99"/>
            <w:u w:val="single" w:color="0000FF"/>
          </w:rPr>
          <w:t>http://www.cninfo.com.cn</w:t>
        </w:r>
        <w:r>
          <w:rPr>
            <w:rFonts w:ascii="Times New Roman" w:hAnsi="Times New Roman" w:cs="Times New Roman" w:eastAsia="Times New Roman" w:hint="default"/>
            <w:color w:val="0000FF"/>
            <w:spacing w:val="-6"/>
            <w:w w:val="99"/>
          </w:rPr>
        </w:r>
      </w:hyperlink>
      <w:r>
        <w:rPr>
          <w:spacing w:val="-6"/>
          <w:w w:val="99"/>
        </w:rPr>
        <w:t>）上。</w:t>
      </w:r>
    </w:p>
    <w:p>
      <w:pPr>
        <w:spacing w:line="240" w:lineRule="auto" w:before="0"/>
        <w:rPr>
          <w:rFonts w:ascii="宋体" w:hAnsi="宋体" w:cs="宋体" w:eastAsia="宋体" w:hint="default"/>
          <w:sz w:val="24"/>
          <w:szCs w:val="24"/>
        </w:rPr>
      </w:pPr>
    </w:p>
    <w:p>
      <w:pPr>
        <w:pStyle w:val="BodyText"/>
        <w:spacing w:line="338" w:lineRule="auto" w:before="204"/>
        <w:ind w:right="1126" w:firstLine="480"/>
        <w:jc w:val="left"/>
      </w:pPr>
      <w:r>
        <w:rPr>
          <w:rFonts w:ascii="Times New Roman" w:hAnsi="Times New Roman" w:cs="Times New Roman" w:eastAsia="Times New Roman" w:hint="default"/>
        </w:rPr>
        <w:t>9</w:t>
      </w:r>
      <w:r>
        <w:rPr/>
        <w:t>、</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9</w:t>
      </w:r>
      <w:r>
        <w:rPr>
          <w:rFonts w:ascii="宋体" w:hAnsi="宋体" w:cs="宋体" w:eastAsia="宋体" w:hint="default"/>
          <w:spacing w:val="-44"/>
        </w:rPr>
        <w:t> </w:t>
      </w:r>
      <w:r>
        <w:rPr/>
        <w:t>月</w:t>
      </w:r>
      <w:r>
        <w:rPr>
          <w:spacing w:val="-46"/>
        </w:rPr>
        <w:t> </w:t>
      </w:r>
      <w:r>
        <w:rPr>
          <w:rFonts w:ascii="宋体" w:hAnsi="宋体" w:cs="宋体" w:eastAsia="宋体" w:hint="default"/>
        </w:rPr>
        <w:t>28</w:t>
      </w:r>
      <w:r>
        <w:rPr>
          <w:rFonts w:ascii="宋体" w:hAnsi="宋体" w:cs="宋体" w:eastAsia="宋体" w:hint="default"/>
          <w:spacing w:val="-46"/>
        </w:rPr>
        <w:t> </w:t>
      </w:r>
      <w:r>
        <w:rPr/>
        <w:t>日，公司召开了第三届董事会</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年第九次会议，会议审议通过了 以下议案：</w:t>
      </w:r>
    </w:p>
    <w:p>
      <w:pPr>
        <w:pStyle w:val="BodyText"/>
        <w:spacing w:line="240" w:lineRule="auto" w:before="94"/>
        <w:ind w:left="574" w:right="0"/>
        <w:jc w:val="left"/>
      </w:pPr>
      <w:r>
        <w:rPr/>
        <w:t>（</w:t>
      </w:r>
      <w:r>
        <w:rPr>
          <w:rFonts w:ascii="Times New Roman" w:hAnsi="Times New Roman" w:cs="Times New Roman" w:eastAsia="Times New Roman" w:hint="default"/>
        </w:rPr>
        <w:t>1</w:t>
      </w:r>
      <w:r>
        <w:rPr>
          <w:spacing w:val="-121"/>
        </w:rPr>
        <w:t>）</w:t>
      </w:r>
      <w:r>
        <w:rPr/>
        <w:t>《关于增加公司经营范围的议案</w:t>
      </w:r>
      <w:r>
        <w:rPr>
          <w:spacing w:val="-120"/>
        </w:rPr>
        <w:t>》</w:t>
      </w:r>
      <w:r>
        <w:rPr/>
        <w:t>；</w:t>
      </w:r>
    </w:p>
    <w:p>
      <w:pPr>
        <w:pStyle w:val="BodyText"/>
        <w:spacing w:line="240" w:lineRule="auto" w:before="174"/>
        <w:ind w:left="574" w:right="0"/>
        <w:jc w:val="left"/>
      </w:pPr>
      <w:r>
        <w:rPr/>
        <w:t>（</w:t>
      </w:r>
      <w:r>
        <w:rPr>
          <w:rFonts w:ascii="宋体" w:hAnsi="宋体" w:cs="宋体" w:eastAsia="宋体" w:hint="default"/>
        </w:rPr>
        <w:t>2</w:t>
      </w:r>
      <w:r>
        <w:rPr>
          <w:spacing w:val="-1"/>
        </w:rPr>
        <w:t>）</w:t>
      </w:r>
      <w:r>
        <w:rPr/>
        <w:t>《关于修改</w:t>
      </w:r>
      <w:r>
        <w:rPr>
          <w:rFonts w:ascii="宋体" w:hAnsi="宋体" w:cs="宋体" w:eastAsia="宋体" w:hint="default"/>
        </w:rPr>
        <w:t>&lt;</w:t>
      </w:r>
      <w:r>
        <w:rPr/>
        <w:t>深圳劲嘉彩印集团股份有限公司章</w:t>
      </w:r>
      <w:r>
        <w:rPr>
          <w:spacing w:val="1"/>
        </w:rPr>
        <w:t>程</w:t>
      </w:r>
      <w:r>
        <w:rPr>
          <w:rFonts w:ascii="宋体" w:hAnsi="宋体" w:cs="宋体" w:eastAsia="宋体" w:hint="default"/>
        </w:rPr>
        <w:t>&gt;</w:t>
      </w:r>
      <w:r>
        <w:rPr/>
        <w:t>的议案</w:t>
      </w:r>
      <w:r>
        <w:rPr>
          <w:spacing w:val="-120"/>
        </w:rPr>
        <w:t>》</w:t>
      </w:r>
      <w:r>
        <w:rPr/>
        <w:t>；</w:t>
      </w:r>
    </w:p>
    <w:p>
      <w:pPr>
        <w:pStyle w:val="BodyText"/>
        <w:spacing w:line="357" w:lineRule="auto" w:before="192"/>
        <w:ind w:right="1120" w:firstLine="461"/>
        <w:jc w:val="left"/>
      </w:pPr>
      <w:r>
        <w:rPr>
          <w:spacing w:val="2"/>
        </w:rPr>
        <w:t>（</w:t>
      </w:r>
      <w:r>
        <w:rPr>
          <w:rFonts w:ascii="宋体" w:hAnsi="宋体" w:cs="宋体" w:eastAsia="宋体" w:hint="default"/>
          <w:spacing w:val="2"/>
        </w:rPr>
        <w:t>3</w:t>
      </w:r>
      <w:r>
        <w:rPr>
          <w:spacing w:val="-118"/>
        </w:rPr>
        <w:t>）</w:t>
      </w:r>
      <w:r>
        <w:rPr/>
        <w:t>《</w:t>
      </w:r>
      <w:r>
        <w:rPr>
          <w:spacing w:val="2"/>
        </w:rPr>
        <w:t>关</w:t>
      </w:r>
      <w:r>
        <w:rPr/>
        <w:t>于</w:t>
      </w:r>
      <w:r>
        <w:rPr>
          <w:spacing w:val="2"/>
        </w:rPr>
        <w:t>公司</w:t>
      </w:r>
      <w:r>
        <w:rPr/>
        <w:t>开</w:t>
      </w:r>
      <w:r>
        <w:rPr>
          <w:spacing w:val="2"/>
        </w:rPr>
        <w:t>展</w:t>
      </w:r>
      <w:r>
        <w:rPr/>
        <w:t>“</w:t>
      </w:r>
      <w:r>
        <w:rPr>
          <w:spacing w:val="2"/>
        </w:rPr>
        <w:t>加强中</w:t>
      </w:r>
      <w:r>
        <w:rPr/>
        <w:t>小</w:t>
      </w:r>
      <w:r>
        <w:rPr>
          <w:spacing w:val="2"/>
        </w:rPr>
        <w:t>企</w:t>
      </w:r>
      <w:r>
        <w:rPr/>
        <w:t>业</w:t>
      </w:r>
      <w:r>
        <w:rPr>
          <w:spacing w:val="2"/>
        </w:rPr>
        <w:t>板上</w:t>
      </w:r>
      <w:r>
        <w:rPr/>
        <w:t>市公</w:t>
      </w:r>
      <w:r>
        <w:rPr>
          <w:spacing w:val="2"/>
        </w:rPr>
        <w:t>司内控</w:t>
      </w:r>
      <w:r>
        <w:rPr/>
        <w:t>规</w:t>
      </w:r>
      <w:r>
        <w:rPr>
          <w:spacing w:val="2"/>
        </w:rPr>
        <w:t>则</w:t>
      </w:r>
      <w:r>
        <w:rPr/>
        <w:t>落</w:t>
      </w:r>
      <w:r>
        <w:rPr>
          <w:spacing w:val="2"/>
        </w:rPr>
        <w:t>实”</w:t>
      </w:r>
      <w:r>
        <w:rPr/>
        <w:t>专项</w:t>
      </w:r>
      <w:r>
        <w:rPr>
          <w:spacing w:val="2"/>
        </w:rPr>
        <w:t>活</w:t>
      </w:r>
      <w:r>
        <w:rPr>
          <w:spacing w:val="7"/>
        </w:rPr>
        <w:t>动</w:t>
      </w:r>
      <w:r>
        <w:rPr>
          <w:spacing w:val="2"/>
        </w:rPr>
        <w:t>的</w:t>
      </w:r>
      <w:r>
        <w:rPr/>
        <w:t>结</w:t>
      </w:r>
      <w:r>
        <w:rPr>
          <w:spacing w:val="2"/>
        </w:rPr>
        <w:t>果</w:t>
      </w:r>
      <w:r>
        <w:rPr/>
        <w:t>及</w:t>
      </w:r>
      <w:r>
        <w:rPr>
          <w:spacing w:val="2"/>
        </w:rPr>
        <w:t>整</w:t>
      </w:r>
      <w:r>
        <w:rPr/>
        <w:t>改</w:t>
      </w:r>
      <w:r>
        <w:rPr/>
        <w:t> 计划的议案</w:t>
      </w:r>
      <w:r>
        <w:rPr>
          <w:spacing w:val="-120"/>
        </w:rPr>
        <w:t>》</w:t>
      </w:r>
      <w:r>
        <w:rPr/>
        <w:t>；</w:t>
      </w:r>
    </w:p>
    <w:p>
      <w:pPr>
        <w:pStyle w:val="BodyText"/>
        <w:spacing w:line="240" w:lineRule="auto" w:before="75"/>
        <w:ind w:left="574" w:right="0"/>
        <w:jc w:val="left"/>
      </w:pPr>
      <w:r>
        <w:rPr/>
        <w:t>（</w:t>
      </w:r>
      <w:r>
        <w:rPr>
          <w:rFonts w:ascii="宋体" w:hAnsi="宋体" w:cs="宋体" w:eastAsia="宋体" w:hint="default"/>
        </w:rPr>
        <w:t>4</w:t>
      </w:r>
      <w:r>
        <w:rPr>
          <w:spacing w:val="-120"/>
        </w:rPr>
        <w:t>）</w:t>
      </w:r>
      <w:r>
        <w:rPr>
          <w:spacing w:val="-1"/>
        </w:rPr>
        <w:t>《</w:t>
      </w:r>
      <w:r>
        <w:rPr/>
        <w:t>关于公司聘请广发证券股份有限公司担任主办券商的议</w:t>
      </w:r>
      <w:r>
        <w:rPr>
          <w:spacing w:val="1"/>
        </w:rPr>
        <w:t>案</w:t>
      </w:r>
      <w:r>
        <w:rPr>
          <w:spacing w:val="-120"/>
        </w:rPr>
        <w:t>》；</w:t>
      </w:r>
      <w:r>
        <w:rPr/>
      </w:r>
    </w:p>
    <w:p>
      <w:pPr>
        <w:pStyle w:val="BodyText"/>
        <w:spacing w:line="240" w:lineRule="auto" w:before="192"/>
        <w:ind w:left="593" w:right="0"/>
        <w:jc w:val="left"/>
      </w:pPr>
      <w:r>
        <w:rPr/>
        <w:t>（</w:t>
      </w:r>
      <w:r>
        <w:rPr>
          <w:rFonts w:ascii="宋体" w:hAnsi="宋体" w:cs="宋体" w:eastAsia="宋体" w:hint="default"/>
        </w:rPr>
        <w:t>5</w:t>
      </w:r>
      <w:r>
        <w:rPr>
          <w:spacing w:val="-120"/>
        </w:rPr>
        <w:t>）</w:t>
      </w:r>
      <w:r>
        <w:rPr/>
        <w:t>《关于召开公司</w:t>
      </w:r>
      <w:r>
        <w:rPr>
          <w:spacing w:val="-60"/>
        </w:rPr>
        <w:t> </w:t>
      </w:r>
      <w:r>
        <w:rPr>
          <w:rFonts w:ascii="宋体" w:hAnsi="宋体" w:cs="宋体" w:eastAsia="宋体" w:hint="default"/>
        </w:rPr>
        <w:t>2011</w:t>
      </w:r>
      <w:r>
        <w:rPr>
          <w:rFonts w:ascii="宋体" w:hAnsi="宋体" w:cs="宋体" w:eastAsia="宋体" w:hint="default"/>
          <w:spacing w:val="-60"/>
        </w:rPr>
        <w:t> </w:t>
      </w:r>
      <w:r>
        <w:rPr/>
        <w:t>年第二次临时股东大会的通知</w:t>
      </w:r>
      <w:r>
        <w:rPr>
          <w:spacing w:val="-120"/>
        </w:rPr>
        <w:t>》</w:t>
      </w:r>
      <w:r>
        <w:rPr/>
        <w:t>。</w:t>
      </w:r>
    </w:p>
    <w:p>
      <w:pPr>
        <w:pStyle w:val="BodyText"/>
        <w:spacing w:line="336" w:lineRule="auto" w:before="194"/>
        <w:ind w:right="1123" w:firstLine="480"/>
        <w:jc w:val="left"/>
      </w:pPr>
      <w:r>
        <w:rPr/>
        <w:t>公司第三届董事会</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年第九次会议决议及相关内容刊登于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29 </w:t>
      </w:r>
      <w:r>
        <w:rPr>
          <w:spacing w:val="-13"/>
        </w:rPr>
        <w:t>日《中国证</w:t>
      </w:r>
      <w:r>
        <w:rPr/>
        <w:t> </w:t>
      </w:r>
      <w:r>
        <w:rPr>
          <w:spacing w:val="-6"/>
          <w:w w:val="99"/>
        </w:rPr>
        <w:t>券报》、《证券时报》及巨潮资讯网（</w:t>
      </w:r>
      <w:r>
        <w:rPr>
          <w:rFonts w:ascii="Times New Roman" w:hAnsi="Times New Roman" w:cs="Times New Roman" w:eastAsia="Times New Roman" w:hint="default"/>
          <w:color w:val="0000FF"/>
          <w:spacing w:val="-6"/>
          <w:w w:val="99"/>
        </w:rPr>
      </w:r>
      <w:hyperlink r:id="rId12">
        <w:r>
          <w:rPr>
            <w:rFonts w:ascii="Times New Roman" w:hAnsi="Times New Roman" w:cs="Times New Roman" w:eastAsia="Times New Roman" w:hint="default"/>
            <w:color w:val="0000FF"/>
            <w:spacing w:val="-6"/>
            <w:w w:val="99"/>
            <w:u w:val="single" w:color="0000FF"/>
          </w:rPr>
          <w:t>http://www.cninfo.com.cn</w:t>
        </w:r>
        <w:r>
          <w:rPr>
            <w:rFonts w:ascii="Times New Roman" w:hAnsi="Times New Roman" w:cs="Times New Roman" w:eastAsia="Times New Roman" w:hint="default"/>
            <w:color w:val="0000FF"/>
            <w:spacing w:val="-6"/>
            <w:w w:val="99"/>
          </w:rPr>
        </w:r>
      </w:hyperlink>
      <w:r>
        <w:rPr>
          <w:spacing w:val="-6"/>
          <w:w w:val="99"/>
        </w:rPr>
        <w:t>）上。</w:t>
      </w:r>
    </w:p>
    <w:p>
      <w:pPr>
        <w:spacing w:line="240" w:lineRule="auto" w:before="0"/>
        <w:rPr>
          <w:rFonts w:ascii="宋体" w:hAnsi="宋体" w:cs="宋体" w:eastAsia="宋体" w:hint="default"/>
          <w:sz w:val="24"/>
          <w:szCs w:val="24"/>
        </w:rPr>
      </w:pPr>
    </w:p>
    <w:p>
      <w:pPr>
        <w:pStyle w:val="BodyText"/>
        <w:spacing w:line="338" w:lineRule="auto" w:before="207"/>
        <w:ind w:right="1123" w:firstLine="480"/>
        <w:jc w:val="left"/>
      </w:pPr>
      <w:r>
        <w:rPr>
          <w:rFonts w:ascii="Times New Roman" w:hAnsi="Times New Roman" w:cs="Times New Roman" w:eastAsia="Times New Roman" w:hint="default"/>
        </w:rPr>
        <w:t>10</w:t>
      </w:r>
      <w:r>
        <w:rPr/>
        <w:t>、</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10</w:t>
      </w:r>
      <w:r>
        <w:rPr>
          <w:rFonts w:ascii="宋体" w:hAnsi="宋体" w:cs="宋体" w:eastAsia="宋体" w:hint="default"/>
          <w:spacing w:val="-44"/>
        </w:rPr>
        <w:t> </w:t>
      </w:r>
      <w:r>
        <w:rPr/>
        <w:t>月</w:t>
      </w:r>
      <w:r>
        <w:rPr>
          <w:spacing w:val="-46"/>
        </w:rPr>
        <w:t> </w:t>
      </w:r>
      <w:r>
        <w:rPr>
          <w:rFonts w:ascii="宋体" w:hAnsi="宋体" w:cs="宋体" w:eastAsia="宋体" w:hint="default"/>
        </w:rPr>
        <w:t>26</w:t>
      </w:r>
      <w:r>
        <w:rPr>
          <w:rFonts w:ascii="宋体" w:hAnsi="宋体" w:cs="宋体" w:eastAsia="宋体" w:hint="default"/>
          <w:spacing w:val="-43"/>
        </w:rPr>
        <w:t> </w:t>
      </w:r>
      <w:r>
        <w:rPr/>
        <w:t>日，公司召开了第三届董事会</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年第十次会议，会议审议通过 了以下议案：</w:t>
      </w:r>
    </w:p>
    <w:p>
      <w:pPr>
        <w:pStyle w:val="BodyText"/>
        <w:spacing w:line="240" w:lineRule="auto" w:before="94"/>
        <w:ind w:left="593" w:right="0"/>
        <w:jc w:val="left"/>
      </w:pPr>
      <w:r>
        <w:rPr/>
        <w:t>（</w:t>
      </w:r>
      <w:r>
        <w:rPr>
          <w:rFonts w:ascii="Times New Roman" w:hAnsi="Times New Roman" w:cs="Times New Roman" w:eastAsia="Times New Roman" w:hint="default"/>
        </w:rPr>
        <w:t>1</w:t>
      </w:r>
      <w:r>
        <w:rPr/>
        <w:t>）《深圳劲嘉彩印集团股份有限公司</w:t>
      </w:r>
      <w:r>
        <w:rPr>
          <w:spacing w:val="-61"/>
        </w:rPr>
        <w:t> </w:t>
      </w:r>
      <w:r>
        <w:rPr>
          <w:rFonts w:ascii="宋体" w:hAnsi="宋体" w:cs="宋体" w:eastAsia="宋体" w:hint="default"/>
        </w:rPr>
        <w:t>2011</w:t>
      </w:r>
      <w:r>
        <w:rPr>
          <w:rFonts w:ascii="宋体" w:hAnsi="宋体" w:cs="宋体" w:eastAsia="宋体" w:hint="default"/>
          <w:spacing w:val="-61"/>
        </w:rPr>
        <w:t> </w:t>
      </w:r>
      <w:r>
        <w:rPr/>
        <w:t>年第三季度报告》；</w:t>
      </w:r>
    </w:p>
    <w:p>
      <w:pPr>
        <w:pStyle w:val="BodyText"/>
        <w:spacing w:line="240" w:lineRule="auto" w:before="174"/>
        <w:ind w:left="593" w:right="0"/>
        <w:jc w:val="left"/>
      </w:pPr>
      <w:r>
        <w:rPr/>
        <w:t>（</w:t>
      </w:r>
      <w:r>
        <w:rPr>
          <w:rFonts w:ascii="宋体" w:hAnsi="宋体" w:cs="宋体" w:eastAsia="宋体" w:hint="default"/>
        </w:rPr>
        <w:t>2</w:t>
      </w:r>
      <w:r>
        <w:rPr/>
        <w:t>）《关于转让湖州天外绿色包装印刷有限公司股权的议案》。</w:t>
      </w:r>
    </w:p>
    <w:p>
      <w:pPr>
        <w:pStyle w:val="BodyText"/>
        <w:spacing w:line="336" w:lineRule="auto" w:before="194"/>
        <w:ind w:right="1122" w:firstLine="480"/>
        <w:jc w:val="left"/>
      </w:pPr>
      <w:r>
        <w:rPr/>
        <w:t>公司第三届董事会</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年第十次会议决议及相关内容刊登于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7"/>
        </w:rPr>
        <w:t> </w:t>
      </w:r>
      <w:r>
        <w:rPr/>
        <w:t>日《中国 </w:t>
      </w:r>
      <w:r>
        <w:rPr>
          <w:spacing w:val="-6"/>
          <w:w w:val="99"/>
        </w:rPr>
        <w:t>证券报》、《证券时报》及巨潮资讯网（</w:t>
      </w:r>
      <w:r>
        <w:rPr>
          <w:rFonts w:ascii="Times New Roman" w:hAnsi="Times New Roman" w:cs="Times New Roman" w:eastAsia="Times New Roman" w:hint="default"/>
          <w:color w:val="0000FF"/>
          <w:spacing w:val="-6"/>
          <w:w w:val="99"/>
        </w:rPr>
      </w:r>
      <w:hyperlink r:id="rId12">
        <w:r>
          <w:rPr>
            <w:rFonts w:ascii="Times New Roman" w:hAnsi="Times New Roman" w:cs="Times New Roman" w:eastAsia="Times New Roman" w:hint="default"/>
            <w:color w:val="0000FF"/>
            <w:spacing w:val="-6"/>
            <w:w w:val="99"/>
            <w:u w:val="single" w:color="0000FF"/>
          </w:rPr>
          <w:t>http://www.cninfo.com.cn</w:t>
        </w:r>
        <w:r>
          <w:rPr>
            <w:rFonts w:ascii="Times New Roman" w:hAnsi="Times New Roman" w:cs="Times New Roman" w:eastAsia="Times New Roman" w:hint="default"/>
            <w:color w:val="0000FF"/>
            <w:spacing w:val="-6"/>
            <w:w w:val="99"/>
          </w:rPr>
        </w:r>
      </w:hyperlink>
      <w:r>
        <w:rPr>
          <w:spacing w:val="-6"/>
          <w:w w:val="99"/>
        </w:rPr>
        <w:t>）上。</w:t>
      </w:r>
      <w:r>
        <w:rPr>
          <w:w w:val="99"/>
        </w:rPr>
      </w:r>
    </w:p>
    <w:p>
      <w:pPr>
        <w:spacing w:line="240" w:lineRule="auto" w:before="0"/>
        <w:rPr>
          <w:rFonts w:ascii="宋体" w:hAnsi="宋体" w:cs="宋体" w:eastAsia="宋体" w:hint="default"/>
          <w:sz w:val="24"/>
          <w:szCs w:val="24"/>
        </w:rPr>
      </w:pPr>
    </w:p>
    <w:p>
      <w:pPr>
        <w:pStyle w:val="BodyText"/>
        <w:spacing w:line="338" w:lineRule="auto" w:before="207"/>
        <w:ind w:right="1126" w:firstLine="480"/>
        <w:jc w:val="left"/>
      </w:pPr>
      <w:r>
        <w:rPr>
          <w:rFonts w:ascii="Times New Roman" w:hAnsi="Times New Roman" w:cs="Times New Roman" w:eastAsia="Times New Roman" w:hint="default"/>
        </w:rPr>
        <w:t>11</w:t>
      </w:r>
      <w:r>
        <w:rPr/>
        <w:t>、</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19</w:t>
      </w:r>
      <w:r>
        <w:rPr>
          <w:rFonts w:ascii="宋体" w:hAnsi="宋体" w:cs="宋体" w:eastAsia="宋体" w:hint="default"/>
          <w:spacing w:val="-45"/>
        </w:rPr>
        <w:t> </w:t>
      </w:r>
      <w:r>
        <w:rPr/>
        <w:t>日，公司召开了第三届董事会</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年第十一次会议，会议审议通 过了以下议案：</w:t>
      </w:r>
    </w:p>
    <w:p>
      <w:pPr>
        <w:pStyle w:val="BodyText"/>
        <w:spacing w:line="240" w:lineRule="auto" w:before="94"/>
        <w:ind w:left="593" w:right="0"/>
        <w:jc w:val="left"/>
      </w:pPr>
      <w:r>
        <w:rPr/>
        <w:t>（</w:t>
      </w:r>
      <w:r>
        <w:rPr>
          <w:rFonts w:ascii="Times New Roman" w:hAnsi="Times New Roman" w:cs="Times New Roman" w:eastAsia="Times New Roman" w:hint="default"/>
        </w:rPr>
        <w:t>1</w:t>
      </w:r>
      <w:r>
        <w:rPr/>
        <w:t>）《关于收购江西丰彩丽印刷包装有限公司股权的议案》；</w:t>
      </w:r>
    </w:p>
    <w:p>
      <w:pPr>
        <w:pStyle w:val="BodyText"/>
        <w:spacing w:line="240" w:lineRule="auto" w:before="135"/>
        <w:ind w:left="593" w:right="0"/>
        <w:jc w:val="left"/>
      </w:pPr>
      <w:r>
        <w:rPr/>
        <w:t>（</w:t>
      </w:r>
      <w:r>
        <w:rPr>
          <w:rFonts w:ascii="宋体" w:hAnsi="宋体" w:cs="宋体" w:eastAsia="宋体" w:hint="default"/>
        </w:rPr>
        <w:t>2</w:t>
      </w:r>
      <w:r>
        <w:rPr/>
        <w:t>）《关于公司向中国银行股份有限公司深圳市分行申请综合授信议案》；</w:t>
      </w:r>
    </w:p>
    <w:p>
      <w:pPr>
        <w:pStyle w:val="BodyText"/>
        <w:spacing w:line="240" w:lineRule="auto" w:before="151"/>
        <w:ind w:left="593" w:right="0"/>
        <w:jc w:val="left"/>
      </w:pPr>
      <w:r>
        <w:rPr/>
        <w:t>（</w:t>
      </w:r>
      <w:r>
        <w:rPr>
          <w:rFonts w:ascii="宋体" w:hAnsi="宋体" w:cs="宋体" w:eastAsia="宋体" w:hint="default"/>
        </w:rPr>
        <w:t>3</w:t>
      </w:r>
      <w:r>
        <w:rPr/>
        <w:t>）《关于公司向中国工商银行股份有限公司深圳市福永支行申请综合授信议案》；</w:t>
      </w:r>
    </w:p>
    <w:p>
      <w:pPr>
        <w:pStyle w:val="BodyText"/>
        <w:spacing w:line="388" w:lineRule="auto" w:before="192"/>
        <w:ind w:left="593" w:right="1121"/>
        <w:jc w:val="left"/>
      </w:pPr>
      <w:r>
        <w:rPr/>
        <w:t>（</w:t>
      </w:r>
      <w:r>
        <w:rPr>
          <w:rFonts w:ascii="宋体" w:hAnsi="宋体" w:cs="宋体" w:eastAsia="宋体" w:hint="default"/>
        </w:rPr>
        <w:t>4</w:t>
      </w:r>
      <w:r>
        <w:rPr/>
        <w:t>）《关于公司向宁波银行股份有限公司深圳分行申请综合授信议案》。 公司第三届董事会</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年第十一次会议决议及相关内容刊登于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t>日《中</w:t>
      </w:r>
    </w:p>
    <w:p>
      <w:pPr>
        <w:pStyle w:val="BodyText"/>
        <w:spacing w:line="301" w:lineRule="exact"/>
        <w:ind w:left="0" w:right="3107"/>
        <w:jc w:val="center"/>
      </w:pPr>
      <w:r>
        <w:rPr/>
        <w:t>国证券报</w:t>
      </w:r>
      <w:r>
        <w:rPr>
          <w:spacing w:val="-120"/>
        </w:rPr>
        <w:t>》、</w:t>
      </w:r>
      <w:r>
        <w:rPr/>
        <w:t>《证券时报》及巨潮资讯网</w:t>
      </w:r>
      <w:r>
        <w:rPr>
          <w:spacing w:val="1"/>
        </w:rPr>
        <w:t>（</w:t>
      </w:r>
      <w:r>
        <w:rPr>
          <w:rFonts w:ascii="Times New Roman" w:hAnsi="Times New Roman" w:cs="Times New Roman" w:eastAsia="Times New Roman" w:hint="default"/>
          <w:color w:val="0000FF"/>
          <w:spacing w:val="1"/>
        </w:rPr>
      </w:r>
      <w:hyperlink r:id="rId12">
        <w:r>
          <w:rPr>
            <w:rFonts w:ascii="Times New Roman" w:hAnsi="Times New Roman" w:cs="Times New Roman" w:eastAsia="Times New Roman" w:hint="default"/>
            <w:color w:val="0000FF"/>
            <w:u w:val="single" w:color="0000FF"/>
          </w:rPr>
          <w:t>http:</w:t>
        </w:r>
        <w:r>
          <w:rPr>
            <w:rFonts w:ascii="Times New Roman" w:hAnsi="Times New Roman" w:cs="Times New Roman" w:eastAsia="Times New Roman" w:hint="default"/>
            <w:color w:val="0000FF"/>
            <w:spacing w:val="-2"/>
            <w:u w:val="single" w:color="0000FF"/>
          </w:rPr>
          <w:t>/</w:t>
        </w:r>
        <w:r>
          <w:rPr>
            <w:rFonts w:ascii="Times New Roman" w:hAnsi="Times New Roman" w:cs="Times New Roman" w:eastAsia="Times New Roman" w:hint="default"/>
            <w:color w:val="0000FF"/>
            <w:w w:val="99"/>
            <w:u w:val="single" w:color="0000FF"/>
          </w:rPr>
          <w:t>/ww</w:t>
        </w:r>
        <w:r>
          <w:rPr>
            <w:rFonts w:ascii="Times New Roman" w:hAnsi="Times New Roman" w:cs="Times New Roman" w:eastAsia="Times New Roman" w:hint="default"/>
            <w:color w:val="0000FF"/>
            <w:spacing w:val="-16"/>
            <w:w w:val="99"/>
            <w:u w:val="single" w:color="0000FF"/>
          </w:rPr>
          <w:t>w</w:t>
        </w:r>
        <w:r>
          <w:rPr>
            <w:rFonts w:ascii="Times New Roman" w:hAnsi="Times New Roman" w:cs="Times New Roman" w:eastAsia="Times New Roman" w:hint="default"/>
            <w:color w:val="0000FF"/>
            <w:u w:val="single" w:color="0000FF"/>
          </w:rPr>
          <w:t>.</w:t>
        </w:r>
        <w:r>
          <w:rPr>
            <w:rFonts w:ascii="Times New Roman" w:hAnsi="Times New Roman" w:cs="Times New Roman" w:eastAsia="Times New Roman" w:hint="default"/>
            <w:color w:val="0000FF"/>
            <w:spacing w:val="-1"/>
            <w:u w:val="single" w:color="0000FF"/>
          </w:rPr>
          <w:t>c</w:t>
        </w:r>
        <w:r>
          <w:rPr>
            <w:rFonts w:ascii="Times New Roman" w:hAnsi="Times New Roman" w:cs="Times New Roman" w:eastAsia="Times New Roman" w:hint="default"/>
            <w:color w:val="0000FF"/>
            <w:u w:val="single" w:color="0000FF"/>
          </w:rPr>
          <w:t>ninfo.</w:t>
        </w:r>
        <w:r>
          <w:rPr>
            <w:rFonts w:ascii="Times New Roman" w:hAnsi="Times New Roman" w:cs="Times New Roman" w:eastAsia="Times New Roman" w:hint="default"/>
            <w:color w:val="0000FF"/>
            <w:spacing w:val="-2"/>
            <w:u w:val="single" w:color="0000FF"/>
          </w:rPr>
          <w:t>c</w:t>
        </w:r>
        <w:r>
          <w:rPr>
            <w:rFonts w:ascii="Times New Roman" w:hAnsi="Times New Roman" w:cs="Times New Roman" w:eastAsia="Times New Roman" w:hint="default"/>
            <w:color w:val="0000FF"/>
            <w:u w:val="single" w:color="0000FF"/>
          </w:rPr>
          <w:t>om.cn</w:t>
        </w:r>
        <w:r>
          <w:rPr>
            <w:rFonts w:ascii="Times New Roman" w:hAnsi="Times New Roman" w:cs="Times New Roman" w:eastAsia="Times New Roman" w:hint="default"/>
            <w:color w:val="0000FF"/>
          </w:rPr>
        </w:r>
      </w:hyperlink>
      <w:r>
        <w:rPr>
          <w:spacing w:val="2"/>
        </w:rPr>
        <w:t>）</w:t>
      </w:r>
      <w:r>
        <w:rPr/>
        <w:t>上。</w:t>
      </w:r>
    </w:p>
    <w:p>
      <w:pPr>
        <w:spacing w:after="0" w:line="301" w:lineRule="exact"/>
        <w:jc w:val="center"/>
        <w:sectPr>
          <w:headerReference w:type="default" r:id="rId27"/>
          <w:pgSz w:w="11910" w:h="16840"/>
          <w:pgMar w:header="920" w:footer="956" w:top="1140" w:bottom="1140" w:left="1020" w:right="0"/>
        </w:sectPr>
      </w:pPr>
    </w:p>
    <w:p>
      <w:pPr>
        <w:pStyle w:val="Heading3"/>
        <w:spacing w:line="240" w:lineRule="auto" w:before="19"/>
        <w:ind w:right="0"/>
        <w:jc w:val="left"/>
        <w:rPr>
          <w:b w:val="0"/>
          <w:bCs w:val="0"/>
        </w:rPr>
      </w:pPr>
      <w:r>
        <w:rPr/>
        <w:t>（二）董事会对股东大会决议的执行情况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200"/>
        <w:ind w:left="396" w:right="0"/>
        <w:jc w:val="left"/>
      </w:pPr>
      <w:r>
        <w:rPr>
          <w:rFonts w:ascii="Times New Roman" w:hAnsi="Times New Roman" w:cs="Times New Roman" w:eastAsia="Times New Roman" w:hint="default"/>
        </w:rPr>
        <w:t>1</w:t>
      </w:r>
      <w:r>
        <w:rPr/>
        <w:t>、 </w:t>
      </w:r>
      <w:r>
        <w:rPr>
          <w:rFonts w:ascii="Times New Roman" w:hAnsi="Times New Roman" w:cs="Times New Roman" w:eastAsia="Times New Roman" w:hint="default"/>
        </w:rPr>
        <w:t>2010 </w:t>
      </w:r>
      <w:r>
        <w:rPr/>
        <w:t>年度、</w:t>
      </w:r>
      <w:r>
        <w:rPr>
          <w:rFonts w:ascii="Times New Roman" w:hAnsi="Times New Roman" w:cs="Times New Roman" w:eastAsia="Times New Roman" w:hint="default"/>
        </w:rPr>
        <w:t>2011 </w:t>
      </w:r>
      <w:r>
        <w:rPr>
          <w:rFonts w:ascii="Times New Roman" w:hAnsi="Times New Roman" w:cs="Times New Roman" w:eastAsia="Times New Roman" w:hint="default"/>
          <w:spacing w:val="5"/>
        </w:rPr>
        <w:t> </w:t>
      </w:r>
      <w:r>
        <w:rPr/>
        <w:t>年中期利润分配方案的执行情况</w:t>
      </w:r>
    </w:p>
    <w:p>
      <w:pPr>
        <w:pStyle w:val="BodyText"/>
        <w:spacing w:line="240" w:lineRule="auto" w:before="174"/>
        <w:ind w:left="0" w:right="535"/>
        <w:jc w:val="center"/>
      </w:pP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日召</w:t>
      </w:r>
      <w:r>
        <w:rPr>
          <w:spacing w:val="2"/>
        </w:rPr>
        <w:t>开</w:t>
      </w:r>
      <w:r>
        <w:rPr/>
        <w:t>的</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年度股东大</w:t>
      </w:r>
      <w:r>
        <w:rPr>
          <w:spacing w:val="2"/>
        </w:rPr>
        <w:t>会</w:t>
      </w:r>
      <w:r>
        <w:rPr/>
        <w:t>通过了《</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年利</w:t>
      </w:r>
      <w:r>
        <w:rPr>
          <w:spacing w:val="2"/>
        </w:rPr>
        <w:t>润</w:t>
      </w:r>
      <w:r>
        <w:rPr/>
        <w:t>分配的议案</w:t>
      </w:r>
      <w:r>
        <w:rPr>
          <w:spacing w:val="-120"/>
        </w:rPr>
        <w:t>》</w:t>
      </w:r>
      <w:r>
        <w:rPr/>
        <w:t>。公司以</w:t>
      </w:r>
    </w:p>
    <w:p>
      <w:pPr>
        <w:pStyle w:val="BodyText"/>
        <w:spacing w:line="240" w:lineRule="auto" w:before="135"/>
        <w:ind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年总股本</w:t>
      </w:r>
      <w:r>
        <w:rPr>
          <w:spacing w:val="-52"/>
        </w:rPr>
        <w:t> </w:t>
      </w:r>
      <w:r>
        <w:rPr>
          <w:rFonts w:ascii="Times New Roman" w:hAnsi="Times New Roman" w:cs="Times New Roman" w:eastAsia="Times New Roman" w:hint="default"/>
        </w:rPr>
        <w:t>642,000,000</w:t>
      </w:r>
      <w:r>
        <w:rPr>
          <w:rFonts w:ascii="Times New Roman" w:hAnsi="Times New Roman" w:cs="Times New Roman" w:eastAsia="Times New Roman" w:hint="default"/>
          <w:spacing w:val="9"/>
        </w:rPr>
        <w:t> </w:t>
      </w:r>
      <w:r>
        <w:rPr/>
        <w:t>股为基数，向全体股东每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股派发现金红利</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。本次利</w:t>
      </w:r>
    </w:p>
    <w:p>
      <w:pPr>
        <w:pStyle w:val="BodyText"/>
        <w:spacing w:line="240" w:lineRule="auto" w:before="133"/>
        <w:ind w:right="0"/>
        <w:jc w:val="left"/>
      </w:pPr>
      <w:r>
        <w:rPr/>
        <w:t>润分配方案已于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16  </w:t>
      </w:r>
      <w:r>
        <w:rPr/>
        <w:t>日执行完毕。</w:t>
      </w:r>
    </w:p>
    <w:p>
      <w:pPr>
        <w:pStyle w:val="BodyText"/>
        <w:spacing w:line="240" w:lineRule="auto" w:before="174"/>
        <w:ind w:left="0" w:right="540"/>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日召开的</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年第一次临时股东大会通过了《关于公司</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年中期利润</w:t>
      </w:r>
    </w:p>
    <w:p>
      <w:pPr>
        <w:pStyle w:val="BodyText"/>
        <w:spacing w:line="240" w:lineRule="auto" w:before="135"/>
        <w:ind w:right="0"/>
        <w:jc w:val="left"/>
      </w:pPr>
      <w:r>
        <w:rPr/>
        <w:t>分配的议案</w:t>
      </w:r>
      <w:r>
        <w:rPr>
          <w:spacing w:val="-120"/>
        </w:rPr>
        <w:t>》</w:t>
      </w:r>
      <w:r>
        <w:rPr>
          <w:spacing w:val="-36"/>
        </w:rPr>
        <w:t>。</w:t>
      </w:r>
      <w:r>
        <w:rPr/>
        <w:t>公司以</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30 </w:t>
      </w:r>
      <w:r>
        <w:rPr/>
        <w:t>日总股本</w:t>
      </w:r>
      <w:r>
        <w:rPr>
          <w:spacing w:val="-60"/>
        </w:rPr>
        <w:t> </w:t>
      </w:r>
      <w:r>
        <w:rPr>
          <w:rFonts w:ascii="Times New Roman" w:hAnsi="Times New Roman" w:cs="Times New Roman" w:eastAsia="Times New Roman" w:hint="default"/>
        </w:rPr>
        <w:t>642,000,000 </w:t>
      </w:r>
      <w:r>
        <w:rPr/>
        <w:t>股为基数</w:t>
      </w:r>
      <w:r>
        <w:rPr>
          <w:spacing w:val="-36"/>
        </w:rPr>
        <w:t>，</w:t>
      </w:r>
      <w:r>
        <w:rPr/>
        <w:t>向全体股东每</w:t>
      </w:r>
      <w:r>
        <w:rPr>
          <w:spacing w:val="-60"/>
        </w:rPr>
        <w:t> </w:t>
      </w:r>
      <w:r>
        <w:rPr>
          <w:rFonts w:ascii="Times New Roman" w:hAnsi="Times New Roman" w:cs="Times New Roman" w:eastAsia="Times New Roman" w:hint="default"/>
        </w:rPr>
        <w:t>10 </w:t>
      </w:r>
      <w:r>
        <w:rPr/>
        <w:t>股派</w:t>
      </w:r>
    </w:p>
    <w:p>
      <w:pPr>
        <w:pStyle w:val="BodyText"/>
        <w:spacing w:line="240" w:lineRule="auto" w:before="133"/>
        <w:ind w:right="0"/>
        <w:jc w:val="left"/>
      </w:pPr>
      <w:r>
        <w:rPr/>
        <w:t>发现金红利</w:t>
      </w:r>
      <w:r>
        <w:rPr>
          <w:spacing w:val="-60"/>
        </w:rPr>
        <w:t> </w:t>
      </w:r>
      <w:r>
        <w:rPr>
          <w:rFonts w:ascii="Times New Roman" w:hAnsi="Times New Roman" w:cs="Times New Roman" w:eastAsia="Times New Roman" w:hint="default"/>
        </w:rPr>
        <w:t>3.5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。本次利润分配方案已于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20 </w:t>
      </w:r>
      <w:r>
        <w:rPr/>
        <w:t>日执行完毕。</w:t>
      </w:r>
    </w:p>
    <w:p>
      <w:pPr>
        <w:spacing w:line="240" w:lineRule="auto" w:before="0"/>
        <w:rPr>
          <w:rFonts w:ascii="宋体" w:hAnsi="宋体" w:cs="宋体" w:eastAsia="宋体" w:hint="default"/>
          <w:sz w:val="24"/>
          <w:szCs w:val="24"/>
        </w:rPr>
      </w:pPr>
    </w:p>
    <w:p>
      <w:pPr>
        <w:pStyle w:val="BodyText"/>
        <w:spacing w:line="240" w:lineRule="auto" w:before="182"/>
        <w:ind w:left="396" w:right="0"/>
        <w:jc w:val="left"/>
      </w:pPr>
      <w:r>
        <w:rPr>
          <w:rFonts w:ascii="Times New Roman" w:hAnsi="Times New Roman" w:cs="Times New Roman" w:eastAsia="Times New Roman" w:hint="default"/>
        </w:rPr>
        <w:t>2</w:t>
      </w:r>
      <w:r>
        <w:rPr/>
        <w:t>、</w:t>
      </w:r>
      <w:r>
        <w:rPr>
          <w:spacing w:val="75"/>
        </w:rPr>
        <w:t> </w:t>
      </w:r>
      <w:r>
        <w:rPr/>
        <w:t>股东大会其他决议的执行情况</w:t>
      </w:r>
    </w:p>
    <w:p>
      <w:pPr>
        <w:pStyle w:val="BodyText"/>
        <w:spacing w:line="348" w:lineRule="auto" w:before="174"/>
        <w:ind w:right="1131"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年度公司召开了三次股东大会，董事会对三次股东大会所做出的决议均得到了有效 执行：修订和制定了《公司章程》、《防范股东及关联方资金占用管理制度》；补选了董事</w:t>
      </w:r>
      <w:r>
        <w:rPr>
          <w:spacing w:val="-89"/>
        </w:rPr>
        <w:t> </w:t>
      </w:r>
      <w:r>
        <w:rPr>
          <w:spacing w:val="-89"/>
        </w:rPr>
      </w:r>
      <w:r>
        <w:rPr/>
        <w:t>和监事；根据地区、行业以及宏观经济环境，调整了独立董事薪酬。</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448" w:lineRule="auto" w:before="164"/>
        <w:ind w:left="593" w:right="0" w:hanging="481"/>
        <w:jc w:val="left"/>
        <w:rPr>
          <w:rFonts w:ascii="宋体" w:hAnsi="宋体" w:cs="宋体" w:eastAsia="宋体" w:hint="default"/>
          <w:sz w:val="24"/>
          <w:szCs w:val="24"/>
        </w:rPr>
      </w:pPr>
      <w:r>
        <w:rPr>
          <w:rFonts w:ascii="宋体" w:hAnsi="宋体" w:cs="宋体" w:eastAsia="宋体" w:hint="default"/>
          <w:b/>
          <w:bCs/>
          <w:sz w:val="24"/>
          <w:szCs w:val="24"/>
        </w:rPr>
        <w:t>（三）董事会审计委员会的履职情况</w:t>
      </w:r>
      <w:r>
        <w:rPr>
          <w:rFonts w:ascii="宋体" w:hAnsi="宋体" w:cs="宋体" w:eastAsia="宋体" w:hint="default"/>
          <w:b/>
          <w:bCs/>
          <w:w w:val="99"/>
          <w:sz w:val="24"/>
          <w:szCs w:val="24"/>
        </w:rPr>
        <w:t> </w:t>
      </w:r>
      <w:r>
        <w:rPr>
          <w:rFonts w:ascii="宋体" w:hAnsi="宋体" w:cs="宋体" w:eastAsia="宋体" w:hint="default"/>
          <w:sz w:val="24"/>
          <w:szCs w:val="24"/>
        </w:rPr>
        <w:t>公司董事会审计委员会是董事会设立的专门工作机构，主要负责内部审计与外部审计的</w:t>
      </w:r>
    </w:p>
    <w:p>
      <w:pPr>
        <w:pStyle w:val="BodyText"/>
        <w:spacing w:line="259" w:lineRule="exact"/>
        <w:ind w:right="0"/>
        <w:jc w:val="left"/>
      </w:pPr>
      <w:r>
        <w:rPr/>
        <w:t>沟通；审核公司的财务信息及其披露；审查公司内部控制制度，对重大关联交易进行审计等。</w:t>
      </w:r>
    </w:p>
    <w:p>
      <w:pPr>
        <w:pStyle w:val="BodyText"/>
        <w:spacing w:line="355" w:lineRule="auto" w:before="154"/>
        <w:ind w:right="1124"/>
        <w:jc w:val="left"/>
      </w:pPr>
      <w:r>
        <w:rPr/>
        <w:t>公司</w:t>
      </w:r>
      <w:r>
        <w:rPr>
          <w:spacing w:val="2"/>
        </w:rPr>
        <w:t>根</w:t>
      </w:r>
      <w:r>
        <w:rPr/>
        <w:t>据《</w:t>
      </w:r>
      <w:r>
        <w:rPr>
          <w:spacing w:val="2"/>
        </w:rPr>
        <w:t>公</w:t>
      </w:r>
      <w:r>
        <w:rPr/>
        <w:t>司</w:t>
      </w:r>
      <w:r>
        <w:rPr>
          <w:spacing w:val="2"/>
        </w:rPr>
        <w:t>法</w:t>
      </w:r>
      <w:r>
        <w:rPr>
          <w:spacing w:val="-120"/>
        </w:rPr>
        <w:t>》、</w:t>
      </w:r>
      <w:r>
        <w:rPr>
          <w:spacing w:val="2"/>
        </w:rPr>
        <w:t>《</w:t>
      </w:r>
      <w:r>
        <w:rPr/>
        <w:t>上市</w:t>
      </w:r>
      <w:r>
        <w:rPr>
          <w:spacing w:val="2"/>
        </w:rPr>
        <w:t>公</w:t>
      </w:r>
      <w:r>
        <w:rPr/>
        <w:t>司治</w:t>
      </w:r>
      <w:r>
        <w:rPr>
          <w:spacing w:val="2"/>
        </w:rPr>
        <w:t>理</w:t>
      </w:r>
      <w:r>
        <w:rPr/>
        <w:t>准</w:t>
      </w:r>
      <w:r>
        <w:rPr>
          <w:spacing w:val="2"/>
        </w:rPr>
        <w:t>则</w:t>
      </w:r>
      <w:r>
        <w:rPr>
          <w:spacing w:val="-120"/>
        </w:rPr>
        <w:t>》、</w:t>
      </w:r>
      <w:r>
        <w:rPr>
          <w:spacing w:val="2"/>
        </w:rPr>
        <w:t>《</w:t>
      </w:r>
      <w:r>
        <w:rPr/>
        <w:t>公司</w:t>
      </w:r>
      <w:r>
        <w:rPr>
          <w:spacing w:val="2"/>
        </w:rPr>
        <w:t>章</w:t>
      </w:r>
      <w:r>
        <w:rPr/>
        <w:t>程》</w:t>
      </w:r>
      <w:r>
        <w:rPr>
          <w:spacing w:val="2"/>
        </w:rPr>
        <w:t>及</w:t>
      </w:r>
      <w:r>
        <w:rPr/>
        <w:t>其</w:t>
      </w:r>
      <w:r>
        <w:rPr>
          <w:spacing w:val="2"/>
        </w:rPr>
        <w:t>他</w:t>
      </w:r>
      <w:r>
        <w:rPr/>
        <w:t>相</w:t>
      </w:r>
      <w:r>
        <w:rPr>
          <w:spacing w:val="2"/>
        </w:rPr>
        <w:t>关</w:t>
      </w:r>
      <w:r>
        <w:rPr/>
        <w:t>规定</w:t>
      </w:r>
      <w:r>
        <w:rPr>
          <w:spacing w:val="2"/>
        </w:rPr>
        <w:t>，</w:t>
      </w:r>
      <w:r>
        <w:rPr/>
        <w:t>制定</w:t>
      </w:r>
      <w:r>
        <w:rPr>
          <w:spacing w:val="2"/>
        </w:rPr>
        <w:t>了</w:t>
      </w:r>
      <w:r>
        <w:rPr/>
        <w:t>《</w:t>
      </w:r>
      <w:r>
        <w:rPr>
          <w:spacing w:val="2"/>
        </w:rPr>
        <w:t>董</w:t>
      </w:r>
      <w:r>
        <w:rPr/>
        <w:t>事会</w:t>
      </w:r>
      <w:r>
        <w:rPr/>
        <w:t> 审计委员会工作细则</w:t>
      </w:r>
      <w:r>
        <w:rPr>
          <w:spacing w:val="-120"/>
        </w:rPr>
        <w:t>》</w:t>
      </w:r>
      <w:r>
        <w:rPr/>
        <w:t>。董事会审计委</w:t>
      </w:r>
      <w:r>
        <w:rPr>
          <w:spacing w:val="1"/>
        </w:rPr>
        <w:t>员</w:t>
      </w:r>
      <w:r>
        <w:rPr/>
        <w:t>会报告期内履职情况如下：</w:t>
      </w:r>
    </w:p>
    <w:p>
      <w:pPr>
        <w:spacing w:line="240" w:lineRule="auto" w:before="4"/>
        <w:rPr>
          <w:rFonts w:ascii="宋体" w:hAnsi="宋体" w:cs="宋体" w:eastAsia="宋体" w:hint="default"/>
          <w:sz w:val="30"/>
          <w:szCs w:val="30"/>
        </w:rPr>
      </w:pPr>
    </w:p>
    <w:p>
      <w:pPr>
        <w:pStyle w:val="BodyText"/>
        <w:spacing w:line="240" w:lineRule="auto"/>
        <w:ind w:left="473" w:right="0"/>
        <w:jc w:val="left"/>
      </w:pPr>
      <w:r>
        <w:rPr>
          <w:rFonts w:ascii="Times New Roman" w:hAnsi="Times New Roman" w:cs="Times New Roman" w:eastAsia="Times New Roman" w:hint="default"/>
        </w:rPr>
        <w:t>1</w:t>
      </w:r>
      <w:r>
        <w:rPr/>
        <w:t>、董事会审计委员会日常工作的履职情况</w:t>
      </w:r>
    </w:p>
    <w:p>
      <w:pPr>
        <w:pStyle w:val="BodyText"/>
        <w:spacing w:line="240" w:lineRule="auto" w:before="176"/>
        <w:ind w:left="0" w:right="540"/>
        <w:jc w:val="center"/>
      </w:pPr>
      <w:r>
        <w:rPr/>
        <w:t>审计委员</w:t>
      </w:r>
      <w:r>
        <w:rPr>
          <w:spacing w:val="-1"/>
        </w:rPr>
        <w:t>会</w:t>
      </w:r>
      <w:r>
        <w:rPr/>
        <w:t>在</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年召开了七次会议</w:t>
      </w:r>
      <w:r>
        <w:rPr>
          <w:spacing w:val="-65"/>
        </w:rPr>
        <w:t>，</w:t>
      </w:r>
      <w:r>
        <w:rPr/>
        <w:t>审议通过</w:t>
      </w:r>
      <w:r>
        <w:rPr>
          <w:spacing w:val="-64"/>
        </w:rPr>
        <w:t>了</w:t>
      </w:r>
      <w:r>
        <w:rPr/>
        <w:t>《公司</w:t>
      </w:r>
      <w:r>
        <w:rPr>
          <w:spacing w:val="-60"/>
        </w:rPr>
        <w:t> </w:t>
      </w:r>
      <w:r>
        <w:rPr>
          <w:rFonts w:ascii="宋体" w:hAnsi="宋体" w:cs="宋体" w:eastAsia="宋体" w:hint="default"/>
        </w:rPr>
        <w:t>2010</w:t>
      </w:r>
      <w:r>
        <w:rPr>
          <w:rFonts w:ascii="宋体" w:hAnsi="宋体" w:cs="宋体" w:eastAsia="宋体" w:hint="default"/>
          <w:spacing w:val="-60"/>
        </w:rPr>
        <w:t> </w:t>
      </w:r>
      <w:r>
        <w:rPr/>
        <w:t>年度财务决算报告</w:t>
      </w:r>
      <w:r>
        <w:rPr>
          <w:spacing w:val="-120"/>
        </w:rPr>
        <w:t>》</w:t>
      </w:r>
      <w:r>
        <w:rPr>
          <w:spacing w:val="-185"/>
        </w:rPr>
        <w:t>、</w:t>
      </w:r>
      <w:r>
        <w:rPr/>
        <w:t>《关</w:t>
      </w:r>
    </w:p>
    <w:p>
      <w:pPr>
        <w:pStyle w:val="BodyText"/>
        <w:spacing w:line="240" w:lineRule="auto" w:before="133"/>
        <w:ind w:right="0"/>
        <w:jc w:val="left"/>
      </w:pPr>
      <w:r>
        <w:rPr/>
        <w:t>于深圳市鹏城会计师事务所有限公司从事公司</w:t>
      </w:r>
      <w:r>
        <w:rPr>
          <w:spacing w:val="-59"/>
        </w:rPr>
        <w:t> </w:t>
      </w:r>
      <w:r>
        <w:rPr>
          <w:rFonts w:ascii="宋体" w:hAnsi="宋体" w:cs="宋体" w:eastAsia="宋体" w:hint="default"/>
        </w:rPr>
        <w:t>2010</w:t>
      </w:r>
      <w:r>
        <w:rPr>
          <w:rFonts w:ascii="宋体" w:hAnsi="宋体" w:cs="宋体" w:eastAsia="宋体" w:hint="default"/>
          <w:spacing w:val="-60"/>
        </w:rPr>
        <w:t> </w:t>
      </w:r>
      <w:r>
        <w:rPr/>
        <w:t>年度审计工作的总结报告</w:t>
      </w:r>
      <w:r>
        <w:rPr>
          <w:spacing w:val="-120"/>
        </w:rPr>
        <w:t>》</w:t>
      </w:r>
      <w:r>
        <w:rPr>
          <w:spacing w:val="-202"/>
        </w:rPr>
        <w:t>、</w:t>
      </w:r>
      <w:r>
        <w:rPr/>
        <w:t>《关于续聘深</w:t>
      </w:r>
    </w:p>
    <w:p>
      <w:pPr>
        <w:pStyle w:val="BodyText"/>
        <w:spacing w:line="240" w:lineRule="auto" w:before="154"/>
        <w:ind w:right="0"/>
        <w:jc w:val="left"/>
      </w:pPr>
      <w:r>
        <w:rPr/>
        <w:t>圳市鹏城会计师事务所有限公司为公司</w:t>
      </w:r>
      <w:r>
        <w:rPr>
          <w:spacing w:val="-50"/>
        </w:rPr>
        <w:t> </w:t>
      </w:r>
      <w:r>
        <w:rPr>
          <w:rFonts w:ascii="宋体" w:hAnsi="宋体" w:cs="宋体" w:eastAsia="宋体" w:hint="default"/>
        </w:rPr>
        <w:t>2011</w:t>
      </w:r>
      <w:r>
        <w:rPr>
          <w:rFonts w:ascii="宋体" w:hAnsi="宋体" w:cs="宋体" w:eastAsia="宋体" w:hint="default"/>
          <w:spacing w:val="-51"/>
        </w:rPr>
        <w:t> </w:t>
      </w:r>
      <w:r>
        <w:rPr/>
        <w:t>年审计机构的议案</w:t>
      </w:r>
      <w:r>
        <w:rPr>
          <w:spacing w:val="-120"/>
        </w:rPr>
        <w:t>》、</w:t>
      </w:r>
      <w:r>
        <w:rPr/>
        <w:t>《关于公司</w:t>
      </w:r>
      <w:r>
        <w:rPr>
          <w:spacing w:val="-50"/>
        </w:rPr>
        <w:t> </w:t>
      </w:r>
      <w:r>
        <w:rPr>
          <w:rFonts w:ascii="宋体" w:hAnsi="宋体" w:cs="宋体" w:eastAsia="宋体" w:hint="default"/>
        </w:rPr>
        <w:t>2010</w:t>
      </w:r>
      <w:r>
        <w:rPr>
          <w:rFonts w:ascii="宋体" w:hAnsi="宋体" w:cs="宋体" w:eastAsia="宋体" w:hint="default"/>
          <w:spacing w:val="-51"/>
        </w:rPr>
        <w:t> </w:t>
      </w:r>
      <w:r>
        <w:rPr/>
        <w:t>年度募集</w:t>
      </w:r>
    </w:p>
    <w:p>
      <w:pPr>
        <w:pStyle w:val="BodyText"/>
        <w:spacing w:line="240" w:lineRule="auto" w:before="151"/>
        <w:ind w:right="0"/>
        <w:jc w:val="left"/>
      </w:pPr>
      <w:r>
        <w:rPr>
          <w:spacing w:val="7"/>
        </w:rPr>
        <w:t>资金年度使用情况</w:t>
      </w:r>
      <w:r>
        <w:rPr>
          <w:spacing w:val="9"/>
        </w:rPr>
        <w:t>的</w:t>
      </w:r>
      <w:r>
        <w:rPr>
          <w:spacing w:val="7"/>
        </w:rPr>
        <w:t>专项说明</w:t>
      </w:r>
      <w:r>
        <w:rPr>
          <w:spacing w:val="-113"/>
        </w:rPr>
        <w:t>》、</w:t>
      </w:r>
      <w:r>
        <w:rPr>
          <w:spacing w:val="7"/>
        </w:rPr>
        <w:t>《关</w:t>
      </w:r>
      <w:r>
        <w:rPr/>
        <w:t>于</w:t>
      </w:r>
      <w:r>
        <w:rPr>
          <w:spacing w:val="8"/>
        </w:rPr>
        <w:t> </w:t>
      </w:r>
      <w:r>
        <w:rPr>
          <w:rFonts w:ascii="宋体" w:hAnsi="宋体" w:cs="宋体" w:eastAsia="宋体" w:hint="default"/>
        </w:rPr>
        <w:t>2</w:t>
      </w:r>
      <w:r>
        <w:rPr>
          <w:rFonts w:ascii="宋体" w:hAnsi="宋体" w:cs="宋体" w:eastAsia="宋体" w:hint="default"/>
          <w:spacing w:val="2"/>
        </w:rPr>
        <w:t>0</w:t>
      </w:r>
      <w:r>
        <w:rPr>
          <w:rFonts w:ascii="宋体" w:hAnsi="宋体" w:cs="宋体" w:eastAsia="宋体" w:hint="default"/>
        </w:rPr>
        <w:t>10</w:t>
      </w:r>
      <w:r>
        <w:rPr>
          <w:rFonts w:ascii="宋体" w:hAnsi="宋体" w:cs="宋体" w:eastAsia="宋体" w:hint="default"/>
          <w:spacing w:val="7"/>
        </w:rPr>
        <w:t> </w:t>
      </w:r>
      <w:r>
        <w:rPr>
          <w:spacing w:val="7"/>
        </w:rPr>
        <w:t>年度公司内部控</w:t>
      </w:r>
      <w:r>
        <w:rPr>
          <w:spacing w:val="9"/>
        </w:rPr>
        <w:t>制</w:t>
      </w:r>
      <w:r>
        <w:rPr>
          <w:spacing w:val="7"/>
        </w:rPr>
        <w:t>的自我评价报告的</w:t>
      </w:r>
      <w:r>
        <w:rPr>
          <w:spacing w:val="9"/>
        </w:rPr>
        <w:t>议</w:t>
      </w:r>
      <w:r>
        <w:rPr>
          <w:spacing w:val="7"/>
        </w:rPr>
        <w:t>案</w:t>
      </w:r>
      <w:r>
        <w:rPr>
          <w:spacing w:val="-116"/>
        </w:rPr>
        <w:t>》</w:t>
      </w:r>
      <w:r>
        <w:rPr/>
        <w:t>、</w:t>
      </w:r>
    </w:p>
    <w:p>
      <w:pPr>
        <w:pStyle w:val="BodyText"/>
        <w:spacing w:line="355" w:lineRule="auto" w:before="154"/>
        <w:ind w:right="1116"/>
        <w:jc w:val="left"/>
      </w:pPr>
      <w:r>
        <w:rPr/>
        <w:t>《</w:t>
      </w:r>
      <w:r>
        <w:rPr>
          <w:rFonts w:ascii="宋体" w:hAnsi="宋体" w:cs="宋体" w:eastAsia="宋体" w:hint="default"/>
        </w:rPr>
        <w:t>2011 </w:t>
      </w:r>
      <w:r>
        <w:rPr>
          <w:spacing w:val="-18"/>
        </w:rPr>
        <w:t>年第一季度报告》、《</w:t>
      </w:r>
      <w:r>
        <w:rPr>
          <w:rFonts w:ascii="宋体" w:hAnsi="宋体" w:cs="宋体" w:eastAsia="宋体" w:hint="default"/>
          <w:spacing w:val="-18"/>
        </w:rPr>
        <w:t>2011</w:t>
      </w:r>
      <w:r>
        <w:rPr>
          <w:rFonts w:ascii="宋体" w:hAnsi="宋体" w:cs="宋体" w:eastAsia="宋体" w:hint="default"/>
        </w:rPr>
        <w:t> </w:t>
      </w:r>
      <w:r>
        <w:rPr>
          <w:spacing w:val="-15"/>
        </w:rPr>
        <w:t>年半年度报告的议案》、《</w:t>
      </w:r>
      <w:r>
        <w:rPr>
          <w:rFonts w:ascii="宋体" w:hAnsi="宋体" w:cs="宋体" w:eastAsia="宋体" w:hint="default"/>
          <w:spacing w:val="-15"/>
        </w:rPr>
        <w:t>2011</w:t>
      </w:r>
      <w:r>
        <w:rPr>
          <w:rFonts w:ascii="宋体" w:hAnsi="宋体" w:cs="宋体" w:eastAsia="宋体" w:hint="default"/>
          <w:spacing w:val="-70"/>
        </w:rPr>
        <w:t> </w:t>
      </w:r>
      <w:r>
        <w:rPr/>
        <w:t>年第三季度报告的议案》等 议案。</w:t>
      </w:r>
    </w:p>
    <w:p>
      <w:pPr>
        <w:spacing w:line="240" w:lineRule="auto" w:before="6"/>
        <w:rPr>
          <w:rFonts w:ascii="宋体" w:hAnsi="宋体" w:cs="宋体" w:eastAsia="宋体" w:hint="default"/>
          <w:sz w:val="30"/>
          <w:szCs w:val="30"/>
        </w:rPr>
      </w:pPr>
    </w:p>
    <w:p>
      <w:pPr>
        <w:pStyle w:val="BodyText"/>
        <w:spacing w:line="240" w:lineRule="auto"/>
        <w:ind w:left="473" w:right="0"/>
        <w:jc w:val="left"/>
      </w:pPr>
      <w:r>
        <w:rPr>
          <w:rFonts w:ascii="Times New Roman" w:hAnsi="Times New Roman" w:cs="Times New Roman" w:eastAsia="Times New Roman" w:hint="default"/>
        </w:rPr>
        <w:t>2</w:t>
      </w:r>
      <w:r>
        <w:rPr/>
        <w:t>、董事会审计委员会</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年报审计工作的履职情况</w:t>
      </w:r>
    </w:p>
    <w:p>
      <w:pPr>
        <w:pStyle w:val="BodyText"/>
        <w:spacing w:line="240" w:lineRule="auto" w:before="174"/>
        <w:ind w:left="473" w:right="0"/>
        <w:jc w:val="left"/>
      </w:pPr>
      <w:r>
        <w:rPr/>
        <w:t>（</w:t>
      </w:r>
      <w:r>
        <w:rPr>
          <w:rFonts w:ascii="宋体" w:hAnsi="宋体" w:cs="宋体" w:eastAsia="宋体" w:hint="default"/>
        </w:rPr>
        <w:t>1</w:t>
      </w:r>
      <w:r>
        <w:rPr/>
        <w:t>）董事会审计委员会认真审议了公司 </w:t>
      </w:r>
      <w:r>
        <w:rPr>
          <w:rFonts w:ascii="宋体" w:hAnsi="宋体" w:cs="宋体" w:eastAsia="宋体" w:hint="default"/>
        </w:rPr>
        <w:t>2011</w:t>
      </w:r>
      <w:r>
        <w:rPr>
          <w:rFonts w:ascii="宋体" w:hAnsi="宋体" w:cs="宋体" w:eastAsia="宋体" w:hint="default"/>
          <w:spacing w:val="31"/>
        </w:rPr>
        <w:t> </w:t>
      </w:r>
      <w:r>
        <w:rPr/>
        <w:t>年度审计工作计划及其它相关资料，并于</w:t>
      </w:r>
    </w:p>
    <w:p>
      <w:pPr>
        <w:spacing w:after="0" w:line="240" w:lineRule="auto"/>
        <w:jc w:val="left"/>
        <w:sectPr>
          <w:pgSz w:w="11910" w:h="16840"/>
          <w:pgMar w:header="920" w:footer="956" w:top="1140" w:bottom="1140" w:left="1020" w:right="0"/>
        </w:sectPr>
      </w:pPr>
    </w:p>
    <w:p>
      <w:pPr>
        <w:pStyle w:val="BodyText"/>
        <w:spacing w:line="240" w:lineRule="auto" w:before="19"/>
        <w:ind w:right="0"/>
        <w:jc w:val="left"/>
      </w:pP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28</w:t>
      </w:r>
      <w:r>
        <w:rPr>
          <w:rFonts w:ascii="宋体" w:hAnsi="宋体" w:cs="宋体" w:eastAsia="宋体" w:hint="default"/>
          <w:spacing w:val="-65"/>
        </w:rPr>
        <w:t> </w:t>
      </w:r>
      <w:r>
        <w:rPr/>
        <w:t>日与负责公司年度审计工作的深圳市鹏城会计师事务所有限公司协商确定了</w:t>
      </w:r>
    </w:p>
    <w:p>
      <w:pPr>
        <w:pStyle w:val="BodyText"/>
        <w:spacing w:line="240" w:lineRule="auto" w:before="154"/>
        <w:ind w:right="0"/>
        <w:jc w:val="left"/>
      </w:pPr>
      <w:r>
        <w:rPr/>
        <w:t>公司</w:t>
      </w:r>
      <w:r>
        <w:rPr>
          <w:spacing w:val="-61"/>
        </w:rPr>
        <w:t> </w:t>
      </w:r>
      <w:r>
        <w:rPr>
          <w:rFonts w:ascii="宋体" w:hAnsi="宋体" w:cs="宋体" w:eastAsia="宋体" w:hint="default"/>
        </w:rPr>
        <w:t>2011</w:t>
      </w:r>
      <w:r>
        <w:rPr>
          <w:rFonts w:ascii="宋体" w:hAnsi="宋体" w:cs="宋体" w:eastAsia="宋体" w:hint="default"/>
          <w:spacing w:val="-61"/>
        </w:rPr>
        <w:t> </w:t>
      </w:r>
      <w:r>
        <w:rPr/>
        <w:t>年度财务报告审计工作的时间安排。</w:t>
      </w:r>
    </w:p>
    <w:p>
      <w:pPr>
        <w:pStyle w:val="BodyText"/>
        <w:spacing w:line="357" w:lineRule="auto" w:before="192"/>
        <w:ind w:right="998" w:firstLine="480"/>
        <w:jc w:val="left"/>
      </w:pPr>
      <w:r>
        <w:rPr>
          <w:spacing w:val="-3"/>
        </w:rPr>
        <w:t>（</w:t>
      </w:r>
      <w:r>
        <w:rPr>
          <w:rFonts w:ascii="宋体" w:hAnsi="宋体" w:cs="宋体" w:eastAsia="宋体" w:hint="default"/>
          <w:spacing w:val="-3"/>
        </w:rPr>
        <w:t>2</w:t>
      </w:r>
      <w:r>
        <w:rPr>
          <w:spacing w:val="-3"/>
        </w:rPr>
        <w:t>）在审计人员进行现场审计前，董事会审计委员会认真审阅了公司初步编制的财务报</w:t>
      </w:r>
      <w:r>
        <w:rPr/>
        <w:t> </w:t>
      </w:r>
      <w:r>
        <w:rPr>
          <w:spacing w:val="-6"/>
        </w:rPr>
        <w:t>表，并于</w:t>
      </w:r>
      <w:r>
        <w:rPr>
          <w:spacing w:val="-55"/>
        </w:rPr>
        <w:t> </w:t>
      </w:r>
      <w:r>
        <w:rPr>
          <w:rFonts w:ascii="宋体" w:hAnsi="宋体" w:cs="宋体" w:eastAsia="宋体" w:hint="default"/>
        </w:rPr>
        <w:t>2012</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17</w:t>
      </w:r>
      <w:r>
        <w:rPr>
          <w:rFonts w:ascii="宋体" w:hAnsi="宋体" w:cs="宋体" w:eastAsia="宋体" w:hint="default"/>
          <w:spacing w:val="-55"/>
        </w:rPr>
        <w:t> </w:t>
      </w:r>
      <w:r>
        <w:rPr>
          <w:spacing w:val="-3"/>
        </w:rPr>
        <w:t>日出具了书面意见，认为：公司会计报表编制符合《企业会计准则》</w:t>
      </w:r>
      <w:r>
        <w:rPr/>
        <w:t> 及其相关规定，会计报表的数据基本反映了公司财务状况，同意将上述报表提交给鹏城会计</w:t>
      </w:r>
      <w:r>
        <w:rPr>
          <w:spacing w:val="-88"/>
        </w:rPr>
        <w:t> </w:t>
      </w:r>
      <w:r>
        <w:rPr>
          <w:spacing w:val="-88"/>
        </w:rPr>
      </w:r>
      <w:r>
        <w:rPr/>
        <w:t>师事务所进行年度审计。</w:t>
      </w:r>
    </w:p>
    <w:p>
      <w:pPr>
        <w:pStyle w:val="BodyText"/>
        <w:spacing w:line="240" w:lineRule="auto" w:before="74"/>
        <w:ind w:left="593" w:right="0"/>
        <w:jc w:val="left"/>
        <w:rPr>
          <w:rFonts w:ascii="宋体" w:hAnsi="宋体" w:cs="宋体" w:eastAsia="宋体" w:hint="default"/>
        </w:rPr>
      </w:pPr>
      <w:r>
        <w:rPr/>
        <w:t>（</w:t>
      </w:r>
      <w:r>
        <w:rPr>
          <w:rFonts w:ascii="宋体" w:hAnsi="宋体" w:cs="宋体" w:eastAsia="宋体" w:hint="default"/>
        </w:rPr>
        <w:t>3</w:t>
      </w:r>
      <w:r>
        <w:rPr/>
        <w:t>）在审计人员进行现场审计后，审计委员会与公司年审注册会计师分别于 </w:t>
      </w:r>
      <w:r>
        <w:rPr>
          <w:rFonts w:ascii="宋体" w:hAnsi="宋体" w:cs="宋体" w:eastAsia="宋体" w:hint="default"/>
        </w:rPr>
        <w:t>2012 </w:t>
      </w:r>
      <w:r>
        <w:rPr/>
        <w:t>年</w:t>
      </w:r>
      <w:r>
        <w:rPr>
          <w:spacing w:val="-79"/>
        </w:rPr>
        <w:t> </w:t>
      </w:r>
      <w:r>
        <w:rPr>
          <w:rFonts w:ascii="宋体" w:hAnsi="宋体" w:cs="宋体" w:eastAsia="宋体" w:hint="default"/>
        </w:rPr>
        <w:t>1</w:t>
      </w:r>
    </w:p>
    <w:p>
      <w:pPr>
        <w:pStyle w:val="BodyText"/>
        <w:spacing w:line="357" w:lineRule="auto" w:before="151"/>
        <w:ind w:right="1124"/>
        <w:jc w:val="left"/>
      </w:pPr>
      <w:r>
        <w:rPr/>
        <w:t>月</w:t>
      </w:r>
      <w:r>
        <w:rPr>
          <w:spacing w:val="-47"/>
        </w:rPr>
        <w:t> </w:t>
      </w:r>
      <w:r>
        <w:rPr>
          <w:rFonts w:ascii="宋体" w:hAnsi="宋体" w:cs="宋体" w:eastAsia="宋体" w:hint="default"/>
        </w:rPr>
        <w:t>17</w:t>
      </w:r>
      <w:r>
        <w:rPr>
          <w:rFonts w:ascii="宋体" w:hAnsi="宋体" w:cs="宋体" w:eastAsia="宋体" w:hint="default"/>
          <w:spacing w:val="-47"/>
        </w:rPr>
        <w:t> </w:t>
      </w:r>
      <w:r>
        <w:rPr/>
        <w:t>日、</w:t>
      </w:r>
      <w:r>
        <w:rPr>
          <w:rFonts w:ascii="宋体" w:hAnsi="宋体" w:cs="宋体" w:eastAsia="宋体" w:hint="default"/>
        </w:rPr>
        <w:t>2012</w:t>
      </w:r>
      <w:r>
        <w:rPr>
          <w:rFonts w:ascii="宋体" w:hAnsi="宋体" w:cs="宋体" w:eastAsia="宋体" w:hint="default"/>
          <w:spacing w:val="-47"/>
        </w:rPr>
        <w:t> </w:t>
      </w:r>
      <w:r>
        <w:rPr/>
        <w:t>年</w:t>
      </w:r>
      <w:r>
        <w:rPr>
          <w:spacing w:val="-47"/>
        </w:rPr>
        <w:t> </w:t>
      </w:r>
      <w:r>
        <w:rPr>
          <w:rFonts w:ascii="宋体" w:hAnsi="宋体" w:cs="宋体" w:eastAsia="宋体" w:hint="default"/>
        </w:rPr>
        <w:t>3</w:t>
      </w:r>
      <w:r>
        <w:rPr>
          <w:rFonts w:ascii="宋体" w:hAnsi="宋体" w:cs="宋体" w:eastAsia="宋体" w:hint="default"/>
          <w:spacing w:val="-49"/>
        </w:rPr>
        <w:t> </w:t>
      </w:r>
      <w:r>
        <w:rPr/>
        <w:t>月</w:t>
      </w:r>
      <w:r>
        <w:rPr>
          <w:spacing w:val="-47"/>
        </w:rPr>
        <w:t> </w:t>
      </w:r>
      <w:r>
        <w:rPr>
          <w:rFonts w:ascii="宋体" w:hAnsi="宋体" w:cs="宋体" w:eastAsia="宋体" w:hint="default"/>
        </w:rPr>
        <w:t>2</w:t>
      </w:r>
      <w:r>
        <w:rPr>
          <w:rFonts w:ascii="宋体" w:hAnsi="宋体" w:cs="宋体" w:eastAsia="宋体" w:hint="default"/>
          <w:spacing w:val="-46"/>
        </w:rPr>
        <w:t> </w:t>
      </w:r>
      <w:r>
        <w:rPr/>
        <w:t>日召开会议，就审计过程中发现的问题以及审计报告提交的时间进 行了沟通与交流。</w:t>
      </w:r>
    </w:p>
    <w:p>
      <w:pPr>
        <w:pStyle w:val="BodyText"/>
        <w:spacing w:line="240" w:lineRule="auto" w:before="75"/>
        <w:ind w:left="593" w:right="0"/>
        <w:jc w:val="left"/>
      </w:pPr>
      <w:r>
        <w:rPr/>
        <w:t>（</w:t>
      </w:r>
      <w:r>
        <w:rPr>
          <w:rFonts w:ascii="宋体" w:hAnsi="宋体" w:cs="宋体" w:eastAsia="宋体" w:hint="default"/>
        </w:rPr>
        <w:t>4</w:t>
      </w:r>
      <w:r>
        <w:rPr/>
        <w:t>）在年审注册会计师出具初步审计意见后，审计委员会对初步审计的 </w:t>
      </w:r>
      <w:r>
        <w:rPr>
          <w:rFonts w:ascii="宋体" w:hAnsi="宋体" w:cs="宋体" w:eastAsia="宋体" w:hint="default"/>
        </w:rPr>
        <w:t>2011</w:t>
      </w:r>
      <w:r>
        <w:rPr>
          <w:rFonts w:ascii="宋体" w:hAnsi="宋体" w:cs="宋体" w:eastAsia="宋体" w:hint="default"/>
          <w:spacing w:val="-82"/>
        </w:rPr>
        <w:t> </w:t>
      </w:r>
      <w:r>
        <w:rPr/>
        <w:t>年度财务</w:t>
      </w:r>
    </w:p>
    <w:p>
      <w:pPr>
        <w:pStyle w:val="BodyText"/>
        <w:spacing w:line="240" w:lineRule="auto" w:before="154"/>
        <w:ind w:right="0"/>
        <w:jc w:val="left"/>
      </w:pPr>
      <w:r>
        <w:rPr/>
        <w:t>会计报表再次进行了审阅，并于</w:t>
      </w:r>
      <w:r>
        <w:rPr>
          <w:spacing w:val="-64"/>
        </w:rPr>
        <w:t> </w:t>
      </w:r>
      <w:r>
        <w:rPr>
          <w:rFonts w:ascii="宋体" w:hAnsi="宋体" w:cs="宋体" w:eastAsia="宋体" w:hint="default"/>
        </w:rPr>
        <w:t>2012</w:t>
      </w:r>
      <w:r>
        <w:rPr>
          <w:rFonts w:ascii="宋体" w:hAnsi="宋体" w:cs="宋体" w:eastAsia="宋体" w:hint="default"/>
          <w:spacing w:val="-64"/>
        </w:rPr>
        <w:t> </w:t>
      </w:r>
      <w:r>
        <w:rPr/>
        <w:t>年</w:t>
      </w:r>
      <w:r>
        <w:rPr>
          <w:spacing w:val="-64"/>
        </w:rPr>
        <w:t> </w:t>
      </w:r>
      <w:r>
        <w:rPr>
          <w:rFonts w:ascii="宋体" w:hAnsi="宋体" w:cs="宋体" w:eastAsia="宋体" w:hint="default"/>
        </w:rPr>
        <w:t>3</w:t>
      </w:r>
      <w:r>
        <w:rPr>
          <w:rFonts w:ascii="宋体" w:hAnsi="宋体" w:cs="宋体" w:eastAsia="宋体" w:hint="default"/>
          <w:spacing w:val="-64"/>
        </w:rPr>
        <w:t> </w:t>
      </w:r>
      <w:r>
        <w:rPr/>
        <w:t>月</w:t>
      </w:r>
      <w:r>
        <w:rPr>
          <w:spacing w:val="-64"/>
        </w:rPr>
        <w:t> </w:t>
      </w:r>
      <w:r>
        <w:rPr>
          <w:rFonts w:ascii="宋体" w:hAnsi="宋体" w:cs="宋体" w:eastAsia="宋体" w:hint="default"/>
        </w:rPr>
        <w:t>2</w:t>
      </w:r>
      <w:r>
        <w:rPr>
          <w:rFonts w:ascii="宋体" w:hAnsi="宋体" w:cs="宋体" w:eastAsia="宋体" w:hint="default"/>
          <w:spacing w:val="-64"/>
        </w:rPr>
        <w:t> </w:t>
      </w:r>
      <w:r>
        <w:rPr>
          <w:spacing w:val="-3"/>
        </w:rPr>
        <w:t>日出具了书面意见，认为：经会计师事务所审</w:t>
      </w:r>
    </w:p>
    <w:p>
      <w:pPr>
        <w:pStyle w:val="BodyText"/>
        <w:spacing w:line="357" w:lineRule="auto" w:before="151"/>
        <w:ind w:right="1036"/>
        <w:jc w:val="left"/>
      </w:pPr>
      <w:r>
        <w:rPr/>
        <w:t>计的</w:t>
      </w:r>
      <w:r>
        <w:rPr>
          <w:spacing w:val="-61"/>
        </w:rPr>
        <w:t> </w:t>
      </w:r>
      <w:r>
        <w:rPr>
          <w:rFonts w:ascii="宋体" w:hAnsi="宋体" w:cs="宋体" w:eastAsia="宋体" w:hint="default"/>
        </w:rPr>
        <w:t>2011</w:t>
      </w:r>
      <w:r>
        <w:rPr>
          <w:rFonts w:ascii="宋体" w:hAnsi="宋体" w:cs="宋体" w:eastAsia="宋体" w:hint="default"/>
          <w:spacing w:val="-61"/>
        </w:rPr>
        <w:t> </w:t>
      </w:r>
      <w:r>
        <w:rPr/>
        <w:t>年度会计报表编制符合《企业会计准则》的要求，收入、费用和利润的确认真实、 准确，有关提留符合法律、法规和有关制度规定，真实、准确、完整地反映了公司的财务状</w:t>
      </w:r>
      <w:r>
        <w:rPr>
          <w:spacing w:val="-91"/>
        </w:rPr>
        <w:t> </w:t>
      </w:r>
      <w:r>
        <w:rPr>
          <w:spacing w:val="-91"/>
        </w:rPr>
      </w:r>
      <w:r>
        <w:rPr/>
        <w:t>况、经营成果和现金流量情况，同意提交公司董事会审议。</w:t>
      </w:r>
    </w:p>
    <w:p>
      <w:pPr>
        <w:spacing w:line="240" w:lineRule="auto" w:before="1"/>
        <w:rPr>
          <w:rFonts w:ascii="宋体" w:hAnsi="宋体" w:cs="宋体" w:eastAsia="宋体" w:hint="default"/>
          <w:sz w:val="30"/>
          <w:szCs w:val="30"/>
        </w:rPr>
      </w:pPr>
    </w:p>
    <w:p>
      <w:pPr>
        <w:pStyle w:val="BodyText"/>
        <w:spacing w:line="338" w:lineRule="auto"/>
        <w:ind w:right="1117" w:firstLine="360"/>
        <w:jc w:val="left"/>
      </w:pPr>
      <w:r>
        <w:rPr>
          <w:rFonts w:ascii="Times New Roman" w:hAnsi="Times New Roman" w:cs="Times New Roman" w:eastAsia="Times New Roman" w:hint="default"/>
        </w:rPr>
        <w:t>3</w:t>
      </w:r>
      <w:r>
        <w:rPr/>
        <w:t>、 董事会审计委员会对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年度会计师事务所对公司审计工作的总结报告及下年度续 聘会计师事务所的意见</w:t>
      </w:r>
    </w:p>
    <w:p>
      <w:pPr>
        <w:pStyle w:val="BodyText"/>
        <w:spacing w:line="355" w:lineRule="auto" w:before="96"/>
        <w:ind w:right="1131" w:firstLine="480"/>
        <w:jc w:val="both"/>
      </w:pPr>
      <w:r>
        <w:rPr/>
        <w:t>董事会审计委员会在</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t>日召开的</w:t>
      </w:r>
      <w:r>
        <w:rPr>
          <w:spacing w:val="-60"/>
        </w:rPr>
        <w:t> </w:t>
      </w:r>
      <w:r>
        <w:rPr>
          <w:rFonts w:ascii="宋体" w:hAnsi="宋体" w:cs="宋体" w:eastAsia="宋体" w:hint="default"/>
        </w:rPr>
        <w:t>2012</w:t>
      </w:r>
      <w:r>
        <w:rPr>
          <w:rFonts w:ascii="宋体" w:hAnsi="宋体" w:cs="宋体" w:eastAsia="宋体" w:hint="default"/>
          <w:spacing w:val="-60"/>
        </w:rPr>
        <w:t> </w:t>
      </w:r>
      <w:r>
        <w:rPr>
          <w:spacing w:val="-8"/>
        </w:rPr>
        <w:t>年第一次会议上，对公司</w:t>
      </w:r>
      <w:r>
        <w:rPr>
          <w:spacing w:val="-60"/>
        </w:rPr>
        <w:t> </w:t>
      </w:r>
      <w:r>
        <w:rPr>
          <w:rFonts w:ascii="宋体" w:hAnsi="宋体" w:cs="宋体" w:eastAsia="宋体" w:hint="default"/>
        </w:rPr>
        <w:t>2011</w:t>
      </w:r>
      <w:r>
        <w:rPr>
          <w:rFonts w:ascii="宋体" w:hAnsi="宋体" w:cs="宋体" w:eastAsia="宋体" w:hint="default"/>
          <w:spacing w:val="-60"/>
        </w:rPr>
        <w:t> </w:t>
      </w:r>
      <w:r>
        <w:rPr/>
        <w:t>年度会 计师事务所的审计工作总结报告发表了如下意见：</w:t>
      </w:r>
    </w:p>
    <w:p>
      <w:pPr>
        <w:pStyle w:val="BodyText"/>
        <w:spacing w:line="240" w:lineRule="auto" w:before="77"/>
        <w:ind w:left="593" w:right="0"/>
        <w:jc w:val="left"/>
      </w:pPr>
      <w:r>
        <w:rPr/>
        <w:t>深圳市鹏城会计师事务所有限公司在对本公司</w:t>
      </w:r>
      <w:r>
        <w:rPr>
          <w:spacing w:val="-53"/>
        </w:rPr>
        <w:t> </w:t>
      </w:r>
      <w:r>
        <w:rPr>
          <w:rFonts w:ascii="宋体" w:hAnsi="宋体" w:cs="宋体" w:eastAsia="宋体" w:hint="default"/>
        </w:rPr>
        <w:t>2011</w:t>
      </w:r>
      <w:r>
        <w:rPr>
          <w:rFonts w:ascii="宋体" w:hAnsi="宋体" w:cs="宋体" w:eastAsia="宋体" w:hint="default"/>
          <w:spacing w:val="-53"/>
        </w:rPr>
        <w:t> </w:t>
      </w:r>
      <w:r>
        <w:rPr>
          <w:spacing w:val="-6"/>
        </w:rPr>
        <w:t>年度财务报表的审计过程中，对公司</w:t>
      </w:r>
    </w:p>
    <w:p>
      <w:pPr>
        <w:pStyle w:val="BodyText"/>
        <w:spacing w:line="357" w:lineRule="auto" w:before="154"/>
        <w:ind w:right="1131"/>
        <w:jc w:val="both"/>
      </w:pPr>
      <w:r>
        <w:rPr>
          <w:spacing w:val="-3"/>
        </w:rPr>
        <w:t>年度财务报表及附注进行审计并发表审计意见，同时对公司募集资金截至</w:t>
      </w:r>
      <w:r>
        <w:rPr>
          <w:spacing w:val="-57"/>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 的使用与存放情况以及公司控股股东及其他关联方资金占用情况进行审核，并出具专项审核</w:t>
      </w:r>
      <w:r>
        <w:rPr>
          <w:spacing w:val="-91"/>
        </w:rPr>
        <w:t> </w:t>
      </w:r>
      <w:r>
        <w:rPr>
          <w:spacing w:val="-91"/>
        </w:rPr>
      </w:r>
      <w:r>
        <w:rPr/>
        <w:t>报告。</w:t>
      </w:r>
    </w:p>
    <w:p>
      <w:pPr>
        <w:pStyle w:val="BodyText"/>
        <w:spacing w:line="357" w:lineRule="auto" w:before="74"/>
        <w:ind w:right="1139" w:firstLine="480"/>
        <w:jc w:val="both"/>
      </w:pPr>
      <w:r>
        <w:rPr/>
        <w:t>审计过程中，审计小组与公司董事会和管理层进行了必要的沟通，经过三个月的审计工 作，完成了所有审计程序，取得了充分适当的审计证据，并向公司审计委员会提交了标准无</w:t>
      </w:r>
      <w:r>
        <w:rPr>
          <w:spacing w:val="-91"/>
        </w:rPr>
        <w:t> </w:t>
      </w:r>
      <w:r>
        <w:rPr>
          <w:spacing w:val="-91"/>
        </w:rPr>
      </w:r>
      <w:r>
        <w:rPr/>
        <w:t>保留意见的审计报告。</w:t>
      </w:r>
    </w:p>
    <w:p>
      <w:pPr>
        <w:pStyle w:val="BodyText"/>
        <w:spacing w:line="357" w:lineRule="auto" w:before="74"/>
        <w:ind w:right="1139" w:firstLine="480"/>
        <w:jc w:val="both"/>
      </w:pPr>
      <w:r>
        <w:rPr/>
        <w:t>在本次审计工作中深圳市鹏城会计师事务所有限公司及审计成员始终保持了形式上和实 质上的双重独立，遵守了职业道德基本原则中关于保持独立性的要求。审计小组人员具有承</w:t>
      </w:r>
      <w:r>
        <w:rPr>
          <w:spacing w:val="-91"/>
        </w:rPr>
        <w:t> </w:t>
      </w:r>
      <w:r>
        <w:rPr>
          <w:spacing w:val="-91"/>
        </w:rPr>
      </w:r>
      <w:r>
        <w:rPr/>
        <w:t>办本次审计业务所必需的专业知识和相关的职业证书，能够胜任本次审计工作，同时也能保</w:t>
      </w:r>
      <w:r>
        <w:rPr>
          <w:spacing w:val="-91"/>
        </w:rPr>
        <w:t> </w:t>
      </w:r>
      <w:r>
        <w:rPr>
          <w:spacing w:val="-91"/>
        </w:rPr>
      </w:r>
      <w:r>
        <w:rPr/>
        <w:t>持应有的关注和职业谨慎性。</w:t>
      </w:r>
    </w:p>
    <w:p>
      <w:pPr>
        <w:spacing w:after="0" w:line="357" w:lineRule="auto"/>
        <w:jc w:val="both"/>
        <w:sectPr>
          <w:headerReference w:type="default" r:id="rId28"/>
          <w:pgSz w:w="11910" w:h="16840"/>
          <w:pgMar w:header="920" w:footer="956" w:top="1140" w:bottom="1140" w:left="1020" w:right="0"/>
        </w:sectPr>
      </w:pPr>
    </w:p>
    <w:p>
      <w:pPr>
        <w:pStyle w:val="BodyText"/>
        <w:spacing w:line="357" w:lineRule="auto" w:before="19"/>
        <w:ind w:right="1139" w:firstLine="480"/>
        <w:jc w:val="both"/>
      </w:pPr>
      <w:r>
        <w:rPr/>
        <w:t>审计小组在对公司本年度财务报表审计中按照中国注册会计师审计准则的要求执行了恰 当的审计程序，为发表审计意见获取了充分、适当的审计证据。深圳市鹏城会计师事务所有</w:t>
      </w:r>
      <w:r>
        <w:rPr>
          <w:spacing w:val="-91"/>
        </w:rPr>
        <w:t> </w:t>
      </w:r>
      <w:r>
        <w:rPr>
          <w:spacing w:val="-91"/>
        </w:rPr>
      </w:r>
      <w:r>
        <w:rPr/>
        <w:t>限公司对公司年度财务报表发表的标准无保留审计意见是在获取充分、适当的审计证据的基</w:t>
      </w:r>
      <w:r>
        <w:rPr>
          <w:spacing w:val="-91"/>
        </w:rPr>
        <w:t> </w:t>
      </w:r>
      <w:r>
        <w:rPr>
          <w:spacing w:val="-91"/>
        </w:rPr>
      </w:r>
      <w:r>
        <w:rPr/>
        <w:t>础上做出的。</w:t>
      </w:r>
    </w:p>
    <w:p>
      <w:pPr>
        <w:pStyle w:val="BodyText"/>
        <w:spacing w:line="357" w:lineRule="auto" w:before="74"/>
        <w:ind w:right="1140" w:firstLine="480"/>
        <w:jc w:val="both"/>
      </w:pPr>
      <w:r>
        <w:rPr/>
        <w:t>根据深圳市鹏城会计师事务所有限公司的服务意识、职业操守和履职能力，建议公司继 续聘任深圳市鹏城会计师事务所有限公司作为公司</w:t>
      </w:r>
      <w:r>
        <w:rPr>
          <w:spacing w:val="-59"/>
        </w:rPr>
        <w:t> </w:t>
      </w:r>
      <w:r>
        <w:rPr>
          <w:rFonts w:ascii="宋体" w:hAnsi="宋体" w:cs="宋体" w:eastAsia="宋体" w:hint="default"/>
        </w:rPr>
        <w:t>2012</w:t>
      </w:r>
      <w:r>
        <w:rPr>
          <w:rFonts w:ascii="宋体" w:hAnsi="宋体" w:cs="宋体" w:eastAsia="宋体" w:hint="default"/>
          <w:spacing w:val="-60"/>
        </w:rPr>
        <w:t> </w:t>
      </w:r>
      <w:r>
        <w:rPr/>
        <w:t>年度的财务报表审计机构。</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（四）董事会薪酬与考核委员会的履职情况</w:t>
      </w:r>
      <w:r>
        <w:rPr>
          <w:b w:val="0"/>
          <w:bCs w:val="0"/>
        </w:rPr>
      </w:r>
    </w:p>
    <w:p>
      <w:pPr>
        <w:spacing w:line="240" w:lineRule="auto" w:before="12"/>
        <w:rPr>
          <w:rFonts w:ascii="宋体" w:hAnsi="宋体" w:cs="宋体" w:eastAsia="宋体" w:hint="default"/>
          <w:b/>
          <w:bCs/>
          <w:sz w:val="20"/>
          <w:szCs w:val="20"/>
        </w:rPr>
      </w:pPr>
    </w:p>
    <w:p>
      <w:pPr>
        <w:pStyle w:val="BodyText"/>
        <w:spacing w:line="357" w:lineRule="auto"/>
        <w:ind w:right="1132" w:firstLine="480"/>
        <w:jc w:val="both"/>
      </w:pPr>
      <w:r>
        <w:rPr/>
        <w:t>公司董事会薪酬与考核委员会于</w:t>
      </w:r>
      <w:r>
        <w:rPr>
          <w:spacing w:val="-74"/>
        </w:rPr>
        <w:t> </w:t>
      </w:r>
      <w:r>
        <w:rPr>
          <w:rFonts w:ascii="宋体" w:hAnsi="宋体" w:cs="宋体" w:eastAsia="宋体" w:hint="default"/>
        </w:rPr>
        <w:t>2006 </w:t>
      </w:r>
      <w:r>
        <w:rPr/>
        <w:t>年</w:t>
      </w:r>
      <w:r>
        <w:rPr>
          <w:spacing w:val="-75"/>
        </w:rPr>
        <w:t> </w:t>
      </w:r>
      <w:r>
        <w:rPr>
          <w:rFonts w:ascii="宋体" w:hAnsi="宋体" w:cs="宋体" w:eastAsia="宋体" w:hint="default"/>
        </w:rPr>
        <w:t>11</w:t>
      </w:r>
      <w:r>
        <w:rPr>
          <w:rFonts w:ascii="宋体" w:hAnsi="宋体" w:cs="宋体" w:eastAsia="宋体" w:hint="default"/>
          <w:spacing w:val="2"/>
        </w:rPr>
        <w:t> </w:t>
      </w:r>
      <w:r>
        <w:rPr/>
        <w:t>月</w:t>
      </w:r>
      <w:r>
        <w:rPr>
          <w:spacing w:val="-74"/>
        </w:rPr>
        <w:t> </w:t>
      </w:r>
      <w:r>
        <w:rPr>
          <w:rFonts w:ascii="宋体" w:hAnsi="宋体" w:cs="宋体" w:eastAsia="宋体" w:hint="default"/>
        </w:rPr>
        <w:t>27</w:t>
      </w:r>
      <w:r>
        <w:rPr>
          <w:rFonts w:ascii="宋体" w:hAnsi="宋体" w:cs="宋体" w:eastAsia="宋体" w:hint="default"/>
          <w:spacing w:val="-75"/>
        </w:rPr>
        <w:t> </w:t>
      </w:r>
      <w:r>
        <w:rPr/>
        <w:t>日经公司</w:t>
      </w:r>
      <w:r>
        <w:rPr>
          <w:spacing w:val="-75"/>
        </w:rPr>
        <w:t> </w:t>
      </w:r>
      <w:r>
        <w:rPr>
          <w:rFonts w:ascii="宋体" w:hAnsi="宋体" w:cs="宋体" w:eastAsia="宋体" w:hint="default"/>
        </w:rPr>
        <w:t>2006</w:t>
      </w:r>
      <w:r>
        <w:rPr>
          <w:rFonts w:ascii="宋体" w:hAnsi="宋体" w:cs="宋体" w:eastAsia="宋体" w:hint="default"/>
          <w:spacing w:val="-75"/>
        </w:rPr>
        <w:t> </w:t>
      </w:r>
      <w:r>
        <w:rPr/>
        <w:t>年第四次股东大会批准 </w:t>
      </w:r>
      <w:r>
        <w:rPr>
          <w:spacing w:val="-11"/>
        </w:rPr>
        <w:t>设立，并根据《公司法》、《上市公司治理准则》、《公司章程》及其他相关规定，制定了《董</w:t>
      </w:r>
      <w:r>
        <w:rPr>
          <w:spacing w:val="-109"/>
        </w:rPr>
        <w:t> </w:t>
      </w:r>
      <w:r>
        <w:rPr>
          <w:spacing w:val="-109"/>
        </w:rPr>
      </w:r>
      <w:r>
        <w:rPr>
          <w:spacing w:val="-4"/>
        </w:rPr>
        <w:t>事会薪酬与考核委员会工作细则》。董事会薪酬与考核委员报告期内履职情况如下：</w:t>
      </w:r>
    </w:p>
    <w:p>
      <w:pPr>
        <w:spacing w:line="240" w:lineRule="auto" w:before="1"/>
        <w:rPr>
          <w:rFonts w:ascii="宋体" w:hAnsi="宋体" w:cs="宋体" w:eastAsia="宋体" w:hint="default"/>
          <w:sz w:val="30"/>
          <w:szCs w:val="30"/>
        </w:rPr>
      </w:pPr>
    </w:p>
    <w:p>
      <w:pPr>
        <w:pStyle w:val="BodyText"/>
        <w:spacing w:line="240" w:lineRule="auto"/>
        <w:ind w:left="473" w:right="0"/>
        <w:jc w:val="left"/>
      </w:pPr>
      <w:r>
        <w:rPr>
          <w:rFonts w:ascii="Times New Roman" w:hAnsi="Times New Roman" w:cs="Times New Roman" w:eastAsia="Times New Roman" w:hint="default"/>
        </w:rPr>
        <w:t>1</w:t>
      </w:r>
      <w:r>
        <w:rPr/>
        <w:t>、董事会薪酬与考核委员会日常工作的履职情况</w:t>
      </w:r>
    </w:p>
    <w:p>
      <w:pPr>
        <w:pStyle w:val="BodyText"/>
        <w:spacing w:line="348" w:lineRule="auto" w:before="176"/>
        <w:ind w:right="1131" w:firstLine="420"/>
        <w:jc w:val="both"/>
      </w:pPr>
      <w:r>
        <w:rPr/>
        <w:t>报告期内，薪酬与考核委员会在</w:t>
      </w:r>
      <w:r>
        <w:rPr>
          <w:spacing w:val="-6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spacing w:val="-3"/>
        </w:rPr>
        <w:t>年召开了三次会议，审议通过了《关于对公司</w:t>
      </w:r>
      <w:r>
        <w:rPr>
          <w:spacing w:val="-64"/>
        </w:rPr>
        <w:t> </w:t>
      </w:r>
      <w:r>
        <w:rPr>
          <w:rFonts w:ascii="宋体" w:hAnsi="宋体" w:cs="宋体" w:eastAsia="宋体" w:hint="default"/>
        </w:rPr>
        <w:t>2010 </w:t>
      </w:r>
      <w:r>
        <w:rPr>
          <w:spacing w:val="-6"/>
        </w:rPr>
        <w:t>年董事、监事和高级管理人员所披露薪酬进行审核的议案》、《对第三届经营管理层人员薪酬</w:t>
      </w:r>
      <w:r>
        <w:rPr>
          <w:spacing w:val="-81"/>
        </w:rPr>
        <w:t> </w:t>
      </w:r>
      <w:r>
        <w:rPr>
          <w:spacing w:val="-81"/>
        </w:rPr>
      </w:r>
      <w:r>
        <w:rPr>
          <w:spacing w:val="-11"/>
        </w:rPr>
        <w:t>调整》、《关于公司独立董事薪酬调整的议案》。</w:t>
      </w:r>
    </w:p>
    <w:p>
      <w:pPr>
        <w:spacing w:line="240" w:lineRule="auto" w:before="11"/>
        <w:rPr>
          <w:rFonts w:ascii="宋体" w:hAnsi="宋体" w:cs="宋体" w:eastAsia="宋体" w:hint="default"/>
          <w:sz w:val="30"/>
          <w:szCs w:val="30"/>
        </w:rPr>
      </w:pPr>
    </w:p>
    <w:p>
      <w:pPr>
        <w:pStyle w:val="BodyText"/>
        <w:spacing w:line="240" w:lineRule="auto"/>
        <w:ind w:left="473" w:right="0"/>
        <w:jc w:val="left"/>
      </w:pPr>
      <w:r>
        <w:rPr>
          <w:rFonts w:ascii="Times New Roman" w:hAnsi="Times New Roman" w:cs="Times New Roman" w:eastAsia="Times New Roman" w:hint="default"/>
        </w:rPr>
        <w:t>2</w:t>
      </w:r>
      <w:r>
        <w:rPr/>
        <w:t>、薪酬与考核委员会</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年报审计工作的履职情况</w:t>
      </w:r>
    </w:p>
    <w:p>
      <w:pPr>
        <w:pStyle w:val="BodyText"/>
        <w:spacing w:line="357" w:lineRule="auto" w:before="174"/>
        <w:ind w:right="999" w:firstLine="480"/>
        <w:jc w:val="left"/>
      </w:pPr>
      <w:r>
        <w:rPr>
          <w:rFonts w:ascii="宋体" w:hAnsi="宋体" w:cs="宋体" w:eastAsia="宋体" w:hint="default"/>
        </w:rPr>
        <w:t>2012</w:t>
      </w:r>
      <w:r>
        <w:rPr>
          <w:rFonts w:ascii="宋体" w:hAnsi="宋体" w:cs="宋体" w:eastAsia="宋体" w:hint="default"/>
          <w:spacing w:val="-63"/>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t>月</w:t>
      </w:r>
      <w:r>
        <w:rPr>
          <w:spacing w:val="-63"/>
        </w:rPr>
        <w:t> </w:t>
      </w:r>
      <w:r>
        <w:rPr>
          <w:rFonts w:ascii="宋体" w:hAnsi="宋体" w:cs="宋体" w:eastAsia="宋体" w:hint="default"/>
        </w:rPr>
        <w:t>2</w:t>
      </w:r>
      <w:r>
        <w:rPr>
          <w:rFonts w:ascii="宋体" w:hAnsi="宋体" w:cs="宋体" w:eastAsia="宋体" w:hint="default"/>
          <w:spacing w:val="-63"/>
        </w:rPr>
        <w:t> </w:t>
      </w:r>
      <w:r>
        <w:rPr/>
        <w:t>日董事会薪酬与考核委员召开了</w:t>
      </w:r>
      <w:r>
        <w:rPr>
          <w:spacing w:val="-62"/>
        </w:rPr>
        <w:t> </w:t>
      </w:r>
      <w:r>
        <w:rPr>
          <w:rFonts w:ascii="宋体" w:hAnsi="宋体" w:cs="宋体" w:eastAsia="宋体" w:hint="default"/>
        </w:rPr>
        <w:t>2012</w:t>
      </w:r>
      <w:r>
        <w:rPr>
          <w:rFonts w:ascii="宋体" w:hAnsi="宋体" w:cs="宋体" w:eastAsia="宋体" w:hint="default"/>
          <w:spacing w:val="-63"/>
        </w:rPr>
        <w:t> </w:t>
      </w:r>
      <w:r>
        <w:rPr>
          <w:spacing w:val="-12"/>
        </w:rPr>
        <w:t>年第一次会议，对公司</w:t>
      </w:r>
      <w:r>
        <w:rPr>
          <w:spacing w:val="-62"/>
        </w:rPr>
        <w:t> </w:t>
      </w:r>
      <w:r>
        <w:rPr>
          <w:rFonts w:ascii="宋体" w:hAnsi="宋体" w:cs="宋体" w:eastAsia="宋体" w:hint="default"/>
        </w:rPr>
        <w:t>2011</w:t>
      </w:r>
      <w:r>
        <w:rPr>
          <w:rFonts w:ascii="宋体" w:hAnsi="宋体" w:cs="宋体" w:eastAsia="宋体" w:hint="default"/>
          <w:spacing w:val="-63"/>
        </w:rPr>
        <w:t> </w:t>
      </w:r>
      <w:r>
        <w:rPr/>
        <w:t>年董事、 监事和高级管理人员所披露薪酬进行了审核并发表了审核意见，认为：公司董事、监事和高</w:t>
      </w:r>
      <w:r>
        <w:rPr>
          <w:spacing w:val="-91"/>
        </w:rPr>
        <w:t> </w:t>
      </w:r>
      <w:r>
        <w:rPr>
          <w:spacing w:val="-91"/>
        </w:rPr>
      </w:r>
      <w:r>
        <w:rPr>
          <w:spacing w:val="-3"/>
        </w:rPr>
        <w:t>级管理人员的薪酬决策程序符合规定；公司</w:t>
      </w:r>
      <w:r>
        <w:rPr>
          <w:spacing w:val="-52"/>
        </w:rPr>
        <w:t> </w:t>
      </w:r>
      <w:r>
        <w:rPr>
          <w:rFonts w:ascii="宋体" w:hAnsi="宋体" w:cs="宋体" w:eastAsia="宋体" w:hint="default"/>
        </w:rPr>
        <w:t>2011</w:t>
      </w:r>
      <w:r>
        <w:rPr>
          <w:rFonts w:ascii="宋体" w:hAnsi="宋体" w:cs="宋体" w:eastAsia="宋体" w:hint="default"/>
          <w:spacing w:val="-53"/>
        </w:rPr>
        <w:t> </w:t>
      </w:r>
      <w:r>
        <w:rPr>
          <w:spacing w:val="-3"/>
        </w:rPr>
        <w:t>年年度报告中所披露的董事、监事和高级管</w:t>
      </w:r>
      <w:r>
        <w:rPr>
          <w:spacing w:val="-104"/>
        </w:rPr>
        <w:t> </w:t>
      </w:r>
      <w:r>
        <w:rPr>
          <w:spacing w:val="-104"/>
        </w:rPr>
      </w:r>
      <w:r>
        <w:rPr/>
        <w:t>理人员的薪酬真实、准确。</w:t>
      </w:r>
    </w:p>
    <w:p>
      <w:pPr>
        <w:spacing w:line="240" w:lineRule="auto" w:before="1"/>
        <w:rPr>
          <w:rFonts w:ascii="宋体" w:hAnsi="宋体" w:cs="宋体" w:eastAsia="宋体" w:hint="default"/>
          <w:sz w:val="25"/>
          <w:szCs w:val="25"/>
        </w:rPr>
      </w:pPr>
    </w:p>
    <w:p>
      <w:pPr>
        <w:pStyle w:val="Heading2"/>
        <w:tabs>
          <w:tab w:pos="953" w:val="left" w:leader="none"/>
        </w:tabs>
        <w:spacing w:line="240" w:lineRule="auto"/>
        <w:ind w:right="0"/>
        <w:jc w:val="left"/>
        <w:rPr>
          <w:b w:val="0"/>
          <w:bCs w:val="0"/>
        </w:rPr>
      </w:pPr>
      <w:r>
        <w:rPr>
          <w:w w:val="95"/>
        </w:rPr>
        <w:t>五、</w:t>
        <w:tab/>
      </w:r>
      <w:r>
        <w:rPr/>
        <w:t>董事会本次利润分配和资本公积金转增股本预案</w:t>
      </w:r>
      <w:r>
        <w:rPr>
          <w:b w:val="0"/>
          <w:bCs w:val="0"/>
        </w:rPr>
      </w:r>
    </w:p>
    <w:p>
      <w:pPr>
        <w:spacing w:line="240" w:lineRule="auto" w:before="4"/>
        <w:rPr>
          <w:rFonts w:ascii="宋体" w:hAnsi="宋体" w:cs="宋体" w:eastAsia="宋体" w:hint="default"/>
          <w:b/>
          <w:bCs/>
          <w:sz w:val="23"/>
          <w:szCs w:val="23"/>
        </w:rPr>
      </w:pPr>
    </w:p>
    <w:p>
      <w:pPr>
        <w:tabs>
          <w:tab w:pos="1373" w:val="left" w:leader="none"/>
        </w:tabs>
        <w:spacing w:line="424" w:lineRule="auto" w:before="0"/>
        <w:ind w:left="593" w:right="113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本年度分配预案</w:t>
      </w:r>
      <w:r>
        <w:rPr>
          <w:rFonts w:ascii="宋体" w:hAnsi="宋体" w:cs="宋体" w:eastAsia="宋体" w:hint="default"/>
          <w:b/>
          <w:bCs/>
          <w:w w:val="99"/>
          <w:sz w:val="24"/>
          <w:szCs w:val="24"/>
        </w:rPr>
        <w:t> </w:t>
      </w:r>
      <w:r>
        <w:rPr>
          <w:rFonts w:ascii="宋体" w:hAnsi="宋体" w:cs="宋体" w:eastAsia="宋体" w:hint="default"/>
          <w:sz w:val="24"/>
          <w:szCs w:val="24"/>
        </w:rPr>
        <w:t>经深圳市鹏城会计师事务所有限公司审计，公司（母公司）</w:t>
      </w:r>
      <w:r>
        <w:rPr>
          <w:rFonts w:ascii="宋体" w:hAnsi="宋体" w:cs="宋体" w:eastAsia="宋体" w:hint="default"/>
          <w:sz w:val="24"/>
          <w:szCs w:val="24"/>
        </w:rPr>
        <w:t>2011</w:t>
      </w:r>
      <w:r>
        <w:rPr>
          <w:rFonts w:ascii="宋体" w:hAnsi="宋体" w:cs="宋体" w:eastAsia="宋体" w:hint="default"/>
          <w:spacing w:val="-83"/>
          <w:sz w:val="24"/>
          <w:szCs w:val="24"/>
        </w:rPr>
        <w:t> </w:t>
      </w:r>
      <w:r>
        <w:rPr>
          <w:rFonts w:ascii="宋体" w:hAnsi="宋体" w:cs="宋体" w:eastAsia="宋体" w:hint="default"/>
          <w:sz w:val="24"/>
          <w:szCs w:val="24"/>
        </w:rPr>
        <w:t>年实现净利润为人民币</w:t>
      </w:r>
    </w:p>
    <w:p>
      <w:pPr>
        <w:pStyle w:val="BodyText"/>
        <w:spacing w:line="281" w:lineRule="exact"/>
        <w:ind w:right="0"/>
        <w:jc w:val="left"/>
      </w:pPr>
      <w:r>
        <w:rPr>
          <w:rFonts w:ascii="宋体" w:hAnsi="宋体" w:cs="宋体" w:eastAsia="宋体" w:hint="default"/>
        </w:rPr>
        <w:t>254,949,583.92</w:t>
      </w:r>
      <w:r>
        <w:rPr>
          <w:rFonts w:ascii="宋体" w:hAnsi="宋体" w:cs="宋体" w:eastAsia="宋体" w:hint="default"/>
          <w:spacing w:val="-81"/>
        </w:rPr>
        <w:t> </w:t>
      </w:r>
      <w:r>
        <w:rPr/>
        <w:t>元，根据《中华人民共和国公司法》及《公司章程》的规定，提取法定盈余</w:t>
      </w:r>
    </w:p>
    <w:p>
      <w:pPr>
        <w:pStyle w:val="BodyText"/>
        <w:spacing w:line="240" w:lineRule="auto" w:before="154"/>
        <w:ind w:right="0"/>
        <w:jc w:val="left"/>
      </w:pPr>
      <w:r>
        <w:rPr/>
        <w:t>公积金</w:t>
      </w:r>
      <w:r>
        <w:rPr>
          <w:spacing w:val="-55"/>
        </w:rPr>
        <w:t> </w:t>
      </w:r>
      <w:r>
        <w:rPr>
          <w:rFonts w:ascii="宋体" w:hAnsi="宋体" w:cs="宋体" w:eastAsia="宋体" w:hint="default"/>
        </w:rPr>
        <w:t>25,494,958.39</w:t>
      </w:r>
      <w:r>
        <w:rPr>
          <w:rFonts w:ascii="宋体" w:hAnsi="宋体" w:cs="宋体" w:eastAsia="宋体" w:hint="default"/>
          <w:spacing w:val="-57"/>
        </w:rPr>
        <w:t> </w:t>
      </w:r>
      <w:r>
        <w:rPr>
          <w:spacing w:val="-3"/>
        </w:rPr>
        <w:t>元，本年度实现可供股东分配的股利为人民币</w:t>
      </w:r>
      <w:r>
        <w:rPr>
          <w:spacing w:val="-54"/>
        </w:rPr>
        <w:t> </w:t>
      </w:r>
      <w:r>
        <w:rPr>
          <w:rFonts w:ascii="宋体" w:hAnsi="宋体" w:cs="宋体" w:eastAsia="宋体" w:hint="default"/>
        </w:rPr>
        <w:t>229,454,625.53</w:t>
      </w:r>
      <w:r>
        <w:rPr>
          <w:rFonts w:ascii="宋体" w:hAnsi="宋体" w:cs="宋体" w:eastAsia="宋体" w:hint="default"/>
          <w:spacing w:val="-55"/>
        </w:rPr>
        <w:t> </w:t>
      </w:r>
      <w:r>
        <w:rPr>
          <w:spacing w:val="-14"/>
        </w:rPr>
        <w:t>元，年</w:t>
      </w:r>
    </w:p>
    <w:p>
      <w:pPr>
        <w:pStyle w:val="BodyText"/>
        <w:spacing w:line="240" w:lineRule="auto" w:before="154"/>
        <w:ind w:right="0"/>
        <w:jc w:val="left"/>
      </w:pPr>
      <w:r>
        <w:rPr/>
        <w:t>初未分配利润余额为人民币</w:t>
      </w:r>
      <w:r>
        <w:rPr>
          <w:spacing w:val="-65"/>
        </w:rPr>
        <w:t> </w:t>
      </w:r>
      <w:r>
        <w:rPr>
          <w:rFonts w:ascii="宋体" w:hAnsi="宋体" w:cs="宋体" w:eastAsia="宋体" w:hint="default"/>
        </w:rPr>
        <w:t>298,470,218.79</w:t>
      </w:r>
      <w:r>
        <w:rPr>
          <w:rFonts w:ascii="宋体" w:hAnsi="宋体" w:cs="宋体" w:eastAsia="宋体" w:hint="default"/>
          <w:spacing w:val="-65"/>
        </w:rPr>
        <w:t> </w:t>
      </w:r>
      <w:r>
        <w:rPr/>
        <w:t>元</w:t>
      </w:r>
      <w:r>
        <w:rPr>
          <w:spacing w:val="-120"/>
        </w:rPr>
        <w:t>，</w:t>
      </w:r>
      <w:r>
        <w:rPr>
          <w:rFonts w:ascii="宋体" w:hAnsi="宋体" w:cs="宋体" w:eastAsia="宋体" w:hint="default"/>
        </w:rPr>
        <w:t>2011</w:t>
      </w:r>
      <w:r>
        <w:rPr>
          <w:rFonts w:ascii="宋体" w:hAnsi="宋体" w:cs="宋体" w:eastAsia="宋体" w:hint="default"/>
          <w:spacing w:val="-65"/>
        </w:rPr>
        <w:t> </w:t>
      </w:r>
      <w:r>
        <w:rPr/>
        <w:t>年支付股利人民币</w:t>
      </w:r>
      <w:r>
        <w:rPr>
          <w:spacing w:val="-65"/>
        </w:rPr>
        <w:t> </w:t>
      </w:r>
      <w:r>
        <w:rPr>
          <w:rFonts w:ascii="宋体" w:hAnsi="宋体" w:cs="宋体" w:eastAsia="宋体" w:hint="default"/>
        </w:rPr>
        <w:t>288,900,000.00</w:t>
      </w:r>
      <w:r>
        <w:rPr>
          <w:rFonts w:ascii="宋体" w:hAnsi="宋体" w:cs="宋体" w:eastAsia="宋体" w:hint="default"/>
          <w:spacing w:val="-65"/>
        </w:rPr>
        <w:t> </w:t>
      </w:r>
      <w:r>
        <w:rPr/>
        <w:t>元，</w:t>
      </w:r>
    </w:p>
    <w:p>
      <w:pPr>
        <w:pStyle w:val="BodyText"/>
        <w:spacing w:line="240" w:lineRule="auto" w:before="151"/>
        <w:ind w:right="0"/>
        <w:jc w:val="left"/>
      </w:pPr>
      <w:r>
        <w:rPr/>
        <w:t>因此，本年度公司实际可供股东分配的股利为人民币</w:t>
      </w:r>
      <w:r>
        <w:rPr>
          <w:spacing w:val="-60"/>
        </w:rPr>
        <w:t> </w:t>
      </w:r>
      <w:r>
        <w:rPr>
          <w:rFonts w:ascii="宋体" w:hAnsi="宋体" w:cs="宋体" w:eastAsia="宋体" w:hint="default"/>
        </w:rPr>
        <w:t>239,024,844.32</w:t>
      </w:r>
      <w:r>
        <w:rPr>
          <w:rFonts w:ascii="宋体" w:hAnsi="宋体" w:cs="宋体" w:eastAsia="宋体" w:hint="default"/>
          <w:spacing w:val="-61"/>
        </w:rPr>
        <w:t> </w:t>
      </w:r>
      <w:r>
        <w:rPr/>
        <w:t>元。</w:t>
      </w:r>
    </w:p>
    <w:p>
      <w:pPr>
        <w:pStyle w:val="BodyText"/>
        <w:spacing w:line="240" w:lineRule="auto" w:before="192"/>
        <w:ind w:left="593" w:right="0"/>
        <w:jc w:val="left"/>
      </w:pPr>
      <w:r>
        <w:rPr/>
        <w:t>因公司</w:t>
      </w:r>
      <w:r>
        <w:rPr>
          <w:spacing w:val="-61"/>
        </w:rPr>
        <w:t> </w:t>
      </w:r>
      <w:r>
        <w:rPr>
          <w:rFonts w:ascii="宋体" w:hAnsi="宋体" w:cs="宋体" w:eastAsia="宋体" w:hint="default"/>
        </w:rPr>
        <w:t>2011</w:t>
      </w:r>
      <w:r>
        <w:rPr>
          <w:rFonts w:ascii="宋体" w:hAnsi="宋体" w:cs="宋体" w:eastAsia="宋体" w:hint="default"/>
          <w:spacing w:val="-60"/>
        </w:rPr>
        <w:t> </w:t>
      </w:r>
      <w:r>
        <w:rPr>
          <w:spacing w:val="-7"/>
        </w:rPr>
        <w:t>年中期实施了利润分配（即以</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日总股本</w:t>
      </w:r>
      <w:r>
        <w:rPr>
          <w:spacing w:val="-60"/>
        </w:rPr>
        <w:t> </w:t>
      </w:r>
      <w:r>
        <w:rPr>
          <w:rFonts w:ascii="宋体" w:hAnsi="宋体" w:cs="宋体" w:eastAsia="宋体" w:hint="default"/>
        </w:rPr>
        <w:t>642,000,000</w:t>
      </w:r>
      <w:r>
        <w:rPr>
          <w:rFonts w:ascii="宋体" w:hAnsi="宋体" w:cs="宋体" w:eastAsia="宋体" w:hint="default"/>
          <w:spacing w:val="-60"/>
        </w:rPr>
        <w:t> </w:t>
      </w:r>
      <w:r>
        <w:rPr/>
        <w:t>股为基</w:t>
      </w:r>
    </w:p>
    <w:p>
      <w:pPr>
        <w:spacing w:after="0" w:line="240" w:lineRule="auto"/>
        <w:jc w:val="left"/>
        <w:sectPr>
          <w:headerReference w:type="default" r:id="rId29"/>
          <w:pgSz w:w="11910" w:h="16840"/>
          <w:pgMar w:header="920" w:footer="956" w:top="1140" w:bottom="1140" w:left="1020" w:right="0"/>
        </w:sectPr>
      </w:pPr>
    </w:p>
    <w:p>
      <w:pPr>
        <w:pStyle w:val="BodyText"/>
        <w:spacing w:line="240" w:lineRule="auto" w:before="19"/>
        <w:ind w:right="0"/>
        <w:jc w:val="left"/>
      </w:pPr>
      <w:r>
        <w:rPr/>
        <w:t>数，向全体股东每</w:t>
      </w:r>
      <w:r>
        <w:rPr>
          <w:spacing w:val="-53"/>
        </w:rPr>
        <w:t> </w:t>
      </w:r>
      <w:r>
        <w:rPr>
          <w:rFonts w:ascii="宋体" w:hAnsi="宋体" w:cs="宋体" w:eastAsia="宋体" w:hint="default"/>
        </w:rPr>
        <w:t>10</w:t>
      </w:r>
      <w:r>
        <w:rPr>
          <w:rFonts w:ascii="宋体" w:hAnsi="宋体" w:cs="宋体" w:eastAsia="宋体" w:hint="default"/>
          <w:spacing w:val="-56"/>
        </w:rPr>
        <w:t> </w:t>
      </w:r>
      <w:r>
        <w:rPr/>
        <w:t>股派发现金红利人民币</w:t>
      </w:r>
      <w:r>
        <w:rPr>
          <w:spacing w:val="-53"/>
        </w:rPr>
        <w:t> </w:t>
      </w:r>
      <w:r>
        <w:rPr>
          <w:rFonts w:ascii="宋体" w:hAnsi="宋体" w:cs="宋体" w:eastAsia="宋体" w:hint="default"/>
        </w:rPr>
        <w:t>3.5</w:t>
      </w:r>
      <w:r>
        <w:rPr>
          <w:rFonts w:ascii="宋体" w:hAnsi="宋体" w:cs="宋体" w:eastAsia="宋体" w:hint="default"/>
          <w:spacing w:val="-53"/>
        </w:rPr>
        <w:t> </w:t>
      </w:r>
      <w:r>
        <w:rPr/>
        <w:t>元</w:t>
      </w:r>
      <w:r>
        <w:rPr>
          <w:rFonts w:ascii="宋体" w:hAnsi="宋体" w:cs="宋体" w:eastAsia="宋体" w:hint="default"/>
        </w:rPr>
        <w:t>(</w:t>
      </w:r>
      <w:r>
        <w:rPr/>
        <w:t>含税</w:t>
      </w:r>
      <w:r>
        <w:rPr>
          <w:rFonts w:ascii="宋体" w:hAnsi="宋体" w:cs="宋体" w:eastAsia="宋体" w:hint="default"/>
        </w:rPr>
        <w:t>), </w:t>
      </w:r>
      <w:r>
        <w:rPr/>
        <w:t>共</w:t>
      </w:r>
      <w:r>
        <w:rPr>
          <w:spacing w:val="-3"/>
        </w:rPr>
        <w:t>计</w:t>
      </w:r>
      <w:r>
        <w:rPr/>
        <w:t>人民币</w:t>
      </w:r>
      <w:r>
        <w:rPr>
          <w:spacing w:val="-53"/>
        </w:rPr>
        <w:t> </w:t>
      </w:r>
      <w:r>
        <w:rPr>
          <w:rFonts w:ascii="宋体" w:hAnsi="宋体" w:cs="宋体" w:eastAsia="宋体" w:hint="default"/>
        </w:rPr>
        <w:t>224,700,000</w:t>
      </w:r>
      <w:r>
        <w:rPr>
          <w:rFonts w:ascii="宋体" w:hAnsi="宋体" w:cs="宋体" w:eastAsia="宋体" w:hint="default"/>
          <w:spacing w:val="-53"/>
        </w:rPr>
        <w:t> </w:t>
      </w:r>
      <w:r>
        <w:rPr>
          <w:spacing w:val="-3"/>
        </w:rPr>
        <w:t>元</w:t>
      </w:r>
      <w:r>
        <w:rPr>
          <w:spacing w:val="-120"/>
        </w:rPr>
        <w:t>），</w:t>
      </w:r>
      <w:r>
        <w:rPr/>
      </w:r>
    </w:p>
    <w:p>
      <w:pPr>
        <w:pStyle w:val="BodyText"/>
        <w:spacing w:line="386" w:lineRule="auto" w:before="154"/>
        <w:ind w:left="833" w:right="3915" w:hanging="721"/>
        <w:jc w:val="left"/>
      </w:pPr>
      <w:r>
        <w:rPr/>
        <w:t>公司</w:t>
      </w:r>
      <w:r>
        <w:rPr>
          <w:spacing w:val="-60"/>
        </w:rPr>
        <w:t> </w:t>
      </w:r>
      <w:r>
        <w:rPr>
          <w:rFonts w:ascii="宋体" w:hAnsi="宋体" w:cs="宋体" w:eastAsia="宋体" w:hint="default"/>
        </w:rPr>
        <w:t>2011</w:t>
      </w:r>
      <w:r>
        <w:rPr>
          <w:rFonts w:ascii="宋体" w:hAnsi="宋体" w:cs="宋体" w:eastAsia="宋体" w:hint="default"/>
          <w:spacing w:val="-61"/>
        </w:rPr>
        <w:t> </w:t>
      </w:r>
      <w:r>
        <w:rPr/>
        <w:t>年末拟不进行利润分配，也不进行资本公积转增股本。 该利润分配预案需提请公司股东大会审议。</w:t>
      </w:r>
    </w:p>
    <w:p>
      <w:pPr>
        <w:spacing w:line="240" w:lineRule="auto" w:before="10"/>
        <w:rPr>
          <w:rFonts w:ascii="宋体" w:hAnsi="宋体" w:cs="宋体" w:eastAsia="宋体" w:hint="default"/>
          <w:sz w:val="18"/>
          <w:szCs w:val="18"/>
        </w:rPr>
      </w:pPr>
    </w:p>
    <w:p>
      <w:pPr>
        <w:pStyle w:val="Heading3"/>
        <w:spacing w:line="240" w:lineRule="auto"/>
        <w:ind w:right="0"/>
        <w:jc w:val="left"/>
        <w:rPr>
          <w:b w:val="0"/>
          <w:bCs w:val="0"/>
        </w:rPr>
      </w:pPr>
      <w:r>
        <w:rPr/>
        <w:t>（二）公司近三年利润分配情况</w:t>
      </w:r>
      <w:r>
        <w:rPr>
          <w:b w:val="0"/>
          <w:bCs w:val="0"/>
        </w:rPr>
      </w:r>
    </w:p>
    <w:p>
      <w:pPr>
        <w:spacing w:line="240" w:lineRule="auto" w:before="5"/>
        <w:rPr>
          <w:rFonts w:ascii="宋体" w:hAnsi="宋体" w:cs="宋体" w:eastAsia="宋体" w:hint="default"/>
          <w:b/>
          <w:bCs/>
          <w:sz w:val="21"/>
          <w:szCs w:val="21"/>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6"/>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1757"/>
        <w:gridCol w:w="1493"/>
        <w:gridCol w:w="1558"/>
        <w:gridCol w:w="1844"/>
        <w:gridCol w:w="1702"/>
      </w:tblGrid>
      <w:tr>
        <w:trPr>
          <w:trHeight w:val="122" w:hRule="exact"/>
        </w:trPr>
        <w:tc>
          <w:tcPr>
            <w:tcW w:w="1757" w:type="dxa"/>
            <w:vMerge w:val="restart"/>
            <w:tcBorders>
              <w:top w:val="single" w:sz="4" w:space="0" w:color="000000"/>
              <w:left w:val="single" w:sz="4" w:space="0" w:color="000000"/>
              <w:right w:val="single" w:sz="4" w:space="0" w:color="000000"/>
            </w:tcBorders>
            <w:shd w:val="clear" w:color="auto" w:fill="DCDCDC"/>
          </w:tcPr>
          <w:p>
            <w:pPr/>
          </w:p>
        </w:tc>
        <w:tc>
          <w:tcPr>
            <w:tcW w:w="1493" w:type="dxa"/>
            <w:tcBorders>
              <w:top w:val="single" w:sz="4" w:space="0" w:color="000000"/>
              <w:left w:val="single" w:sz="4" w:space="0" w:color="000000"/>
              <w:bottom w:val="nil" w:sz="6" w:space="0" w:color="auto"/>
              <w:right w:val="single" w:sz="4" w:space="0" w:color="000000"/>
            </w:tcBorders>
            <w:shd w:val="clear" w:color="auto" w:fill="DCDCDC"/>
          </w:tcPr>
          <w:p>
            <w:pPr/>
          </w:p>
        </w:tc>
        <w:tc>
          <w:tcPr>
            <w:tcW w:w="1558"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0"/>
              <w:ind w:left="55" w:right="5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844"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0"/>
              <w:ind w:left="107" w:right="105"/>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上市公司股东的净利 润的比率</w:t>
            </w:r>
          </w:p>
        </w:tc>
        <w:tc>
          <w:tcPr>
            <w:tcW w:w="170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118" w:hRule="exact"/>
        </w:trPr>
        <w:tc>
          <w:tcPr>
            <w:tcW w:w="1757" w:type="dxa"/>
            <w:vMerge/>
            <w:tcBorders>
              <w:left w:val="single" w:sz="4" w:space="0" w:color="000000"/>
              <w:bottom w:val="nil" w:sz="6" w:space="0" w:color="auto"/>
              <w:right w:val="single" w:sz="4" w:space="0" w:color="000000"/>
            </w:tcBorders>
            <w:shd w:val="clear" w:color="auto" w:fill="DCDCDC"/>
          </w:tcPr>
          <w:p>
            <w:pPr/>
          </w:p>
        </w:tc>
        <w:tc>
          <w:tcPr>
            <w:tcW w:w="1493"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2"/>
              <w:ind w:left="561" w:right="20" w:hanging="538"/>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58" w:type="dxa"/>
            <w:vMerge/>
            <w:tcBorders>
              <w:left w:val="single" w:sz="4" w:space="0" w:color="000000"/>
              <w:right w:val="single" w:sz="4" w:space="0" w:color="000000"/>
            </w:tcBorders>
            <w:shd w:val="clear" w:color="auto" w:fill="DCDCDC"/>
          </w:tcPr>
          <w:p>
            <w:pPr/>
          </w:p>
        </w:tc>
        <w:tc>
          <w:tcPr>
            <w:tcW w:w="1844" w:type="dxa"/>
            <w:vMerge/>
            <w:tcBorders>
              <w:left w:val="single" w:sz="4" w:space="0" w:color="000000"/>
              <w:right w:val="single" w:sz="4" w:space="0" w:color="000000"/>
            </w:tcBorders>
            <w:shd w:val="clear" w:color="auto" w:fill="DCDCDC"/>
          </w:tcPr>
          <w:p>
            <w:pPr/>
          </w:p>
        </w:tc>
        <w:tc>
          <w:tcPr>
            <w:tcW w:w="1702" w:type="dxa"/>
            <w:vMerge/>
            <w:tcBorders>
              <w:left w:val="single" w:sz="4" w:space="0" w:color="000000"/>
              <w:right w:val="single" w:sz="4" w:space="0" w:color="000000"/>
            </w:tcBorders>
            <w:shd w:val="clear" w:color="auto" w:fill="DCDCDC"/>
          </w:tcPr>
          <w:p>
            <w:pPr/>
          </w:p>
        </w:tc>
      </w:tr>
      <w:tr>
        <w:trPr>
          <w:trHeight w:val="312" w:hRule="exact"/>
        </w:trPr>
        <w:tc>
          <w:tcPr>
            <w:tcW w:w="17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493" w:type="dxa"/>
            <w:vMerge/>
            <w:tcBorders>
              <w:left w:val="single" w:sz="4" w:space="0" w:color="000000"/>
              <w:right w:val="single" w:sz="4" w:space="0" w:color="000000"/>
            </w:tcBorders>
            <w:shd w:val="clear" w:color="auto" w:fill="DCDCDC"/>
          </w:tcPr>
          <w:p>
            <w:pPr/>
          </w:p>
        </w:tc>
        <w:tc>
          <w:tcPr>
            <w:tcW w:w="1558" w:type="dxa"/>
            <w:vMerge/>
            <w:tcBorders>
              <w:left w:val="single" w:sz="4" w:space="0" w:color="000000"/>
              <w:right w:val="single" w:sz="4" w:space="0" w:color="000000"/>
            </w:tcBorders>
            <w:shd w:val="clear" w:color="auto" w:fill="DCDCDC"/>
          </w:tcPr>
          <w:p>
            <w:pPr/>
          </w:p>
        </w:tc>
        <w:tc>
          <w:tcPr>
            <w:tcW w:w="1844" w:type="dxa"/>
            <w:vMerge/>
            <w:tcBorders>
              <w:left w:val="single" w:sz="4" w:space="0" w:color="000000"/>
              <w:right w:val="single" w:sz="4" w:space="0" w:color="000000"/>
            </w:tcBorders>
            <w:shd w:val="clear" w:color="auto" w:fill="DCDCDC"/>
          </w:tcPr>
          <w:p>
            <w:pPr/>
          </w:p>
        </w:tc>
        <w:tc>
          <w:tcPr>
            <w:tcW w:w="1702" w:type="dxa"/>
            <w:vMerge/>
            <w:tcBorders>
              <w:left w:val="single" w:sz="4" w:space="0" w:color="000000"/>
              <w:right w:val="single" w:sz="4" w:space="0" w:color="000000"/>
            </w:tcBorders>
            <w:shd w:val="clear" w:color="auto" w:fill="DCDCDC"/>
          </w:tcPr>
          <w:p>
            <w:pPr/>
          </w:p>
        </w:tc>
      </w:tr>
      <w:tr>
        <w:trPr>
          <w:trHeight w:val="240" w:hRule="exact"/>
        </w:trPr>
        <w:tc>
          <w:tcPr>
            <w:tcW w:w="17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493" w:type="dxa"/>
            <w:vMerge/>
            <w:tcBorders>
              <w:left w:val="single" w:sz="4" w:space="0" w:color="000000"/>
              <w:bottom w:val="single" w:sz="4" w:space="0" w:color="000000"/>
              <w:right w:val="single" w:sz="4" w:space="0" w:color="000000"/>
            </w:tcBorders>
            <w:shd w:val="clear" w:color="auto" w:fill="DCDCDC"/>
          </w:tcPr>
          <w:p>
            <w:pPr/>
          </w:p>
        </w:tc>
        <w:tc>
          <w:tcPr>
            <w:tcW w:w="1558" w:type="dxa"/>
            <w:vMerge/>
            <w:tcBorders>
              <w:left w:val="single" w:sz="4" w:space="0" w:color="000000"/>
              <w:bottom w:val="single" w:sz="4" w:space="0" w:color="000000"/>
              <w:right w:val="single" w:sz="4" w:space="0" w:color="000000"/>
            </w:tcBorders>
            <w:shd w:val="clear" w:color="auto" w:fill="DCDCDC"/>
          </w:tcPr>
          <w:p>
            <w:pPr/>
          </w:p>
        </w:tc>
        <w:tc>
          <w:tcPr>
            <w:tcW w:w="1844" w:type="dxa"/>
            <w:vMerge/>
            <w:tcBorders>
              <w:left w:val="single" w:sz="4" w:space="0" w:color="000000"/>
              <w:bottom w:val="single" w:sz="4" w:space="0" w:color="000000"/>
              <w:right w:val="single" w:sz="4" w:space="0" w:color="000000"/>
            </w:tcBorders>
            <w:shd w:val="clear" w:color="auto" w:fill="DCDCDC"/>
          </w:tcPr>
          <w:p>
            <w:pPr/>
          </w:p>
        </w:tc>
        <w:tc>
          <w:tcPr>
            <w:tcW w:w="1702"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93" w:type="dxa"/>
            <w:tcBorders>
              <w:top w:val="single" w:sz="47" w:space="0" w:color="DCDCDC"/>
              <w:left w:val="single" w:sz="13" w:space="0" w:color="DCDCDC"/>
              <w:bottom w:val="single" w:sz="4" w:space="0" w:color="000000"/>
              <w:right w:val="single" w:sz="4" w:space="0" w:color="000000"/>
            </w:tcBorders>
          </w:tcPr>
          <w:p>
            <w:pPr>
              <w:pStyle w:val="TableParagraph"/>
              <w:spacing w:line="190" w:lineRule="exact"/>
              <w:ind w:right="20"/>
              <w:jc w:val="right"/>
              <w:rPr>
                <w:rFonts w:ascii="宋体" w:hAnsi="宋体" w:cs="宋体" w:eastAsia="宋体" w:hint="default"/>
                <w:sz w:val="18"/>
                <w:szCs w:val="18"/>
              </w:rPr>
            </w:pPr>
            <w:r>
              <w:rPr>
                <w:rFonts w:ascii="宋体"/>
                <w:spacing w:val="-1"/>
                <w:sz w:val="18"/>
              </w:rPr>
              <w:t>64,200,000.00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303,336,417.17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21.16%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298,470,218.79</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9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256,800,000.00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327,074,663.83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78.51%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394,117,817.19</w:t>
            </w:r>
          </w:p>
        </w:tc>
      </w:tr>
      <w:tr>
        <w:trPr>
          <w:trHeight w:val="325"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9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128,400,000.00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224,166,782.43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57.28%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355,220,362.42</w:t>
            </w:r>
          </w:p>
        </w:tc>
      </w:tr>
      <w:tr>
        <w:trPr>
          <w:trHeight w:val="324" w:hRule="exact"/>
        </w:trPr>
        <w:tc>
          <w:tcPr>
            <w:tcW w:w="480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宋体" w:hAnsi="宋体" w:cs="宋体" w:eastAsia="宋体" w:hint="default"/>
                <w:sz w:val="18"/>
                <w:szCs w:val="18"/>
              </w:rPr>
              <w:t>%</w:t>
            </w:r>
            <w:r>
              <w:rPr>
                <w:rFonts w:ascii="宋体" w:hAnsi="宋体" w:cs="宋体" w:eastAsia="宋体" w:hint="default"/>
                <w:sz w:val="18"/>
                <w:szCs w:val="18"/>
              </w:rPr>
              <w:t>）</w:t>
            </w:r>
          </w:p>
        </w:tc>
        <w:tc>
          <w:tcPr>
            <w:tcW w:w="354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157.76%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4"/>
        <w:ind w:right="0"/>
        <w:jc w:val="both"/>
        <w:rPr>
          <w:b w:val="0"/>
          <w:bCs w:val="0"/>
        </w:rPr>
      </w:pPr>
      <w:r>
        <w:rPr/>
        <w:t>六、</w:t>
      </w:r>
      <w:r>
        <w:rPr>
          <w:spacing w:val="135"/>
        </w:rPr>
        <w:t> </w:t>
      </w:r>
      <w:r>
        <w:rPr/>
        <w:t>其他需要披露的事项</w:t>
      </w:r>
      <w:r>
        <w:rPr>
          <w:b w:val="0"/>
          <w:bCs w:val="0"/>
        </w:rPr>
      </w:r>
    </w:p>
    <w:p>
      <w:pPr>
        <w:spacing w:line="240" w:lineRule="auto" w:before="3"/>
        <w:rPr>
          <w:rFonts w:ascii="宋体" w:hAnsi="宋体" w:cs="宋体" w:eastAsia="宋体" w:hint="default"/>
          <w:b/>
          <w:bCs/>
          <w:sz w:val="23"/>
          <w:szCs w:val="23"/>
        </w:rPr>
      </w:pPr>
    </w:p>
    <w:p>
      <w:pPr>
        <w:spacing w:line="386" w:lineRule="auto" w:before="0"/>
        <w:ind w:left="593" w:right="0" w:firstLine="2"/>
        <w:jc w:val="left"/>
        <w:rPr>
          <w:rFonts w:ascii="宋体" w:hAnsi="宋体" w:cs="宋体" w:eastAsia="宋体" w:hint="default"/>
          <w:sz w:val="24"/>
          <w:szCs w:val="24"/>
        </w:rPr>
      </w:pPr>
      <w:r>
        <w:rPr>
          <w:rFonts w:ascii="宋体" w:hAnsi="宋体" w:cs="宋体" w:eastAsia="宋体" w:hint="default"/>
          <w:b/>
          <w:bCs/>
          <w:sz w:val="24"/>
          <w:szCs w:val="24"/>
        </w:rPr>
        <w:t>（一）投资者关系管理</w:t>
      </w:r>
      <w:r>
        <w:rPr>
          <w:rFonts w:ascii="宋体" w:hAnsi="宋体" w:cs="宋体" w:eastAsia="宋体" w:hint="default"/>
          <w:b/>
          <w:bCs/>
          <w:w w:val="99"/>
          <w:sz w:val="24"/>
          <w:szCs w:val="24"/>
        </w:rPr>
        <w:t> </w:t>
      </w:r>
      <w:r>
        <w:rPr>
          <w:rFonts w:ascii="宋体" w:hAnsi="宋体" w:cs="宋体" w:eastAsia="宋体" w:hint="default"/>
          <w:spacing w:val="-6"/>
          <w:sz w:val="24"/>
          <w:szCs w:val="24"/>
        </w:rPr>
        <w:t>公司积极开展投资者关系管理工作，并按相关规定制定了《投资者关系工作制度》，指定</w:t>
      </w:r>
    </w:p>
    <w:p>
      <w:pPr>
        <w:pStyle w:val="BodyText"/>
        <w:spacing w:line="355" w:lineRule="auto" w:before="7"/>
        <w:ind w:right="1137"/>
        <w:jc w:val="both"/>
      </w:pPr>
      <w:r>
        <w:rPr/>
        <w:t>公司的董事会秘书是公司投资者关系管理负责人，董事会办公室承办投资者关系的日常管理</w:t>
      </w:r>
      <w:r>
        <w:rPr>
          <w:spacing w:val="-90"/>
        </w:rPr>
        <w:t> </w:t>
      </w:r>
      <w:r>
        <w:rPr>
          <w:spacing w:val="-90"/>
        </w:rPr>
      </w:r>
      <w:r>
        <w:rPr/>
        <w:t>工作。</w:t>
      </w:r>
    </w:p>
    <w:p>
      <w:pPr>
        <w:pStyle w:val="BodyText"/>
        <w:spacing w:line="357" w:lineRule="auto" w:before="77"/>
        <w:ind w:right="996" w:firstLine="480"/>
        <w:jc w:val="left"/>
      </w:pPr>
      <w:r>
        <w:rPr/>
        <w:t>公司对外专门设立了董秘电子邮箱和专门的电话，认真细致地回答投资者的咨询，并在 公司网站设立投资者关系专栏和网上投资者关系互动平台，通过多种方式保证投资者与公司</w:t>
      </w:r>
      <w:r>
        <w:rPr>
          <w:spacing w:val="-91"/>
        </w:rPr>
        <w:t> </w:t>
      </w:r>
      <w:r>
        <w:rPr>
          <w:spacing w:val="-91"/>
        </w:rPr>
      </w:r>
      <w:r>
        <w:rPr>
          <w:spacing w:val="-7"/>
        </w:rPr>
        <w:t>信息互动的畅通。公司于</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5</w:t>
      </w:r>
      <w:r>
        <w:rPr>
          <w:rFonts w:ascii="宋体" w:hAnsi="宋体" w:cs="宋体" w:eastAsia="宋体" w:hint="default"/>
          <w:spacing w:val="-58"/>
        </w:rPr>
        <w:t> </w:t>
      </w:r>
      <w:r>
        <w:rPr/>
        <w:t>月</w:t>
      </w:r>
      <w:r>
        <w:rPr>
          <w:spacing w:val="-58"/>
        </w:rPr>
        <w:t> </w:t>
      </w:r>
      <w:r>
        <w:rPr>
          <w:rFonts w:ascii="宋体" w:hAnsi="宋体" w:cs="宋体" w:eastAsia="宋体" w:hint="default"/>
        </w:rPr>
        <w:t>11</w:t>
      </w:r>
      <w:r>
        <w:rPr>
          <w:rFonts w:ascii="宋体" w:hAnsi="宋体" w:cs="宋体" w:eastAsia="宋体" w:hint="default"/>
          <w:spacing w:val="-58"/>
        </w:rPr>
        <w:t> </w:t>
      </w:r>
      <w:r>
        <w:rPr>
          <w:spacing w:val="-14"/>
        </w:rPr>
        <w:t>日，举办了</w:t>
      </w:r>
      <w:r>
        <w:rPr>
          <w:spacing w:val="-58"/>
        </w:rPr>
        <w:t> </w:t>
      </w:r>
      <w:r>
        <w:rPr>
          <w:rFonts w:ascii="宋体" w:hAnsi="宋体" w:cs="宋体" w:eastAsia="宋体" w:hint="default"/>
        </w:rPr>
        <w:t>2010</w:t>
      </w:r>
      <w:r>
        <w:rPr>
          <w:rFonts w:ascii="宋体" w:hAnsi="宋体" w:cs="宋体" w:eastAsia="宋体" w:hint="default"/>
          <w:spacing w:val="-58"/>
        </w:rPr>
        <w:t> </w:t>
      </w:r>
      <w:r>
        <w:rPr>
          <w:spacing w:val="-5"/>
        </w:rPr>
        <w:t>年度网上业绩说明会，公司董事长、</w:t>
      </w:r>
      <w:r>
        <w:rPr/>
        <w:t> 总经理、独立董事、董事会秘书、财务总监和部分其他高管参加了网上业绩说明会，加强与</w:t>
      </w:r>
      <w:r>
        <w:rPr>
          <w:spacing w:val="-89"/>
        </w:rPr>
        <w:t> </w:t>
      </w:r>
      <w:r>
        <w:rPr>
          <w:spacing w:val="-89"/>
        </w:rPr>
      </w:r>
      <w:r>
        <w:rPr>
          <w:spacing w:val="-2"/>
        </w:rPr>
        <w:t>投资者的沟通与交流。公司热情接待投资机构和个人投资者的来访，确保中小投资者能及时、</w:t>
      </w:r>
      <w:r>
        <w:rPr>
          <w:spacing w:val="-118"/>
        </w:rPr>
        <w:t> </w:t>
      </w:r>
      <w:r>
        <w:rPr>
          <w:spacing w:val="-118"/>
        </w:rPr>
      </w:r>
      <w:r>
        <w:rPr/>
        <w:t>准确、完整地了解公司信息。</w:t>
      </w:r>
    </w:p>
    <w:p>
      <w:pPr>
        <w:spacing w:line="357" w:lineRule="auto" w:before="74"/>
        <w:ind w:left="593" w:right="0" w:firstLine="2"/>
        <w:jc w:val="left"/>
        <w:rPr>
          <w:rFonts w:ascii="宋体" w:hAnsi="宋体" w:cs="宋体" w:eastAsia="宋体" w:hint="default"/>
          <w:sz w:val="24"/>
          <w:szCs w:val="24"/>
        </w:rPr>
      </w:pPr>
      <w:r>
        <w:rPr>
          <w:rFonts w:ascii="宋体" w:hAnsi="宋体" w:cs="宋体" w:eastAsia="宋体" w:hint="default"/>
          <w:b/>
          <w:bCs/>
          <w:sz w:val="24"/>
          <w:szCs w:val="24"/>
        </w:rPr>
        <w:t>（二）内幕信息知情人管理制度的执行情况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报告期内，公司能够按照《内幕信息知情人登记制度》要求，做好内幕信息管理以及内</w:t>
      </w:r>
    </w:p>
    <w:p>
      <w:pPr>
        <w:pStyle w:val="BodyText"/>
        <w:spacing w:line="357" w:lineRule="auto" w:before="34"/>
        <w:ind w:right="1131"/>
        <w:jc w:val="both"/>
      </w:pPr>
      <w:r>
        <w:rPr/>
        <w:t>幕信息知情人登记工作，能够如实、完整记录内幕信息在公开披露前的报告、传递、编制、</w:t>
      </w:r>
      <w:r>
        <w:rPr>
          <w:spacing w:val="-91"/>
        </w:rPr>
        <w:t> </w:t>
      </w:r>
      <w:r>
        <w:rPr>
          <w:spacing w:val="-91"/>
        </w:rPr>
      </w:r>
      <w:r>
        <w:rPr/>
        <w:t>审核、披露等各环节所有内幕信息知情人名单。定期报告披露期间，公司对董事、监事、高</w:t>
      </w:r>
      <w:r>
        <w:rPr>
          <w:spacing w:val="-91"/>
        </w:rPr>
        <w:t> </w:t>
      </w:r>
      <w:r>
        <w:rPr>
          <w:spacing w:val="-91"/>
        </w:rPr>
      </w:r>
      <w:r>
        <w:rPr/>
        <w:t>级管理人员及其他内幕信息知情人员在定期报告公告前</w:t>
      </w:r>
      <w:r>
        <w:rPr>
          <w:spacing w:val="-55"/>
        </w:rPr>
        <w:t> </w:t>
      </w:r>
      <w:r>
        <w:rPr>
          <w:rFonts w:ascii="宋体" w:hAnsi="宋体" w:cs="宋体" w:eastAsia="宋体" w:hint="default"/>
        </w:rPr>
        <w:t>30</w:t>
      </w:r>
      <w:r>
        <w:rPr>
          <w:rFonts w:ascii="宋体" w:hAnsi="宋体" w:cs="宋体" w:eastAsia="宋体" w:hint="default"/>
          <w:spacing w:val="-57"/>
        </w:rPr>
        <w:t> </w:t>
      </w:r>
      <w:r>
        <w:rPr>
          <w:spacing w:val="-6"/>
        </w:rPr>
        <w:t>日内、业绩预告和业绩快报公告前</w:t>
      </w:r>
    </w:p>
    <w:p>
      <w:pPr>
        <w:pStyle w:val="BodyText"/>
        <w:spacing w:line="355" w:lineRule="auto" w:before="36"/>
        <w:ind w:right="1132"/>
        <w:jc w:val="both"/>
      </w:pPr>
      <w:r>
        <w:rPr>
          <w:rFonts w:ascii="宋体" w:hAnsi="宋体" w:cs="宋体" w:eastAsia="宋体" w:hint="default"/>
        </w:rPr>
        <w:t>10</w:t>
      </w:r>
      <w:r>
        <w:rPr>
          <w:rFonts w:ascii="宋体" w:hAnsi="宋体" w:cs="宋体" w:eastAsia="宋体" w:hint="default"/>
          <w:spacing w:val="32"/>
        </w:rPr>
        <w:t> </w:t>
      </w:r>
      <w:r>
        <w:rPr>
          <w:spacing w:val="-3"/>
        </w:rPr>
        <w:t>日内以及其他重大事项披露期间等敏感期内买卖公司股票的情况进行自查，没有发现相关</w:t>
      </w:r>
      <w:r>
        <w:rPr>
          <w:spacing w:val="-118"/>
        </w:rPr>
        <w:t> </w:t>
      </w:r>
      <w:r>
        <w:rPr>
          <w:spacing w:val="-118"/>
        </w:rPr>
      </w:r>
      <w:r>
        <w:rPr/>
        <w:t>人员利用内幕信息；</w:t>
      </w:r>
      <w:r>
        <w:rPr>
          <w:rFonts w:ascii="宋体" w:hAnsi="宋体" w:cs="宋体" w:eastAsia="宋体" w:hint="default"/>
        </w:rPr>
        <w:t>2011</w:t>
      </w:r>
      <w:r>
        <w:rPr>
          <w:rFonts w:ascii="宋体" w:hAnsi="宋体" w:cs="宋体" w:eastAsia="宋体" w:hint="default"/>
          <w:spacing w:val="-84"/>
        </w:rPr>
        <w:t> </w:t>
      </w:r>
      <w:r>
        <w:rPr/>
        <w:t>年公司收购江西丰彩丽印刷包装有限公司、重庆宏声印务有限责任</w:t>
      </w:r>
    </w:p>
    <w:p>
      <w:pPr>
        <w:pStyle w:val="BodyText"/>
        <w:spacing w:line="240" w:lineRule="auto" w:before="38"/>
        <w:ind w:right="0"/>
        <w:jc w:val="both"/>
      </w:pPr>
      <w:r>
        <w:rPr/>
        <w:t>公司期间，公司严格执行内幕信息相关管理制度，未发现相关人员利用内幕信息从事内幕交</w:t>
      </w:r>
    </w:p>
    <w:p>
      <w:pPr>
        <w:spacing w:after="0" w:line="240" w:lineRule="auto"/>
        <w:jc w:val="both"/>
        <w:sectPr>
          <w:footerReference w:type="default" r:id="rId30"/>
          <w:pgSz w:w="11910" w:h="16840"/>
          <w:pgMar w:footer="956" w:header="920" w:top="1140" w:bottom="1140" w:left="1020" w:right="0"/>
          <w:pgNumType w:start="63"/>
        </w:sectPr>
      </w:pPr>
    </w:p>
    <w:p>
      <w:pPr>
        <w:pStyle w:val="BodyText"/>
        <w:spacing w:line="240" w:lineRule="auto" w:before="19"/>
        <w:ind w:right="0"/>
        <w:jc w:val="left"/>
      </w:pPr>
      <w:r>
        <w:rPr/>
        <w:t>易。</w:t>
      </w:r>
    </w:p>
    <w:p>
      <w:pPr>
        <w:spacing w:line="240" w:lineRule="auto" w:before="2"/>
        <w:rPr>
          <w:rFonts w:ascii="宋体" w:hAnsi="宋体" w:cs="宋体" w:eastAsia="宋体" w:hint="default"/>
          <w:sz w:val="28"/>
          <w:szCs w:val="28"/>
        </w:rPr>
      </w:pPr>
    </w:p>
    <w:p>
      <w:pPr>
        <w:pStyle w:val="Heading3"/>
        <w:spacing w:line="240" w:lineRule="auto" w:before="26"/>
        <w:ind w:left="624" w:right="0"/>
        <w:jc w:val="left"/>
        <w:rPr>
          <w:b w:val="0"/>
          <w:bCs w:val="0"/>
        </w:rPr>
      </w:pPr>
      <w:r>
        <w:rPr>
          <w:spacing w:val="2"/>
          <w:w w:val="99"/>
        </w:rPr>
        <w:t>（</w:t>
      </w:r>
      <w:r>
        <w:rPr>
          <w:w w:val="99"/>
        </w:rPr>
        <w:t>三</w:t>
      </w:r>
      <w:r>
        <w:rPr>
          <w:spacing w:val="2"/>
          <w:w w:val="99"/>
        </w:rPr>
        <w:t>）</w:t>
      </w:r>
      <w:r>
        <w:rPr>
          <w:w w:val="99"/>
        </w:rPr>
        <w:t>报告</w:t>
      </w:r>
      <w:r>
        <w:rPr>
          <w:spacing w:val="2"/>
          <w:w w:val="99"/>
        </w:rPr>
        <w:t>期</w:t>
      </w:r>
      <w:r>
        <w:rPr>
          <w:w w:val="99"/>
        </w:rPr>
        <w:t>内</w:t>
      </w:r>
      <w:r>
        <w:rPr>
          <w:spacing w:val="2"/>
          <w:w w:val="99"/>
        </w:rPr>
        <w:t>，</w:t>
      </w:r>
      <w:r>
        <w:rPr>
          <w:w w:val="99"/>
        </w:rPr>
        <w:t>公司</w:t>
      </w:r>
      <w:r>
        <w:rPr>
          <w:spacing w:val="2"/>
          <w:w w:val="99"/>
        </w:rPr>
        <w:t>选</w:t>
      </w:r>
      <w:r>
        <w:rPr>
          <w:w w:val="99"/>
        </w:rPr>
        <w:t>定</w:t>
      </w:r>
      <w:r>
        <w:rPr>
          <w:spacing w:val="2"/>
          <w:w w:val="99"/>
        </w:rPr>
        <w:t>的</w:t>
      </w:r>
      <w:r>
        <w:rPr>
          <w:w w:val="99"/>
        </w:rPr>
        <w:t>信息</w:t>
      </w:r>
      <w:r>
        <w:rPr>
          <w:spacing w:val="2"/>
          <w:w w:val="99"/>
        </w:rPr>
        <w:t>披</w:t>
      </w:r>
      <w:r>
        <w:rPr>
          <w:w w:val="99"/>
        </w:rPr>
        <w:t>露</w:t>
      </w:r>
      <w:r>
        <w:rPr>
          <w:spacing w:val="2"/>
          <w:w w:val="99"/>
        </w:rPr>
        <w:t>报</w:t>
      </w:r>
      <w:r>
        <w:rPr>
          <w:w w:val="99"/>
        </w:rPr>
        <w:t>纸为</w:t>
      </w:r>
      <w:r>
        <w:rPr>
          <w:spacing w:val="2"/>
          <w:w w:val="99"/>
        </w:rPr>
        <w:t>《</w:t>
      </w:r>
      <w:r>
        <w:rPr>
          <w:w w:val="99"/>
        </w:rPr>
        <w:t>证</w:t>
      </w:r>
      <w:r>
        <w:rPr>
          <w:spacing w:val="2"/>
          <w:w w:val="99"/>
        </w:rPr>
        <w:t>券</w:t>
      </w:r>
      <w:r>
        <w:rPr>
          <w:w w:val="99"/>
        </w:rPr>
        <w:t>时报</w:t>
      </w:r>
      <w:r>
        <w:rPr>
          <w:spacing w:val="-120"/>
          <w:w w:val="99"/>
        </w:rPr>
        <w:t>》</w:t>
      </w:r>
      <w:r>
        <w:rPr>
          <w:spacing w:val="-118"/>
          <w:w w:val="99"/>
        </w:rPr>
        <w:t>、</w:t>
      </w:r>
      <w:r>
        <w:rPr>
          <w:w w:val="99"/>
        </w:rPr>
        <w:t>《</w:t>
      </w:r>
      <w:r>
        <w:rPr>
          <w:spacing w:val="2"/>
          <w:w w:val="99"/>
        </w:rPr>
        <w:t>中</w:t>
      </w:r>
      <w:r>
        <w:rPr>
          <w:w w:val="99"/>
        </w:rPr>
        <w:t>国证</w:t>
      </w:r>
      <w:r>
        <w:rPr>
          <w:spacing w:val="2"/>
          <w:w w:val="99"/>
        </w:rPr>
        <w:t>券</w:t>
      </w:r>
      <w:r>
        <w:rPr>
          <w:w w:val="99"/>
        </w:rPr>
        <w:t>报</w:t>
      </w:r>
      <w:r>
        <w:rPr>
          <w:spacing w:val="-120"/>
          <w:w w:val="99"/>
        </w:rPr>
        <w:t>》</w:t>
      </w:r>
      <w:r>
        <w:rPr>
          <w:w w:val="99"/>
        </w:rPr>
        <w:t>。</w:t>
      </w:r>
      <w:r>
        <w:rPr>
          <w:b w:val="0"/>
          <w:bCs w:val="0"/>
        </w:rPr>
      </w:r>
    </w:p>
    <w:p>
      <w:pPr>
        <w:spacing w:after="0" w:line="240" w:lineRule="auto"/>
        <w:jc w:val="left"/>
        <w:sectPr>
          <w:headerReference w:type="default" r:id="rId31"/>
          <w:pgSz w:w="11910" w:h="16840"/>
          <w:pgMar w:header="920" w:footer="956" w:top="1140" w:bottom="1140" w:left="1020" w:right="0"/>
        </w:sectPr>
      </w:pPr>
    </w:p>
    <w:p>
      <w:pPr>
        <w:spacing w:line="240" w:lineRule="auto" w:before="8"/>
        <w:rPr>
          <w:rFonts w:ascii="宋体" w:hAnsi="宋体" w:cs="宋体" w:eastAsia="宋体" w:hint="default"/>
          <w:b/>
          <w:bCs/>
          <w:sz w:val="12"/>
          <w:szCs w:val="12"/>
        </w:rPr>
      </w:pPr>
    </w:p>
    <w:p>
      <w:pPr>
        <w:tabs>
          <w:tab w:pos="4772" w:val="left" w:leader="none"/>
        </w:tabs>
        <w:spacing w:before="0"/>
        <w:ind w:left="3485" w:right="0" w:firstLine="0"/>
        <w:jc w:val="left"/>
        <w:rPr>
          <w:rFonts w:ascii="宋体" w:hAnsi="宋体" w:cs="宋体" w:eastAsia="宋体" w:hint="default"/>
          <w:sz w:val="32"/>
          <w:szCs w:val="32"/>
        </w:rPr>
      </w:pPr>
      <w:bookmarkStart w:name="_TOC_250003" w:id="8"/>
      <w:r>
        <w:rPr>
          <w:rFonts w:ascii="宋体" w:hAnsi="宋体" w:cs="宋体" w:eastAsia="宋体" w:hint="default"/>
          <w:b/>
          <w:bCs/>
          <w:w w:val="95"/>
          <w:sz w:val="32"/>
          <w:szCs w:val="32"/>
        </w:rPr>
        <w:t>第八节</w:t>
        <w:tab/>
      </w:r>
      <w:r>
        <w:rPr>
          <w:rFonts w:ascii="宋体" w:hAnsi="宋体" w:cs="宋体" w:eastAsia="宋体" w:hint="default"/>
          <w:b/>
          <w:bCs/>
          <w:sz w:val="32"/>
          <w:szCs w:val="32"/>
        </w:rPr>
        <w:t>监事会报告</w:t>
      </w:r>
      <w:bookmarkEnd w:id="8"/>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Heading3"/>
        <w:tabs>
          <w:tab w:pos="924" w:val="left" w:leader="none"/>
        </w:tabs>
        <w:spacing w:line="240" w:lineRule="auto" w:before="26"/>
        <w:ind w:right="0"/>
        <w:jc w:val="left"/>
        <w:rPr>
          <w:b w:val="0"/>
          <w:bCs w:val="0"/>
        </w:rPr>
      </w:pPr>
      <w:r>
        <w:rPr/>
        <w:t>一、</w:t>
        <w:tab/>
        <w:t>监事会会议情况</w:t>
      </w:r>
      <w:r>
        <w:rPr>
          <w:b w:val="0"/>
          <w:bCs w:val="0"/>
        </w:rPr>
      </w:r>
    </w:p>
    <w:p>
      <w:pPr>
        <w:spacing w:line="240" w:lineRule="auto" w:before="3"/>
        <w:rPr>
          <w:rFonts w:ascii="宋体" w:hAnsi="宋体" w:cs="宋体" w:eastAsia="宋体" w:hint="default"/>
          <w:b/>
          <w:bCs/>
          <w:sz w:val="26"/>
          <w:szCs w:val="26"/>
        </w:rPr>
      </w:pPr>
    </w:p>
    <w:p>
      <w:pPr>
        <w:pStyle w:val="BodyText"/>
        <w:spacing w:line="386" w:lineRule="auto"/>
        <w:ind w:left="593" w:right="1393"/>
        <w:jc w:val="left"/>
      </w:pPr>
      <w:r>
        <w:rPr/>
        <w:t>公司设监事会，对股东大会负责。对董事、高级管理人员执行职务的行为进行监督。 报告期内公司监事会共召开</w:t>
      </w:r>
      <w:r>
        <w:rPr>
          <w:spacing w:val="-60"/>
        </w:rPr>
        <w:t> </w:t>
      </w:r>
      <w:r>
        <w:rPr>
          <w:rFonts w:ascii="宋体" w:hAnsi="宋体" w:cs="宋体" w:eastAsia="宋体" w:hint="default"/>
        </w:rPr>
        <w:t>7</w:t>
      </w:r>
      <w:r>
        <w:rPr>
          <w:rFonts w:ascii="宋体" w:hAnsi="宋体" w:cs="宋体" w:eastAsia="宋体" w:hint="default"/>
          <w:spacing w:val="-60"/>
        </w:rPr>
        <w:t> </w:t>
      </w:r>
      <w:r>
        <w:rPr/>
        <w:t>次会议，具体情况如下：</w:t>
      </w:r>
    </w:p>
    <w:p>
      <w:pPr>
        <w:pStyle w:val="BodyText"/>
        <w:spacing w:line="355" w:lineRule="auto" w:before="48"/>
        <w:ind w:right="1119" w:firstLine="480"/>
        <w:jc w:val="left"/>
      </w:pPr>
      <w:r>
        <w:rPr>
          <w:spacing w:val="-7"/>
        </w:rPr>
        <w:t>（一）公司于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日召开第三届监事会</w:t>
      </w:r>
      <w:r>
        <w:rPr>
          <w:spacing w:val="-60"/>
        </w:rPr>
        <w:t> </w:t>
      </w:r>
      <w:r>
        <w:rPr>
          <w:rFonts w:ascii="宋体" w:hAnsi="宋体" w:cs="宋体" w:eastAsia="宋体" w:hint="default"/>
        </w:rPr>
        <w:t>2011</w:t>
      </w:r>
      <w:r>
        <w:rPr>
          <w:rFonts w:ascii="宋体" w:hAnsi="宋体" w:cs="宋体" w:eastAsia="宋体" w:hint="default"/>
          <w:spacing w:val="-60"/>
        </w:rPr>
        <w:t> </w:t>
      </w:r>
      <w:r>
        <w:rPr>
          <w:spacing w:val="-3"/>
        </w:rPr>
        <w:t>年第一次会议，会议审议并通过</w:t>
      </w:r>
      <w:r>
        <w:rPr/>
        <w:t> 了以下议案：</w:t>
      </w:r>
    </w:p>
    <w:p>
      <w:pPr>
        <w:pStyle w:val="BodyText"/>
        <w:spacing w:line="240" w:lineRule="auto" w:before="77"/>
        <w:ind w:left="593" w:right="0"/>
        <w:jc w:val="left"/>
      </w:pPr>
      <w:r>
        <w:rPr>
          <w:rFonts w:ascii="宋体" w:hAnsi="宋体" w:cs="宋体" w:eastAsia="宋体" w:hint="default"/>
        </w:rPr>
        <w:t>1</w:t>
      </w:r>
      <w:r>
        <w:rPr/>
        <w:t>、</w:t>
      </w:r>
      <w:r>
        <w:rPr>
          <w:spacing w:val="-1"/>
        </w:rPr>
        <w:t>《</w:t>
      </w:r>
      <w:r>
        <w:rPr/>
        <w:t>关于公司继续使用部分闲置募集资金补充流动资金的议案</w:t>
      </w:r>
      <w:r>
        <w:rPr>
          <w:spacing w:val="-120"/>
        </w:rPr>
        <w:t>》</w:t>
      </w:r>
      <w:r>
        <w:rPr/>
        <w:t>。</w:t>
      </w:r>
    </w:p>
    <w:p>
      <w:pPr>
        <w:pStyle w:val="BodyText"/>
        <w:spacing w:line="336" w:lineRule="auto" w:before="195"/>
        <w:ind w:right="1122" w:firstLine="480"/>
        <w:jc w:val="left"/>
      </w:pPr>
      <w:r>
        <w:rPr/>
        <w:t>公司第三届监事会</w:t>
      </w:r>
      <w:r>
        <w:rPr>
          <w:spacing w:val="-61"/>
        </w:rPr>
        <w:t> </w:t>
      </w:r>
      <w:r>
        <w:rPr>
          <w:rFonts w:ascii="宋体" w:hAnsi="宋体" w:cs="宋体" w:eastAsia="宋体" w:hint="default"/>
        </w:rPr>
        <w:t>2011</w:t>
      </w:r>
      <w:r>
        <w:rPr>
          <w:rFonts w:ascii="宋体" w:hAnsi="宋体" w:cs="宋体" w:eastAsia="宋体" w:hint="default"/>
          <w:spacing w:val="-60"/>
        </w:rPr>
        <w:t> </w:t>
      </w:r>
      <w:r>
        <w:rPr/>
        <w:t>年第一次会议决议及相关内容刊登于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24 </w:t>
      </w:r>
      <w:r>
        <w:rPr>
          <w:spacing w:val="-15"/>
        </w:rPr>
        <w:t>日《证券时</w:t>
      </w:r>
      <w:r>
        <w:rPr/>
        <w:t> </w:t>
      </w:r>
      <w:r>
        <w:rPr>
          <w:spacing w:val="-15"/>
        </w:rPr>
        <w:t>报》、《中国证券报》及巨潮资讯网站</w:t>
      </w:r>
      <w:r>
        <w:rPr/>
        <w:t> </w:t>
      </w:r>
      <w:r>
        <w:rPr>
          <w:rFonts w:ascii="Times New Roman" w:hAnsi="Times New Roman" w:cs="Times New Roman" w:eastAsia="Times New Roman" w:hint="default"/>
        </w:rPr>
      </w:r>
      <w:hyperlink r:id="rId12">
        <w:r>
          <w:rPr>
            <w:rFonts w:ascii="Times New Roman" w:hAnsi="Times New Roman" w:cs="Times New Roman" w:eastAsia="Times New Roman" w:hint="default"/>
            <w:spacing w:val="-2"/>
            <w:w w:val="99"/>
            <w:u w:val="single" w:color="000000"/>
          </w:rPr>
          <w:t>www.cninfo.com.cn</w:t>
        </w:r>
        <w:r>
          <w:rPr>
            <w:rFonts w:ascii="Times New Roman" w:hAnsi="Times New Roman" w:cs="Times New Roman" w:eastAsia="Times New Roman" w:hint="default"/>
            <w:spacing w:val="31"/>
            <w:w w:val="99"/>
            <w:u w:val="single" w:color="000000"/>
          </w:rPr>
          <w:t> </w:t>
        </w:r>
        <w:r>
          <w:rPr>
            <w:rFonts w:ascii="Times New Roman" w:hAnsi="Times New Roman" w:cs="Times New Roman" w:eastAsia="Times New Roman" w:hint="default"/>
            <w:spacing w:val="31"/>
            <w:w w:val="99"/>
          </w:rPr>
        </w:r>
      </w:hyperlink>
      <w:r>
        <w:rPr>
          <w:rFonts w:ascii="Times New Roman" w:hAnsi="Times New Roman" w:cs="Times New Roman" w:eastAsia="Times New Roman" w:hint="default"/>
          <w:spacing w:val="31"/>
          <w:w w:val="99"/>
        </w:rPr>
      </w:r>
      <w:r>
        <w:rPr/>
        <w:t>上。</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9"/>
          <w:szCs w:val="19"/>
        </w:rPr>
      </w:pPr>
    </w:p>
    <w:p>
      <w:pPr>
        <w:pStyle w:val="BodyText"/>
        <w:spacing w:line="357" w:lineRule="auto"/>
        <w:ind w:right="1119" w:firstLine="480"/>
        <w:jc w:val="left"/>
      </w:pPr>
      <w:r>
        <w:rPr>
          <w:spacing w:val="-7"/>
        </w:rPr>
        <w:t>（二）公司于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日召开第三届监事会</w:t>
      </w:r>
      <w:r>
        <w:rPr>
          <w:spacing w:val="-60"/>
        </w:rPr>
        <w:t> </w:t>
      </w:r>
      <w:r>
        <w:rPr>
          <w:rFonts w:ascii="宋体" w:hAnsi="宋体" w:cs="宋体" w:eastAsia="宋体" w:hint="default"/>
        </w:rPr>
        <w:t>2011</w:t>
      </w:r>
      <w:r>
        <w:rPr>
          <w:rFonts w:ascii="宋体" w:hAnsi="宋体" w:cs="宋体" w:eastAsia="宋体" w:hint="default"/>
          <w:spacing w:val="-60"/>
        </w:rPr>
        <w:t> </w:t>
      </w:r>
      <w:r>
        <w:rPr>
          <w:spacing w:val="-3"/>
        </w:rPr>
        <w:t>年第二次会议，会议审议以下议</w:t>
      </w:r>
      <w:r>
        <w:rPr/>
        <w:t> 案，但未形成会议决议：</w:t>
      </w:r>
    </w:p>
    <w:p>
      <w:pPr>
        <w:pStyle w:val="BodyText"/>
        <w:spacing w:line="240" w:lineRule="auto" w:before="74"/>
        <w:ind w:left="703" w:right="0"/>
        <w:jc w:val="left"/>
      </w:pPr>
      <w:r>
        <w:rPr>
          <w:rFonts w:ascii="宋体" w:hAnsi="宋体" w:cs="宋体" w:eastAsia="宋体" w:hint="default"/>
        </w:rPr>
        <w:t>1</w:t>
      </w:r>
      <w:r>
        <w:rPr>
          <w:spacing w:val="-120"/>
        </w:rPr>
        <w:t>、</w:t>
      </w:r>
      <w:r>
        <w:rPr>
          <w:spacing w:val="-1"/>
        </w:rPr>
        <w:t>《</w:t>
      </w:r>
      <w:r>
        <w:rPr>
          <w:rFonts w:ascii="宋体" w:hAnsi="宋体" w:cs="宋体" w:eastAsia="宋体" w:hint="default"/>
        </w:rPr>
        <w:t>2010</w:t>
      </w:r>
      <w:r>
        <w:rPr>
          <w:rFonts w:ascii="宋体" w:hAnsi="宋体" w:cs="宋体" w:eastAsia="宋体" w:hint="default"/>
          <w:spacing w:val="-60"/>
        </w:rPr>
        <w:t> </w:t>
      </w:r>
      <w:r>
        <w:rPr/>
        <w:t>年度监事会工作报告</w:t>
      </w:r>
      <w:r>
        <w:rPr>
          <w:spacing w:val="-120"/>
        </w:rPr>
        <w:t>》</w:t>
      </w:r>
      <w:r>
        <w:rPr/>
        <w:t>；</w:t>
      </w:r>
    </w:p>
    <w:p>
      <w:pPr>
        <w:pStyle w:val="BodyText"/>
        <w:spacing w:line="240" w:lineRule="auto" w:before="192"/>
        <w:ind w:left="713" w:right="0"/>
        <w:jc w:val="left"/>
      </w:pP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61"/>
        </w:rPr>
        <w:t> </w:t>
      </w:r>
      <w:r>
        <w:rPr/>
        <w:t>年度报告》及《</w:t>
      </w:r>
      <w:r>
        <w:rPr>
          <w:rFonts w:ascii="宋体" w:hAnsi="宋体" w:cs="宋体" w:eastAsia="宋体" w:hint="default"/>
        </w:rPr>
        <w:t>2010</w:t>
      </w:r>
      <w:r>
        <w:rPr>
          <w:rFonts w:ascii="宋体" w:hAnsi="宋体" w:cs="宋体" w:eastAsia="宋体" w:hint="default"/>
          <w:spacing w:val="-61"/>
        </w:rPr>
        <w:t> </w:t>
      </w:r>
      <w:r>
        <w:rPr/>
        <w:t>年度报告摘要》；</w:t>
      </w:r>
    </w:p>
    <w:p>
      <w:pPr>
        <w:pStyle w:val="BodyText"/>
        <w:spacing w:line="240" w:lineRule="auto" w:before="195"/>
        <w:ind w:left="713" w:right="0"/>
        <w:jc w:val="left"/>
      </w:pPr>
      <w:r>
        <w:rPr>
          <w:rFonts w:ascii="宋体" w:hAnsi="宋体" w:cs="宋体" w:eastAsia="宋体" w:hint="default"/>
        </w:rPr>
        <w:t>3</w:t>
      </w:r>
      <w:r>
        <w:rPr/>
        <w:t>、《关于</w:t>
      </w:r>
      <w:r>
        <w:rPr>
          <w:spacing w:val="-61"/>
        </w:rPr>
        <w:t> </w:t>
      </w:r>
      <w:r>
        <w:rPr>
          <w:rFonts w:ascii="宋体" w:hAnsi="宋体" w:cs="宋体" w:eastAsia="宋体" w:hint="default"/>
        </w:rPr>
        <w:t>2010</w:t>
      </w:r>
      <w:r>
        <w:rPr>
          <w:rFonts w:ascii="宋体" w:hAnsi="宋体" w:cs="宋体" w:eastAsia="宋体" w:hint="default"/>
          <w:spacing w:val="-61"/>
        </w:rPr>
        <w:t> </w:t>
      </w:r>
      <w:r>
        <w:rPr/>
        <w:t>年利润分配的预案》；</w:t>
      </w:r>
    </w:p>
    <w:p>
      <w:pPr>
        <w:pStyle w:val="BodyText"/>
        <w:spacing w:line="240" w:lineRule="auto" w:before="192"/>
        <w:ind w:left="713" w:right="0"/>
        <w:jc w:val="left"/>
      </w:pPr>
      <w:r>
        <w:rPr>
          <w:rFonts w:ascii="宋体" w:hAnsi="宋体" w:cs="宋体" w:eastAsia="宋体" w:hint="default"/>
        </w:rPr>
        <w:t>4</w:t>
      </w:r>
      <w:r>
        <w:rPr/>
        <w:t>、《</w:t>
      </w:r>
      <w:r>
        <w:rPr>
          <w:rFonts w:ascii="宋体" w:hAnsi="宋体" w:cs="宋体" w:eastAsia="宋体" w:hint="default"/>
        </w:rPr>
        <w:t>2010</w:t>
      </w:r>
      <w:r>
        <w:rPr>
          <w:rFonts w:ascii="宋体" w:hAnsi="宋体" w:cs="宋体" w:eastAsia="宋体" w:hint="default"/>
          <w:spacing w:val="-61"/>
        </w:rPr>
        <w:t> </w:t>
      </w:r>
      <w:r>
        <w:rPr/>
        <w:t>年度财务决算报告》；</w:t>
      </w:r>
    </w:p>
    <w:p>
      <w:pPr>
        <w:pStyle w:val="BodyText"/>
        <w:spacing w:line="240" w:lineRule="auto" w:before="192"/>
        <w:ind w:left="713" w:right="0"/>
        <w:jc w:val="left"/>
      </w:pPr>
      <w:r>
        <w:rPr>
          <w:rFonts w:ascii="宋体" w:hAnsi="宋体" w:cs="宋体" w:eastAsia="宋体" w:hint="default"/>
        </w:rPr>
        <w:t>5</w:t>
      </w:r>
      <w:r>
        <w:rPr/>
        <w:t>、《</w:t>
      </w:r>
      <w:r>
        <w:rPr>
          <w:rFonts w:ascii="宋体" w:hAnsi="宋体" w:cs="宋体" w:eastAsia="宋体" w:hint="default"/>
        </w:rPr>
        <w:t>2010</w:t>
      </w:r>
      <w:r>
        <w:rPr>
          <w:rFonts w:ascii="宋体" w:hAnsi="宋体" w:cs="宋体" w:eastAsia="宋体" w:hint="default"/>
          <w:spacing w:val="-60"/>
        </w:rPr>
        <w:t> </w:t>
      </w:r>
      <w:r>
        <w:rPr/>
        <w:t>年度公司内部控制的自我评价报告》；</w:t>
      </w:r>
    </w:p>
    <w:p>
      <w:pPr>
        <w:pStyle w:val="BodyText"/>
        <w:spacing w:line="240" w:lineRule="auto" w:before="192"/>
        <w:ind w:left="713" w:right="0"/>
        <w:jc w:val="left"/>
      </w:pPr>
      <w:r>
        <w:rPr>
          <w:rFonts w:ascii="宋体" w:hAnsi="宋体" w:cs="宋体" w:eastAsia="宋体" w:hint="default"/>
        </w:rPr>
        <w:t>6</w:t>
      </w:r>
      <w:r>
        <w:rPr/>
        <w:t>、《关于提名公司监事的议案》。</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355" w:lineRule="auto"/>
        <w:ind w:right="1119" w:firstLine="480"/>
        <w:jc w:val="left"/>
      </w:pPr>
      <w:r>
        <w:rPr>
          <w:spacing w:val="-7"/>
        </w:rPr>
        <w:t>（三）公司于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日召开第三届监事会</w:t>
      </w:r>
      <w:r>
        <w:rPr>
          <w:spacing w:val="-60"/>
        </w:rPr>
        <w:t> </w:t>
      </w:r>
      <w:r>
        <w:rPr>
          <w:rFonts w:ascii="宋体" w:hAnsi="宋体" w:cs="宋体" w:eastAsia="宋体" w:hint="default"/>
        </w:rPr>
        <w:t>2011</w:t>
      </w:r>
      <w:r>
        <w:rPr>
          <w:rFonts w:ascii="宋体" w:hAnsi="宋体" w:cs="宋体" w:eastAsia="宋体" w:hint="default"/>
          <w:spacing w:val="-60"/>
        </w:rPr>
        <w:t> </w:t>
      </w:r>
      <w:r>
        <w:rPr>
          <w:spacing w:val="-3"/>
        </w:rPr>
        <w:t>年第三次会议，会议审议并通过</w:t>
      </w:r>
      <w:r>
        <w:rPr/>
        <w:t> 了以下议案：</w:t>
      </w:r>
    </w:p>
    <w:p>
      <w:pPr>
        <w:pStyle w:val="BodyText"/>
        <w:spacing w:line="240" w:lineRule="auto" w:before="77"/>
        <w:ind w:left="703" w:right="0"/>
        <w:jc w:val="left"/>
      </w:pPr>
      <w:r>
        <w:rPr>
          <w:rFonts w:ascii="宋体" w:hAnsi="宋体" w:cs="宋体" w:eastAsia="宋体" w:hint="default"/>
        </w:rPr>
        <w:t>1</w:t>
      </w:r>
      <w:r>
        <w:rPr>
          <w:spacing w:val="-120"/>
        </w:rPr>
        <w:t>、</w:t>
      </w:r>
      <w:r>
        <w:rPr>
          <w:spacing w:val="-1"/>
        </w:rPr>
        <w:t>《</w:t>
      </w:r>
      <w:r>
        <w:rPr>
          <w:rFonts w:ascii="宋体" w:hAnsi="宋体" w:cs="宋体" w:eastAsia="宋体" w:hint="default"/>
        </w:rPr>
        <w:t>2010</w:t>
      </w:r>
      <w:r>
        <w:rPr>
          <w:rFonts w:ascii="宋体" w:hAnsi="宋体" w:cs="宋体" w:eastAsia="宋体" w:hint="default"/>
          <w:spacing w:val="-60"/>
        </w:rPr>
        <w:t> </w:t>
      </w:r>
      <w:r>
        <w:rPr/>
        <w:t>年度监事会工作报告</w:t>
      </w:r>
      <w:r>
        <w:rPr>
          <w:spacing w:val="-120"/>
        </w:rPr>
        <w:t>》</w:t>
      </w:r>
      <w:r>
        <w:rPr/>
        <w:t>；</w:t>
      </w:r>
    </w:p>
    <w:p>
      <w:pPr>
        <w:pStyle w:val="BodyText"/>
        <w:spacing w:line="240" w:lineRule="auto" w:before="192"/>
        <w:ind w:left="713" w:right="0"/>
        <w:jc w:val="left"/>
      </w:pP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61"/>
        </w:rPr>
        <w:t> </w:t>
      </w:r>
      <w:r>
        <w:rPr/>
        <w:t>年度报告》及《</w:t>
      </w:r>
      <w:r>
        <w:rPr>
          <w:rFonts w:ascii="宋体" w:hAnsi="宋体" w:cs="宋体" w:eastAsia="宋体" w:hint="default"/>
        </w:rPr>
        <w:t>2010</w:t>
      </w:r>
      <w:r>
        <w:rPr>
          <w:rFonts w:ascii="宋体" w:hAnsi="宋体" w:cs="宋体" w:eastAsia="宋体" w:hint="default"/>
          <w:spacing w:val="-61"/>
        </w:rPr>
        <w:t> </w:t>
      </w:r>
      <w:r>
        <w:rPr/>
        <w:t>年度报告摘要》；</w:t>
      </w:r>
    </w:p>
    <w:p>
      <w:pPr>
        <w:pStyle w:val="BodyText"/>
        <w:spacing w:line="240" w:lineRule="auto" w:before="194"/>
        <w:ind w:left="713" w:right="0"/>
        <w:jc w:val="left"/>
      </w:pPr>
      <w:r>
        <w:rPr>
          <w:rFonts w:ascii="宋体" w:hAnsi="宋体" w:cs="宋体" w:eastAsia="宋体" w:hint="default"/>
        </w:rPr>
        <w:t>3</w:t>
      </w:r>
      <w:r>
        <w:rPr/>
        <w:t>、《关于</w:t>
      </w:r>
      <w:r>
        <w:rPr>
          <w:spacing w:val="-61"/>
        </w:rPr>
        <w:t> </w:t>
      </w:r>
      <w:r>
        <w:rPr>
          <w:rFonts w:ascii="宋体" w:hAnsi="宋体" w:cs="宋体" w:eastAsia="宋体" w:hint="default"/>
        </w:rPr>
        <w:t>2010</w:t>
      </w:r>
      <w:r>
        <w:rPr>
          <w:rFonts w:ascii="宋体" w:hAnsi="宋体" w:cs="宋体" w:eastAsia="宋体" w:hint="default"/>
          <w:spacing w:val="-61"/>
        </w:rPr>
        <w:t> </w:t>
      </w:r>
      <w:r>
        <w:rPr/>
        <w:t>年利润分配的预案》；</w:t>
      </w:r>
    </w:p>
    <w:p>
      <w:pPr>
        <w:pStyle w:val="BodyText"/>
        <w:spacing w:line="240" w:lineRule="auto" w:before="192"/>
        <w:ind w:left="713" w:right="0"/>
        <w:jc w:val="left"/>
      </w:pPr>
      <w:r>
        <w:rPr>
          <w:rFonts w:ascii="宋体" w:hAnsi="宋体" w:cs="宋体" w:eastAsia="宋体" w:hint="default"/>
        </w:rPr>
        <w:t>4</w:t>
      </w:r>
      <w:r>
        <w:rPr/>
        <w:t>、《</w:t>
      </w:r>
      <w:r>
        <w:rPr>
          <w:rFonts w:ascii="宋体" w:hAnsi="宋体" w:cs="宋体" w:eastAsia="宋体" w:hint="default"/>
        </w:rPr>
        <w:t>2010</w:t>
      </w:r>
      <w:r>
        <w:rPr>
          <w:rFonts w:ascii="宋体" w:hAnsi="宋体" w:cs="宋体" w:eastAsia="宋体" w:hint="default"/>
          <w:spacing w:val="-61"/>
        </w:rPr>
        <w:t> </w:t>
      </w:r>
      <w:r>
        <w:rPr/>
        <w:t>年度财务决算报告》；</w:t>
      </w:r>
    </w:p>
    <w:p>
      <w:pPr>
        <w:pStyle w:val="BodyText"/>
        <w:spacing w:line="240" w:lineRule="auto" w:before="192"/>
        <w:ind w:left="713" w:right="0"/>
        <w:jc w:val="left"/>
      </w:pPr>
      <w:r>
        <w:rPr>
          <w:rFonts w:ascii="宋体" w:hAnsi="宋体" w:cs="宋体" w:eastAsia="宋体" w:hint="default"/>
        </w:rPr>
        <w:t>5</w:t>
      </w:r>
      <w:r>
        <w:rPr/>
        <w:t>、《</w:t>
      </w:r>
      <w:r>
        <w:rPr>
          <w:rFonts w:ascii="宋体" w:hAnsi="宋体" w:cs="宋体" w:eastAsia="宋体" w:hint="default"/>
        </w:rPr>
        <w:t>2010</w:t>
      </w:r>
      <w:r>
        <w:rPr>
          <w:rFonts w:ascii="宋体" w:hAnsi="宋体" w:cs="宋体" w:eastAsia="宋体" w:hint="default"/>
          <w:spacing w:val="-61"/>
        </w:rPr>
        <w:t> </w:t>
      </w:r>
      <w:r>
        <w:rPr/>
        <w:t>年度公司内部控制的自我评价报告》；</w:t>
      </w:r>
    </w:p>
    <w:p>
      <w:pPr>
        <w:pStyle w:val="BodyText"/>
        <w:spacing w:line="240" w:lineRule="auto" w:before="192"/>
        <w:ind w:left="713" w:right="0"/>
        <w:jc w:val="left"/>
      </w:pPr>
      <w:r>
        <w:rPr>
          <w:rFonts w:ascii="宋体" w:hAnsi="宋体" w:cs="宋体" w:eastAsia="宋体" w:hint="default"/>
        </w:rPr>
        <w:t>6</w:t>
      </w:r>
      <w:r>
        <w:rPr/>
        <w:t>、《关于提名公司监事的议案》。</w:t>
      </w:r>
    </w:p>
    <w:p>
      <w:pPr>
        <w:spacing w:after="0" w:line="240" w:lineRule="auto"/>
        <w:jc w:val="left"/>
        <w:sectPr>
          <w:pgSz w:w="11910" w:h="16840"/>
          <w:pgMar w:header="920" w:footer="956" w:top="1140" w:bottom="1140" w:left="1020" w:right="0"/>
        </w:sectPr>
      </w:pPr>
    </w:p>
    <w:p>
      <w:pPr>
        <w:pStyle w:val="BodyText"/>
        <w:spacing w:line="338" w:lineRule="auto" w:before="19"/>
        <w:ind w:right="1122" w:firstLine="480"/>
        <w:jc w:val="left"/>
      </w:pPr>
      <w:r>
        <w:rPr/>
        <w:t>公司第三届监事会</w:t>
      </w:r>
      <w:r>
        <w:rPr>
          <w:spacing w:val="-61"/>
        </w:rPr>
        <w:t> </w:t>
      </w:r>
      <w:r>
        <w:rPr>
          <w:rFonts w:ascii="宋体" w:hAnsi="宋体" w:cs="宋体" w:eastAsia="宋体" w:hint="default"/>
        </w:rPr>
        <w:t>2011</w:t>
      </w:r>
      <w:r>
        <w:rPr>
          <w:rFonts w:ascii="宋体" w:hAnsi="宋体" w:cs="宋体" w:eastAsia="宋体" w:hint="default"/>
          <w:spacing w:val="-60"/>
        </w:rPr>
        <w:t> </w:t>
      </w:r>
      <w:r>
        <w:rPr/>
        <w:t>年第三次会议决议及相关内容刊登于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26 </w:t>
      </w:r>
      <w:r>
        <w:rPr>
          <w:spacing w:val="-15"/>
        </w:rPr>
        <w:t>日《证券时</w:t>
      </w:r>
      <w:r>
        <w:rPr/>
        <w:t> </w:t>
      </w:r>
      <w:r>
        <w:rPr>
          <w:spacing w:val="-15"/>
        </w:rPr>
        <w:t>报》、《中国证券报》及巨潮资讯网站</w:t>
      </w:r>
      <w:r>
        <w:rPr/>
        <w:t> </w:t>
      </w:r>
      <w:r>
        <w:rPr>
          <w:rFonts w:ascii="Times New Roman" w:hAnsi="Times New Roman" w:cs="Times New Roman" w:eastAsia="Times New Roman" w:hint="default"/>
        </w:rPr>
      </w:r>
      <w:hyperlink r:id="rId12">
        <w:r>
          <w:rPr>
            <w:rFonts w:ascii="Times New Roman" w:hAnsi="Times New Roman" w:cs="Times New Roman" w:eastAsia="Times New Roman" w:hint="default"/>
            <w:spacing w:val="-2"/>
            <w:w w:val="99"/>
            <w:u w:val="single" w:color="000000"/>
          </w:rPr>
          <w:t>www.cninfo.com.cn</w:t>
        </w:r>
        <w:r>
          <w:rPr>
            <w:rFonts w:ascii="Times New Roman" w:hAnsi="Times New Roman" w:cs="Times New Roman" w:eastAsia="Times New Roman" w:hint="default"/>
            <w:spacing w:val="31"/>
            <w:w w:val="99"/>
            <w:u w:val="single" w:color="000000"/>
          </w:rPr>
          <w:t> </w:t>
        </w:r>
        <w:r>
          <w:rPr>
            <w:rFonts w:ascii="Times New Roman" w:hAnsi="Times New Roman" w:cs="Times New Roman" w:eastAsia="Times New Roman" w:hint="default"/>
            <w:spacing w:val="31"/>
            <w:w w:val="99"/>
          </w:rPr>
        </w:r>
      </w:hyperlink>
      <w:r>
        <w:rPr>
          <w:rFonts w:ascii="Times New Roman" w:hAnsi="Times New Roman" w:cs="Times New Roman" w:eastAsia="Times New Roman" w:hint="default"/>
          <w:spacing w:val="31"/>
          <w:w w:val="99"/>
        </w:rPr>
      </w:r>
      <w:r>
        <w:rPr/>
        <w:t>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spacing w:line="240" w:lineRule="auto"/>
        <w:ind w:left="593" w:right="0"/>
        <w:jc w:val="left"/>
      </w:pPr>
      <w:r>
        <w:rPr>
          <w:spacing w:val="-7"/>
        </w:rPr>
        <w:t>（四）公司于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日召开第三届监事会</w:t>
      </w:r>
      <w:r>
        <w:rPr>
          <w:spacing w:val="-60"/>
        </w:rPr>
        <w:t> </w:t>
      </w:r>
      <w:r>
        <w:rPr>
          <w:rFonts w:ascii="宋体" w:hAnsi="宋体" w:cs="宋体" w:eastAsia="宋体" w:hint="default"/>
        </w:rPr>
        <w:t>2011</w:t>
      </w:r>
      <w:r>
        <w:rPr>
          <w:rFonts w:ascii="宋体" w:hAnsi="宋体" w:cs="宋体" w:eastAsia="宋体" w:hint="default"/>
          <w:spacing w:val="-60"/>
        </w:rPr>
        <w:t> </w:t>
      </w:r>
      <w:r>
        <w:rPr>
          <w:spacing w:val="-3"/>
        </w:rPr>
        <w:t>年第四次会议，会议审议并通过</w:t>
      </w:r>
    </w:p>
    <w:p>
      <w:pPr>
        <w:pStyle w:val="BodyText"/>
        <w:spacing w:line="240" w:lineRule="auto" w:before="154"/>
        <w:ind w:right="0"/>
        <w:jc w:val="both"/>
      </w:pPr>
      <w:r>
        <w:rPr/>
        <w:t>了《深圳劲嘉彩印集团股份有限公司</w:t>
      </w:r>
      <w:r>
        <w:rPr>
          <w:spacing w:val="-60"/>
        </w:rPr>
        <w:t> </w:t>
      </w:r>
      <w:r>
        <w:rPr>
          <w:rFonts w:ascii="宋体" w:hAnsi="宋体" w:cs="宋体" w:eastAsia="宋体" w:hint="default"/>
        </w:rPr>
        <w:t>2011</w:t>
      </w:r>
      <w:r>
        <w:rPr>
          <w:rFonts w:ascii="宋体" w:hAnsi="宋体" w:cs="宋体" w:eastAsia="宋体" w:hint="default"/>
          <w:spacing w:val="-60"/>
        </w:rPr>
        <w:t> </w:t>
      </w:r>
      <w:r>
        <w:rPr/>
        <w:t>年第一季度报告</w:t>
      </w:r>
      <w:r>
        <w:rPr>
          <w:spacing w:val="-120"/>
        </w:rPr>
        <w:t>》。</w:t>
      </w:r>
      <w:r>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pStyle w:val="BodyText"/>
        <w:spacing w:line="357" w:lineRule="auto"/>
        <w:ind w:right="1118" w:firstLine="480"/>
        <w:jc w:val="left"/>
      </w:pPr>
      <w:r>
        <w:rPr>
          <w:spacing w:val="-7"/>
        </w:rPr>
        <w:t>（五）公司于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日召开第三届监事会</w:t>
      </w:r>
      <w:r>
        <w:rPr>
          <w:spacing w:val="-60"/>
        </w:rPr>
        <w:t> </w:t>
      </w:r>
      <w:r>
        <w:rPr>
          <w:rFonts w:ascii="宋体" w:hAnsi="宋体" w:cs="宋体" w:eastAsia="宋体" w:hint="default"/>
        </w:rPr>
        <w:t>2011</w:t>
      </w:r>
      <w:r>
        <w:rPr>
          <w:rFonts w:ascii="宋体" w:hAnsi="宋体" w:cs="宋体" w:eastAsia="宋体" w:hint="default"/>
          <w:spacing w:val="-60"/>
        </w:rPr>
        <w:t> </w:t>
      </w:r>
      <w:r>
        <w:rPr>
          <w:spacing w:val="-3"/>
        </w:rPr>
        <w:t>年第五次会议，会议审议并通过</w:t>
      </w:r>
      <w:r>
        <w:rPr/>
        <w:t> 了以下议案：</w:t>
      </w:r>
    </w:p>
    <w:p>
      <w:pPr>
        <w:pStyle w:val="BodyText"/>
        <w:spacing w:line="240" w:lineRule="auto" w:before="75"/>
        <w:ind w:left="593" w:right="0"/>
        <w:jc w:val="left"/>
      </w:pPr>
      <w:r>
        <w:rPr>
          <w:rFonts w:ascii="宋体" w:hAnsi="宋体" w:cs="宋体" w:eastAsia="宋体" w:hint="default"/>
        </w:rPr>
        <w:t>1</w:t>
      </w:r>
      <w:r>
        <w:rPr>
          <w:spacing w:val="-120"/>
        </w:rPr>
        <w:t>、</w:t>
      </w:r>
      <w:r>
        <w:rPr/>
        <w:t>《深圳劲嘉彩印集团股份有限公司</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年半年度报告》及其摘要；</w:t>
      </w:r>
    </w:p>
    <w:p>
      <w:pPr>
        <w:pStyle w:val="BodyText"/>
        <w:spacing w:line="240" w:lineRule="auto" w:before="174"/>
        <w:ind w:left="593" w:right="0"/>
        <w:jc w:val="left"/>
      </w:pPr>
      <w:r>
        <w:rPr>
          <w:rFonts w:ascii="宋体" w:hAnsi="宋体" w:cs="宋体" w:eastAsia="宋体" w:hint="default"/>
        </w:rPr>
        <w:t>2</w:t>
      </w:r>
      <w:r>
        <w:rPr>
          <w:spacing w:val="-120"/>
        </w:rPr>
        <w:t>、</w:t>
      </w:r>
      <w:r>
        <w:rPr/>
        <w:t>《关于公司</w:t>
      </w:r>
      <w:r>
        <w:rPr>
          <w:spacing w:val="-61"/>
        </w:rPr>
        <w:t> </w:t>
      </w:r>
      <w:r>
        <w:rPr>
          <w:rFonts w:ascii="宋体" w:hAnsi="宋体" w:cs="宋体" w:eastAsia="宋体" w:hint="default"/>
        </w:rPr>
        <w:t>2011</w:t>
      </w:r>
      <w:r>
        <w:rPr>
          <w:rFonts w:ascii="宋体" w:hAnsi="宋体" w:cs="宋体" w:eastAsia="宋体" w:hint="default"/>
          <w:spacing w:val="-60"/>
        </w:rPr>
        <w:t> </w:t>
      </w:r>
      <w:r>
        <w:rPr/>
        <w:t>年中期利润分配的预案</w:t>
      </w:r>
      <w:r>
        <w:rPr>
          <w:spacing w:val="-120"/>
        </w:rPr>
        <w:t>》</w:t>
      </w:r>
      <w:r>
        <w:rPr/>
        <w:t>。</w:t>
      </w:r>
    </w:p>
    <w:p>
      <w:pPr>
        <w:pStyle w:val="BodyText"/>
        <w:spacing w:line="338" w:lineRule="auto" w:before="192"/>
        <w:ind w:right="1122" w:firstLine="480"/>
        <w:jc w:val="left"/>
      </w:pPr>
      <w:r>
        <w:rPr/>
        <w:t>公司第三届监事会</w:t>
      </w:r>
      <w:r>
        <w:rPr>
          <w:spacing w:val="-61"/>
        </w:rPr>
        <w:t> </w:t>
      </w:r>
      <w:r>
        <w:rPr>
          <w:rFonts w:ascii="宋体" w:hAnsi="宋体" w:cs="宋体" w:eastAsia="宋体" w:hint="default"/>
        </w:rPr>
        <w:t>2011</w:t>
      </w:r>
      <w:r>
        <w:rPr>
          <w:rFonts w:ascii="宋体" w:hAnsi="宋体" w:cs="宋体" w:eastAsia="宋体" w:hint="default"/>
          <w:spacing w:val="-60"/>
        </w:rPr>
        <w:t> </w:t>
      </w:r>
      <w:r>
        <w:rPr/>
        <w:t>年第五次会议决议及相关内容刊登于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17 </w:t>
      </w:r>
      <w:r>
        <w:rPr>
          <w:spacing w:val="-15"/>
        </w:rPr>
        <w:t>日《证券时</w:t>
      </w:r>
      <w:r>
        <w:rPr/>
        <w:t> </w:t>
      </w:r>
      <w:r>
        <w:rPr>
          <w:spacing w:val="-15"/>
        </w:rPr>
        <w:t>报》、《中国证券报》及巨潮资讯网站</w:t>
      </w:r>
      <w:r>
        <w:rPr/>
        <w:t> </w:t>
      </w:r>
      <w:r>
        <w:rPr>
          <w:rFonts w:ascii="Times New Roman" w:hAnsi="Times New Roman" w:cs="Times New Roman" w:eastAsia="Times New Roman" w:hint="default"/>
        </w:rPr>
      </w:r>
      <w:hyperlink r:id="rId12">
        <w:r>
          <w:rPr>
            <w:rFonts w:ascii="Times New Roman" w:hAnsi="Times New Roman" w:cs="Times New Roman" w:eastAsia="Times New Roman" w:hint="default"/>
            <w:spacing w:val="-2"/>
            <w:w w:val="99"/>
            <w:u w:val="single" w:color="000000"/>
          </w:rPr>
          <w:t>www.cninfo.com.cn</w:t>
        </w:r>
        <w:r>
          <w:rPr>
            <w:rFonts w:ascii="Times New Roman" w:hAnsi="Times New Roman" w:cs="Times New Roman" w:eastAsia="Times New Roman" w:hint="default"/>
            <w:spacing w:val="31"/>
            <w:w w:val="99"/>
            <w:u w:val="single" w:color="000000"/>
          </w:rPr>
          <w:t> </w:t>
        </w:r>
        <w:r>
          <w:rPr>
            <w:rFonts w:ascii="Times New Roman" w:hAnsi="Times New Roman" w:cs="Times New Roman" w:eastAsia="Times New Roman" w:hint="default"/>
            <w:spacing w:val="31"/>
            <w:w w:val="99"/>
          </w:rPr>
        </w:r>
      </w:hyperlink>
      <w:r>
        <w:rPr>
          <w:rFonts w:ascii="Times New Roman" w:hAnsi="Times New Roman" w:cs="Times New Roman" w:eastAsia="Times New Roman" w:hint="default"/>
          <w:spacing w:val="31"/>
          <w:w w:val="99"/>
        </w:rPr>
      </w:r>
      <w:r>
        <w:rPr/>
        <w:t>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spacing w:line="357" w:lineRule="auto"/>
        <w:ind w:right="1118" w:firstLine="480"/>
        <w:jc w:val="left"/>
      </w:pPr>
      <w:r>
        <w:rPr>
          <w:spacing w:val="-7"/>
        </w:rPr>
        <w:t>（六）公司于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日召开第三届监事会</w:t>
      </w:r>
      <w:r>
        <w:rPr>
          <w:spacing w:val="-60"/>
        </w:rPr>
        <w:t> </w:t>
      </w:r>
      <w:r>
        <w:rPr>
          <w:rFonts w:ascii="宋体" w:hAnsi="宋体" w:cs="宋体" w:eastAsia="宋体" w:hint="default"/>
        </w:rPr>
        <w:t>2011</w:t>
      </w:r>
      <w:r>
        <w:rPr>
          <w:rFonts w:ascii="宋体" w:hAnsi="宋体" w:cs="宋体" w:eastAsia="宋体" w:hint="default"/>
          <w:spacing w:val="-60"/>
        </w:rPr>
        <w:t> </w:t>
      </w:r>
      <w:r>
        <w:rPr>
          <w:spacing w:val="-3"/>
        </w:rPr>
        <w:t>年第六次会议，会议审议并通过</w:t>
      </w:r>
      <w:r>
        <w:rPr/>
        <w:t> 了《关于公司继续使用部分闲置募集资金补充流动资金的议案》。</w:t>
      </w:r>
    </w:p>
    <w:p>
      <w:pPr>
        <w:pStyle w:val="BodyText"/>
        <w:spacing w:line="338" w:lineRule="auto" w:before="74"/>
        <w:ind w:right="1122" w:firstLine="480"/>
        <w:jc w:val="left"/>
      </w:pPr>
      <w:r>
        <w:rPr/>
        <w:t>公司第三届监事会</w:t>
      </w:r>
      <w:r>
        <w:rPr>
          <w:spacing w:val="-61"/>
        </w:rPr>
        <w:t> </w:t>
      </w:r>
      <w:r>
        <w:rPr>
          <w:rFonts w:ascii="宋体" w:hAnsi="宋体" w:cs="宋体" w:eastAsia="宋体" w:hint="default"/>
        </w:rPr>
        <w:t>2011</w:t>
      </w:r>
      <w:r>
        <w:rPr>
          <w:rFonts w:ascii="宋体" w:hAnsi="宋体" w:cs="宋体" w:eastAsia="宋体" w:hint="default"/>
          <w:spacing w:val="-60"/>
        </w:rPr>
        <w:t> </w:t>
      </w:r>
      <w:r>
        <w:rPr/>
        <w:t>年第六次会议决议及相关内容刊登于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14 </w:t>
      </w:r>
      <w:r>
        <w:rPr>
          <w:spacing w:val="-15"/>
        </w:rPr>
        <w:t>日《证券时</w:t>
      </w:r>
      <w:r>
        <w:rPr/>
        <w:t> </w:t>
      </w:r>
      <w:r>
        <w:rPr>
          <w:spacing w:val="-15"/>
        </w:rPr>
        <w:t>报》、《中国证券报》及巨潮资讯网站</w:t>
      </w:r>
      <w:r>
        <w:rPr/>
        <w:t> </w:t>
      </w:r>
      <w:r>
        <w:rPr>
          <w:rFonts w:ascii="Times New Roman" w:hAnsi="Times New Roman" w:cs="Times New Roman" w:eastAsia="Times New Roman" w:hint="default"/>
        </w:rPr>
      </w:r>
      <w:hyperlink r:id="rId12">
        <w:r>
          <w:rPr>
            <w:rFonts w:ascii="Times New Roman" w:hAnsi="Times New Roman" w:cs="Times New Roman" w:eastAsia="Times New Roman" w:hint="default"/>
            <w:spacing w:val="-2"/>
            <w:w w:val="99"/>
            <w:u w:val="single" w:color="000000"/>
          </w:rPr>
          <w:t>www.cninfo.com.cn</w:t>
        </w:r>
        <w:r>
          <w:rPr>
            <w:rFonts w:ascii="Times New Roman" w:hAnsi="Times New Roman" w:cs="Times New Roman" w:eastAsia="Times New Roman" w:hint="default"/>
            <w:spacing w:val="31"/>
            <w:w w:val="99"/>
            <w:u w:val="single" w:color="000000"/>
          </w:rPr>
          <w:t> </w:t>
        </w:r>
        <w:r>
          <w:rPr>
            <w:rFonts w:ascii="Times New Roman" w:hAnsi="Times New Roman" w:cs="Times New Roman" w:eastAsia="Times New Roman" w:hint="default"/>
            <w:spacing w:val="31"/>
            <w:w w:val="99"/>
          </w:rPr>
        </w:r>
      </w:hyperlink>
      <w:r>
        <w:rPr>
          <w:rFonts w:ascii="Times New Roman" w:hAnsi="Times New Roman" w:cs="Times New Roman" w:eastAsia="Times New Roman" w:hint="default"/>
          <w:spacing w:val="31"/>
          <w:w w:val="99"/>
        </w:rPr>
      </w:r>
      <w:r>
        <w:rPr/>
        <w:t>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spacing w:line="240" w:lineRule="auto"/>
        <w:ind w:left="593" w:right="0"/>
        <w:jc w:val="left"/>
      </w:pPr>
      <w:r>
        <w:rPr/>
        <w:t>（七）公司于</w:t>
      </w:r>
      <w:r>
        <w:rPr>
          <w:spacing w:val="-57"/>
        </w:rPr>
        <w:t> </w:t>
      </w:r>
      <w:r>
        <w:rPr>
          <w:rFonts w:ascii="宋体" w:hAnsi="宋体" w:cs="宋体" w:eastAsia="宋体" w:hint="default"/>
        </w:rPr>
        <w:t>2011</w:t>
      </w:r>
      <w:r>
        <w:rPr>
          <w:rFonts w:ascii="宋体" w:hAnsi="宋体" w:cs="宋体" w:eastAsia="宋体" w:hint="default"/>
          <w:spacing w:val="-57"/>
        </w:rPr>
        <w:t> </w:t>
      </w:r>
      <w:r>
        <w:rPr/>
        <w:t>年</w:t>
      </w:r>
      <w:r>
        <w:rPr>
          <w:spacing w:val="-56"/>
        </w:rPr>
        <w:t> </w:t>
      </w:r>
      <w:r>
        <w:rPr>
          <w:rFonts w:ascii="宋体" w:hAnsi="宋体" w:cs="宋体" w:eastAsia="宋体" w:hint="default"/>
        </w:rPr>
        <w:t>10</w:t>
      </w:r>
      <w:r>
        <w:rPr>
          <w:rFonts w:ascii="宋体" w:hAnsi="宋体" w:cs="宋体" w:eastAsia="宋体" w:hint="default"/>
          <w:spacing w:val="-57"/>
        </w:rPr>
        <w:t> </w:t>
      </w:r>
      <w:r>
        <w:rPr/>
        <w:t>月</w:t>
      </w:r>
      <w:r>
        <w:rPr>
          <w:spacing w:val="-57"/>
        </w:rPr>
        <w:t> </w:t>
      </w:r>
      <w:r>
        <w:rPr>
          <w:rFonts w:ascii="宋体" w:hAnsi="宋体" w:cs="宋体" w:eastAsia="宋体" w:hint="default"/>
        </w:rPr>
        <w:t>26</w:t>
      </w:r>
      <w:r>
        <w:rPr>
          <w:rFonts w:ascii="宋体" w:hAnsi="宋体" w:cs="宋体" w:eastAsia="宋体" w:hint="default"/>
          <w:spacing w:val="-57"/>
        </w:rPr>
        <w:t> </w:t>
      </w:r>
      <w:r>
        <w:rPr/>
        <w:t>日召开第三届监事会</w:t>
      </w:r>
      <w:r>
        <w:rPr>
          <w:spacing w:val="-56"/>
        </w:rPr>
        <w:t> </w:t>
      </w:r>
      <w:r>
        <w:rPr>
          <w:rFonts w:ascii="宋体" w:hAnsi="宋体" w:cs="宋体" w:eastAsia="宋体" w:hint="default"/>
        </w:rPr>
        <w:t>2011</w:t>
      </w:r>
      <w:r>
        <w:rPr>
          <w:rFonts w:ascii="宋体" w:hAnsi="宋体" w:cs="宋体" w:eastAsia="宋体" w:hint="default"/>
          <w:spacing w:val="-57"/>
        </w:rPr>
        <w:t> </w:t>
      </w:r>
      <w:r>
        <w:rPr/>
        <w:t>年第七次会议，会议审议并通</w:t>
      </w:r>
    </w:p>
    <w:p>
      <w:pPr>
        <w:pStyle w:val="BodyText"/>
        <w:spacing w:line="240" w:lineRule="auto" w:before="151"/>
        <w:ind w:right="0"/>
        <w:jc w:val="both"/>
      </w:pPr>
      <w:r>
        <w:rPr/>
        <w:t>过了《深圳劲嘉彩印集团股份有限公司</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年第三季度报告》。</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4"/>
          <w:szCs w:val="34"/>
        </w:rPr>
      </w:pPr>
    </w:p>
    <w:p>
      <w:pPr>
        <w:pStyle w:val="Heading3"/>
        <w:spacing w:line="240" w:lineRule="auto"/>
        <w:ind w:right="0"/>
        <w:jc w:val="both"/>
        <w:rPr>
          <w:b w:val="0"/>
          <w:bCs w:val="0"/>
        </w:rPr>
      </w:pPr>
      <w:r>
        <w:rPr/>
        <w:t>二、 </w:t>
      </w:r>
      <w:r>
        <w:rPr>
          <w:spacing w:val="85"/>
        </w:rPr>
        <w:t> </w:t>
      </w:r>
      <w:r>
        <w:rPr/>
        <w:t>监事会发表的意见</w:t>
      </w:r>
      <w:r>
        <w:rPr>
          <w:b w:val="0"/>
          <w:bCs w:val="0"/>
        </w:rPr>
      </w:r>
    </w:p>
    <w:p>
      <w:pPr>
        <w:spacing w:line="240" w:lineRule="auto" w:before="4"/>
        <w:rPr>
          <w:rFonts w:ascii="宋体" w:hAnsi="宋体" w:cs="宋体" w:eastAsia="宋体" w:hint="default"/>
          <w:b/>
          <w:bCs/>
          <w:sz w:val="26"/>
          <w:szCs w:val="26"/>
        </w:rPr>
      </w:pPr>
    </w:p>
    <w:p>
      <w:pPr>
        <w:spacing w:line="388" w:lineRule="auto" w:before="0"/>
        <w:ind w:left="533" w:right="1213" w:firstLine="62"/>
        <w:jc w:val="left"/>
        <w:rPr>
          <w:rFonts w:ascii="宋体" w:hAnsi="宋体" w:cs="宋体" w:eastAsia="宋体" w:hint="default"/>
          <w:sz w:val="24"/>
          <w:szCs w:val="24"/>
        </w:rPr>
      </w:pPr>
      <w:r>
        <w:rPr>
          <w:rFonts w:ascii="宋体" w:hAnsi="宋体" w:cs="宋体" w:eastAsia="宋体" w:hint="default"/>
          <w:b/>
          <w:bCs/>
          <w:sz w:val="24"/>
          <w:szCs w:val="24"/>
        </w:rPr>
        <w:t>（一）公司依法运作情况</w:t>
      </w:r>
      <w:r>
        <w:rPr>
          <w:rFonts w:ascii="宋体" w:hAnsi="宋体" w:cs="宋体" w:eastAsia="宋体" w:hint="default"/>
          <w:b/>
          <w:bCs/>
          <w:w w:val="99"/>
          <w:sz w:val="24"/>
          <w:szCs w:val="24"/>
        </w:rPr>
        <w:t> </w:t>
      </w:r>
      <w:r>
        <w:rPr>
          <w:rFonts w:ascii="宋体" w:hAnsi="宋体" w:cs="宋体" w:eastAsia="宋体" w:hint="default"/>
          <w:sz w:val="24"/>
          <w:szCs w:val="24"/>
        </w:rPr>
        <w:t>根据《公司法》、《证券法》及《公司章程》等相关法律、法规的有关规定，监事会认</w:t>
      </w:r>
    </w:p>
    <w:p>
      <w:pPr>
        <w:pStyle w:val="BodyText"/>
        <w:spacing w:line="357" w:lineRule="auto" w:before="2"/>
        <w:ind w:right="1169"/>
        <w:jc w:val="both"/>
      </w:pPr>
      <w:r>
        <w:rPr/>
        <w:t>真履行职责，对公司决策程序的合法性、董事会对股东大会决议事项的执行情况、内控制度 的建设情况、公司董事、高级管理人员各项职权的履行情况进行了监督。监事会认为：董事 会运作规范、决策合理、程序合法，认真执行股东大会的各项决议；公司的内部控制制度较 为完善。</w:t>
      </w:r>
    </w:p>
    <w:p>
      <w:pPr>
        <w:pStyle w:val="Heading3"/>
        <w:spacing w:line="240" w:lineRule="auto" w:before="72"/>
        <w:ind w:left="595" w:right="0"/>
        <w:jc w:val="left"/>
        <w:rPr>
          <w:b w:val="0"/>
          <w:bCs w:val="0"/>
        </w:rPr>
      </w:pPr>
      <w:r>
        <w:rPr/>
        <w:t>（二）检查公司财务的情况</w:t>
      </w:r>
      <w:r>
        <w:rPr>
          <w:b w:val="0"/>
          <w:bCs w:val="0"/>
        </w:rPr>
      </w:r>
    </w:p>
    <w:p>
      <w:pPr>
        <w:spacing w:after="0" w:line="240" w:lineRule="auto"/>
        <w:jc w:val="left"/>
        <w:sectPr>
          <w:pgSz w:w="11910" w:h="16840"/>
          <w:pgMar w:header="920" w:footer="956" w:top="1140" w:bottom="1140" w:left="1020" w:right="0"/>
        </w:sectPr>
      </w:pPr>
    </w:p>
    <w:p>
      <w:pPr>
        <w:pStyle w:val="BodyText"/>
        <w:spacing w:line="357" w:lineRule="auto" w:before="19"/>
        <w:ind w:right="1169" w:firstLine="420"/>
        <w:jc w:val="both"/>
      </w:pPr>
      <w:r>
        <w:rPr/>
        <w:t>监事会对</w:t>
      </w:r>
      <w:r>
        <w:rPr>
          <w:rFonts w:ascii="宋体" w:hAnsi="宋体" w:cs="宋体" w:eastAsia="宋体" w:hint="default"/>
        </w:rPr>
        <w:t>2011</w:t>
      </w:r>
      <w:r>
        <w:rPr/>
        <w:t>年度公司的财务状况和财务管理等情况进行了认真的监督、检查和审核， 监事会认为：公司财务制度健全、财务运作规范、财务状况良好；公司</w:t>
      </w:r>
      <w:r>
        <w:rPr>
          <w:rFonts w:ascii="宋体" w:hAnsi="宋体" w:cs="宋体" w:eastAsia="宋体" w:hint="default"/>
        </w:rPr>
        <w:t>2011</w:t>
      </w:r>
      <w:r>
        <w:rPr/>
        <w:t>年度财务报告符 合《企业会计准则》和《企业会计制度》的有关规定，客观、真实、准确地反映了公司的财 务状况和经营成果，并经深圳市鹏城会计师事务所有限公司出具了标准无保留意见的审计报 告。</w:t>
      </w:r>
    </w:p>
    <w:p>
      <w:pPr>
        <w:spacing w:line="388" w:lineRule="auto" w:before="72"/>
        <w:ind w:left="593" w:right="1153" w:firstLine="2"/>
        <w:jc w:val="left"/>
        <w:rPr>
          <w:rFonts w:ascii="宋体" w:hAnsi="宋体" w:cs="宋体" w:eastAsia="宋体" w:hint="default"/>
          <w:sz w:val="24"/>
          <w:szCs w:val="24"/>
        </w:rPr>
      </w:pPr>
      <w:r>
        <w:rPr>
          <w:rFonts w:ascii="宋体" w:hAnsi="宋体" w:cs="宋体" w:eastAsia="宋体" w:hint="default"/>
          <w:b/>
          <w:bCs/>
          <w:sz w:val="24"/>
          <w:szCs w:val="24"/>
        </w:rPr>
        <w:t>（三）募集资金使用情况</w:t>
      </w:r>
      <w:r>
        <w:rPr>
          <w:rFonts w:ascii="宋体" w:hAnsi="宋体" w:cs="宋体" w:eastAsia="宋体" w:hint="default"/>
          <w:b/>
          <w:bCs/>
          <w:w w:val="99"/>
          <w:sz w:val="24"/>
          <w:szCs w:val="24"/>
        </w:rPr>
        <w:t> </w:t>
      </w:r>
      <w:r>
        <w:rPr>
          <w:rFonts w:ascii="宋体" w:hAnsi="宋体" w:cs="宋体" w:eastAsia="宋体" w:hint="default"/>
          <w:sz w:val="24"/>
          <w:szCs w:val="24"/>
        </w:rPr>
        <w:t>报告期内，监事会对公司募集资金使用情况进行了检查，认为募集资金投资项目与承诺</w:t>
      </w:r>
    </w:p>
    <w:p>
      <w:pPr>
        <w:pStyle w:val="BodyText"/>
        <w:spacing w:line="357" w:lineRule="auto" w:before="2"/>
        <w:ind w:right="1154"/>
        <w:jc w:val="left"/>
      </w:pPr>
      <w:r>
        <w:rPr/>
        <w:t>投资项目一致，公司按照《中小企业板上市公司募集资金管理细则》对募集资金使用进行管 理，符合公司实际生产经营的需要。</w:t>
      </w:r>
    </w:p>
    <w:p>
      <w:pPr>
        <w:pStyle w:val="BodyText"/>
        <w:spacing w:line="240" w:lineRule="auto" w:before="75"/>
        <w:ind w:left="593" w:right="0"/>
        <w:jc w:val="left"/>
      </w:pPr>
      <w:r>
        <w:rPr>
          <w:spacing w:val="-7"/>
        </w:rPr>
        <w:t>报告期内，经</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9</w:t>
      </w:r>
      <w:r>
        <w:rPr>
          <w:rFonts w:ascii="宋体" w:hAnsi="宋体" w:cs="宋体" w:eastAsia="宋体" w:hint="default"/>
          <w:spacing w:val="-59"/>
        </w:rPr>
        <w:t> </w:t>
      </w:r>
      <w:r>
        <w:rPr/>
        <w:t>月</w:t>
      </w:r>
      <w:r>
        <w:rPr>
          <w:spacing w:val="-59"/>
        </w:rPr>
        <w:t> </w:t>
      </w:r>
      <w:r>
        <w:rPr>
          <w:rFonts w:ascii="宋体" w:hAnsi="宋体" w:cs="宋体" w:eastAsia="宋体" w:hint="default"/>
        </w:rPr>
        <w:t>20</w:t>
      </w:r>
      <w:r>
        <w:rPr>
          <w:rFonts w:ascii="宋体" w:hAnsi="宋体" w:cs="宋体" w:eastAsia="宋体" w:hint="default"/>
          <w:spacing w:val="-59"/>
        </w:rPr>
        <w:t> </w:t>
      </w:r>
      <w:r>
        <w:rPr/>
        <w:t>日第三届董事会</w:t>
      </w:r>
      <w:r>
        <w:rPr>
          <w:spacing w:val="-59"/>
        </w:rPr>
        <w:t> </w:t>
      </w:r>
      <w:r>
        <w:rPr>
          <w:rFonts w:ascii="宋体" w:hAnsi="宋体" w:cs="宋体" w:eastAsia="宋体" w:hint="default"/>
        </w:rPr>
        <w:t>2010</w:t>
      </w:r>
      <w:r>
        <w:rPr>
          <w:rFonts w:ascii="宋体" w:hAnsi="宋体" w:cs="宋体" w:eastAsia="宋体" w:hint="default"/>
          <w:spacing w:val="-59"/>
        </w:rPr>
        <w:t> </w:t>
      </w:r>
      <w:r>
        <w:rPr>
          <w:spacing w:val="-3"/>
        </w:rPr>
        <w:t>年第五次会议审议通过，公司继续使</w:t>
      </w:r>
    </w:p>
    <w:p>
      <w:pPr>
        <w:pStyle w:val="BodyText"/>
        <w:spacing w:line="240" w:lineRule="auto" w:before="154"/>
        <w:ind w:right="0"/>
        <w:jc w:val="left"/>
        <w:rPr>
          <w:rFonts w:ascii="宋体" w:hAnsi="宋体" w:cs="宋体" w:eastAsia="宋体" w:hint="default"/>
        </w:rPr>
      </w:pPr>
      <w:r>
        <w:rPr/>
        <w:t>用部分闲置的募集资金暂时补充流动资金，金额为人民币</w:t>
      </w:r>
      <w:r>
        <w:rPr>
          <w:spacing w:val="-65"/>
        </w:rPr>
        <w:t> </w:t>
      </w:r>
      <w:r>
        <w:rPr>
          <w:rFonts w:ascii="宋体" w:hAnsi="宋体" w:cs="宋体" w:eastAsia="宋体" w:hint="default"/>
        </w:rPr>
        <w:t>11000</w:t>
      </w:r>
      <w:r>
        <w:rPr>
          <w:rFonts w:ascii="宋体" w:hAnsi="宋体" w:cs="宋体" w:eastAsia="宋体" w:hint="default"/>
          <w:spacing w:val="-65"/>
        </w:rPr>
        <w:t> </w:t>
      </w:r>
      <w:r>
        <w:rPr/>
        <w:t>万元，使用期限为</w:t>
      </w:r>
      <w:r>
        <w:rPr>
          <w:spacing w:val="-65"/>
        </w:rPr>
        <w:t> </w:t>
      </w: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9</w:t>
      </w:r>
    </w:p>
    <w:p>
      <w:pPr>
        <w:pStyle w:val="BodyText"/>
        <w:spacing w:line="357" w:lineRule="auto" w:before="151"/>
        <w:ind w:right="1122"/>
        <w:jc w:val="left"/>
      </w:pPr>
      <w:r>
        <w:rPr/>
        <w:t>月</w:t>
      </w:r>
      <w:r>
        <w:rPr>
          <w:spacing w:val="-60"/>
        </w:rPr>
        <w:t> </w:t>
      </w:r>
      <w:r>
        <w:rPr>
          <w:rFonts w:ascii="宋体" w:hAnsi="宋体" w:cs="宋体" w:eastAsia="宋体" w:hint="default"/>
        </w:rPr>
        <w:t>21</w:t>
      </w:r>
      <w:r>
        <w:rPr>
          <w:rFonts w:ascii="宋体" w:hAnsi="宋体" w:cs="宋体" w:eastAsia="宋体" w:hint="default"/>
          <w:spacing w:val="-60"/>
        </w:rPr>
        <w:t> </w:t>
      </w:r>
      <w:r>
        <w:rPr/>
        <w:t>日至</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spacing w:val="-3"/>
        </w:rPr>
        <w:t>日，该项募集资金使用的决策、审批程序符合募集资金使用的管理</w:t>
      </w:r>
      <w:r>
        <w:rPr/>
        <w:t> 规定。</w:t>
      </w:r>
    </w:p>
    <w:p>
      <w:pPr>
        <w:pStyle w:val="BodyText"/>
        <w:spacing w:line="240" w:lineRule="auto" w:before="74"/>
        <w:ind w:left="593" w:right="0"/>
        <w:jc w:val="left"/>
      </w:pPr>
      <w:r>
        <w:rPr/>
        <w:t>经</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日第三届董事会</w:t>
      </w:r>
      <w:r>
        <w:rPr>
          <w:spacing w:val="-60"/>
        </w:rPr>
        <w:t> </w:t>
      </w:r>
      <w:r>
        <w:rPr>
          <w:rFonts w:ascii="宋体" w:hAnsi="宋体" w:cs="宋体" w:eastAsia="宋体" w:hint="default"/>
        </w:rPr>
        <w:t>2011</w:t>
      </w:r>
      <w:r>
        <w:rPr>
          <w:rFonts w:ascii="宋体" w:hAnsi="宋体" w:cs="宋体" w:eastAsia="宋体" w:hint="default"/>
          <w:spacing w:val="-60"/>
        </w:rPr>
        <w:t> </w:t>
      </w:r>
      <w:r>
        <w:rPr>
          <w:spacing w:val="-4"/>
        </w:rPr>
        <w:t>年第一次会议审议通过，公司继续使用部分闲置</w:t>
      </w:r>
    </w:p>
    <w:p>
      <w:pPr>
        <w:pStyle w:val="BodyText"/>
        <w:spacing w:line="240" w:lineRule="auto" w:before="151"/>
        <w:ind w:right="0"/>
        <w:jc w:val="left"/>
      </w:pPr>
      <w:r>
        <w:rPr/>
        <w:t>的募集资金暂时补充流动资金，金额为人民币</w:t>
      </w:r>
      <w:r>
        <w:rPr>
          <w:spacing w:val="-59"/>
        </w:rPr>
        <w:t> </w:t>
      </w:r>
      <w:r>
        <w:rPr>
          <w:rFonts w:ascii="宋体" w:hAnsi="宋体" w:cs="宋体" w:eastAsia="宋体" w:hint="default"/>
        </w:rPr>
        <w:t>11000</w:t>
      </w:r>
      <w:r>
        <w:rPr>
          <w:rFonts w:ascii="宋体" w:hAnsi="宋体" w:cs="宋体" w:eastAsia="宋体" w:hint="default"/>
          <w:spacing w:val="-60"/>
        </w:rPr>
        <w:t> </w:t>
      </w:r>
      <w:r>
        <w:rPr/>
        <w:t>万元，使用期限为</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日至</w:t>
      </w:r>
    </w:p>
    <w:p>
      <w:pPr>
        <w:pStyle w:val="BodyText"/>
        <w:spacing w:line="240" w:lineRule="auto" w:before="154"/>
        <w:ind w:right="0"/>
        <w:jc w:val="left"/>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1"/>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日，该项募集资金使用的决策、审批程序符合募集资金使用的管理规定。</w:t>
      </w:r>
    </w:p>
    <w:p>
      <w:pPr>
        <w:pStyle w:val="BodyText"/>
        <w:spacing w:line="240" w:lineRule="auto" w:before="192"/>
        <w:ind w:left="593" w:right="0"/>
        <w:jc w:val="left"/>
      </w:pPr>
      <w:r>
        <w:rPr/>
        <w:t>经</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日第三届董事会</w:t>
      </w:r>
      <w:r>
        <w:rPr>
          <w:spacing w:val="-60"/>
        </w:rPr>
        <w:t> </w:t>
      </w:r>
      <w:r>
        <w:rPr>
          <w:rFonts w:ascii="宋体" w:hAnsi="宋体" w:cs="宋体" w:eastAsia="宋体" w:hint="default"/>
        </w:rPr>
        <w:t>2011</w:t>
      </w:r>
      <w:r>
        <w:rPr>
          <w:rFonts w:ascii="宋体" w:hAnsi="宋体" w:cs="宋体" w:eastAsia="宋体" w:hint="default"/>
          <w:spacing w:val="-60"/>
        </w:rPr>
        <w:t> </w:t>
      </w:r>
      <w:r>
        <w:rPr>
          <w:spacing w:val="-4"/>
        </w:rPr>
        <w:t>年第八次会议审议通过，公司继续使用部分闲置</w:t>
      </w:r>
    </w:p>
    <w:p>
      <w:pPr>
        <w:pStyle w:val="BodyText"/>
        <w:spacing w:line="240" w:lineRule="auto" w:before="154"/>
        <w:ind w:right="0"/>
        <w:jc w:val="left"/>
      </w:pPr>
      <w:r>
        <w:rPr/>
        <w:t>的募集资金暂时补充流动资金，金额为人民币</w:t>
      </w:r>
      <w:r>
        <w:rPr>
          <w:spacing w:val="-60"/>
        </w:rPr>
        <w:t> </w:t>
      </w:r>
      <w:r>
        <w:rPr>
          <w:rFonts w:ascii="宋体" w:hAnsi="宋体" w:cs="宋体" w:eastAsia="宋体" w:hint="default"/>
        </w:rPr>
        <w:t>11000</w:t>
      </w:r>
      <w:r>
        <w:rPr>
          <w:rFonts w:ascii="宋体" w:hAnsi="宋体" w:cs="宋体" w:eastAsia="宋体" w:hint="default"/>
          <w:spacing w:val="-60"/>
        </w:rPr>
        <w:t> </w:t>
      </w:r>
      <w:r>
        <w:rPr/>
        <w:t>万元，使用期限为</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日至</w:t>
      </w:r>
    </w:p>
    <w:p>
      <w:pPr>
        <w:pStyle w:val="BodyText"/>
        <w:spacing w:line="240" w:lineRule="auto" w:before="151"/>
        <w:ind w:right="0"/>
        <w:jc w:val="left"/>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1"/>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日，该项募集资金使用的决策、审批程序符合募集资金使用的管理规定。</w:t>
      </w:r>
    </w:p>
    <w:p>
      <w:pPr>
        <w:pStyle w:val="Heading3"/>
        <w:spacing w:line="240" w:lineRule="auto" w:before="192"/>
        <w:ind w:left="473" w:right="0"/>
        <w:jc w:val="left"/>
        <w:rPr>
          <w:b w:val="0"/>
          <w:bCs w:val="0"/>
        </w:rPr>
      </w:pPr>
      <w:r>
        <w:rPr/>
        <w:t>（四）收购、出售资产</w:t>
      </w:r>
      <w:r>
        <w:rPr>
          <w:b w:val="0"/>
          <w:bCs w:val="0"/>
        </w:rPr>
      </w:r>
    </w:p>
    <w:p>
      <w:pPr>
        <w:pStyle w:val="BodyText"/>
        <w:spacing w:line="355" w:lineRule="auto" w:before="194"/>
        <w:ind w:right="1115" w:firstLine="480"/>
        <w:jc w:val="left"/>
      </w:pPr>
      <w:r>
        <w:rPr>
          <w:rFonts w:ascii="宋体" w:hAnsi="宋体" w:cs="宋体" w:eastAsia="宋体" w:hint="default"/>
        </w:rPr>
        <w:t>1</w:t>
      </w:r>
      <w:r>
        <w:rPr/>
        <w:t>、报告期内，公司拟收购江西丰彩丽印刷包装有限公司</w:t>
      </w:r>
      <w:r>
        <w:rPr>
          <w:spacing w:val="-81"/>
        </w:rPr>
        <w:t> </w:t>
      </w:r>
      <w:r>
        <w:rPr>
          <w:rFonts w:ascii="宋体" w:hAnsi="宋体" w:cs="宋体" w:eastAsia="宋体" w:hint="default"/>
        </w:rPr>
        <w:t>52%</w:t>
      </w:r>
      <w:r>
        <w:rPr/>
        <w:t>股权、重庆宏声印务有限责 任公司</w:t>
      </w:r>
      <w:r>
        <w:rPr>
          <w:spacing w:val="-61"/>
        </w:rPr>
        <w:t> </w:t>
      </w:r>
      <w:r>
        <w:rPr>
          <w:rFonts w:ascii="宋体" w:hAnsi="宋体" w:cs="宋体" w:eastAsia="宋体" w:hint="default"/>
        </w:rPr>
        <w:t>57%</w:t>
      </w:r>
      <w:r>
        <w:rPr/>
        <w:t>股权。</w:t>
      </w:r>
      <w:r>
        <w:rPr>
          <w:rFonts w:ascii="宋体" w:hAnsi="宋体" w:cs="宋体" w:eastAsia="宋体" w:hint="default"/>
        </w:rPr>
        <w:t>2012</w:t>
      </w:r>
      <w:r>
        <w:rPr>
          <w:rFonts w:ascii="宋体" w:hAnsi="宋体" w:cs="宋体" w:eastAsia="宋体" w:hint="default"/>
          <w:spacing w:val="-61"/>
        </w:rPr>
        <w:t> </w:t>
      </w:r>
      <w:r>
        <w:rPr/>
        <w:t>年</w:t>
      </w:r>
      <w:r>
        <w:rPr>
          <w:spacing w:val="-61"/>
        </w:rPr>
        <w:t> </w:t>
      </w:r>
      <w:r>
        <w:rPr>
          <w:rFonts w:ascii="宋体" w:hAnsi="宋体" w:cs="宋体" w:eastAsia="宋体" w:hint="default"/>
        </w:rPr>
        <w:t>1</w:t>
      </w:r>
      <w:r>
        <w:rPr>
          <w:rFonts w:ascii="宋体" w:hAnsi="宋体" w:cs="宋体" w:eastAsia="宋体" w:hint="default"/>
          <w:spacing w:val="-61"/>
        </w:rPr>
        <w:t> </w:t>
      </w:r>
      <w:r>
        <w:rPr/>
        <w:t>月、</w:t>
      </w:r>
      <w:r>
        <w:rPr>
          <w:rFonts w:ascii="宋体" w:hAnsi="宋体" w:cs="宋体" w:eastAsia="宋体" w:hint="default"/>
        </w:rPr>
        <w:t>2</w:t>
      </w:r>
      <w:r>
        <w:rPr>
          <w:rFonts w:ascii="宋体" w:hAnsi="宋体" w:cs="宋体" w:eastAsia="宋体" w:hint="default"/>
          <w:spacing w:val="-61"/>
        </w:rPr>
        <w:t> </w:t>
      </w:r>
      <w:r>
        <w:rPr/>
        <w:t>月，公司分别完成了上述收购股权的工商变更手续。</w:t>
      </w:r>
    </w:p>
    <w:p>
      <w:pPr>
        <w:pStyle w:val="BodyText"/>
        <w:spacing w:line="388" w:lineRule="auto" w:before="77"/>
        <w:ind w:left="593" w:right="1153"/>
        <w:jc w:val="left"/>
      </w:pPr>
      <w:r>
        <w:rPr>
          <w:rFonts w:ascii="宋体" w:hAnsi="宋体" w:cs="宋体" w:eastAsia="宋体" w:hint="default"/>
        </w:rPr>
        <w:t>2</w:t>
      </w:r>
      <w:r>
        <w:rPr/>
        <w:t>、报告期内，公司出售所持湖州天外绿包印刷有限公司</w:t>
      </w:r>
      <w:r>
        <w:rPr>
          <w:spacing w:val="-60"/>
        </w:rPr>
        <w:t> </w:t>
      </w:r>
      <w:r>
        <w:rPr>
          <w:rFonts w:ascii="宋体" w:hAnsi="宋体" w:cs="宋体" w:eastAsia="宋体" w:hint="default"/>
        </w:rPr>
        <w:t>53.05%</w:t>
      </w:r>
      <w:r>
        <w:rPr/>
        <w:t>股权。 公司的上述交易合法，按照市场原则定价，交易价格合理，无内幕交易，无损害部分股</w:t>
      </w:r>
    </w:p>
    <w:p>
      <w:pPr>
        <w:pStyle w:val="BodyText"/>
        <w:spacing w:line="240" w:lineRule="auto" w:before="2"/>
        <w:ind w:right="0"/>
        <w:jc w:val="left"/>
      </w:pPr>
      <w:r>
        <w:rPr/>
        <w:t>东的权益情况，未造成公司资产流失。</w:t>
      </w:r>
    </w:p>
    <w:p>
      <w:pPr>
        <w:spacing w:line="388" w:lineRule="auto" w:before="192"/>
        <w:ind w:left="593" w:right="0" w:hanging="8"/>
        <w:jc w:val="left"/>
        <w:rPr>
          <w:rFonts w:ascii="宋体" w:hAnsi="宋体" w:cs="宋体" w:eastAsia="宋体" w:hint="default"/>
          <w:sz w:val="24"/>
          <w:szCs w:val="24"/>
        </w:rPr>
      </w:pPr>
      <w:r>
        <w:rPr>
          <w:rFonts w:ascii="宋体" w:hAnsi="宋体" w:cs="宋体" w:eastAsia="宋体" w:hint="default"/>
          <w:b/>
          <w:bCs/>
          <w:sz w:val="24"/>
          <w:szCs w:val="24"/>
        </w:rPr>
        <w:t>（五）关联交易情况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报告期内，公司关联交易均遵循了市场原则进行，交易客观、公正、公平，不存在内幕</w:t>
      </w:r>
    </w:p>
    <w:p>
      <w:pPr>
        <w:pStyle w:val="BodyText"/>
        <w:spacing w:line="240" w:lineRule="auto" w:before="2"/>
        <w:ind w:right="0"/>
        <w:jc w:val="left"/>
      </w:pPr>
      <w:r>
        <w:rPr/>
        <w:t>交易，未损害公司及股东的利益。</w:t>
      </w:r>
    </w:p>
    <w:p>
      <w:pPr>
        <w:pStyle w:val="Heading3"/>
        <w:spacing w:line="240" w:lineRule="auto" w:before="192"/>
        <w:ind w:left="595" w:right="0"/>
        <w:jc w:val="left"/>
        <w:rPr>
          <w:b w:val="0"/>
          <w:bCs w:val="0"/>
        </w:rPr>
      </w:pPr>
      <w:r>
        <w:rPr/>
        <w:t>（六）内部控制自我评价报告</w:t>
      </w:r>
      <w:r>
        <w:rPr>
          <w:b w:val="0"/>
          <w:bCs w:val="0"/>
        </w:rPr>
      </w:r>
    </w:p>
    <w:p>
      <w:pPr>
        <w:pStyle w:val="BodyText"/>
        <w:spacing w:line="240" w:lineRule="auto" w:before="192"/>
        <w:ind w:left="0" w:right="426"/>
        <w:jc w:val="center"/>
      </w:pPr>
      <w:r>
        <w:rPr/>
        <w:t>监事会审议了《</w:t>
      </w:r>
      <w:r>
        <w:rPr>
          <w:rFonts w:ascii="宋体" w:hAnsi="宋体" w:cs="宋体" w:eastAsia="宋体" w:hint="default"/>
        </w:rPr>
        <w:t>2011</w:t>
      </w:r>
      <w:r>
        <w:rPr>
          <w:rFonts w:ascii="宋体" w:hAnsi="宋体" w:cs="宋体" w:eastAsia="宋体" w:hint="default"/>
          <w:spacing w:val="31"/>
        </w:rPr>
        <w:t> </w:t>
      </w:r>
      <w:r>
        <w:rPr/>
        <w:t>年度公司内部控制的自我评价报告》，认为该报告客观反映了公</w:t>
      </w:r>
    </w:p>
    <w:p>
      <w:pPr>
        <w:spacing w:after="0" w:line="240" w:lineRule="auto"/>
        <w:jc w:val="center"/>
        <w:sectPr>
          <w:headerReference w:type="default" r:id="rId32"/>
          <w:pgSz w:w="11910" w:h="16840"/>
          <w:pgMar w:header="920" w:footer="956" w:top="1140" w:bottom="1140" w:left="1020" w:right="0"/>
        </w:sectPr>
      </w:pPr>
    </w:p>
    <w:p>
      <w:pPr>
        <w:pStyle w:val="BodyText"/>
        <w:spacing w:line="240" w:lineRule="auto" w:before="19"/>
        <w:ind w:right="0"/>
        <w:jc w:val="left"/>
      </w:pPr>
      <w:r>
        <w:rPr>
          <w:spacing w:val="-5"/>
        </w:rPr>
        <w:t>司目前的内部控制情况，对董事会出具的《</w:t>
      </w:r>
      <w:r>
        <w:rPr>
          <w:rFonts w:ascii="宋体" w:hAnsi="宋体" w:cs="宋体" w:eastAsia="宋体" w:hint="default"/>
          <w:spacing w:val="-5"/>
        </w:rPr>
        <w:t>2011</w:t>
      </w:r>
      <w:r>
        <w:rPr>
          <w:rFonts w:ascii="宋体" w:hAnsi="宋体" w:cs="宋体" w:eastAsia="宋体" w:hint="default"/>
          <w:spacing w:val="-26"/>
        </w:rPr>
        <w:t> </w:t>
      </w:r>
      <w:r>
        <w:rPr>
          <w:spacing w:val="-3"/>
        </w:rPr>
        <w:t>年度公司内部控制的自我评价报告》无异议。</w:t>
      </w:r>
    </w:p>
    <w:p>
      <w:pPr>
        <w:spacing w:after="0" w:line="240" w:lineRule="auto"/>
        <w:jc w:val="left"/>
        <w:sectPr>
          <w:pgSz w:w="11910" w:h="16840"/>
          <w:pgMar w:header="920" w:footer="956" w:top="1140" w:bottom="1140" w:left="1020" w:right="0"/>
        </w:sectPr>
      </w:pPr>
    </w:p>
    <w:p>
      <w:pPr>
        <w:spacing w:before="7"/>
        <w:ind w:left="0" w:right="1016" w:firstLine="0"/>
        <w:jc w:val="center"/>
        <w:rPr>
          <w:rFonts w:ascii="宋体" w:hAnsi="宋体" w:cs="宋体" w:eastAsia="宋体" w:hint="default"/>
          <w:sz w:val="32"/>
          <w:szCs w:val="32"/>
        </w:rPr>
      </w:pPr>
      <w:bookmarkStart w:name="_TOC_250002" w:id="9"/>
      <w:r>
        <w:rPr>
          <w:rFonts w:ascii="宋体" w:hAnsi="宋体" w:cs="宋体" w:eastAsia="宋体" w:hint="default"/>
          <w:b/>
          <w:bCs/>
          <w:sz w:val="32"/>
          <w:szCs w:val="32"/>
        </w:rPr>
        <w:t>第九节</w:t>
      </w:r>
      <w:r>
        <w:rPr>
          <w:rFonts w:ascii="宋体" w:hAnsi="宋体" w:cs="宋体" w:eastAsia="宋体" w:hint="default"/>
          <w:b/>
          <w:bCs/>
          <w:spacing w:val="-2"/>
          <w:sz w:val="32"/>
          <w:szCs w:val="32"/>
        </w:rPr>
        <w:t> </w:t>
      </w:r>
      <w:r>
        <w:rPr>
          <w:rFonts w:ascii="宋体" w:hAnsi="宋体" w:cs="宋体" w:eastAsia="宋体" w:hint="default"/>
          <w:b/>
          <w:bCs/>
          <w:sz w:val="32"/>
          <w:szCs w:val="32"/>
        </w:rPr>
        <w:t>重要事项</w:t>
      </w:r>
      <w:bookmarkEnd w:id="9"/>
      <w:r>
        <w:rPr>
          <w:rFonts w:ascii="宋体" w:hAnsi="宋体" w:cs="宋体" w:eastAsia="宋体" w:hint="default"/>
          <w:sz w:val="32"/>
          <w:szCs w:val="32"/>
        </w:rPr>
      </w:r>
    </w:p>
    <w:p>
      <w:pPr>
        <w:pStyle w:val="Heading3"/>
        <w:spacing w:line="446" w:lineRule="auto" w:before="217"/>
        <w:ind w:left="586" w:right="2685"/>
        <w:jc w:val="left"/>
        <w:rPr>
          <w:b w:val="0"/>
          <w:bCs w:val="0"/>
        </w:rPr>
      </w:pPr>
      <w:r>
        <w:rPr/>
        <w:t>一、报告期内，公司无重大诉讼、仲裁事项。</w:t>
      </w:r>
      <w:r>
        <w:rPr>
          <w:w w:val="99"/>
        </w:rPr>
        <w:t> </w:t>
      </w:r>
      <w:r>
        <w:rPr/>
        <w:t>二、报告期内，公司未发生破产重组相关事项。</w:t>
      </w:r>
      <w:r>
        <w:rPr>
          <w:b w:val="0"/>
          <w:bCs w:val="0"/>
        </w:rPr>
      </w:r>
    </w:p>
    <w:p>
      <w:pPr>
        <w:pStyle w:val="Heading3"/>
        <w:spacing w:line="412" w:lineRule="auto" w:before="209"/>
        <w:ind w:right="1001" w:firstLine="473"/>
        <w:jc w:val="left"/>
        <w:rPr>
          <w:b w:val="0"/>
          <w:bCs w:val="0"/>
        </w:rPr>
      </w:pPr>
      <w:r>
        <w:rPr>
          <w:spacing w:val="-3"/>
        </w:rPr>
        <w:t>三、报告期内，公司未持有其他上市公司股权，未参股商业银行、证券公司、保险公司、</w:t>
      </w:r>
      <w:r>
        <w:rPr>
          <w:w w:val="99"/>
        </w:rPr>
        <w:t> </w:t>
      </w:r>
      <w:r>
        <w:rPr/>
        <w:t>信托公司和期货公司等金融企业。</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left="586" w:right="0"/>
        <w:jc w:val="left"/>
        <w:rPr>
          <w:b w:val="0"/>
          <w:bCs w:val="0"/>
        </w:rPr>
      </w:pPr>
      <w:r>
        <w:rPr/>
        <w:t>四、重大收购及出售资产事项</w:t>
      </w:r>
      <w:r>
        <w:rPr>
          <w:b w:val="0"/>
          <w:bCs w:val="0"/>
        </w:rPr>
      </w:r>
    </w:p>
    <w:p>
      <w:pPr>
        <w:pStyle w:val="BodyText"/>
        <w:spacing w:line="355" w:lineRule="auto" w:before="154"/>
        <w:ind w:right="1115" w:firstLine="480"/>
        <w:jc w:val="left"/>
      </w:pPr>
      <w:r>
        <w:rPr>
          <w:rFonts w:ascii="宋体" w:hAnsi="宋体" w:cs="宋体" w:eastAsia="宋体" w:hint="default"/>
        </w:rPr>
        <w:t>1</w:t>
      </w:r>
      <w:r>
        <w:rPr/>
        <w:t>、报告期内，公司拟收购江西丰彩丽印刷包装有限公司</w:t>
      </w:r>
      <w:r>
        <w:rPr>
          <w:spacing w:val="-81"/>
        </w:rPr>
        <w:t> </w:t>
      </w:r>
      <w:r>
        <w:rPr>
          <w:rFonts w:ascii="宋体" w:hAnsi="宋体" w:cs="宋体" w:eastAsia="宋体" w:hint="default"/>
        </w:rPr>
        <w:t>52%</w:t>
      </w:r>
      <w:r>
        <w:rPr/>
        <w:t>的股权；重庆宏声印务有限 责任公司</w:t>
      </w:r>
      <w:r>
        <w:rPr>
          <w:spacing w:val="-60"/>
        </w:rPr>
        <w:t> </w:t>
      </w:r>
      <w:r>
        <w:rPr>
          <w:rFonts w:ascii="宋体" w:hAnsi="宋体" w:cs="宋体" w:eastAsia="宋体" w:hint="default"/>
        </w:rPr>
        <w:t>57%</w:t>
      </w:r>
      <w:r>
        <w:rPr/>
        <w:t>的股权。</w:t>
      </w:r>
    </w:p>
    <w:p>
      <w:pPr>
        <w:pStyle w:val="BodyText"/>
        <w:spacing w:line="357" w:lineRule="auto" w:before="38"/>
        <w:ind w:right="1010" w:firstLine="480"/>
        <w:jc w:val="left"/>
      </w:pPr>
      <w:r>
        <w:rPr/>
        <w:t>（</w:t>
      </w: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12</w:t>
      </w:r>
      <w:r>
        <w:rPr>
          <w:rFonts w:ascii="宋体" w:hAnsi="宋体" w:cs="宋体" w:eastAsia="宋体" w:hint="default"/>
          <w:spacing w:val="-61"/>
        </w:rPr>
        <w:t> </w:t>
      </w:r>
      <w:r>
        <w:rPr/>
        <w:t>日，公司及全资子公司中华香港国际烟草集团有限公司（以下简 </w:t>
      </w:r>
      <w:r>
        <w:rPr>
          <w:spacing w:val="-6"/>
        </w:rPr>
        <w:t>称“中华烟草”）与亚先（香港）国际有限公司（以下简称“香港亚先”）签署《股权转让协</w:t>
      </w:r>
      <w:r>
        <w:rPr>
          <w:spacing w:val="-114"/>
        </w:rPr>
        <w:t> </w:t>
      </w:r>
      <w:r>
        <w:rPr>
          <w:spacing w:val="-114"/>
        </w:rPr>
      </w:r>
      <w:r>
        <w:rPr>
          <w:spacing w:val="-6"/>
        </w:rPr>
        <w:t>议》，拟分别收购香港亚先持有的江西丰彩丽印刷包装有限公司（以下简称“丰彩丽”）</w:t>
      </w:r>
      <w:r>
        <w:rPr>
          <w:rFonts w:ascii="宋体" w:hAnsi="宋体" w:cs="宋体" w:eastAsia="宋体" w:hint="default"/>
          <w:spacing w:val="-6"/>
        </w:rPr>
        <w:t>27%</w:t>
      </w:r>
      <w:r>
        <w:rPr>
          <w:spacing w:val="-6"/>
        </w:rPr>
        <w:t>、</w:t>
      </w:r>
      <w:r>
        <w:rPr>
          <w:spacing w:val="-100"/>
        </w:rPr>
        <w:t> </w:t>
      </w:r>
      <w:r>
        <w:rPr>
          <w:rFonts w:ascii="宋体" w:hAnsi="宋体" w:cs="宋体" w:eastAsia="宋体" w:hint="default"/>
        </w:rPr>
        <w:t>25%</w:t>
      </w:r>
      <w:r>
        <w:rPr/>
        <w:t>股权，合计收购丰彩丽</w:t>
      </w:r>
      <w:r>
        <w:rPr>
          <w:spacing w:val="-60"/>
        </w:rPr>
        <w:t> </w:t>
      </w:r>
      <w:r>
        <w:rPr>
          <w:rFonts w:ascii="宋体" w:hAnsi="宋体" w:cs="宋体" w:eastAsia="宋体" w:hint="default"/>
        </w:rPr>
        <w:t>52%</w:t>
      </w:r>
      <w:r>
        <w:rPr/>
        <w:t>股权。交易价格分别为人民币</w:t>
      </w:r>
      <w:r>
        <w:rPr>
          <w:spacing w:val="-60"/>
        </w:rPr>
        <w:t> </w:t>
      </w:r>
      <w:r>
        <w:rPr>
          <w:rFonts w:ascii="宋体" w:hAnsi="宋体" w:cs="宋体" w:eastAsia="宋体" w:hint="default"/>
        </w:rPr>
        <w:t>6,231</w:t>
      </w:r>
      <w:r>
        <w:rPr>
          <w:rFonts w:ascii="宋体" w:hAnsi="宋体" w:cs="宋体" w:eastAsia="宋体" w:hint="default"/>
          <w:spacing w:val="-60"/>
        </w:rPr>
        <w:t> </w:t>
      </w:r>
      <w:r>
        <w:rPr/>
        <w:t>万元，</w:t>
      </w:r>
      <w:r>
        <w:rPr>
          <w:rFonts w:ascii="宋体" w:hAnsi="宋体" w:cs="宋体" w:eastAsia="宋体" w:hint="default"/>
        </w:rPr>
        <w:t>5,769</w:t>
      </w:r>
      <w:r>
        <w:rPr>
          <w:rFonts w:ascii="宋体" w:hAnsi="宋体" w:cs="宋体" w:eastAsia="宋体" w:hint="default"/>
          <w:spacing w:val="-60"/>
        </w:rPr>
        <w:t> </w:t>
      </w:r>
      <w:r>
        <w:rPr/>
        <w:t>万元，合计 人民币</w:t>
      </w:r>
      <w:r>
        <w:rPr>
          <w:spacing w:val="-60"/>
        </w:rPr>
        <w:t> </w:t>
      </w:r>
      <w:r>
        <w:rPr>
          <w:rFonts w:ascii="宋体" w:hAnsi="宋体" w:cs="宋体" w:eastAsia="宋体" w:hint="default"/>
        </w:rPr>
        <w:t>12,000</w:t>
      </w:r>
      <w:r>
        <w:rPr>
          <w:rFonts w:ascii="宋体" w:hAnsi="宋体" w:cs="宋体" w:eastAsia="宋体" w:hint="default"/>
          <w:spacing w:val="-61"/>
        </w:rPr>
        <w:t> </w:t>
      </w:r>
      <w:r>
        <w:rPr/>
        <w:t>万元。收购后，公司将控股丰彩丽。</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月，丰彩丽完成了上述股权变 更的工商登记手续。</w:t>
      </w:r>
    </w:p>
    <w:p>
      <w:pPr>
        <w:pStyle w:val="BodyText"/>
        <w:spacing w:line="357" w:lineRule="auto" w:before="36"/>
        <w:ind w:right="1000" w:firstLine="480"/>
        <w:jc w:val="left"/>
      </w:pPr>
      <w:r>
        <w:rPr>
          <w:spacing w:val="-8"/>
        </w:rPr>
        <w:t>（</w:t>
      </w:r>
      <w:r>
        <w:rPr>
          <w:rFonts w:ascii="宋体" w:hAnsi="宋体" w:cs="宋体" w:eastAsia="宋体" w:hint="default"/>
          <w:spacing w:val="-8"/>
        </w:rPr>
        <w:t>2</w:t>
      </w:r>
      <w:r>
        <w:rPr>
          <w:spacing w:val="-8"/>
        </w:rPr>
        <w:t>）</w:t>
      </w:r>
      <w:r>
        <w:rPr>
          <w:rFonts w:ascii="宋体" w:hAnsi="宋体" w:cs="宋体" w:eastAsia="宋体" w:hint="default"/>
          <w:spacing w:val="-8"/>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29</w:t>
      </w:r>
      <w:r>
        <w:rPr>
          <w:rFonts w:ascii="宋体" w:hAnsi="宋体" w:cs="宋体" w:eastAsia="宋体" w:hint="default"/>
          <w:spacing w:val="-57"/>
        </w:rPr>
        <w:t> </w:t>
      </w:r>
      <w:r>
        <w:rPr>
          <w:spacing w:val="-15"/>
        </w:rPr>
        <w:t>日，公司”与通海汇祥实业有限责任公司（以下简称“通海汇祥”）、</w:t>
      </w:r>
      <w:r>
        <w:rPr/>
        <w:t> </w:t>
      </w:r>
      <w:r>
        <w:rPr>
          <w:spacing w:val="-5"/>
        </w:rPr>
        <w:t>自然人常俊、于静、刘进及董兆俭签署《股权转让协议》，拟受让通海汇祥所持重庆宏声印务</w:t>
      </w:r>
      <w:r>
        <w:rPr>
          <w:spacing w:val="-116"/>
        </w:rPr>
        <w:t> </w:t>
      </w:r>
      <w:r>
        <w:rPr>
          <w:spacing w:val="-116"/>
        </w:rPr>
      </w:r>
      <w:r>
        <w:rPr>
          <w:spacing w:val="-4"/>
        </w:rPr>
        <w:t>有限责任公司（以下简称“重庆宏声”）</w:t>
      </w:r>
      <w:r>
        <w:rPr>
          <w:rFonts w:ascii="宋体" w:hAnsi="宋体" w:cs="宋体" w:eastAsia="宋体" w:hint="default"/>
          <w:spacing w:val="-4"/>
        </w:rPr>
        <w:t>20%</w:t>
      </w:r>
      <w:r>
        <w:rPr>
          <w:spacing w:val="-4"/>
        </w:rPr>
        <w:t>的股权，常俊所持重庆宏声</w:t>
      </w:r>
      <w:r>
        <w:rPr>
          <w:spacing w:val="-58"/>
        </w:rPr>
        <w:t> </w:t>
      </w:r>
      <w:r>
        <w:rPr>
          <w:rFonts w:ascii="宋体" w:hAnsi="宋体" w:cs="宋体" w:eastAsia="宋体" w:hint="default"/>
        </w:rPr>
        <w:t>13%</w:t>
      </w:r>
      <w:r>
        <w:rPr/>
        <w:t>的股权，于静所</w:t>
      </w:r>
      <w:r>
        <w:rPr>
          <w:spacing w:val="-110"/>
        </w:rPr>
        <w:t> </w:t>
      </w:r>
      <w:r>
        <w:rPr/>
        <w:t>持重庆宏声</w:t>
      </w:r>
      <w:r>
        <w:rPr>
          <w:spacing w:val="-65"/>
        </w:rPr>
        <w:t> </w:t>
      </w:r>
      <w:r>
        <w:rPr>
          <w:rFonts w:ascii="宋体" w:hAnsi="宋体" w:cs="宋体" w:eastAsia="宋体" w:hint="default"/>
        </w:rPr>
        <w:t>10%</w:t>
      </w:r>
      <w:r>
        <w:rPr/>
        <w:t>的股权，刘进所持重庆宏声</w:t>
      </w:r>
      <w:r>
        <w:rPr>
          <w:spacing w:val="-65"/>
        </w:rPr>
        <w:t> </w:t>
      </w:r>
      <w:r>
        <w:rPr>
          <w:rFonts w:ascii="宋体" w:hAnsi="宋体" w:cs="宋体" w:eastAsia="宋体" w:hint="default"/>
        </w:rPr>
        <w:t>7%</w:t>
      </w:r>
      <w:r>
        <w:rPr/>
        <w:t>的股权及董兆俭所持重庆宏声</w:t>
      </w:r>
      <w:r>
        <w:rPr>
          <w:spacing w:val="-64"/>
        </w:rPr>
        <w:t> </w:t>
      </w:r>
      <w:r>
        <w:rPr>
          <w:rFonts w:ascii="宋体" w:hAnsi="宋体" w:cs="宋体" w:eastAsia="宋体" w:hint="default"/>
        </w:rPr>
        <w:t>7%</w:t>
      </w:r>
      <w:r>
        <w:rPr/>
        <w:t>的股权。本次 交易的股权转让价款总额为</w:t>
      </w:r>
      <w:r>
        <w:rPr>
          <w:spacing w:val="-59"/>
        </w:rPr>
        <w:t> </w:t>
      </w:r>
      <w:r>
        <w:rPr>
          <w:rFonts w:ascii="宋体" w:hAnsi="宋体" w:cs="宋体" w:eastAsia="宋体" w:hint="default"/>
        </w:rPr>
        <w:t>28,500</w:t>
      </w:r>
      <w:r>
        <w:rPr>
          <w:rFonts w:ascii="宋体" w:hAnsi="宋体" w:cs="宋体" w:eastAsia="宋体" w:hint="default"/>
          <w:spacing w:val="-60"/>
        </w:rPr>
        <w:t> </w:t>
      </w:r>
      <w:r>
        <w:rPr/>
        <w:t>万元，其中通海汇祥所持</w:t>
      </w:r>
      <w:r>
        <w:rPr>
          <w:spacing w:val="-60"/>
        </w:rPr>
        <w:t> </w:t>
      </w:r>
      <w:r>
        <w:rPr>
          <w:rFonts w:ascii="宋体" w:hAnsi="宋体" w:cs="宋体" w:eastAsia="宋体" w:hint="default"/>
        </w:rPr>
        <w:t>20%</w:t>
      </w:r>
      <w:r>
        <w:rPr/>
        <w:t>股权的转让价款为</w:t>
      </w:r>
      <w:r>
        <w:rPr>
          <w:spacing w:val="-60"/>
        </w:rPr>
        <w:t> </w:t>
      </w:r>
      <w:r>
        <w:rPr>
          <w:rFonts w:ascii="宋体" w:hAnsi="宋体" w:cs="宋体" w:eastAsia="宋体" w:hint="default"/>
        </w:rPr>
        <w:t>10,000 </w:t>
      </w:r>
      <w:r>
        <w:rPr>
          <w:spacing w:val="-6"/>
        </w:rPr>
        <w:t>万元，常俊所持</w:t>
      </w:r>
      <w:r>
        <w:rPr>
          <w:spacing w:val="-60"/>
        </w:rPr>
        <w:t> </w:t>
      </w:r>
      <w:r>
        <w:rPr>
          <w:rFonts w:ascii="宋体" w:hAnsi="宋体" w:cs="宋体" w:eastAsia="宋体" w:hint="default"/>
        </w:rPr>
        <w:t>13%</w:t>
      </w:r>
      <w:r>
        <w:rPr/>
        <w:t>股权的转让价款为</w:t>
      </w:r>
      <w:r>
        <w:rPr>
          <w:spacing w:val="-60"/>
        </w:rPr>
        <w:t> </w:t>
      </w:r>
      <w:r>
        <w:rPr>
          <w:rFonts w:ascii="宋体" w:hAnsi="宋体" w:cs="宋体" w:eastAsia="宋体" w:hint="default"/>
        </w:rPr>
        <w:t>6,500</w:t>
      </w:r>
      <w:r>
        <w:rPr>
          <w:rFonts w:ascii="宋体" w:hAnsi="宋体" w:cs="宋体" w:eastAsia="宋体" w:hint="default"/>
          <w:spacing w:val="-60"/>
        </w:rPr>
        <w:t> </w:t>
      </w:r>
      <w:r>
        <w:rPr>
          <w:spacing w:val="-6"/>
        </w:rPr>
        <w:t>万元，于静所持</w:t>
      </w:r>
      <w:r>
        <w:rPr>
          <w:spacing w:val="-60"/>
        </w:rPr>
        <w:t> </w:t>
      </w:r>
      <w:r>
        <w:rPr>
          <w:rFonts w:ascii="宋体" w:hAnsi="宋体" w:cs="宋体" w:eastAsia="宋体" w:hint="default"/>
        </w:rPr>
        <w:t>10%</w:t>
      </w:r>
      <w:r>
        <w:rPr/>
        <w:t>股权的转让价款为</w:t>
      </w:r>
      <w:r>
        <w:rPr>
          <w:spacing w:val="-60"/>
        </w:rPr>
        <w:t> </w:t>
      </w:r>
      <w:r>
        <w:rPr>
          <w:rFonts w:ascii="宋体" w:hAnsi="宋体" w:cs="宋体" w:eastAsia="宋体" w:hint="default"/>
        </w:rPr>
        <w:t>5,000</w:t>
      </w:r>
      <w:r>
        <w:rPr>
          <w:rFonts w:ascii="宋体" w:hAnsi="宋体" w:cs="宋体" w:eastAsia="宋体" w:hint="default"/>
          <w:spacing w:val="-60"/>
        </w:rPr>
        <w:t> </w:t>
      </w:r>
      <w:r>
        <w:rPr/>
        <w:t>万 </w:t>
      </w:r>
      <w:r>
        <w:rPr>
          <w:spacing w:val="-17"/>
        </w:rPr>
        <w:t>元，刘进所持</w:t>
      </w:r>
      <w:r>
        <w:rPr>
          <w:spacing w:val="-60"/>
        </w:rPr>
        <w:t> </w:t>
      </w:r>
      <w:r>
        <w:rPr>
          <w:rFonts w:ascii="宋体" w:hAnsi="宋体" w:cs="宋体" w:eastAsia="宋体" w:hint="default"/>
        </w:rPr>
        <w:t>7%</w:t>
      </w:r>
      <w:r>
        <w:rPr/>
        <w:t>股权的转让价款为</w:t>
      </w:r>
      <w:r>
        <w:rPr>
          <w:spacing w:val="-60"/>
        </w:rPr>
        <w:t> </w:t>
      </w:r>
      <w:r>
        <w:rPr>
          <w:rFonts w:ascii="宋体" w:hAnsi="宋体" w:cs="宋体" w:eastAsia="宋体" w:hint="default"/>
        </w:rPr>
        <w:t>3,500</w:t>
      </w:r>
      <w:r>
        <w:rPr>
          <w:rFonts w:ascii="宋体" w:hAnsi="宋体" w:cs="宋体" w:eastAsia="宋体" w:hint="default"/>
          <w:spacing w:val="-60"/>
        </w:rPr>
        <w:t> </w:t>
      </w:r>
      <w:r>
        <w:rPr>
          <w:spacing w:val="-13"/>
        </w:rPr>
        <w:t>万元，董兆俭所持</w:t>
      </w:r>
      <w:r>
        <w:rPr>
          <w:spacing w:val="-60"/>
        </w:rPr>
        <w:t> </w:t>
      </w:r>
      <w:r>
        <w:rPr>
          <w:rFonts w:ascii="宋体" w:hAnsi="宋体" w:cs="宋体" w:eastAsia="宋体" w:hint="default"/>
        </w:rPr>
        <w:t>7%</w:t>
      </w:r>
      <w:r>
        <w:rPr/>
        <w:t>股权的转让价款为</w:t>
      </w:r>
      <w:r>
        <w:rPr>
          <w:spacing w:val="-60"/>
        </w:rPr>
        <w:t> </w:t>
      </w:r>
      <w:r>
        <w:rPr>
          <w:rFonts w:ascii="宋体" w:hAnsi="宋体" w:cs="宋体" w:eastAsia="宋体" w:hint="default"/>
        </w:rPr>
        <w:t>3,500</w:t>
      </w:r>
      <w:r>
        <w:rPr>
          <w:rFonts w:ascii="宋体" w:hAnsi="宋体" w:cs="宋体" w:eastAsia="宋体" w:hint="default"/>
          <w:spacing w:val="-60"/>
        </w:rPr>
        <w:t> </w:t>
      </w:r>
      <w:r>
        <w:rPr/>
        <w:t>万元。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1"/>
        </w:rPr>
        <w:t> </w:t>
      </w:r>
      <w:r>
        <w:rPr/>
        <w:t>月，重庆宏声完成了上述股权变更的工商登记手续。</w:t>
      </w:r>
    </w:p>
    <w:p>
      <w:pPr>
        <w:pStyle w:val="BodyText"/>
        <w:spacing w:line="357" w:lineRule="auto" w:before="34"/>
        <w:ind w:right="1158" w:firstLine="480"/>
        <w:jc w:val="left"/>
      </w:pPr>
      <w:r>
        <w:rPr/>
        <w:t>收购丰彩丽、重庆宏声股权对公司</w:t>
      </w:r>
      <w:r>
        <w:rPr>
          <w:spacing w:val="-61"/>
        </w:rPr>
        <w:t> </w:t>
      </w:r>
      <w:r>
        <w:rPr>
          <w:rFonts w:ascii="宋体" w:hAnsi="宋体" w:cs="宋体" w:eastAsia="宋体" w:hint="default"/>
        </w:rPr>
        <w:t>2011</w:t>
      </w:r>
      <w:r>
        <w:rPr>
          <w:rFonts w:ascii="宋体" w:hAnsi="宋体" w:cs="宋体" w:eastAsia="宋体" w:hint="default"/>
          <w:spacing w:val="-61"/>
        </w:rPr>
        <w:t> </w:t>
      </w:r>
      <w:r>
        <w:rPr/>
        <w:t>年业绩不会产生影响，对</w:t>
      </w:r>
      <w:r>
        <w:rPr>
          <w:spacing w:val="-61"/>
        </w:rPr>
        <w:t> </w:t>
      </w:r>
      <w:r>
        <w:rPr>
          <w:rFonts w:ascii="宋体" w:hAnsi="宋体" w:cs="宋体" w:eastAsia="宋体" w:hint="default"/>
        </w:rPr>
        <w:t>2012</w:t>
      </w:r>
      <w:r>
        <w:rPr>
          <w:rFonts w:ascii="宋体" w:hAnsi="宋体" w:cs="宋体" w:eastAsia="宋体" w:hint="default"/>
          <w:spacing w:val="-61"/>
        </w:rPr>
        <w:t> </w:t>
      </w:r>
      <w:r>
        <w:rPr/>
        <w:t>年及以后年度业 绩将有积极影响。</w:t>
      </w:r>
    </w:p>
    <w:p>
      <w:pPr>
        <w:pStyle w:val="BodyText"/>
        <w:spacing w:line="240" w:lineRule="auto" w:before="34"/>
        <w:ind w:right="0"/>
        <w:jc w:val="left"/>
      </w:pPr>
      <w:r>
        <w:rPr>
          <w:rFonts w:ascii="宋体" w:hAnsi="宋体" w:cs="宋体" w:eastAsia="宋体" w:hint="default"/>
        </w:rPr>
        <w:t>3</w:t>
      </w:r>
      <w:r>
        <w:rPr/>
        <w:t>、</w:t>
      </w:r>
      <w:r>
        <w:rPr>
          <w:spacing w:val="-60"/>
        </w:rPr>
        <w:t> </w:t>
      </w:r>
      <w:r>
        <w:rPr/>
        <w:t>报告期内，公司出售湖州天外绿色包装印刷有限公司</w:t>
      </w:r>
      <w:r>
        <w:rPr>
          <w:spacing w:val="-60"/>
        </w:rPr>
        <w:t> </w:t>
      </w:r>
      <w:r>
        <w:rPr>
          <w:rFonts w:ascii="宋体" w:hAnsi="宋体" w:cs="宋体" w:eastAsia="宋体" w:hint="default"/>
        </w:rPr>
        <w:t>53.05%</w:t>
      </w:r>
      <w:r>
        <w:rPr/>
        <w:t>的股权</w:t>
      </w:r>
    </w:p>
    <w:p>
      <w:pPr>
        <w:spacing w:before="198"/>
        <w:ind w:left="0" w:right="1129"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1038"/>
        <w:gridCol w:w="1042"/>
        <w:gridCol w:w="1299"/>
        <w:gridCol w:w="1042"/>
        <w:gridCol w:w="1040"/>
        <w:gridCol w:w="727"/>
        <w:gridCol w:w="780"/>
        <w:gridCol w:w="781"/>
        <w:gridCol w:w="650"/>
        <w:gridCol w:w="650"/>
        <w:gridCol w:w="780"/>
      </w:tblGrid>
      <w:tr>
        <w:trPr>
          <w:trHeight w:val="780" w:hRule="exact"/>
        </w:trPr>
        <w:tc>
          <w:tcPr>
            <w:tcW w:w="1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0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43"/>
              <w:ind w:left="244" w:right="65" w:hanging="180"/>
              <w:jc w:val="left"/>
              <w:rPr>
                <w:rFonts w:ascii="宋体" w:hAnsi="宋体" w:cs="宋体" w:eastAsia="宋体" w:hint="default"/>
                <w:sz w:val="18"/>
                <w:szCs w:val="18"/>
              </w:rPr>
            </w:pPr>
            <w:r>
              <w:rPr>
                <w:rFonts w:ascii="宋体" w:hAnsi="宋体" w:cs="宋体" w:eastAsia="宋体" w:hint="default"/>
                <w:sz w:val="18"/>
                <w:szCs w:val="18"/>
              </w:rPr>
              <w:t>被出售或置 出资产</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10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交易价格</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24"/>
              <w:ind w:left="64" w:right="63"/>
              <w:jc w:val="both"/>
              <w:rPr>
                <w:rFonts w:ascii="宋体" w:hAnsi="宋体" w:cs="宋体" w:eastAsia="宋体" w:hint="default"/>
                <w:sz w:val="18"/>
                <w:szCs w:val="18"/>
              </w:rPr>
            </w:pPr>
            <w:r>
              <w:rPr>
                <w:rFonts w:ascii="宋体" w:hAnsi="宋体" w:cs="宋体" w:eastAsia="宋体" w:hint="default"/>
                <w:sz w:val="18"/>
                <w:szCs w:val="18"/>
              </w:rPr>
              <w:t>本年初起至 出售日该出 售资产为公</w:t>
            </w:r>
          </w:p>
        </w:tc>
        <w:tc>
          <w:tcPr>
            <w:tcW w:w="7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5"/>
              <w:ind w:left="88" w:right="86"/>
              <w:jc w:val="center"/>
              <w:rPr>
                <w:rFonts w:ascii="宋体" w:hAnsi="宋体" w:cs="宋体" w:eastAsia="宋体" w:hint="default"/>
                <w:sz w:val="18"/>
                <w:szCs w:val="18"/>
              </w:rPr>
            </w:pPr>
            <w:r>
              <w:rPr>
                <w:rFonts w:ascii="宋体" w:hAnsi="宋体" w:cs="宋体" w:eastAsia="宋体" w:hint="default"/>
                <w:sz w:val="18"/>
                <w:szCs w:val="18"/>
              </w:rPr>
              <w:t>出售产 生的损 益</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43"/>
              <w:ind w:left="115" w:right="23" w:hanging="89"/>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7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24"/>
              <w:ind w:left="50" w:right="48"/>
              <w:jc w:val="both"/>
              <w:rPr>
                <w:rFonts w:ascii="宋体" w:hAnsi="宋体" w:cs="宋体" w:eastAsia="宋体" w:hint="default"/>
                <w:sz w:val="18"/>
                <w:szCs w:val="18"/>
              </w:rPr>
            </w:pPr>
            <w:r>
              <w:rPr>
                <w:rFonts w:ascii="宋体" w:hAnsi="宋体" w:cs="宋体" w:eastAsia="宋体" w:hint="default"/>
                <w:sz w:val="18"/>
                <w:szCs w:val="18"/>
              </w:rPr>
              <w:t>所涉及 的资产 产权是</w:t>
            </w:r>
          </w:p>
        </w:tc>
        <w:tc>
          <w:tcPr>
            <w:tcW w:w="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24"/>
              <w:ind w:left="50" w:right="48"/>
              <w:jc w:val="both"/>
              <w:rPr>
                <w:rFonts w:ascii="宋体" w:hAnsi="宋体" w:cs="宋体" w:eastAsia="宋体" w:hint="default"/>
                <w:sz w:val="18"/>
                <w:szCs w:val="18"/>
              </w:rPr>
            </w:pPr>
            <w:r>
              <w:rPr>
                <w:rFonts w:ascii="宋体" w:hAnsi="宋体" w:cs="宋体" w:eastAsia="宋体" w:hint="default"/>
                <w:sz w:val="18"/>
                <w:szCs w:val="18"/>
              </w:rPr>
              <w:t>所涉及 的债权 债务是</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24"/>
              <w:ind w:left="26" w:right="23"/>
              <w:jc w:val="both"/>
              <w:rPr>
                <w:rFonts w:ascii="宋体" w:hAnsi="宋体" w:cs="宋体" w:eastAsia="宋体" w:hint="default"/>
                <w:sz w:val="18"/>
                <w:szCs w:val="18"/>
              </w:rPr>
            </w:pPr>
            <w:r>
              <w:rPr>
                <w:rFonts w:ascii="宋体" w:hAnsi="宋体" w:cs="宋体" w:eastAsia="宋体" w:hint="default"/>
                <w:sz w:val="18"/>
                <w:szCs w:val="18"/>
              </w:rPr>
              <w:t>与交易对 方的关联 关系（适</w:t>
            </w:r>
          </w:p>
        </w:tc>
      </w:tr>
    </w:tbl>
    <w:p>
      <w:pPr>
        <w:spacing w:after="0" w:line="237" w:lineRule="auto"/>
        <w:jc w:val="both"/>
        <w:rPr>
          <w:rFonts w:ascii="宋体" w:hAnsi="宋体" w:cs="宋体" w:eastAsia="宋体" w:hint="default"/>
          <w:sz w:val="18"/>
          <w:szCs w:val="18"/>
        </w:rPr>
        <w:sectPr>
          <w:pgSz w:w="11910" w:h="16840"/>
          <w:pgMar w:header="920" w:footer="956" w:top="1140" w:bottom="1140" w:left="1020" w:right="0"/>
        </w:sectPr>
      </w:pPr>
    </w:p>
    <w:p>
      <w:pPr>
        <w:spacing w:line="240" w:lineRule="auto" w:before="8"/>
        <w:rPr>
          <w:rFonts w:ascii="宋体" w:hAnsi="宋体" w:cs="宋体" w:eastAsia="宋体" w:hint="default"/>
          <w:sz w:val="4"/>
          <w:szCs w:val="4"/>
        </w:rPr>
      </w:pPr>
    </w:p>
    <w:tbl>
      <w:tblPr>
        <w:tblW w:w="0" w:type="auto"/>
        <w:jc w:val="left"/>
        <w:tblInd w:w="207" w:type="dxa"/>
        <w:tblLayout w:type="fixed"/>
        <w:tblCellMar>
          <w:top w:w="0" w:type="dxa"/>
          <w:left w:w="0" w:type="dxa"/>
          <w:bottom w:w="0" w:type="dxa"/>
          <w:right w:w="0" w:type="dxa"/>
        </w:tblCellMar>
        <w:tblLook w:val="01E0"/>
      </w:tblPr>
      <w:tblGrid>
        <w:gridCol w:w="1040"/>
        <w:gridCol w:w="1042"/>
        <w:gridCol w:w="1299"/>
        <w:gridCol w:w="1042"/>
        <w:gridCol w:w="1040"/>
        <w:gridCol w:w="727"/>
        <w:gridCol w:w="780"/>
        <w:gridCol w:w="781"/>
        <w:gridCol w:w="650"/>
        <w:gridCol w:w="650"/>
        <w:gridCol w:w="780"/>
      </w:tblGrid>
      <w:tr>
        <w:trPr>
          <w:trHeight w:val="517" w:hRule="exact"/>
        </w:trPr>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4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4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司贡献的净</w:t>
            </w:r>
          </w:p>
          <w:p>
            <w:pPr>
              <w:pStyle w:val="TableParagraph"/>
              <w:spacing w:line="233" w:lineRule="exact"/>
              <w:ind w:left="1" w:right="0"/>
              <w:jc w:val="center"/>
              <w:rPr>
                <w:rFonts w:ascii="宋体" w:hAnsi="宋体" w:cs="宋体" w:eastAsia="宋体" w:hint="default"/>
                <w:sz w:val="18"/>
                <w:szCs w:val="18"/>
              </w:rPr>
            </w:pPr>
            <w:r>
              <w:rPr>
                <w:rFonts w:ascii="宋体" w:hAnsi="宋体" w:cs="宋体" w:eastAsia="宋体" w:hint="default"/>
                <w:sz w:val="18"/>
                <w:szCs w:val="18"/>
              </w:rPr>
              <w:t>利润</w:t>
            </w:r>
          </w:p>
        </w:tc>
        <w:tc>
          <w:tcPr>
            <w:tcW w:w="72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50" w:right="0"/>
              <w:jc w:val="left"/>
              <w:rPr>
                <w:rFonts w:ascii="宋体" w:hAnsi="宋体" w:cs="宋体" w:eastAsia="宋体" w:hint="default"/>
                <w:sz w:val="18"/>
                <w:szCs w:val="18"/>
              </w:rPr>
            </w:pPr>
            <w:r>
              <w:rPr>
                <w:rFonts w:ascii="宋体" w:hAnsi="宋体" w:cs="宋体" w:eastAsia="宋体" w:hint="default"/>
                <w:sz w:val="18"/>
                <w:szCs w:val="18"/>
              </w:rPr>
              <w:t>否已全</w:t>
            </w:r>
          </w:p>
          <w:p>
            <w:pPr>
              <w:pStyle w:val="TableParagraph"/>
              <w:spacing w:line="233" w:lineRule="exact"/>
              <w:ind w:left="50" w:right="0"/>
              <w:jc w:val="left"/>
              <w:rPr>
                <w:rFonts w:ascii="宋体" w:hAnsi="宋体" w:cs="宋体" w:eastAsia="宋体" w:hint="default"/>
                <w:sz w:val="18"/>
                <w:szCs w:val="18"/>
              </w:rPr>
            </w:pPr>
            <w:r>
              <w:rPr>
                <w:rFonts w:ascii="宋体" w:hAnsi="宋体" w:cs="宋体" w:eastAsia="宋体" w:hint="default"/>
                <w:sz w:val="18"/>
                <w:szCs w:val="18"/>
              </w:rPr>
              <w:t>部过户</w:t>
            </w:r>
          </w:p>
        </w:tc>
        <w:tc>
          <w:tcPr>
            <w:tcW w:w="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50" w:right="0"/>
              <w:jc w:val="left"/>
              <w:rPr>
                <w:rFonts w:ascii="宋体" w:hAnsi="宋体" w:cs="宋体" w:eastAsia="宋体" w:hint="default"/>
                <w:sz w:val="18"/>
                <w:szCs w:val="18"/>
              </w:rPr>
            </w:pPr>
            <w:r>
              <w:rPr>
                <w:rFonts w:ascii="宋体" w:hAnsi="宋体" w:cs="宋体" w:eastAsia="宋体" w:hint="default"/>
                <w:sz w:val="18"/>
                <w:szCs w:val="18"/>
              </w:rPr>
              <w:t>否已全</w:t>
            </w:r>
          </w:p>
          <w:p>
            <w:pPr>
              <w:pStyle w:val="TableParagraph"/>
              <w:spacing w:line="233" w:lineRule="exact"/>
              <w:ind w:left="50" w:right="0"/>
              <w:jc w:val="left"/>
              <w:rPr>
                <w:rFonts w:ascii="宋体" w:hAnsi="宋体" w:cs="宋体" w:eastAsia="宋体" w:hint="default"/>
                <w:sz w:val="18"/>
                <w:szCs w:val="18"/>
              </w:rPr>
            </w:pPr>
            <w:r>
              <w:rPr>
                <w:rFonts w:ascii="宋体" w:hAnsi="宋体" w:cs="宋体" w:eastAsia="宋体" w:hint="default"/>
                <w:sz w:val="18"/>
                <w:szCs w:val="18"/>
              </w:rPr>
              <w:t>部转移</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用关联交</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易情形）</w:t>
            </w:r>
          </w:p>
        </w:tc>
      </w:tr>
      <w:tr>
        <w:trPr>
          <w:trHeight w:val="1023"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4" w:right="105"/>
              <w:jc w:val="left"/>
              <w:rPr>
                <w:rFonts w:ascii="宋体" w:hAnsi="宋体" w:cs="宋体" w:eastAsia="宋体" w:hint="default"/>
                <w:sz w:val="18"/>
                <w:szCs w:val="18"/>
              </w:rPr>
            </w:pPr>
            <w:r>
              <w:rPr>
                <w:rFonts w:ascii="宋体" w:hAnsi="宋体" w:cs="宋体" w:eastAsia="宋体" w:hint="default"/>
                <w:sz w:val="18"/>
                <w:szCs w:val="18"/>
              </w:rPr>
              <w:t>湖州启丰投 资有限公司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89"/>
              <w:jc w:val="left"/>
              <w:rPr>
                <w:rFonts w:ascii="宋体" w:hAnsi="宋体" w:cs="宋体" w:eastAsia="宋体" w:hint="default"/>
                <w:sz w:val="18"/>
                <w:szCs w:val="18"/>
              </w:rPr>
            </w:pPr>
            <w:r>
              <w:rPr>
                <w:rFonts w:ascii="宋体" w:hAnsi="宋体" w:cs="宋体" w:eastAsia="宋体" w:hint="default"/>
                <w:sz w:val="18"/>
                <w:szCs w:val="18"/>
              </w:rPr>
              <w:t>湖州天外绿 色包装印刷 有限公司 </w:t>
            </w:r>
            <w:r>
              <w:rPr>
                <w:rFonts w:ascii="Times New Roman" w:hAnsi="Times New Roman" w:cs="Times New Roman" w:eastAsia="Times New Roman" w:hint="default"/>
                <w:sz w:val="18"/>
                <w:szCs w:val="18"/>
              </w:rPr>
              <w:t>53.05%</w:t>
            </w:r>
            <w:r>
              <w:rPr>
                <w:rFonts w:ascii="宋体" w:hAnsi="宋体" w:cs="宋体" w:eastAsia="宋体" w:hint="default"/>
                <w:sz w:val="18"/>
                <w:szCs w:val="18"/>
              </w:rPr>
              <w:t>股权</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1"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88" w:right="0"/>
              <w:jc w:val="left"/>
              <w:rPr>
                <w:rFonts w:ascii="Times New Roman" w:hAnsi="Times New Roman" w:cs="Times New Roman" w:eastAsia="Times New Roman" w:hint="default"/>
                <w:sz w:val="18"/>
                <w:szCs w:val="18"/>
              </w:rPr>
            </w:pPr>
            <w:r>
              <w:rPr>
                <w:rFonts w:ascii="Times New Roman"/>
                <w:sz w:val="18"/>
              </w:rPr>
              <w:t>22,000.00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76" w:right="0"/>
              <w:jc w:val="left"/>
              <w:rPr>
                <w:rFonts w:ascii="Times New Roman" w:hAnsi="Times New Roman" w:cs="Times New Roman" w:eastAsia="Times New Roman" w:hint="default"/>
                <w:sz w:val="18"/>
                <w:szCs w:val="18"/>
              </w:rPr>
            </w:pPr>
            <w:r>
              <w:rPr>
                <w:rFonts w:ascii="Times New Roman"/>
                <w:sz w:val="18"/>
              </w:rPr>
              <w:t>1,386.72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0" w:right="0"/>
              <w:jc w:val="left"/>
              <w:rPr>
                <w:rFonts w:ascii="Times New Roman" w:hAnsi="Times New Roman" w:cs="Times New Roman" w:eastAsia="Times New Roman" w:hint="default"/>
                <w:sz w:val="18"/>
                <w:szCs w:val="18"/>
              </w:rPr>
            </w:pPr>
            <w:r>
              <w:rPr>
                <w:rFonts w:ascii="Times New Roman"/>
                <w:sz w:val="18"/>
              </w:rPr>
              <w:t>-16.50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74" w:lineRule="exact"/>
        <w:ind w:left="693" w:right="1116"/>
        <w:jc w:val="left"/>
      </w:pPr>
      <w:r>
        <w:rPr/>
        <w:t>转让湖州天外绿色包装印刷有限公司的股权对公司的经营业绩不会产生重大影响，将更</w:t>
      </w:r>
    </w:p>
    <w:p>
      <w:pPr>
        <w:spacing w:line="448" w:lineRule="auto" w:before="154"/>
        <w:ind w:left="686" w:right="6914" w:hanging="474"/>
        <w:jc w:val="left"/>
        <w:rPr>
          <w:rFonts w:ascii="宋体" w:hAnsi="宋体" w:cs="宋体" w:eastAsia="宋体" w:hint="default"/>
          <w:sz w:val="24"/>
          <w:szCs w:val="24"/>
        </w:rPr>
      </w:pPr>
      <w:r>
        <w:rPr>
          <w:rFonts w:ascii="宋体" w:hAnsi="宋体" w:cs="宋体" w:eastAsia="宋体" w:hint="default"/>
          <w:sz w:val="24"/>
          <w:szCs w:val="24"/>
        </w:rPr>
        <w:t>有利于公司资源配置和效益最大化。 </w:t>
      </w:r>
      <w:r>
        <w:rPr>
          <w:rFonts w:ascii="宋体" w:hAnsi="宋体" w:cs="宋体" w:eastAsia="宋体" w:hint="default"/>
          <w:b/>
          <w:bCs/>
          <w:sz w:val="24"/>
          <w:szCs w:val="24"/>
        </w:rPr>
        <w:t>五、关联交易事项</w:t>
      </w:r>
      <w:r>
        <w:rPr>
          <w:rFonts w:ascii="宋体" w:hAnsi="宋体" w:cs="宋体" w:eastAsia="宋体" w:hint="default"/>
          <w:sz w:val="24"/>
          <w:szCs w:val="24"/>
        </w:rPr>
      </w:r>
    </w:p>
    <w:p>
      <w:pPr>
        <w:pStyle w:val="BodyText"/>
        <w:spacing w:line="386" w:lineRule="auto" w:before="134"/>
        <w:ind w:left="693" w:right="1116"/>
        <w:jc w:val="left"/>
      </w:pPr>
      <w:r>
        <w:rPr/>
        <w:t>（一）报告期内公司与关联方之间发生的与日常经营相关的关联交易 报告期内无累计关联交易额总额高于 </w:t>
      </w:r>
      <w:r>
        <w:rPr>
          <w:rFonts w:ascii="宋体" w:hAnsi="宋体" w:cs="宋体" w:eastAsia="宋体" w:hint="default"/>
        </w:rPr>
        <w:t>3000 </w:t>
      </w:r>
      <w:r>
        <w:rPr/>
        <w:t>万元，且占公司最近一期审计净资产值</w:t>
      </w:r>
      <w:r>
        <w:rPr>
          <w:spacing w:val="-83"/>
        </w:rPr>
        <w:t> </w:t>
      </w:r>
      <w:r>
        <w:rPr>
          <w:rFonts w:ascii="宋体" w:hAnsi="宋体" w:cs="宋体" w:eastAsia="宋体" w:hint="default"/>
        </w:rPr>
        <w:t>5%</w:t>
      </w:r>
      <w:r>
        <w:rPr/>
        <w:t>以</w:t>
      </w:r>
    </w:p>
    <w:p>
      <w:pPr>
        <w:pStyle w:val="BodyText"/>
        <w:spacing w:line="240" w:lineRule="auto" w:before="8"/>
        <w:ind w:left="212" w:right="0"/>
        <w:jc w:val="both"/>
      </w:pPr>
      <w:r>
        <w:rPr/>
        <w:t>上的交易。</w:t>
      </w:r>
    </w:p>
    <w:p>
      <w:pPr>
        <w:pStyle w:val="BodyText"/>
        <w:spacing w:line="240" w:lineRule="auto" w:before="192"/>
        <w:ind w:left="693" w:right="1116"/>
        <w:jc w:val="left"/>
      </w:pPr>
      <w:r>
        <w:rPr/>
        <w:t>（二）报告期内公司与关联方未发生资产收购、出售的关联交易</w:t>
      </w:r>
    </w:p>
    <w:p>
      <w:pPr>
        <w:pStyle w:val="BodyText"/>
        <w:spacing w:line="240" w:lineRule="auto" w:before="192"/>
        <w:ind w:left="693" w:right="1116"/>
        <w:jc w:val="left"/>
      </w:pPr>
      <w:r>
        <w:rPr/>
        <w:t>（三）报告期内公司与关联方未发生共同对外投资的关联交易</w:t>
      </w:r>
    </w:p>
    <w:p>
      <w:pPr>
        <w:pStyle w:val="BodyText"/>
        <w:spacing w:line="240" w:lineRule="auto" w:before="192"/>
        <w:ind w:left="693" w:right="1116"/>
        <w:jc w:val="left"/>
      </w:pPr>
      <w:r>
        <w:rPr/>
        <w:t>（四）报告期内公司与关联方未发生债权债务往来、担保等关联交易</w:t>
      </w:r>
    </w:p>
    <w:p>
      <w:pPr>
        <w:pStyle w:val="BodyText"/>
        <w:spacing w:line="388" w:lineRule="auto" w:before="192"/>
        <w:ind w:left="693" w:right="1116"/>
        <w:jc w:val="left"/>
      </w:pPr>
      <w:r>
        <w:rPr/>
        <w:t>（五）公司控股股东及其他关联方占用公司资金的情况 报告期内公司控股股东及其他关联方不存在占用公司资金情况，也不存在通过借款、违</w:t>
      </w:r>
    </w:p>
    <w:p>
      <w:pPr>
        <w:pStyle w:val="BodyText"/>
        <w:spacing w:line="357" w:lineRule="auto" w:before="2"/>
        <w:ind w:left="212" w:right="1135"/>
        <w:jc w:val="both"/>
      </w:pPr>
      <w:r>
        <w:rPr/>
        <w:t>规担保、要求公司为其支付或垫付工资、福利、保险、广告等费用或其他支出等方式占用公</w:t>
      </w:r>
      <w:r>
        <w:rPr>
          <w:spacing w:val="-91"/>
        </w:rPr>
        <w:t> </w:t>
      </w:r>
      <w:r>
        <w:rPr>
          <w:spacing w:val="-91"/>
        </w:rPr>
      </w:r>
      <w:r>
        <w:rPr/>
        <w:t>司资金的情况，也没有发生过高价置入公司资产、关联交易非关联化、假投资真占用、假采</w:t>
      </w:r>
      <w:r>
        <w:rPr>
          <w:spacing w:val="-88"/>
        </w:rPr>
        <w:t> </w:t>
      </w:r>
      <w:r>
        <w:rPr>
          <w:spacing w:val="-88"/>
        </w:rPr>
      </w:r>
      <w:r>
        <w:rPr/>
        <w:t>购真占用等方式变相或隐性占用公司资金的情形。</w:t>
      </w:r>
    </w:p>
    <w:p>
      <w:pPr>
        <w:pStyle w:val="Heading3"/>
        <w:spacing w:line="240" w:lineRule="auto" w:before="154"/>
        <w:ind w:left="212" w:right="0"/>
        <w:jc w:val="both"/>
        <w:rPr>
          <w:b w:val="0"/>
          <w:bCs w:val="0"/>
        </w:rPr>
      </w:pPr>
      <w:r>
        <w:rPr/>
        <w:t>六、重大合同及其履行情况</w:t>
      </w:r>
      <w:r>
        <w:rPr>
          <w:b w:val="0"/>
          <w:bCs w:val="0"/>
        </w:rPr>
      </w:r>
    </w:p>
    <w:p>
      <w:pPr>
        <w:spacing w:line="240" w:lineRule="auto" w:before="6"/>
        <w:rPr>
          <w:rFonts w:ascii="宋体" w:hAnsi="宋体" w:cs="宋体" w:eastAsia="宋体" w:hint="default"/>
          <w:b/>
          <w:bCs/>
          <w:sz w:val="26"/>
          <w:szCs w:val="26"/>
        </w:rPr>
      </w:pPr>
    </w:p>
    <w:p>
      <w:pPr>
        <w:pStyle w:val="BodyText"/>
        <w:spacing w:line="355" w:lineRule="auto"/>
        <w:ind w:left="212" w:right="1116" w:firstLine="480"/>
        <w:jc w:val="left"/>
      </w:pPr>
      <w:r>
        <w:rPr/>
        <w:t>（一）报告期内，公司无委托、承包、租赁其他公司资产或其他公司托管、承包、租赁 公司资产的事项。</w:t>
      </w:r>
    </w:p>
    <w:p>
      <w:pPr>
        <w:pStyle w:val="BodyText"/>
        <w:spacing w:line="240" w:lineRule="auto" w:before="79"/>
        <w:ind w:left="693" w:right="1116"/>
        <w:jc w:val="left"/>
      </w:pPr>
      <w:r>
        <w:rPr/>
        <w:t>（二）报告期内，公司对外无重大担保事项，对下属子公司担保的余额为零。</w:t>
      </w:r>
    </w:p>
    <w:p>
      <w:pPr>
        <w:pStyle w:val="BodyText"/>
        <w:spacing w:line="240" w:lineRule="auto" w:before="192"/>
        <w:ind w:left="693" w:right="1116"/>
        <w:jc w:val="left"/>
      </w:pPr>
      <w:r>
        <w:rPr/>
        <w:t>（三）报告期内，公司无委托他人进行现金资产管理事项。</w:t>
      </w:r>
    </w:p>
    <w:p>
      <w:pPr>
        <w:pStyle w:val="BodyText"/>
        <w:spacing w:line="240" w:lineRule="auto" w:before="193"/>
        <w:ind w:left="693" w:right="1116"/>
        <w:jc w:val="left"/>
      </w:pPr>
      <w:r>
        <w:rPr/>
        <w:t>（四）报告期内，公司其他重大合同事项发生如下：</w:t>
      </w:r>
    </w:p>
    <w:p>
      <w:pPr>
        <w:spacing w:line="240" w:lineRule="auto" w:before="10"/>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1097"/>
        <w:gridCol w:w="1846"/>
        <w:gridCol w:w="1985"/>
        <w:gridCol w:w="1277"/>
        <w:gridCol w:w="1135"/>
        <w:gridCol w:w="1700"/>
      </w:tblGrid>
      <w:tr>
        <w:trPr>
          <w:trHeight w:val="442"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b/>
                <w:bCs/>
                <w:sz w:val="18"/>
                <w:szCs w:val="18"/>
              </w:rPr>
              <w:t>合同名称</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b/>
                <w:bCs/>
                <w:sz w:val="18"/>
                <w:szCs w:val="18"/>
              </w:rPr>
              <w:t>合同主要内容</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缔约方</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b/>
                <w:bCs/>
                <w:sz w:val="18"/>
                <w:szCs w:val="18"/>
              </w:rPr>
              <w:t>合同金额</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b/>
                <w:bCs/>
                <w:sz w:val="18"/>
                <w:szCs w:val="18"/>
              </w:rPr>
              <w:t>签署时间</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合同履行情况</w:t>
            </w:r>
            <w:r>
              <w:rPr>
                <w:rFonts w:ascii="宋体" w:hAnsi="宋体" w:cs="宋体" w:eastAsia="宋体" w:hint="default"/>
                <w:sz w:val="18"/>
                <w:szCs w:val="18"/>
              </w:rPr>
            </w:r>
          </w:p>
        </w:tc>
      </w:tr>
      <w:tr>
        <w:trPr>
          <w:trHeight w:val="1140"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82" w:right="0"/>
              <w:jc w:val="left"/>
              <w:rPr>
                <w:rFonts w:ascii="宋体" w:hAnsi="宋体" w:cs="宋体" w:eastAsia="宋体" w:hint="default"/>
                <w:sz w:val="18"/>
                <w:szCs w:val="18"/>
              </w:rPr>
            </w:pPr>
            <w:r>
              <w:rPr>
                <w:rFonts w:ascii="宋体" w:hAnsi="宋体" w:cs="宋体" w:eastAsia="宋体" w:hint="default"/>
                <w:sz w:val="18"/>
                <w:szCs w:val="18"/>
              </w:rPr>
              <w:t>销售合同</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55" w:lineRule="auto"/>
              <w:ind w:left="105" w:right="110"/>
              <w:jc w:val="left"/>
              <w:rPr>
                <w:rFonts w:ascii="宋体" w:hAnsi="宋体" w:cs="宋体" w:eastAsia="宋体" w:hint="default"/>
                <w:sz w:val="18"/>
                <w:szCs w:val="18"/>
              </w:rPr>
            </w:pPr>
            <w:r>
              <w:rPr>
                <w:rFonts w:ascii="宋体" w:hAnsi="宋体" w:cs="宋体" w:eastAsia="宋体" w:hint="default"/>
                <w:sz w:val="18"/>
                <w:szCs w:val="18"/>
              </w:rPr>
              <w:t>购买海德堡速霸对开 八色胶印机设备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
              <w:ind w:left="105" w:right="98"/>
              <w:jc w:val="left"/>
              <w:rPr>
                <w:rFonts w:ascii="宋体" w:hAnsi="宋体" w:cs="宋体" w:eastAsia="宋体" w:hint="default"/>
                <w:sz w:val="18"/>
                <w:szCs w:val="18"/>
              </w:rPr>
            </w:pPr>
            <w:r>
              <w:rPr>
                <w:rFonts w:ascii="宋体" w:hAnsi="宋体" w:cs="宋体" w:eastAsia="宋体" w:hint="default"/>
                <w:sz w:val="18"/>
                <w:szCs w:val="18"/>
              </w:rPr>
              <w:t>深圳劲嘉彩印集团股 </w:t>
            </w:r>
            <w:r>
              <w:rPr>
                <w:rFonts w:ascii="宋体" w:hAnsi="宋体" w:cs="宋体" w:eastAsia="宋体" w:hint="default"/>
                <w:spacing w:val="-4"/>
                <w:sz w:val="18"/>
                <w:szCs w:val="18"/>
              </w:rPr>
              <w:t>份有限公司、海德堡中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265.00</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240" w:lineRule="auto" w:before="112"/>
              <w:ind w:left="10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2</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sz w:val="18"/>
                <w:szCs w:val="18"/>
              </w:rPr>
              <w:t>设备已安装完毕</w:t>
            </w:r>
          </w:p>
        </w:tc>
      </w:tr>
      <w:tr>
        <w:trPr>
          <w:trHeight w:val="790"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施工合同</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
              <w:ind w:left="105" w:right="110"/>
              <w:jc w:val="left"/>
              <w:rPr>
                <w:rFonts w:ascii="宋体" w:hAnsi="宋体" w:cs="宋体" w:eastAsia="宋体" w:hint="default"/>
                <w:sz w:val="18"/>
                <w:szCs w:val="18"/>
              </w:rPr>
            </w:pPr>
            <w:r>
              <w:rPr>
                <w:rFonts w:ascii="宋体" w:hAnsi="宋体" w:cs="宋体" w:eastAsia="宋体" w:hint="default"/>
                <w:sz w:val="18"/>
                <w:szCs w:val="18"/>
              </w:rPr>
              <w:t>劲嘉彩印科技大厦智 能化系统工程施工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
              <w:ind w:left="105" w:right="247"/>
              <w:jc w:val="left"/>
              <w:rPr>
                <w:rFonts w:ascii="宋体" w:hAnsi="宋体" w:cs="宋体" w:eastAsia="宋体" w:hint="default"/>
                <w:sz w:val="18"/>
                <w:szCs w:val="18"/>
              </w:rPr>
            </w:pPr>
            <w:r>
              <w:rPr>
                <w:rFonts w:ascii="宋体" w:hAnsi="宋体" w:cs="宋体" w:eastAsia="宋体" w:hint="default"/>
                <w:sz w:val="18"/>
                <w:szCs w:val="18"/>
              </w:rPr>
              <w:t>深圳达实智能股份有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z w:val="18"/>
                <w:szCs w:val="18"/>
              </w:rPr>
              <w:t>1025.00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z w:val="18"/>
                <w:szCs w:val="18"/>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执行中</w:t>
            </w:r>
          </w:p>
        </w:tc>
      </w:tr>
    </w:tbl>
    <w:p>
      <w:pPr>
        <w:spacing w:after="0" w:line="240" w:lineRule="auto"/>
        <w:jc w:val="center"/>
        <w:rPr>
          <w:rFonts w:ascii="宋体" w:hAnsi="宋体" w:cs="宋体" w:eastAsia="宋体" w:hint="default"/>
          <w:sz w:val="18"/>
          <w:szCs w:val="18"/>
        </w:rPr>
        <w:sectPr>
          <w:pgSz w:w="11910" w:h="16840"/>
          <w:pgMar w:header="920" w:footer="956" w:top="1140" w:bottom="1140" w:left="920" w:right="0"/>
        </w:sectPr>
      </w:pPr>
    </w:p>
    <w:p>
      <w:pPr>
        <w:spacing w:line="240" w:lineRule="auto" w:before="7"/>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097"/>
        <w:gridCol w:w="1846"/>
        <w:gridCol w:w="1985"/>
        <w:gridCol w:w="1277"/>
        <w:gridCol w:w="1135"/>
        <w:gridCol w:w="1700"/>
      </w:tblGrid>
      <w:tr>
        <w:trPr>
          <w:trHeight w:val="1143"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5" w:lineRule="auto"/>
              <w:ind w:left="182" w:right="183"/>
              <w:jc w:val="left"/>
              <w:rPr>
                <w:rFonts w:ascii="宋体" w:hAnsi="宋体" w:cs="宋体" w:eastAsia="宋体" w:hint="default"/>
                <w:sz w:val="18"/>
                <w:szCs w:val="18"/>
              </w:rPr>
            </w:pPr>
            <w:r>
              <w:rPr>
                <w:rFonts w:ascii="宋体" w:hAnsi="宋体" w:cs="宋体" w:eastAsia="宋体" w:hint="default"/>
                <w:sz w:val="18"/>
                <w:szCs w:val="18"/>
              </w:rPr>
              <w:t>施工（单 价）合同</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0"/>
              <w:ind w:left="105" w:right="62"/>
              <w:jc w:val="both"/>
              <w:rPr>
                <w:rFonts w:ascii="宋体" w:hAnsi="宋体" w:cs="宋体" w:eastAsia="宋体" w:hint="default"/>
                <w:sz w:val="18"/>
                <w:szCs w:val="18"/>
              </w:rPr>
            </w:pPr>
            <w:r>
              <w:rPr>
                <w:rFonts w:ascii="宋体" w:hAnsi="宋体" w:cs="宋体" w:eastAsia="宋体" w:hint="default"/>
                <w:sz w:val="18"/>
                <w:szCs w:val="18"/>
              </w:rPr>
              <w:t>劲嘉印刷工业园</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宿舍和食堂工 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5" w:lineRule="auto"/>
              <w:ind w:left="105" w:right="247"/>
              <w:jc w:val="left"/>
              <w:rPr>
                <w:rFonts w:ascii="宋体" w:hAnsi="宋体" w:cs="宋体" w:eastAsia="宋体" w:hint="default"/>
                <w:sz w:val="18"/>
                <w:szCs w:val="18"/>
              </w:rPr>
            </w:pPr>
            <w:r>
              <w:rPr>
                <w:rFonts w:ascii="宋体" w:hAnsi="宋体" w:cs="宋体" w:eastAsia="宋体" w:hint="default"/>
                <w:sz w:val="18"/>
                <w:szCs w:val="18"/>
              </w:rPr>
              <w:t>广东省高州市建筑工 程总公司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3"/>
              <w:ind w:left="105" w:right="0"/>
              <w:jc w:val="left"/>
              <w:rPr>
                <w:rFonts w:ascii="宋体" w:hAnsi="宋体" w:cs="宋体" w:eastAsia="宋体" w:hint="default"/>
                <w:sz w:val="18"/>
                <w:szCs w:val="18"/>
              </w:rPr>
            </w:pPr>
            <w:r>
              <w:rPr>
                <w:rFonts w:ascii="宋体" w:hAnsi="宋体" w:cs="宋体" w:eastAsia="宋体" w:hint="default"/>
                <w:sz w:val="18"/>
                <w:szCs w:val="18"/>
              </w:rPr>
              <w:t>5065.55</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 w:right="0"/>
              <w:jc w:val="center"/>
              <w:rPr>
                <w:rFonts w:ascii="宋体" w:hAnsi="宋体" w:cs="宋体" w:eastAsia="宋体" w:hint="default"/>
                <w:sz w:val="18"/>
                <w:szCs w:val="18"/>
              </w:rPr>
            </w:pPr>
            <w:r>
              <w:rPr>
                <w:rFonts w:ascii="宋体" w:hAnsi="宋体" w:cs="宋体" w:eastAsia="宋体" w:hint="default"/>
                <w:sz w:val="18"/>
                <w:szCs w:val="18"/>
              </w:rPr>
              <w:t>执行中</w:t>
            </w:r>
          </w:p>
        </w:tc>
      </w:tr>
      <w:tr>
        <w:trPr>
          <w:trHeight w:val="790"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
              <w:ind w:left="182" w:right="183"/>
              <w:jc w:val="left"/>
              <w:rPr>
                <w:rFonts w:ascii="宋体" w:hAnsi="宋体" w:cs="宋体" w:eastAsia="宋体" w:hint="default"/>
                <w:sz w:val="18"/>
                <w:szCs w:val="18"/>
              </w:rPr>
            </w:pPr>
            <w:r>
              <w:rPr>
                <w:rFonts w:ascii="宋体" w:hAnsi="宋体" w:cs="宋体" w:eastAsia="宋体" w:hint="default"/>
                <w:sz w:val="18"/>
                <w:szCs w:val="18"/>
              </w:rPr>
              <w:t>施工（单 价）合同</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
              <w:ind w:left="105" w:right="110"/>
              <w:jc w:val="left"/>
              <w:rPr>
                <w:rFonts w:ascii="宋体" w:hAnsi="宋体" w:cs="宋体" w:eastAsia="宋体" w:hint="default"/>
                <w:sz w:val="18"/>
                <w:szCs w:val="18"/>
              </w:rPr>
            </w:pPr>
            <w:r>
              <w:rPr>
                <w:rFonts w:ascii="宋体" w:hAnsi="宋体" w:cs="宋体" w:eastAsia="宋体" w:hint="default"/>
                <w:sz w:val="18"/>
                <w:szCs w:val="18"/>
              </w:rPr>
              <w:t>劲嘉松岗工业园一期 西区工程建设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
              <w:ind w:left="105" w:right="96"/>
              <w:jc w:val="left"/>
              <w:rPr>
                <w:rFonts w:ascii="宋体" w:hAnsi="宋体" w:cs="宋体" w:eastAsia="宋体" w:hint="default"/>
                <w:sz w:val="18"/>
                <w:szCs w:val="18"/>
              </w:rPr>
            </w:pPr>
            <w:r>
              <w:rPr>
                <w:rFonts w:ascii="宋体" w:hAnsi="宋体" w:cs="宋体" w:eastAsia="宋体" w:hint="default"/>
                <w:spacing w:val="-3"/>
                <w:sz w:val="18"/>
                <w:szCs w:val="18"/>
              </w:rPr>
              <w:t>深圳市中邦（集团）建</w:t>
            </w:r>
            <w:r>
              <w:rPr>
                <w:rFonts w:ascii="宋体" w:hAnsi="宋体" w:cs="宋体" w:eastAsia="宋体" w:hint="default"/>
                <w:sz w:val="18"/>
                <w:szCs w:val="18"/>
              </w:rPr>
              <w:t> 设总承包有限公司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2"/>
              <w:ind w:left="105" w:right="0"/>
              <w:jc w:val="left"/>
              <w:rPr>
                <w:rFonts w:ascii="宋体" w:hAnsi="宋体" w:cs="宋体" w:eastAsia="宋体" w:hint="default"/>
                <w:sz w:val="18"/>
                <w:szCs w:val="18"/>
              </w:rPr>
            </w:pPr>
            <w:r>
              <w:rPr>
                <w:rFonts w:ascii="宋体" w:hAnsi="宋体" w:cs="宋体" w:eastAsia="宋体" w:hint="default"/>
                <w:sz w:val="18"/>
                <w:szCs w:val="18"/>
              </w:rPr>
              <w:t>8800.00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9</w:t>
            </w:r>
            <w:r>
              <w:rPr>
                <w:rFonts w:ascii="宋体" w:hAnsi="宋体" w:cs="宋体" w:eastAsia="宋体" w:hint="default"/>
                <w:spacing w:val="-56"/>
                <w:sz w:val="18"/>
                <w:szCs w:val="18"/>
              </w:rPr>
              <w:t> </w:t>
            </w:r>
            <w:r>
              <w:rPr>
                <w:rFonts w:ascii="宋体" w:hAnsi="宋体" w:cs="宋体" w:eastAsia="宋体" w:hint="default"/>
                <w:sz w:val="18"/>
                <w:szCs w:val="18"/>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执行中</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line="504" w:lineRule="auto" w:before="26"/>
        <w:ind w:left="693" w:right="6193" w:hanging="481"/>
        <w:jc w:val="left"/>
        <w:rPr>
          <w:rFonts w:ascii="宋体" w:hAnsi="宋体" w:cs="宋体" w:eastAsia="宋体" w:hint="default"/>
          <w:sz w:val="24"/>
          <w:szCs w:val="24"/>
        </w:rPr>
      </w:pPr>
      <w:r>
        <w:rPr>
          <w:rFonts w:ascii="宋体" w:hAnsi="宋体" w:cs="宋体" w:eastAsia="宋体" w:hint="default"/>
          <w:b/>
          <w:bCs/>
          <w:sz w:val="24"/>
          <w:szCs w:val="24"/>
        </w:rPr>
        <w:t>七、股权激励计划实施情况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报告期内，公司未实施股权激励计划。</w:t>
      </w:r>
    </w:p>
    <w:p>
      <w:pPr>
        <w:pStyle w:val="Heading3"/>
        <w:spacing w:line="240" w:lineRule="auto" w:before="7"/>
        <w:ind w:left="212" w:right="1116"/>
        <w:jc w:val="left"/>
        <w:rPr>
          <w:b w:val="0"/>
          <w:bCs w:val="0"/>
        </w:rPr>
      </w:pPr>
      <w:r>
        <w:rPr/>
        <w:t>八、公司或持有公司</w:t>
      </w:r>
      <w:r>
        <w:rPr>
          <w:spacing w:val="-63"/>
        </w:rPr>
        <w:t> </w:t>
      </w:r>
      <w:r>
        <w:rPr>
          <w:rFonts w:ascii="Cambria" w:hAnsi="Cambria" w:cs="Cambria" w:eastAsia="Cambria" w:hint="default"/>
        </w:rPr>
        <w:t>5%</w:t>
      </w:r>
      <w:r>
        <w:rPr/>
        <w:t>以上（含</w:t>
      </w:r>
      <w:r>
        <w:rPr>
          <w:spacing w:val="-63"/>
        </w:rPr>
        <w:t> </w:t>
      </w:r>
      <w:r>
        <w:rPr>
          <w:rFonts w:ascii="Cambria" w:hAnsi="Cambria" w:cs="Cambria" w:eastAsia="Cambria" w:hint="default"/>
        </w:rPr>
        <w:t>5%</w:t>
      </w:r>
      <w:r>
        <w:rPr/>
        <w:t>）的股东承诺事项</w:t>
      </w:r>
      <w:r>
        <w:rPr>
          <w:b w:val="0"/>
          <w:bCs w:val="0"/>
        </w:rPr>
      </w:r>
    </w:p>
    <w:p>
      <w:pPr>
        <w:spacing w:line="240" w:lineRule="auto" w:before="12"/>
        <w:rPr>
          <w:rFonts w:ascii="宋体" w:hAnsi="宋体" w:cs="宋体" w:eastAsia="宋体" w:hint="default"/>
          <w:b/>
          <w:bCs/>
          <w:sz w:val="27"/>
          <w:szCs w:val="27"/>
        </w:rPr>
      </w:pPr>
    </w:p>
    <w:tbl>
      <w:tblPr>
        <w:tblW w:w="0" w:type="auto"/>
        <w:jc w:val="left"/>
        <w:tblInd w:w="666" w:type="dxa"/>
        <w:tblLayout w:type="fixed"/>
        <w:tblCellMar>
          <w:top w:w="0" w:type="dxa"/>
          <w:left w:w="0" w:type="dxa"/>
          <w:bottom w:w="0" w:type="dxa"/>
          <w:right w:w="0" w:type="dxa"/>
        </w:tblCellMar>
        <w:tblLook w:val="01E0"/>
      </w:tblPr>
      <w:tblGrid>
        <w:gridCol w:w="3795"/>
        <w:gridCol w:w="2835"/>
        <w:gridCol w:w="1894"/>
      </w:tblGrid>
      <w:tr>
        <w:trPr>
          <w:trHeight w:val="499"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b/>
                <w:bCs/>
                <w:sz w:val="21"/>
                <w:szCs w:val="21"/>
              </w:rPr>
              <w:t>承诺事项</w:t>
            </w:r>
            <w:r>
              <w:rPr>
                <w:rFonts w:ascii="宋体" w:hAnsi="宋体" w:cs="宋体" w:eastAsia="宋体" w:hint="default"/>
                <w:sz w:val="21"/>
                <w:szCs w:val="21"/>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80" w:right="0"/>
              <w:jc w:val="left"/>
              <w:rPr>
                <w:rFonts w:ascii="宋体" w:hAnsi="宋体" w:cs="宋体" w:eastAsia="宋体" w:hint="default"/>
                <w:sz w:val="21"/>
                <w:szCs w:val="21"/>
              </w:rPr>
            </w:pPr>
            <w:r>
              <w:rPr>
                <w:rFonts w:ascii="宋体" w:hAnsi="宋体" w:cs="宋体" w:eastAsia="宋体" w:hint="default"/>
                <w:b/>
                <w:bCs/>
                <w:sz w:val="21"/>
                <w:szCs w:val="21"/>
              </w:rPr>
              <w:t>承诺股东名称</w:t>
            </w:r>
            <w:r>
              <w:rPr>
                <w:rFonts w:ascii="宋体" w:hAnsi="宋体" w:cs="宋体" w:eastAsia="宋体" w:hint="default"/>
                <w:sz w:val="21"/>
                <w:szCs w:val="21"/>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b/>
                <w:bCs/>
                <w:sz w:val="21"/>
                <w:szCs w:val="21"/>
              </w:rPr>
              <w:t>是否履行承诺</w:t>
            </w:r>
            <w:r>
              <w:rPr>
                <w:rFonts w:ascii="宋体" w:hAnsi="宋体" w:cs="宋体" w:eastAsia="宋体" w:hint="default"/>
                <w:sz w:val="21"/>
                <w:szCs w:val="21"/>
              </w:rPr>
            </w:r>
          </w:p>
        </w:tc>
      </w:tr>
      <w:tr>
        <w:trPr>
          <w:trHeight w:val="289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101"/>
              <w:jc w:val="left"/>
              <w:rPr>
                <w:rFonts w:ascii="宋体" w:hAnsi="宋体" w:cs="宋体" w:eastAsia="宋体" w:hint="default"/>
                <w:sz w:val="18"/>
                <w:szCs w:val="18"/>
              </w:rPr>
            </w:pPr>
            <w:r>
              <w:rPr>
                <w:rFonts w:ascii="宋体" w:hAnsi="宋体" w:cs="宋体" w:eastAsia="宋体" w:hint="default"/>
                <w:b/>
                <w:bCs/>
                <w:spacing w:val="-2"/>
                <w:sz w:val="18"/>
                <w:szCs w:val="18"/>
              </w:rPr>
              <w:t>生产基地搬迁风险承担承诺</w:t>
            </w:r>
            <w:r>
              <w:rPr>
                <w:rFonts w:ascii="宋体" w:hAnsi="宋体" w:cs="宋体" w:eastAsia="宋体" w:hint="default"/>
                <w:spacing w:val="-2"/>
                <w:sz w:val="18"/>
                <w:szCs w:val="18"/>
              </w:rPr>
              <w:t>：在生产基地搬迁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前，本公司用于与生产经营有关的租赁房产发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生不能使用的风险时，劲嘉创投和太和实业将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承担由此而产生的全部损失（包括但不限于厂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房、宿舍等与生产有关设施经审计的账面净值</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以及发行人租赁新厂房后搬迁的费用）；待本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公司新建的劲嘉集团包装印刷及材料加工项 </w:t>
            </w:r>
            <w:r>
              <w:rPr>
                <w:rFonts w:ascii="宋体" w:hAnsi="宋体" w:cs="宋体" w:eastAsia="宋体" w:hint="default"/>
                <w:spacing w:val="-2"/>
                <w:sz w:val="18"/>
                <w:szCs w:val="18"/>
              </w:rPr>
              <w:t>目投入使用后，劲嘉创投和太和实业将向公司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以经评估机构评估后的评估值购买上述存在 </w:t>
            </w:r>
            <w:r>
              <w:rPr>
                <w:rFonts w:ascii="宋体" w:hAnsi="宋体" w:cs="宋体" w:eastAsia="宋体" w:hint="default"/>
                <w:spacing w:val="-2"/>
                <w:sz w:val="18"/>
                <w:szCs w:val="18"/>
              </w:rPr>
              <w:t>法律风险的房产；劲嘉创投和太和实业共同以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拥有的全部财产以及其持有本公司股份的分 红权为其履行上述承诺进行担保。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78" w:lineRule="auto"/>
              <w:ind w:left="103" w:right="381"/>
              <w:jc w:val="left"/>
              <w:rPr>
                <w:rFonts w:ascii="宋体" w:hAnsi="宋体" w:cs="宋体" w:eastAsia="宋体" w:hint="default"/>
                <w:sz w:val="18"/>
                <w:szCs w:val="18"/>
              </w:rPr>
            </w:pPr>
            <w:r>
              <w:rPr>
                <w:rFonts w:ascii="宋体" w:hAnsi="宋体" w:cs="宋体" w:eastAsia="宋体" w:hint="default"/>
                <w:sz w:val="18"/>
                <w:szCs w:val="18"/>
              </w:rPr>
              <w:t>深圳市劲嘉创业投资有限公司 太和印刷实业有限公司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7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80"/>
              <w:jc w:val="left"/>
              <w:rPr>
                <w:rFonts w:ascii="宋体" w:hAnsi="宋体" w:cs="宋体" w:eastAsia="宋体" w:hint="default"/>
                <w:sz w:val="18"/>
                <w:szCs w:val="18"/>
              </w:rPr>
            </w:pPr>
            <w:r>
              <w:rPr>
                <w:rFonts w:ascii="宋体" w:hAnsi="宋体" w:cs="宋体" w:eastAsia="宋体" w:hint="default"/>
                <w:b/>
                <w:bCs/>
                <w:spacing w:val="-2"/>
                <w:sz w:val="18"/>
                <w:szCs w:val="18"/>
              </w:rPr>
              <w:t>避免同业竞争承诺</w:t>
            </w:r>
            <w:r>
              <w:rPr>
                <w:rFonts w:ascii="宋体" w:hAnsi="宋体" w:cs="宋体" w:eastAsia="宋体" w:hint="default"/>
                <w:spacing w:val="-2"/>
                <w:sz w:val="18"/>
                <w:szCs w:val="18"/>
              </w:rPr>
              <w:t>：一、公司目前不存在自营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或者为他人经营与发行人相同的业务，也不会</w:t>
            </w:r>
            <w:r>
              <w:rPr>
                <w:rFonts w:ascii="宋体" w:hAnsi="宋体" w:cs="宋体" w:eastAsia="宋体" w:hint="default"/>
                <w:sz w:val="18"/>
                <w:szCs w:val="18"/>
              </w:rPr>
              <w:t> 以任何方式直接或间接从事与发行人现在和 将来主营业务相同、相似或构成实质竞争的业 </w:t>
            </w:r>
            <w:r>
              <w:rPr>
                <w:rFonts w:ascii="宋体" w:hAnsi="宋体" w:cs="宋体" w:eastAsia="宋体" w:hint="default"/>
                <w:spacing w:val="-2"/>
                <w:sz w:val="18"/>
                <w:szCs w:val="18"/>
              </w:rPr>
              <w:t>务。二、公司将忠实履行承诺和保证确认的真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实性，如果违反上述承诺或确认事项不真实， 本公司将承担由此引发的一切法律责任。</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78" w:lineRule="auto"/>
              <w:ind w:left="103" w:right="381"/>
              <w:jc w:val="left"/>
              <w:rPr>
                <w:rFonts w:ascii="宋体" w:hAnsi="宋体" w:cs="宋体" w:eastAsia="宋体" w:hint="default"/>
                <w:sz w:val="18"/>
                <w:szCs w:val="18"/>
              </w:rPr>
            </w:pPr>
            <w:r>
              <w:rPr>
                <w:rFonts w:ascii="宋体" w:hAnsi="宋体" w:cs="宋体" w:eastAsia="宋体" w:hint="default"/>
                <w:sz w:val="18"/>
                <w:szCs w:val="18"/>
              </w:rPr>
              <w:t>深圳市劲嘉创业投资有限公司 太和印刷实业有限公司 深圳市世纪运通投资有限公司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pStyle w:val="Heading3"/>
        <w:spacing w:line="240" w:lineRule="auto" w:before="26"/>
        <w:ind w:left="212" w:right="1116"/>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212" w:right="1131" w:firstLine="480"/>
        <w:jc w:val="both"/>
      </w:pPr>
      <w:r>
        <w:rPr/>
        <w:t>报告期内，公司继续聘请深圳市鹏城会计师事务所有限公司为公司审计机构，该审计机 构已连续九年为本公司提供审计服务，</w:t>
      </w:r>
      <w:r>
        <w:rPr>
          <w:rFonts w:ascii="宋体" w:hAnsi="宋体" w:cs="宋体" w:eastAsia="宋体" w:hint="default"/>
        </w:rPr>
        <w:t>2011</w:t>
      </w:r>
      <w:r>
        <w:rPr>
          <w:rFonts w:ascii="宋体" w:hAnsi="宋体" w:cs="宋体" w:eastAsia="宋体" w:hint="default"/>
          <w:spacing w:val="-81"/>
        </w:rPr>
        <w:t> </w:t>
      </w:r>
      <w:r>
        <w:rPr/>
        <w:t>年度审计报告签字注册会计师为朱文岳先生（连 </w:t>
      </w:r>
      <w:r>
        <w:rPr>
          <w:spacing w:val="-6"/>
        </w:rPr>
        <w:t>续两年签字）、丁海芳女士（新增），注册会计师周宁女士不再担任本公司签字注册会计师。</w:t>
      </w:r>
      <w:r>
        <w:rPr>
          <w:spacing w:val="-81"/>
        </w:rPr>
        <w:t> </w:t>
      </w:r>
      <w:r>
        <w:rPr>
          <w:spacing w:val="-81"/>
        </w:rPr>
      </w:r>
      <w:r>
        <w:rPr>
          <w:rFonts w:ascii="宋体" w:hAnsi="宋体" w:cs="宋体" w:eastAsia="宋体" w:hint="default"/>
        </w:rPr>
        <w:t>2011</w:t>
      </w:r>
      <w:r>
        <w:rPr>
          <w:rFonts w:ascii="宋体" w:hAnsi="宋体" w:cs="宋体" w:eastAsia="宋体" w:hint="default"/>
          <w:spacing w:val="-61"/>
        </w:rPr>
        <w:t> </w:t>
      </w:r>
      <w:r>
        <w:rPr/>
        <w:t>年度公司支付该审计机构的审计费用总计为人民币</w:t>
      </w:r>
      <w:r>
        <w:rPr>
          <w:spacing w:val="-61"/>
        </w:rPr>
        <w:t> </w:t>
      </w:r>
      <w:r>
        <w:rPr>
          <w:rFonts w:ascii="宋体" w:hAnsi="宋体" w:cs="宋体" w:eastAsia="宋体" w:hint="default"/>
        </w:rPr>
        <w:t>45</w:t>
      </w:r>
      <w:r>
        <w:rPr>
          <w:rFonts w:ascii="宋体" w:hAnsi="宋体" w:cs="宋体" w:eastAsia="宋体" w:hint="default"/>
          <w:spacing w:val="-61"/>
        </w:rPr>
        <w:t> </w:t>
      </w:r>
      <w:r>
        <w:rPr/>
        <w:t>万元。</w:t>
      </w:r>
    </w:p>
    <w:p>
      <w:pPr>
        <w:spacing w:line="240" w:lineRule="auto" w:before="8"/>
        <w:rPr>
          <w:rFonts w:ascii="宋体" w:hAnsi="宋体" w:cs="宋体" w:eastAsia="宋体" w:hint="default"/>
          <w:sz w:val="22"/>
          <w:szCs w:val="22"/>
        </w:rPr>
      </w:pPr>
    </w:p>
    <w:p>
      <w:pPr>
        <w:pStyle w:val="Heading3"/>
        <w:spacing w:line="240" w:lineRule="auto"/>
        <w:ind w:left="212" w:right="1116"/>
        <w:jc w:val="left"/>
        <w:rPr>
          <w:b w:val="0"/>
          <w:bCs w:val="0"/>
        </w:rPr>
      </w:pPr>
      <w:r>
        <w:rPr/>
        <w:t>十、报告期内，公司仍处于被中国证监会立案调查中</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1"/>
        <w:ind w:left="846" w:right="997"/>
        <w:jc w:val="left"/>
      </w:pPr>
      <w:r>
        <w:rPr/>
        <w:t>公司于</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3"/>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日收到中国证券监督管理委员</w:t>
      </w:r>
      <w:r>
        <w:rPr>
          <w:spacing w:val="-27"/>
        </w:rPr>
        <w:t>会</w:t>
      </w:r>
      <w:r>
        <w:rPr/>
        <w:t>《立案调查通知书</w:t>
      </w:r>
      <w:r>
        <w:rPr>
          <w:spacing w:val="-147"/>
        </w:rPr>
        <w:t>》</w:t>
      </w:r>
      <w:r>
        <w:rPr>
          <w:spacing w:val="1"/>
        </w:rPr>
        <w:t>（</w:t>
      </w:r>
      <w:r>
        <w:rPr>
          <w:rFonts w:ascii="宋体" w:hAnsi="宋体" w:cs="宋体" w:eastAsia="宋体" w:hint="default"/>
        </w:rPr>
        <w:t>2010</w:t>
      </w:r>
      <w:r>
        <w:rPr>
          <w:rFonts w:ascii="宋体" w:hAnsi="宋体" w:cs="宋体" w:eastAsia="宋体" w:hint="default"/>
          <w:spacing w:val="-60"/>
        </w:rPr>
        <w:t> </w:t>
      </w:r>
      <w:r>
        <w:rPr/>
        <w:t>深稽</w:t>
      </w:r>
    </w:p>
    <w:p>
      <w:pPr>
        <w:spacing w:after="0" w:line="240" w:lineRule="auto"/>
        <w:jc w:val="left"/>
        <w:sectPr>
          <w:pgSz w:w="11910" w:h="16840"/>
          <w:pgMar w:header="920" w:footer="956" w:top="1140" w:bottom="1140" w:left="920" w:right="0"/>
        </w:sectPr>
      </w:pPr>
    </w:p>
    <w:p>
      <w:pPr>
        <w:pStyle w:val="BodyText"/>
        <w:spacing w:line="357" w:lineRule="auto" w:before="19"/>
        <w:ind w:left="132" w:right="1118"/>
        <w:jc w:val="left"/>
      </w:pPr>
      <w:r>
        <w:rPr/>
        <w:t>立通字 </w:t>
      </w:r>
      <w:r>
        <w:rPr>
          <w:rFonts w:ascii="宋体" w:hAnsi="宋体" w:cs="宋体" w:eastAsia="宋体" w:hint="default"/>
        </w:rPr>
        <w:t>01</w:t>
      </w:r>
      <w:r>
        <w:rPr>
          <w:rFonts w:ascii="宋体" w:hAnsi="宋体" w:cs="宋体" w:eastAsia="宋体" w:hint="default"/>
          <w:spacing w:val="-60"/>
        </w:rPr>
        <w:t> </w:t>
      </w:r>
      <w:r>
        <w:rPr>
          <w:spacing w:val="-4"/>
        </w:rPr>
        <w:t>号）。因涉嫌违反证券法律法规，中国证券监督管理委员会深圳稽查局决定对公司</w:t>
      </w:r>
      <w:r>
        <w:rPr/>
        <w:t> 及相关人员立案调查。目前案件尚在调查过程中。</w:t>
      </w:r>
    </w:p>
    <w:p>
      <w:pPr>
        <w:pStyle w:val="Heading3"/>
        <w:spacing w:line="240" w:lineRule="auto" w:before="154"/>
        <w:ind w:left="132" w:right="1119"/>
        <w:jc w:val="left"/>
        <w:rPr>
          <w:b w:val="0"/>
          <w:bCs w:val="0"/>
        </w:rPr>
      </w:pPr>
      <w:r>
        <w:rPr/>
        <w:t>十一、报告期内重大信息索引</w:t>
      </w:r>
      <w:r>
        <w:rPr>
          <w:b w:val="0"/>
          <w:bCs w:val="0"/>
        </w:rPr>
      </w:r>
    </w:p>
    <w:p>
      <w:pPr>
        <w:spacing w:line="240" w:lineRule="auto" w:before="7"/>
        <w:rPr>
          <w:rFonts w:ascii="宋体" w:hAnsi="宋体" w:cs="宋体" w:eastAsia="宋体" w:hint="default"/>
          <w:b/>
          <w:bCs/>
          <w:sz w:val="29"/>
          <w:szCs w:val="29"/>
        </w:rPr>
      </w:pPr>
    </w:p>
    <w:tbl>
      <w:tblPr>
        <w:tblW w:w="0" w:type="auto"/>
        <w:jc w:val="left"/>
        <w:tblInd w:w="113" w:type="dxa"/>
        <w:tblLayout w:type="fixed"/>
        <w:tblCellMar>
          <w:top w:w="0" w:type="dxa"/>
          <w:left w:w="0" w:type="dxa"/>
          <w:bottom w:w="0" w:type="dxa"/>
          <w:right w:w="0" w:type="dxa"/>
        </w:tblCellMar>
        <w:tblLook w:val="01E0"/>
      </w:tblPr>
      <w:tblGrid>
        <w:gridCol w:w="531"/>
        <w:gridCol w:w="1159"/>
        <w:gridCol w:w="1393"/>
        <w:gridCol w:w="2888"/>
        <w:gridCol w:w="2410"/>
      </w:tblGrid>
      <w:tr>
        <w:trPr>
          <w:trHeight w:val="528"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8" w:right="0"/>
              <w:jc w:val="left"/>
              <w:rPr>
                <w:rFonts w:ascii="宋体" w:hAnsi="宋体" w:cs="宋体" w:eastAsia="宋体" w:hint="default"/>
                <w:sz w:val="20"/>
                <w:szCs w:val="20"/>
              </w:rPr>
            </w:pPr>
            <w:r>
              <w:rPr>
                <w:rFonts w:ascii="宋体" w:hAnsi="宋体" w:cs="宋体" w:eastAsia="宋体" w:hint="default"/>
                <w:b/>
                <w:bCs/>
                <w:w w:val="99"/>
                <w:sz w:val="20"/>
                <w:szCs w:val="20"/>
              </w:rPr>
              <w:t>序</w:t>
            </w:r>
            <w:r>
              <w:rPr>
                <w:rFonts w:ascii="宋体" w:hAnsi="宋体" w:cs="宋体" w:eastAsia="宋体" w:hint="default"/>
                <w:sz w:val="20"/>
                <w:szCs w:val="20"/>
              </w:rPr>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b/>
                <w:bCs/>
                <w:w w:val="99"/>
                <w:sz w:val="20"/>
                <w:szCs w:val="20"/>
              </w:rPr>
              <w:t>号</w:t>
            </w:r>
            <w:r>
              <w:rPr>
                <w:rFonts w:ascii="宋体" w:hAnsi="宋体" w:cs="宋体" w:eastAsia="宋体" w:hint="default"/>
                <w:sz w:val="20"/>
                <w:szCs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2" w:right="0"/>
              <w:jc w:val="left"/>
              <w:rPr>
                <w:rFonts w:ascii="宋体" w:hAnsi="宋体" w:cs="宋体" w:eastAsia="宋体" w:hint="default"/>
                <w:sz w:val="20"/>
                <w:szCs w:val="20"/>
              </w:rPr>
            </w:pPr>
            <w:r>
              <w:rPr>
                <w:rFonts w:ascii="宋体" w:hAnsi="宋体" w:cs="宋体" w:eastAsia="宋体" w:hint="default"/>
                <w:b/>
                <w:bCs/>
                <w:sz w:val="20"/>
                <w:szCs w:val="20"/>
              </w:rPr>
              <w:t>公告编号</w:t>
            </w:r>
            <w:r>
              <w:rPr>
                <w:rFonts w:ascii="宋体" w:hAnsi="宋体" w:cs="宋体" w:eastAsia="宋体" w:hint="default"/>
                <w:sz w:val="20"/>
                <w:szCs w:val="20"/>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7" w:right="0"/>
              <w:jc w:val="left"/>
              <w:rPr>
                <w:rFonts w:ascii="宋体" w:hAnsi="宋体" w:cs="宋体" w:eastAsia="宋体" w:hint="default"/>
                <w:sz w:val="20"/>
                <w:szCs w:val="20"/>
              </w:rPr>
            </w:pPr>
            <w:r>
              <w:rPr>
                <w:rFonts w:ascii="宋体" w:hAnsi="宋体" w:cs="宋体" w:eastAsia="宋体" w:hint="default"/>
                <w:b/>
                <w:bCs/>
                <w:sz w:val="20"/>
                <w:szCs w:val="20"/>
              </w:rPr>
              <w:t>公告日期</w:t>
            </w:r>
            <w:r>
              <w:rPr>
                <w:rFonts w:ascii="宋体" w:hAnsi="宋体" w:cs="宋体" w:eastAsia="宋体" w:hint="default"/>
                <w:sz w:val="20"/>
                <w:szCs w:val="20"/>
              </w:rPr>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20"/>
                <w:szCs w:val="20"/>
              </w:rPr>
            </w:pPr>
            <w:r>
              <w:rPr>
                <w:rFonts w:ascii="宋体" w:hAnsi="宋体" w:cs="宋体" w:eastAsia="宋体" w:hint="default"/>
                <w:b/>
                <w:bCs/>
                <w:sz w:val="20"/>
                <w:szCs w:val="20"/>
              </w:rPr>
              <w:t>公告内容</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97" w:right="0"/>
              <w:jc w:val="left"/>
              <w:rPr>
                <w:rFonts w:ascii="宋体" w:hAnsi="宋体" w:cs="宋体" w:eastAsia="宋体" w:hint="default"/>
                <w:sz w:val="20"/>
                <w:szCs w:val="20"/>
              </w:rPr>
            </w:pPr>
            <w:r>
              <w:rPr>
                <w:rFonts w:ascii="宋体" w:hAnsi="宋体" w:cs="宋体" w:eastAsia="宋体" w:hint="default"/>
                <w:b/>
                <w:bCs/>
                <w:sz w:val="20"/>
                <w:szCs w:val="20"/>
              </w:rPr>
              <w:t>信息披露媒体</w:t>
            </w:r>
            <w:r>
              <w:rPr>
                <w:rFonts w:ascii="宋体" w:hAnsi="宋体" w:cs="宋体" w:eastAsia="宋体" w:hint="default"/>
                <w:sz w:val="20"/>
                <w:szCs w:val="20"/>
              </w:rPr>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2"/>
              <w:jc w:val="right"/>
              <w:rPr>
                <w:rFonts w:ascii="宋体" w:hAnsi="宋体" w:cs="宋体" w:eastAsia="宋体" w:hint="default"/>
                <w:sz w:val="18"/>
                <w:szCs w:val="18"/>
              </w:rPr>
            </w:pPr>
            <w:r>
              <w:rPr>
                <w:rFonts w:ascii="宋体"/>
                <w:sz w:val="18"/>
              </w:rPr>
              <w:t>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2010-046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31" w:right="0"/>
              <w:jc w:val="left"/>
              <w:rPr>
                <w:rFonts w:ascii="宋体" w:hAnsi="宋体" w:cs="宋体" w:eastAsia="宋体" w:hint="default"/>
                <w:sz w:val="18"/>
                <w:szCs w:val="18"/>
              </w:rPr>
            </w:pPr>
            <w:r>
              <w:rPr>
                <w:rFonts w:ascii="宋体"/>
                <w:sz w:val="18"/>
              </w:rPr>
              <w:t>2011-1-4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1"/>
              <w:jc w:val="left"/>
              <w:rPr>
                <w:rFonts w:ascii="宋体" w:hAnsi="宋体" w:cs="宋体" w:eastAsia="宋体" w:hint="default"/>
                <w:sz w:val="18"/>
                <w:szCs w:val="18"/>
              </w:rPr>
            </w:pPr>
            <w:r>
              <w:rPr>
                <w:rFonts w:ascii="宋体" w:hAnsi="宋体" w:cs="宋体" w:eastAsia="宋体" w:hint="default"/>
                <w:sz w:val="18"/>
                <w:szCs w:val="18"/>
              </w:rPr>
              <w:t>第三届董事会 </w:t>
            </w:r>
            <w:r>
              <w:rPr>
                <w:rFonts w:ascii="宋体" w:hAnsi="宋体" w:cs="宋体" w:eastAsia="宋体" w:hint="default"/>
                <w:sz w:val="18"/>
                <w:szCs w:val="18"/>
              </w:rPr>
              <w:t>2010</w:t>
            </w:r>
            <w:r>
              <w:rPr>
                <w:rFonts w:ascii="宋体" w:hAnsi="宋体" w:cs="宋体" w:eastAsia="宋体" w:hint="default"/>
                <w:spacing w:val="-31"/>
                <w:sz w:val="18"/>
                <w:szCs w:val="18"/>
              </w:rPr>
              <w:t> </w:t>
            </w:r>
            <w:r>
              <w:rPr>
                <w:rFonts w:ascii="宋体" w:hAnsi="宋体" w:cs="宋体" w:eastAsia="宋体" w:hint="default"/>
                <w:sz w:val="18"/>
                <w:szCs w:val="18"/>
              </w:rPr>
              <w:t>年第八次会议 决议公告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31" w:right="0"/>
              <w:jc w:val="left"/>
              <w:rPr>
                <w:rFonts w:ascii="宋体" w:hAnsi="宋体" w:cs="宋体" w:eastAsia="宋体" w:hint="default"/>
                <w:sz w:val="18"/>
                <w:szCs w:val="18"/>
              </w:rPr>
            </w:pPr>
            <w:r>
              <w:rPr>
                <w:rFonts w:ascii="宋体"/>
                <w:sz w:val="18"/>
              </w:rPr>
              <w:t>2011-1-4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103" w:right="101"/>
              <w:jc w:val="left"/>
              <w:rPr>
                <w:rFonts w:ascii="宋体" w:hAnsi="宋体" w:cs="宋体" w:eastAsia="宋体" w:hint="default"/>
                <w:sz w:val="18"/>
                <w:szCs w:val="18"/>
              </w:rPr>
            </w:pPr>
            <w:r>
              <w:rPr>
                <w:rFonts w:ascii="宋体" w:hAnsi="宋体" w:cs="宋体" w:eastAsia="宋体" w:hint="default"/>
                <w:sz w:val="18"/>
                <w:szCs w:val="18"/>
              </w:rPr>
              <w:t>第三届董事会 </w:t>
            </w:r>
            <w:r>
              <w:rPr>
                <w:rFonts w:ascii="宋体" w:hAnsi="宋体" w:cs="宋体" w:eastAsia="宋体" w:hint="default"/>
                <w:sz w:val="18"/>
                <w:szCs w:val="18"/>
              </w:rPr>
              <w:t>2010</w:t>
            </w:r>
            <w:r>
              <w:rPr>
                <w:rFonts w:ascii="宋体" w:hAnsi="宋体" w:cs="宋体" w:eastAsia="宋体" w:hint="default"/>
                <w:spacing w:val="-31"/>
                <w:sz w:val="18"/>
                <w:szCs w:val="18"/>
              </w:rPr>
              <w:t> </w:t>
            </w:r>
            <w:r>
              <w:rPr>
                <w:rFonts w:ascii="宋体" w:hAnsi="宋体" w:cs="宋体" w:eastAsia="宋体" w:hint="default"/>
                <w:sz w:val="18"/>
                <w:szCs w:val="18"/>
              </w:rPr>
              <w:t>年第八次会议 独立董事意见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2"/>
              <w:jc w:val="right"/>
              <w:rPr>
                <w:rFonts w:ascii="宋体" w:hAnsi="宋体" w:cs="宋体" w:eastAsia="宋体" w:hint="default"/>
                <w:sz w:val="18"/>
                <w:szCs w:val="18"/>
              </w:rPr>
            </w:pPr>
            <w:r>
              <w:rPr>
                <w:rFonts w:ascii="宋体"/>
                <w:sz w:val="18"/>
              </w:rPr>
              <w:t>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2011-001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31" w:right="0"/>
              <w:jc w:val="left"/>
              <w:rPr>
                <w:rFonts w:ascii="宋体" w:hAnsi="宋体" w:cs="宋体" w:eastAsia="宋体" w:hint="default"/>
                <w:sz w:val="18"/>
                <w:szCs w:val="18"/>
              </w:rPr>
            </w:pPr>
            <w:r>
              <w:rPr>
                <w:rFonts w:ascii="宋体"/>
                <w:sz w:val="18"/>
              </w:rPr>
              <w:t>2011-1-6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关于股东部分股份质押的公告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7"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2"/>
              <w:jc w:val="right"/>
              <w:rPr>
                <w:rFonts w:ascii="宋体" w:hAnsi="宋体" w:cs="宋体" w:eastAsia="宋体" w:hint="default"/>
                <w:sz w:val="18"/>
                <w:szCs w:val="18"/>
              </w:rPr>
            </w:pPr>
            <w:r>
              <w:rPr>
                <w:rFonts w:ascii="宋体"/>
                <w:sz w:val="18"/>
              </w:rPr>
              <w:t>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13" w:right="0"/>
              <w:jc w:val="left"/>
              <w:rPr>
                <w:rFonts w:ascii="宋体" w:hAnsi="宋体" w:cs="宋体" w:eastAsia="宋体" w:hint="default"/>
                <w:sz w:val="18"/>
                <w:szCs w:val="18"/>
              </w:rPr>
            </w:pPr>
            <w:r>
              <w:rPr>
                <w:rFonts w:ascii="宋体"/>
                <w:sz w:val="18"/>
              </w:rPr>
              <w:t>2011-002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31" w:right="0"/>
              <w:jc w:val="left"/>
              <w:rPr>
                <w:rFonts w:ascii="宋体" w:hAnsi="宋体" w:cs="宋体" w:eastAsia="宋体" w:hint="default"/>
                <w:sz w:val="18"/>
                <w:szCs w:val="18"/>
              </w:rPr>
            </w:pPr>
            <w:r>
              <w:rPr>
                <w:rFonts w:ascii="宋体"/>
                <w:sz w:val="18"/>
              </w:rPr>
              <w:t>2011-1-8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关于公司监事辞职的公告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2"/>
              <w:jc w:val="right"/>
              <w:rPr>
                <w:rFonts w:ascii="宋体" w:hAnsi="宋体" w:cs="宋体" w:eastAsia="宋体" w:hint="default"/>
                <w:sz w:val="18"/>
                <w:szCs w:val="18"/>
              </w:rPr>
            </w:pPr>
            <w:r>
              <w:rPr>
                <w:rFonts w:ascii="宋体"/>
                <w:sz w:val="18"/>
              </w:rPr>
              <w:t>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2011-003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2011-2-25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年度业绩快报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2"/>
              <w:jc w:val="right"/>
              <w:rPr>
                <w:rFonts w:ascii="宋体" w:hAnsi="宋体" w:cs="宋体" w:eastAsia="宋体" w:hint="default"/>
                <w:sz w:val="18"/>
                <w:szCs w:val="18"/>
              </w:rPr>
            </w:pPr>
            <w:r>
              <w:rPr>
                <w:rFonts w:ascii="宋体"/>
                <w:sz w:val="18"/>
              </w:rPr>
              <w:t>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2011-004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31" w:right="0"/>
              <w:jc w:val="left"/>
              <w:rPr>
                <w:rFonts w:ascii="宋体" w:hAnsi="宋体" w:cs="宋体" w:eastAsia="宋体" w:hint="default"/>
                <w:sz w:val="18"/>
                <w:szCs w:val="18"/>
              </w:rPr>
            </w:pPr>
            <w:r>
              <w:rPr>
                <w:rFonts w:ascii="宋体"/>
                <w:sz w:val="18"/>
              </w:rPr>
              <w:t>2011-3-4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89"/>
              <w:jc w:val="left"/>
              <w:rPr>
                <w:rFonts w:ascii="宋体" w:hAnsi="宋体" w:cs="宋体" w:eastAsia="宋体" w:hint="default"/>
                <w:sz w:val="18"/>
                <w:szCs w:val="18"/>
              </w:rPr>
            </w:pPr>
            <w:r>
              <w:rPr>
                <w:rFonts w:ascii="宋体" w:hAnsi="宋体" w:cs="宋体" w:eastAsia="宋体" w:hint="default"/>
                <w:spacing w:val="11"/>
                <w:sz w:val="18"/>
                <w:szCs w:val="18"/>
              </w:rPr>
              <w:t>关于公司控股股东减持公司股份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的提示性公告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2"/>
              <w:jc w:val="right"/>
              <w:rPr>
                <w:rFonts w:ascii="宋体" w:hAnsi="宋体" w:cs="宋体" w:eastAsia="宋体" w:hint="default"/>
                <w:sz w:val="18"/>
                <w:szCs w:val="18"/>
              </w:rPr>
            </w:pPr>
            <w:r>
              <w:rPr>
                <w:rFonts w:ascii="宋体"/>
                <w:sz w:val="18"/>
              </w:rPr>
              <w:t>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2011-005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2011-3-17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89"/>
              <w:jc w:val="left"/>
              <w:rPr>
                <w:rFonts w:ascii="宋体" w:hAnsi="宋体" w:cs="宋体" w:eastAsia="宋体" w:hint="default"/>
                <w:sz w:val="18"/>
                <w:szCs w:val="18"/>
              </w:rPr>
            </w:pPr>
            <w:r>
              <w:rPr>
                <w:rFonts w:ascii="宋体" w:hAnsi="宋体" w:cs="宋体" w:eastAsia="宋体" w:hint="default"/>
                <w:spacing w:val="11"/>
                <w:sz w:val="18"/>
                <w:szCs w:val="18"/>
              </w:rPr>
              <w:t>关于到期归还暂时用于补充流动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资金的募集资金的公告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2"/>
              <w:jc w:val="right"/>
              <w:rPr>
                <w:rFonts w:ascii="宋体" w:hAnsi="宋体" w:cs="宋体" w:eastAsia="宋体" w:hint="default"/>
                <w:sz w:val="18"/>
                <w:szCs w:val="18"/>
              </w:rPr>
            </w:pPr>
            <w:r>
              <w:rPr>
                <w:rFonts w:ascii="宋体"/>
                <w:sz w:val="18"/>
              </w:rPr>
              <w:t>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2011-006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2011-3-24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1"/>
              <w:jc w:val="left"/>
              <w:rPr>
                <w:rFonts w:ascii="宋体" w:hAnsi="宋体" w:cs="宋体" w:eastAsia="宋体" w:hint="default"/>
                <w:sz w:val="18"/>
                <w:szCs w:val="18"/>
              </w:rPr>
            </w:pPr>
            <w:r>
              <w:rPr>
                <w:rFonts w:ascii="宋体" w:hAnsi="宋体" w:cs="宋体" w:eastAsia="宋体" w:hint="default"/>
                <w:sz w:val="18"/>
                <w:szCs w:val="18"/>
              </w:rPr>
              <w:t>第三届董事会 </w:t>
            </w:r>
            <w:r>
              <w:rPr>
                <w:rFonts w:ascii="宋体" w:hAnsi="宋体" w:cs="宋体" w:eastAsia="宋体" w:hint="default"/>
                <w:sz w:val="18"/>
                <w:szCs w:val="18"/>
              </w:rPr>
              <w:t>2011</w:t>
            </w:r>
            <w:r>
              <w:rPr>
                <w:rFonts w:ascii="宋体" w:hAnsi="宋体" w:cs="宋体" w:eastAsia="宋体" w:hint="default"/>
                <w:spacing w:val="-31"/>
                <w:sz w:val="18"/>
                <w:szCs w:val="18"/>
              </w:rPr>
              <w:t> </w:t>
            </w:r>
            <w:r>
              <w:rPr>
                <w:rFonts w:ascii="宋体" w:hAnsi="宋体" w:cs="宋体" w:eastAsia="宋体" w:hint="default"/>
                <w:sz w:val="18"/>
                <w:szCs w:val="18"/>
              </w:rPr>
              <w:t>年第一次会议 决议公告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5"/>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潮资讯网</w:t>
            </w:r>
          </w:p>
        </w:tc>
      </w:tr>
      <w:tr>
        <w:trPr>
          <w:trHeight w:val="627"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2"/>
              <w:jc w:val="right"/>
              <w:rPr>
                <w:rFonts w:ascii="宋体" w:hAnsi="宋体" w:cs="宋体" w:eastAsia="宋体" w:hint="default"/>
                <w:sz w:val="18"/>
                <w:szCs w:val="18"/>
              </w:rPr>
            </w:pPr>
            <w:r>
              <w:rPr>
                <w:rFonts w:ascii="宋体"/>
                <w:sz w:val="18"/>
              </w:rPr>
              <w:t>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2011-007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2011-3-24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7"/>
              <w:ind w:left="103" w:right="101"/>
              <w:jc w:val="left"/>
              <w:rPr>
                <w:rFonts w:ascii="宋体" w:hAnsi="宋体" w:cs="宋体" w:eastAsia="宋体" w:hint="default"/>
                <w:sz w:val="18"/>
                <w:szCs w:val="18"/>
              </w:rPr>
            </w:pPr>
            <w:r>
              <w:rPr>
                <w:rFonts w:ascii="宋体" w:hAnsi="宋体" w:cs="宋体" w:eastAsia="宋体" w:hint="default"/>
                <w:sz w:val="18"/>
                <w:szCs w:val="18"/>
              </w:rPr>
              <w:t>第三届监事会 </w:t>
            </w:r>
            <w:r>
              <w:rPr>
                <w:rFonts w:ascii="宋体" w:hAnsi="宋体" w:cs="宋体" w:eastAsia="宋体" w:hint="default"/>
                <w:sz w:val="18"/>
                <w:szCs w:val="18"/>
              </w:rPr>
              <w:t>2011</w:t>
            </w:r>
            <w:r>
              <w:rPr>
                <w:rFonts w:ascii="宋体" w:hAnsi="宋体" w:cs="宋体" w:eastAsia="宋体" w:hint="default"/>
                <w:spacing w:val="-31"/>
                <w:sz w:val="18"/>
                <w:szCs w:val="18"/>
              </w:rPr>
              <w:t> </w:t>
            </w:r>
            <w:r>
              <w:rPr>
                <w:rFonts w:ascii="宋体" w:hAnsi="宋体" w:cs="宋体" w:eastAsia="宋体" w:hint="default"/>
                <w:sz w:val="18"/>
                <w:szCs w:val="18"/>
              </w:rPr>
              <w:t>年第一次会议 决议的公告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7"/>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2"/>
              <w:jc w:val="right"/>
              <w:rPr>
                <w:rFonts w:ascii="宋体" w:hAnsi="宋体" w:cs="宋体" w:eastAsia="宋体" w:hint="default"/>
                <w:sz w:val="18"/>
                <w:szCs w:val="18"/>
              </w:rPr>
            </w:pPr>
            <w:r>
              <w:rPr>
                <w:rFonts w:ascii="宋体"/>
                <w:sz w:val="18"/>
              </w:rPr>
              <w:t>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2011-008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2011-3-24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89"/>
              <w:jc w:val="left"/>
              <w:rPr>
                <w:rFonts w:ascii="宋体" w:hAnsi="宋体" w:cs="宋体" w:eastAsia="宋体" w:hint="default"/>
                <w:sz w:val="18"/>
                <w:szCs w:val="18"/>
              </w:rPr>
            </w:pPr>
            <w:r>
              <w:rPr>
                <w:rFonts w:ascii="宋体" w:hAnsi="宋体" w:cs="宋体" w:eastAsia="宋体" w:hint="default"/>
                <w:spacing w:val="11"/>
                <w:sz w:val="18"/>
                <w:szCs w:val="18"/>
              </w:rPr>
              <w:t>关于公司继续使用部分闲置募集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资金补充流动资金的公告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10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2011-3-24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70"/>
              <w:ind w:left="103" w:right="101"/>
              <w:jc w:val="left"/>
              <w:rPr>
                <w:rFonts w:ascii="宋体" w:hAnsi="宋体" w:cs="宋体" w:eastAsia="宋体" w:hint="default"/>
                <w:sz w:val="18"/>
                <w:szCs w:val="18"/>
              </w:rPr>
            </w:pPr>
            <w:r>
              <w:rPr>
                <w:rFonts w:ascii="宋体" w:hAnsi="宋体" w:cs="宋体" w:eastAsia="宋体" w:hint="default"/>
                <w:sz w:val="18"/>
                <w:szCs w:val="18"/>
              </w:rPr>
              <w:t>第三届董事会 </w:t>
            </w:r>
            <w:r>
              <w:rPr>
                <w:rFonts w:ascii="宋体" w:hAnsi="宋体" w:cs="宋体" w:eastAsia="宋体" w:hint="default"/>
                <w:sz w:val="18"/>
                <w:szCs w:val="18"/>
              </w:rPr>
              <w:t>2011</w:t>
            </w:r>
            <w:r>
              <w:rPr>
                <w:rFonts w:ascii="宋体" w:hAnsi="宋体" w:cs="宋体" w:eastAsia="宋体" w:hint="default"/>
                <w:spacing w:val="-31"/>
                <w:sz w:val="18"/>
                <w:szCs w:val="18"/>
              </w:rPr>
              <w:t> </w:t>
            </w:r>
            <w:r>
              <w:rPr>
                <w:rFonts w:ascii="宋体" w:hAnsi="宋体" w:cs="宋体" w:eastAsia="宋体" w:hint="default"/>
                <w:sz w:val="18"/>
                <w:szCs w:val="18"/>
              </w:rPr>
              <w:t>年第一次会议 独立董事意见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2"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98"/>
              <w:jc w:val="right"/>
              <w:rPr>
                <w:rFonts w:ascii="宋体" w:hAnsi="宋体" w:cs="宋体" w:eastAsia="宋体" w:hint="default"/>
                <w:sz w:val="18"/>
                <w:szCs w:val="18"/>
              </w:rPr>
            </w:pPr>
            <w:r>
              <w:rPr>
                <w:rFonts w:ascii="宋体"/>
                <w:sz w:val="18"/>
              </w:rPr>
              <w:t>11</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85" w:right="0"/>
              <w:jc w:val="left"/>
              <w:rPr>
                <w:rFonts w:ascii="宋体" w:hAnsi="宋体" w:cs="宋体" w:eastAsia="宋体" w:hint="default"/>
                <w:sz w:val="18"/>
                <w:szCs w:val="18"/>
              </w:rPr>
            </w:pPr>
            <w:r>
              <w:rPr>
                <w:rFonts w:ascii="宋体"/>
                <w:sz w:val="18"/>
              </w:rPr>
              <w:t>2011-3-24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89"/>
              <w:jc w:val="both"/>
              <w:rPr>
                <w:rFonts w:ascii="宋体" w:hAnsi="宋体" w:cs="宋体" w:eastAsia="宋体" w:hint="default"/>
                <w:sz w:val="18"/>
                <w:szCs w:val="18"/>
              </w:rPr>
            </w:pPr>
            <w:r>
              <w:rPr>
                <w:rFonts w:ascii="宋体" w:hAnsi="宋体" w:cs="宋体" w:eastAsia="宋体" w:hint="default"/>
                <w:spacing w:val="11"/>
                <w:sz w:val="18"/>
                <w:szCs w:val="18"/>
              </w:rPr>
              <w:t>广发证券对深圳劲嘉彩印集团股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份有限公司第三届董事会 </w:t>
            </w:r>
            <w:r>
              <w:rPr>
                <w:rFonts w:ascii="宋体" w:hAnsi="宋体" w:cs="宋体" w:eastAsia="宋体" w:hint="default"/>
                <w:sz w:val="18"/>
                <w:szCs w:val="18"/>
              </w:rPr>
              <w:t>2011</w:t>
            </w:r>
            <w:r>
              <w:rPr>
                <w:rFonts w:ascii="宋体" w:hAnsi="宋体" w:cs="宋体" w:eastAsia="宋体" w:hint="default"/>
                <w:spacing w:val="-31"/>
                <w:sz w:val="18"/>
                <w:szCs w:val="18"/>
              </w:rPr>
              <w:t> </w:t>
            </w:r>
            <w:r>
              <w:rPr>
                <w:rFonts w:ascii="宋体" w:hAnsi="宋体" w:cs="宋体" w:eastAsia="宋体" w:hint="default"/>
                <w:sz w:val="18"/>
                <w:szCs w:val="18"/>
              </w:rPr>
              <w:t>年 </w:t>
            </w:r>
            <w:r>
              <w:rPr>
                <w:rFonts w:ascii="宋体" w:hAnsi="宋体" w:cs="宋体" w:eastAsia="宋体" w:hint="default"/>
                <w:spacing w:val="11"/>
                <w:sz w:val="18"/>
                <w:szCs w:val="18"/>
              </w:rPr>
              <w:t>第一次会议审议的相关议案发表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的意见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12</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2011-4-13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70"/>
              <w:ind w:left="103" w:right="101"/>
              <w:jc w:val="left"/>
              <w:rPr>
                <w:rFonts w:ascii="宋体" w:hAnsi="宋体" w:cs="宋体" w:eastAsia="宋体" w:hint="default"/>
                <w:sz w:val="18"/>
                <w:szCs w:val="18"/>
              </w:rPr>
            </w:pPr>
            <w:r>
              <w:rPr>
                <w:rFonts w:ascii="宋体" w:hAnsi="宋体" w:cs="宋体" w:eastAsia="宋体" w:hint="default"/>
                <w:sz w:val="18"/>
                <w:szCs w:val="18"/>
              </w:rPr>
              <w:t>关于 </w:t>
            </w:r>
            <w:r>
              <w:rPr>
                <w:rFonts w:ascii="宋体" w:hAnsi="宋体" w:cs="宋体" w:eastAsia="宋体" w:hint="default"/>
                <w:sz w:val="18"/>
                <w:szCs w:val="18"/>
              </w:rPr>
              <w:t>2010</w:t>
            </w:r>
            <w:r>
              <w:rPr>
                <w:rFonts w:ascii="宋体" w:hAnsi="宋体" w:cs="宋体" w:eastAsia="宋体" w:hint="default"/>
                <w:spacing w:val="-31"/>
                <w:sz w:val="18"/>
                <w:szCs w:val="18"/>
              </w:rPr>
              <w:t> </w:t>
            </w:r>
            <w:r>
              <w:rPr>
                <w:rFonts w:ascii="宋体" w:hAnsi="宋体" w:cs="宋体" w:eastAsia="宋体" w:hint="default"/>
                <w:sz w:val="18"/>
                <w:szCs w:val="18"/>
              </w:rPr>
              <w:t>年年度报告延期披露的 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5"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13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2011-009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1"/>
              <w:jc w:val="left"/>
              <w:rPr>
                <w:rFonts w:ascii="宋体" w:hAnsi="宋体" w:cs="宋体" w:eastAsia="宋体" w:hint="default"/>
                <w:sz w:val="18"/>
                <w:szCs w:val="18"/>
              </w:rPr>
            </w:pPr>
            <w:r>
              <w:rPr>
                <w:rFonts w:ascii="宋体" w:hAnsi="宋体" w:cs="宋体" w:eastAsia="宋体" w:hint="default"/>
                <w:sz w:val="18"/>
                <w:szCs w:val="18"/>
              </w:rPr>
              <w:t>关于更改 </w:t>
            </w:r>
            <w:r>
              <w:rPr>
                <w:rFonts w:ascii="宋体" w:hAnsi="宋体" w:cs="宋体" w:eastAsia="宋体" w:hint="default"/>
                <w:sz w:val="18"/>
                <w:szCs w:val="18"/>
              </w:rPr>
              <w:t>2010</w:t>
            </w:r>
            <w:r>
              <w:rPr>
                <w:rFonts w:ascii="宋体" w:hAnsi="宋体" w:cs="宋体" w:eastAsia="宋体" w:hint="default"/>
                <w:spacing w:val="-31"/>
                <w:sz w:val="18"/>
                <w:szCs w:val="18"/>
              </w:rPr>
              <w:t> </w:t>
            </w:r>
            <w:r>
              <w:rPr>
                <w:rFonts w:ascii="宋体" w:hAnsi="宋体" w:cs="宋体" w:eastAsia="宋体" w:hint="default"/>
                <w:sz w:val="18"/>
                <w:szCs w:val="18"/>
              </w:rPr>
              <w:t>年年度报告披露日 期的公告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14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2011-010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年度报告摘要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15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2011-011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103" w:right="101"/>
              <w:jc w:val="left"/>
              <w:rPr>
                <w:rFonts w:ascii="宋体" w:hAnsi="宋体" w:cs="宋体" w:eastAsia="宋体" w:hint="default"/>
                <w:sz w:val="18"/>
                <w:szCs w:val="18"/>
              </w:rPr>
            </w:pPr>
            <w:r>
              <w:rPr>
                <w:rFonts w:ascii="宋体" w:hAnsi="宋体" w:cs="宋体" w:eastAsia="宋体" w:hint="default"/>
                <w:sz w:val="18"/>
                <w:szCs w:val="18"/>
              </w:rPr>
              <w:t>第三届董事会 </w:t>
            </w:r>
            <w:r>
              <w:rPr>
                <w:rFonts w:ascii="宋体" w:hAnsi="宋体" w:cs="宋体" w:eastAsia="宋体" w:hint="default"/>
                <w:sz w:val="18"/>
                <w:szCs w:val="18"/>
              </w:rPr>
              <w:t>2011</w:t>
            </w:r>
            <w:r>
              <w:rPr>
                <w:rFonts w:ascii="宋体" w:hAnsi="宋体" w:cs="宋体" w:eastAsia="宋体" w:hint="default"/>
                <w:spacing w:val="-31"/>
                <w:sz w:val="18"/>
                <w:szCs w:val="18"/>
              </w:rPr>
              <w:t> </w:t>
            </w:r>
            <w:r>
              <w:rPr>
                <w:rFonts w:ascii="宋体" w:hAnsi="宋体" w:cs="宋体" w:eastAsia="宋体" w:hint="default"/>
                <w:sz w:val="18"/>
                <w:szCs w:val="18"/>
              </w:rPr>
              <w:t>年第三次会议 决议公告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16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2011-012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年年度股东大会通知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17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2011-013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103" w:right="101"/>
              <w:jc w:val="left"/>
              <w:rPr>
                <w:rFonts w:ascii="宋体" w:hAnsi="宋体" w:cs="宋体" w:eastAsia="宋体" w:hint="default"/>
                <w:sz w:val="18"/>
                <w:szCs w:val="18"/>
              </w:rPr>
            </w:pPr>
            <w:r>
              <w:rPr>
                <w:rFonts w:ascii="宋体" w:hAnsi="宋体" w:cs="宋体" w:eastAsia="宋体" w:hint="default"/>
                <w:sz w:val="18"/>
                <w:szCs w:val="18"/>
              </w:rPr>
              <w:t>第三届监事会 </w:t>
            </w:r>
            <w:r>
              <w:rPr>
                <w:rFonts w:ascii="宋体" w:hAnsi="宋体" w:cs="宋体" w:eastAsia="宋体" w:hint="default"/>
                <w:sz w:val="18"/>
                <w:szCs w:val="18"/>
              </w:rPr>
              <w:t>2011</w:t>
            </w:r>
            <w:r>
              <w:rPr>
                <w:rFonts w:ascii="宋体" w:hAnsi="宋体" w:cs="宋体" w:eastAsia="宋体" w:hint="default"/>
                <w:spacing w:val="-31"/>
                <w:sz w:val="18"/>
                <w:szCs w:val="18"/>
              </w:rPr>
              <w:t> </w:t>
            </w:r>
            <w:r>
              <w:rPr>
                <w:rFonts w:ascii="宋体" w:hAnsi="宋体" w:cs="宋体" w:eastAsia="宋体" w:hint="default"/>
                <w:sz w:val="18"/>
                <w:szCs w:val="18"/>
              </w:rPr>
              <w:t>年第三次会议 决议公告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bl>
    <w:p>
      <w:pPr>
        <w:spacing w:after="0" w:line="232" w:lineRule="exact"/>
        <w:jc w:val="left"/>
        <w:rPr>
          <w:rFonts w:ascii="宋体" w:hAnsi="宋体" w:cs="宋体" w:eastAsia="宋体" w:hint="default"/>
          <w:sz w:val="18"/>
          <w:szCs w:val="18"/>
        </w:rPr>
        <w:sectPr>
          <w:pgSz w:w="11910" w:h="16840"/>
          <w:pgMar w:header="920" w:footer="956" w:top="1140" w:bottom="1140" w:left="1000" w:right="0"/>
        </w:sectPr>
      </w:pPr>
    </w:p>
    <w:p>
      <w:pPr>
        <w:spacing w:line="240" w:lineRule="auto" w:before="9"/>
        <w:rPr>
          <w:rFonts w:ascii="Times New Roman" w:hAnsi="Times New Roman" w:cs="Times New Roman" w:eastAsia="Times New Roman"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531"/>
        <w:gridCol w:w="1159"/>
        <w:gridCol w:w="1393"/>
        <w:gridCol w:w="2888"/>
        <w:gridCol w:w="2410"/>
      </w:tblGrid>
      <w:tr>
        <w:trPr>
          <w:trHeight w:val="622" w:hRule="exact"/>
        </w:trPr>
        <w:tc>
          <w:tcPr>
            <w:tcW w:w="5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18</w:t>
            </w:r>
          </w:p>
        </w:tc>
        <w:tc>
          <w:tcPr>
            <w:tcW w:w="11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2011-014</w:t>
            </w:r>
          </w:p>
        </w:tc>
        <w:tc>
          <w:tcPr>
            <w:tcW w:w="1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nil" w:sz="6" w:space="0" w:color="auto"/>
              <w:left w:val="single" w:sz="4" w:space="0" w:color="000000"/>
              <w:bottom w:val="single" w:sz="4" w:space="0" w:color="000000"/>
              <w:right w:val="single" w:sz="4" w:space="0" w:color="000000"/>
            </w:tcBorders>
          </w:tcPr>
          <w:p>
            <w:pPr>
              <w:pStyle w:val="TableParagraph"/>
              <w:spacing w:line="232" w:lineRule="exact" w:before="69"/>
              <w:ind w:left="103" w:right="101"/>
              <w:jc w:val="left"/>
              <w:rPr>
                <w:rFonts w:ascii="宋体" w:hAnsi="宋体" w:cs="宋体" w:eastAsia="宋体" w:hint="default"/>
                <w:sz w:val="18"/>
                <w:szCs w:val="18"/>
              </w:rPr>
            </w:pPr>
            <w:r>
              <w:rPr>
                <w:rFonts w:ascii="宋体" w:hAnsi="宋体" w:cs="宋体" w:eastAsia="宋体" w:hint="default"/>
                <w:sz w:val="18"/>
                <w:szCs w:val="18"/>
              </w:rPr>
              <w:t>董事会关于募集资金 </w:t>
            </w:r>
            <w:r>
              <w:rPr>
                <w:rFonts w:ascii="宋体" w:hAnsi="宋体" w:cs="宋体" w:eastAsia="宋体" w:hint="default"/>
                <w:sz w:val="18"/>
                <w:szCs w:val="18"/>
              </w:rPr>
              <w:t>2010</w:t>
            </w:r>
            <w:r>
              <w:rPr>
                <w:rFonts w:ascii="宋体" w:hAnsi="宋体" w:cs="宋体" w:eastAsia="宋体" w:hint="default"/>
                <w:spacing w:val="-30"/>
                <w:sz w:val="18"/>
                <w:szCs w:val="18"/>
              </w:rPr>
              <w:t> </w:t>
            </w:r>
            <w:r>
              <w:rPr>
                <w:rFonts w:ascii="宋体" w:hAnsi="宋体" w:cs="宋体" w:eastAsia="宋体" w:hint="default"/>
                <w:sz w:val="18"/>
                <w:szCs w:val="18"/>
              </w:rPr>
              <w:t>年度存 放与使用情况的专项报告</w:t>
            </w: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32" w:lineRule="exact" w:before="69"/>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19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1"/>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pacing w:val="-6"/>
                <w:sz w:val="18"/>
                <w:szCs w:val="18"/>
              </w:rPr>
              <w:t>年度独立董事述职报告（李新</w:t>
            </w:r>
            <w:r>
              <w:rPr>
                <w:rFonts w:ascii="宋体" w:hAnsi="宋体" w:cs="宋体" w:eastAsia="宋体" w:hint="default"/>
                <w:sz w:val="18"/>
                <w:szCs w:val="18"/>
              </w:rPr>
              <w:t> 中）</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20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96"/>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
                <w:sz w:val="18"/>
                <w:szCs w:val="18"/>
              </w:rPr>
              <w:t> </w:t>
            </w:r>
            <w:r>
              <w:rPr>
                <w:rFonts w:ascii="宋体" w:hAnsi="宋体" w:cs="宋体" w:eastAsia="宋体" w:hint="default"/>
                <w:spacing w:val="4"/>
                <w:sz w:val="18"/>
                <w:szCs w:val="18"/>
              </w:rPr>
              <w:t>年度独立董事述职报告（龙 </w:t>
            </w:r>
            <w:r>
              <w:rPr>
                <w:rFonts w:ascii="宋体" w:hAnsi="宋体" w:cs="宋体" w:eastAsia="宋体" w:hint="default"/>
                <w:sz w:val="18"/>
                <w:szCs w:val="18"/>
              </w:rPr>
              <w:t>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21</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103" w:right="101"/>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pacing w:val="-6"/>
                <w:sz w:val="18"/>
                <w:szCs w:val="18"/>
              </w:rPr>
              <w:t>年度独立董事述职报告（王忠</w:t>
            </w:r>
            <w:r>
              <w:rPr>
                <w:rFonts w:ascii="宋体" w:hAnsi="宋体" w:cs="宋体" w:eastAsia="宋体" w:hint="default"/>
                <w:sz w:val="18"/>
                <w:szCs w:val="18"/>
              </w:rPr>
              <w:t> 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22</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96"/>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
                <w:sz w:val="18"/>
                <w:szCs w:val="18"/>
              </w:rPr>
              <w:t> </w:t>
            </w:r>
            <w:r>
              <w:rPr>
                <w:rFonts w:ascii="宋体" w:hAnsi="宋体" w:cs="宋体" w:eastAsia="宋体" w:hint="default"/>
                <w:spacing w:val="4"/>
                <w:sz w:val="18"/>
                <w:szCs w:val="18"/>
              </w:rPr>
              <w:t>年度独立董事述职报告（职 </w:t>
            </w:r>
            <w:r>
              <w:rPr>
                <w:rFonts w:ascii="宋体" w:hAnsi="宋体" w:cs="宋体" w:eastAsia="宋体" w:hint="default"/>
                <w:sz w:val="18"/>
                <w:szCs w:val="18"/>
              </w:rPr>
              <w:t>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23</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年度报告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5"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24</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年年度审计报告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25</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70"/>
              <w:ind w:left="103" w:right="101"/>
              <w:jc w:val="left"/>
              <w:rPr>
                <w:rFonts w:ascii="宋体" w:hAnsi="宋体" w:cs="宋体" w:eastAsia="宋体" w:hint="default"/>
                <w:sz w:val="18"/>
                <w:szCs w:val="18"/>
              </w:rPr>
            </w:pPr>
            <w:r>
              <w:rPr>
                <w:rFonts w:ascii="宋体" w:hAnsi="宋体" w:cs="宋体" w:eastAsia="宋体" w:hint="default"/>
                <w:sz w:val="18"/>
                <w:szCs w:val="18"/>
              </w:rPr>
              <w:t>董事会关于 </w:t>
            </w:r>
            <w:r>
              <w:rPr>
                <w:rFonts w:ascii="宋体" w:hAnsi="宋体" w:cs="宋体" w:eastAsia="宋体" w:hint="default"/>
                <w:sz w:val="18"/>
                <w:szCs w:val="18"/>
              </w:rPr>
              <w:t>2010</w:t>
            </w:r>
            <w:r>
              <w:rPr>
                <w:rFonts w:ascii="宋体" w:hAnsi="宋体" w:cs="宋体" w:eastAsia="宋体" w:hint="default"/>
                <w:spacing w:val="-31"/>
                <w:sz w:val="18"/>
                <w:szCs w:val="18"/>
              </w:rPr>
              <w:t> </w:t>
            </w:r>
            <w:r>
              <w:rPr>
                <w:rFonts w:ascii="宋体" w:hAnsi="宋体" w:cs="宋体" w:eastAsia="宋体" w:hint="default"/>
                <w:sz w:val="18"/>
                <w:szCs w:val="18"/>
              </w:rPr>
              <w:t>年度内部控制的 自我评价报告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26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独立董事意见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27</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28</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103" w:right="89"/>
              <w:jc w:val="left"/>
              <w:rPr>
                <w:rFonts w:ascii="宋体" w:hAnsi="宋体" w:cs="宋体" w:eastAsia="宋体" w:hint="default"/>
                <w:sz w:val="18"/>
                <w:szCs w:val="18"/>
              </w:rPr>
            </w:pPr>
            <w:r>
              <w:rPr>
                <w:rFonts w:ascii="宋体" w:hAnsi="宋体" w:cs="宋体" w:eastAsia="宋体" w:hint="default"/>
                <w:spacing w:val="11"/>
                <w:sz w:val="18"/>
                <w:szCs w:val="18"/>
              </w:rPr>
              <w:t>防范股东及关联方资金占用管理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制度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29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1"/>
              <w:jc w:val="left"/>
              <w:rPr>
                <w:rFonts w:ascii="宋体" w:hAnsi="宋体" w:cs="宋体" w:eastAsia="宋体" w:hint="default"/>
                <w:sz w:val="18"/>
                <w:szCs w:val="18"/>
              </w:rPr>
            </w:pPr>
            <w:r>
              <w:rPr>
                <w:rFonts w:ascii="宋体" w:hAnsi="宋体" w:cs="宋体" w:eastAsia="宋体" w:hint="default"/>
                <w:spacing w:val="10"/>
                <w:sz w:val="18"/>
                <w:szCs w:val="18"/>
              </w:rPr>
              <w:t>控股股东及其他关联方占用资金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情况的专项说明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7"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30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103" w:right="101"/>
              <w:jc w:val="left"/>
              <w:rPr>
                <w:rFonts w:ascii="宋体" w:hAnsi="宋体" w:cs="宋体" w:eastAsia="宋体" w:hint="default"/>
                <w:sz w:val="18"/>
                <w:szCs w:val="18"/>
              </w:rPr>
            </w:pPr>
            <w:r>
              <w:rPr>
                <w:rFonts w:ascii="宋体" w:hAnsi="宋体" w:cs="宋体" w:eastAsia="宋体" w:hint="default"/>
                <w:sz w:val="18"/>
                <w:szCs w:val="18"/>
              </w:rPr>
              <w:t>募集资金 </w:t>
            </w:r>
            <w:r>
              <w:rPr>
                <w:rFonts w:ascii="宋体" w:hAnsi="宋体" w:cs="宋体" w:eastAsia="宋体" w:hint="default"/>
                <w:sz w:val="18"/>
                <w:szCs w:val="18"/>
              </w:rPr>
              <w:t>2010</w:t>
            </w:r>
            <w:r>
              <w:rPr>
                <w:rFonts w:ascii="宋体" w:hAnsi="宋体" w:cs="宋体" w:eastAsia="宋体" w:hint="default"/>
                <w:spacing w:val="-31"/>
                <w:sz w:val="18"/>
                <w:szCs w:val="18"/>
              </w:rPr>
              <w:t> </w:t>
            </w:r>
            <w:r>
              <w:rPr>
                <w:rFonts w:ascii="宋体" w:hAnsi="宋体" w:cs="宋体" w:eastAsia="宋体" w:hint="default"/>
                <w:sz w:val="18"/>
                <w:szCs w:val="18"/>
              </w:rPr>
              <w:t>年度使用情况的鉴 证报告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2"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98"/>
              <w:jc w:val="right"/>
              <w:rPr>
                <w:rFonts w:ascii="宋体" w:hAnsi="宋体" w:cs="宋体" w:eastAsia="宋体" w:hint="default"/>
                <w:sz w:val="18"/>
                <w:szCs w:val="18"/>
              </w:rPr>
            </w:pPr>
            <w:r>
              <w:rPr>
                <w:rFonts w:ascii="宋体"/>
                <w:sz w:val="18"/>
              </w:rPr>
              <w:t>31</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5" w:right="0"/>
              <w:jc w:val="left"/>
              <w:rPr>
                <w:rFonts w:ascii="宋体" w:hAnsi="宋体" w:cs="宋体" w:eastAsia="宋体" w:hint="default"/>
                <w:sz w:val="18"/>
                <w:szCs w:val="18"/>
              </w:rPr>
            </w:pPr>
            <w:r>
              <w:rPr>
                <w:rFonts w:ascii="宋体"/>
                <w:sz w:val="18"/>
              </w:rPr>
              <w:t>2011-4-26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89"/>
              <w:jc w:val="both"/>
              <w:rPr>
                <w:rFonts w:ascii="宋体" w:hAnsi="宋体" w:cs="宋体" w:eastAsia="宋体" w:hint="default"/>
                <w:sz w:val="18"/>
                <w:szCs w:val="18"/>
              </w:rPr>
            </w:pPr>
            <w:r>
              <w:rPr>
                <w:rFonts w:ascii="宋体" w:hAnsi="宋体" w:cs="宋体" w:eastAsia="宋体" w:hint="default"/>
                <w:spacing w:val="11"/>
                <w:sz w:val="18"/>
                <w:szCs w:val="18"/>
              </w:rPr>
              <w:t>广发证券股份有限公司关于深圳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劲嘉彩印集团股份有限公司募集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资金年度使用情况的专项核查意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32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2011-015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年第一季度报告正文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70"/>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33</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年第一季度报告全文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34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2011-016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2011-4-29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关于公司董事辞职的公告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7"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宋体" w:hAnsi="宋体" w:cs="宋体" w:eastAsia="宋体" w:hint="default"/>
                <w:sz w:val="18"/>
                <w:szCs w:val="18"/>
              </w:rPr>
            </w:pPr>
            <w:r>
              <w:rPr>
                <w:rFonts w:ascii="宋体"/>
                <w:sz w:val="18"/>
              </w:rPr>
              <w:t>35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13" w:right="0"/>
              <w:jc w:val="left"/>
              <w:rPr>
                <w:rFonts w:ascii="宋体" w:hAnsi="宋体" w:cs="宋体" w:eastAsia="宋体" w:hint="default"/>
                <w:sz w:val="18"/>
                <w:szCs w:val="18"/>
              </w:rPr>
            </w:pPr>
            <w:r>
              <w:rPr>
                <w:rFonts w:ascii="宋体"/>
                <w:sz w:val="18"/>
              </w:rPr>
              <w:t>2011-017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31" w:right="0"/>
              <w:jc w:val="left"/>
              <w:rPr>
                <w:rFonts w:ascii="宋体" w:hAnsi="宋体" w:cs="宋体" w:eastAsia="宋体" w:hint="default"/>
                <w:sz w:val="18"/>
                <w:szCs w:val="18"/>
              </w:rPr>
            </w:pPr>
            <w:r>
              <w:rPr>
                <w:rFonts w:ascii="宋体"/>
                <w:sz w:val="18"/>
              </w:rPr>
              <w:t>2011-5-7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103" w:right="101"/>
              <w:jc w:val="left"/>
              <w:rPr>
                <w:rFonts w:ascii="宋体" w:hAnsi="宋体" w:cs="宋体" w:eastAsia="宋体" w:hint="default"/>
                <w:sz w:val="18"/>
                <w:szCs w:val="18"/>
              </w:rPr>
            </w:pPr>
            <w:r>
              <w:rPr>
                <w:rFonts w:ascii="宋体" w:hAnsi="宋体" w:cs="宋体" w:eastAsia="宋体" w:hint="default"/>
                <w:sz w:val="18"/>
                <w:szCs w:val="18"/>
              </w:rPr>
              <w:t>关于举行 </w:t>
            </w:r>
            <w:r>
              <w:rPr>
                <w:rFonts w:ascii="宋体" w:hAnsi="宋体" w:cs="宋体" w:eastAsia="宋体" w:hint="default"/>
                <w:sz w:val="18"/>
                <w:szCs w:val="18"/>
              </w:rPr>
              <w:t>2010</w:t>
            </w:r>
            <w:r>
              <w:rPr>
                <w:rFonts w:ascii="宋体" w:hAnsi="宋体" w:cs="宋体" w:eastAsia="宋体" w:hint="default"/>
                <w:spacing w:val="-31"/>
                <w:sz w:val="18"/>
                <w:szCs w:val="18"/>
              </w:rPr>
              <w:t> </w:t>
            </w:r>
            <w:r>
              <w:rPr>
                <w:rFonts w:ascii="宋体" w:hAnsi="宋体" w:cs="宋体" w:eastAsia="宋体" w:hint="default"/>
                <w:sz w:val="18"/>
                <w:szCs w:val="18"/>
              </w:rPr>
              <w:t>年年度报告网上说 明会的公告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90"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36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sz w:val="18"/>
              </w:rPr>
              <w:t>2011-018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85" w:right="0"/>
              <w:jc w:val="left"/>
              <w:rPr>
                <w:rFonts w:ascii="宋体" w:hAnsi="宋体" w:cs="宋体" w:eastAsia="宋体" w:hint="default"/>
                <w:sz w:val="18"/>
                <w:szCs w:val="18"/>
              </w:rPr>
            </w:pPr>
            <w:r>
              <w:rPr>
                <w:rFonts w:ascii="宋体"/>
                <w:sz w:val="18"/>
              </w:rPr>
              <w:t>2011-5-10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89"/>
              <w:jc w:val="both"/>
              <w:rPr>
                <w:rFonts w:ascii="宋体" w:hAnsi="宋体" w:cs="宋体" w:eastAsia="宋体" w:hint="default"/>
                <w:sz w:val="18"/>
                <w:szCs w:val="18"/>
              </w:rPr>
            </w:pPr>
            <w:r>
              <w:rPr>
                <w:rFonts w:ascii="宋体" w:hAnsi="宋体" w:cs="宋体" w:eastAsia="宋体" w:hint="default"/>
                <w:spacing w:val="11"/>
                <w:sz w:val="18"/>
                <w:szCs w:val="18"/>
              </w:rPr>
              <w:t>第三届董事会对太和实业向公司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2010</w:t>
            </w:r>
            <w:r>
              <w:rPr>
                <w:rFonts w:ascii="宋体" w:hAnsi="宋体" w:cs="宋体" w:eastAsia="宋体" w:hint="default"/>
                <w:spacing w:val="-40"/>
                <w:sz w:val="18"/>
                <w:szCs w:val="18"/>
              </w:rPr>
              <w:t> </w:t>
            </w:r>
            <w:r>
              <w:rPr>
                <w:rFonts w:ascii="宋体" w:hAnsi="宋体" w:cs="宋体" w:eastAsia="宋体" w:hint="default"/>
                <w:sz w:val="18"/>
                <w:szCs w:val="18"/>
              </w:rPr>
              <w:t>年度股东大会提出的</w:t>
            </w:r>
            <w:r>
              <w:rPr>
                <w:rFonts w:ascii="宋体" w:hAnsi="宋体" w:cs="宋体" w:eastAsia="宋体" w:hint="default"/>
                <w:spacing w:val="-41"/>
                <w:sz w:val="18"/>
                <w:szCs w:val="18"/>
              </w:rPr>
              <w:t> </w:t>
            </w:r>
            <w:r>
              <w:rPr>
                <w:rFonts w:ascii="宋体" w:hAnsi="宋体" w:cs="宋体" w:eastAsia="宋体" w:hint="default"/>
                <w:sz w:val="18"/>
                <w:szCs w:val="18"/>
              </w:rPr>
              <w:t>2010</w:t>
            </w:r>
            <w:r>
              <w:rPr>
                <w:rFonts w:ascii="宋体" w:hAnsi="宋体" w:cs="宋体" w:eastAsia="宋体" w:hint="default"/>
                <w:spacing w:val="-40"/>
                <w:sz w:val="18"/>
                <w:szCs w:val="18"/>
              </w:rPr>
              <w:t> </w:t>
            </w:r>
            <w:r>
              <w:rPr>
                <w:rFonts w:ascii="宋体" w:hAnsi="宋体" w:cs="宋体" w:eastAsia="宋体" w:hint="default"/>
                <w:sz w:val="18"/>
                <w:szCs w:val="18"/>
              </w:rPr>
              <w:t>年 度利润分配临时提案的意见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37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2011-019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2011-5-10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70"/>
              <w:ind w:left="103" w:right="101"/>
              <w:jc w:val="left"/>
              <w:rPr>
                <w:rFonts w:ascii="宋体" w:hAnsi="宋体" w:cs="宋体" w:eastAsia="宋体" w:hint="default"/>
                <w:sz w:val="18"/>
                <w:szCs w:val="18"/>
              </w:rPr>
            </w:pPr>
            <w:r>
              <w:rPr>
                <w:rFonts w:ascii="宋体" w:hAnsi="宋体" w:cs="宋体" w:eastAsia="宋体" w:hint="default"/>
                <w:sz w:val="18"/>
                <w:szCs w:val="18"/>
              </w:rPr>
              <w:t>关于 </w:t>
            </w:r>
            <w:r>
              <w:rPr>
                <w:rFonts w:ascii="宋体" w:hAnsi="宋体" w:cs="宋体" w:eastAsia="宋体" w:hint="default"/>
                <w:sz w:val="18"/>
                <w:szCs w:val="18"/>
              </w:rPr>
              <w:t>2010</w:t>
            </w:r>
            <w:r>
              <w:rPr>
                <w:rFonts w:ascii="宋体" w:hAnsi="宋体" w:cs="宋体" w:eastAsia="宋体" w:hint="default"/>
                <w:spacing w:val="-31"/>
                <w:sz w:val="18"/>
                <w:szCs w:val="18"/>
              </w:rPr>
              <w:t> </w:t>
            </w:r>
            <w:r>
              <w:rPr>
                <w:rFonts w:ascii="宋体" w:hAnsi="宋体" w:cs="宋体" w:eastAsia="宋体" w:hint="default"/>
                <w:sz w:val="18"/>
                <w:szCs w:val="18"/>
              </w:rPr>
              <w:t>年度股东大会增加临时 提案的补充通知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70"/>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38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2011-020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2011-5-11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1"/>
              <w:jc w:val="left"/>
              <w:rPr>
                <w:rFonts w:ascii="宋体" w:hAnsi="宋体" w:cs="宋体" w:eastAsia="宋体" w:hint="default"/>
                <w:sz w:val="18"/>
                <w:szCs w:val="18"/>
              </w:rPr>
            </w:pPr>
            <w:r>
              <w:rPr>
                <w:rFonts w:ascii="宋体" w:hAnsi="宋体" w:cs="宋体" w:eastAsia="宋体" w:hint="default"/>
                <w:sz w:val="18"/>
                <w:szCs w:val="18"/>
              </w:rPr>
              <w:t>关于 </w:t>
            </w:r>
            <w:r>
              <w:rPr>
                <w:rFonts w:ascii="宋体" w:hAnsi="宋体" w:cs="宋体" w:eastAsia="宋体" w:hint="default"/>
                <w:sz w:val="18"/>
                <w:szCs w:val="18"/>
              </w:rPr>
              <w:t>2010</w:t>
            </w:r>
            <w:r>
              <w:rPr>
                <w:rFonts w:ascii="宋体" w:hAnsi="宋体" w:cs="宋体" w:eastAsia="宋体" w:hint="default"/>
                <w:spacing w:val="-31"/>
                <w:sz w:val="18"/>
                <w:szCs w:val="18"/>
              </w:rPr>
              <w:t> </w:t>
            </w:r>
            <w:r>
              <w:rPr>
                <w:rFonts w:ascii="宋体" w:hAnsi="宋体" w:cs="宋体" w:eastAsia="宋体" w:hint="default"/>
                <w:sz w:val="18"/>
                <w:szCs w:val="18"/>
              </w:rPr>
              <w:t>年利润分配方案风险的 提示性公告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39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2011-021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2011-5-11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关于股东减持公司股份的公告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bl>
    <w:p>
      <w:pPr>
        <w:spacing w:after="0" w:line="232" w:lineRule="exact"/>
        <w:jc w:val="left"/>
        <w:rPr>
          <w:rFonts w:ascii="宋体" w:hAnsi="宋体" w:cs="宋体" w:eastAsia="宋体" w:hint="default"/>
          <w:sz w:val="18"/>
          <w:szCs w:val="18"/>
        </w:rPr>
        <w:sectPr>
          <w:pgSz w:w="11910" w:h="16840"/>
          <w:pgMar w:header="920" w:footer="956" w:top="1140" w:bottom="1140" w:left="1000" w:right="0"/>
        </w:sectPr>
      </w:pPr>
    </w:p>
    <w:p>
      <w:pPr>
        <w:spacing w:line="240" w:lineRule="auto" w:before="9"/>
        <w:rPr>
          <w:rFonts w:ascii="Times New Roman" w:hAnsi="Times New Roman" w:cs="Times New Roman" w:eastAsia="Times New Roman"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531"/>
        <w:gridCol w:w="1159"/>
        <w:gridCol w:w="1393"/>
        <w:gridCol w:w="2888"/>
        <w:gridCol w:w="2410"/>
      </w:tblGrid>
      <w:tr>
        <w:trPr>
          <w:trHeight w:val="622" w:hRule="exact"/>
        </w:trPr>
        <w:tc>
          <w:tcPr>
            <w:tcW w:w="5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40</w:t>
            </w:r>
          </w:p>
        </w:tc>
        <w:tc>
          <w:tcPr>
            <w:tcW w:w="11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2011-022</w:t>
            </w:r>
          </w:p>
        </w:tc>
        <w:tc>
          <w:tcPr>
            <w:tcW w:w="1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sz w:val="18"/>
              </w:rPr>
              <w:t>2011-5-23</w:t>
            </w:r>
          </w:p>
        </w:tc>
        <w:tc>
          <w:tcPr>
            <w:tcW w:w="28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年度股东大会决议公告</w:t>
            </w: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32" w:lineRule="exact" w:before="69"/>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41</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sz w:val="18"/>
              </w:rPr>
              <w:t>2011-5-23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1"/>
              <w:jc w:val="left"/>
              <w:rPr>
                <w:rFonts w:ascii="宋体" w:hAnsi="宋体" w:cs="宋体" w:eastAsia="宋体" w:hint="default"/>
                <w:sz w:val="18"/>
                <w:szCs w:val="18"/>
              </w:rPr>
            </w:pPr>
            <w:r>
              <w:rPr>
                <w:rFonts w:ascii="宋体" w:hAnsi="宋体" w:cs="宋体" w:eastAsia="宋体" w:hint="default"/>
                <w:sz w:val="18"/>
                <w:szCs w:val="18"/>
              </w:rPr>
              <w:t>关于 </w:t>
            </w:r>
            <w:r>
              <w:rPr>
                <w:rFonts w:ascii="宋体" w:hAnsi="宋体" w:cs="宋体" w:eastAsia="宋体" w:hint="default"/>
                <w:sz w:val="18"/>
                <w:szCs w:val="18"/>
              </w:rPr>
              <w:t>2010</w:t>
            </w:r>
            <w:r>
              <w:rPr>
                <w:rFonts w:ascii="宋体" w:hAnsi="宋体" w:cs="宋体" w:eastAsia="宋体" w:hint="default"/>
                <w:spacing w:val="-31"/>
                <w:sz w:val="18"/>
                <w:szCs w:val="18"/>
              </w:rPr>
              <w:t> </w:t>
            </w:r>
            <w:r>
              <w:rPr>
                <w:rFonts w:ascii="宋体" w:hAnsi="宋体" w:cs="宋体" w:eastAsia="宋体" w:hint="default"/>
                <w:sz w:val="18"/>
                <w:szCs w:val="18"/>
              </w:rPr>
              <w:t>年年度股东大会的法律 意见书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42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2011-023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sz w:val="18"/>
              </w:rPr>
              <w:t>2011-6-10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年度利润分配实施公告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43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2011-024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sz w:val="18"/>
              </w:rPr>
              <w:t>2011-7-29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年半年度业绩快报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44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2011-025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sz w:val="18"/>
              </w:rPr>
              <w:t>2011-8-9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股东解除部分股份质押的公告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45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2011-026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sz w:val="18"/>
              </w:rPr>
              <w:t>2011-8-17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年半年度报告摘要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5"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46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2011-027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sz w:val="18"/>
              </w:rPr>
              <w:t>2011-8-17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5"/>
              <w:ind w:left="103" w:right="101"/>
              <w:jc w:val="left"/>
              <w:rPr>
                <w:rFonts w:ascii="宋体" w:hAnsi="宋体" w:cs="宋体" w:eastAsia="宋体" w:hint="default"/>
                <w:sz w:val="18"/>
                <w:szCs w:val="18"/>
              </w:rPr>
            </w:pPr>
            <w:r>
              <w:rPr>
                <w:rFonts w:ascii="宋体" w:hAnsi="宋体" w:cs="宋体" w:eastAsia="宋体" w:hint="default"/>
                <w:sz w:val="18"/>
                <w:szCs w:val="18"/>
              </w:rPr>
              <w:t>第三届董事会 </w:t>
            </w:r>
            <w:r>
              <w:rPr>
                <w:rFonts w:ascii="宋体" w:hAnsi="宋体" w:cs="宋体" w:eastAsia="宋体" w:hint="default"/>
                <w:sz w:val="18"/>
                <w:szCs w:val="18"/>
              </w:rPr>
              <w:t>2011</w:t>
            </w:r>
            <w:r>
              <w:rPr>
                <w:rFonts w:ascii="宋体" w:hAnsi="宋体" w:cs="宋体" w:eastAsia="宋体" w:hint="default"/>
                <w:spacing w:val="-31"/>
                <w:sz w:val="18"/>
                <w:szCs w:val="18"/>
              </w:rPr>
              <w:t> </w:t>
            </w:r>
            <w:r>
              <w:rPr>
                <w:rFonts w:ascii="宋体" w:hAnsi="宋体" w:cs="宋体" w:eastAsia="宋体" w:hint="default"/>
                <w:sz w:val="18"/>
                <w:szCs w:val="18"/>
              </w:rPr>
              <w:t>年第七次会议 决议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5"/>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47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2011-028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sz w:val="18"/>
              </w:rPr>
              <w:t>2011-8-17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70"/>
              <w:ind w:left="103" w:right="101"/>
              <w:jc w:val="left"/>
              <w:rPr>
                <w:rFonts w:ascii="宋体" w:hAnsi="宋体" w:cs="宋体" w:eastAsia="宋体" w:hint="default"/>
                <w:sz w:val="18"/>
                <w:szCs w:val="18"/>
              </w:rPr>
            </w:pPr>
            <w:r>
              <w:rPr>
                <w:rFonts w:ascii="宋体" w:hAnsi="宋体" w:cs="宋体" w:eastAsia="宋体" w:hint="default"/>
                <w:sz w:val="18"/>
                <w:szCs w:val="18"/>
              </w:rPr>
              <w:t>第三届监事会 </w:t>
            </w:r>
            <w:r>
              <w:rPr>
                <w:rFonts w:ascii="宋体" w:hAnsi="宋体" w:cs="宋体" w:eastAsia="宋体" w:hint="default"/>
                <w:sz w:val="18"/>
                <w:szCs w:val="18"/>
              </w:rPr>
              <w:t>2011</w:t>
            </w:r>
            <w:r>
              <w:rPr>
                <w:rFonts w:ascii="宋体" w:hAnsi="宋体" w:cs="宋体" w:eastAsia="宋体" w:hint="default"/>
                <w:spacing w:val="-31"/>
                <w:sz w:val="18"/>
                <w:szCs w:val="18"/>
              </w:rPr>
              <w:t> </w:t>
            </w:r>
            <w:r>
              <w:rPr>
                <w:rFonts w:ascii="宋体" w:hAnsi="宋体" w:cs="宋体" w:eastAsia="宋体" w:hint="default"/>
                <w:sz w:val="18"/>
                <w:szCs w:val="18"/>
              </w:rPr>
              <w:t>年第五次会议 决议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70"/>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48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2011-029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sz w:val="18"/>
              </w:rPr>
              <w:t>2011-8-17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年第一次临时股东大会通知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49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sz w:val="18"/>
              </w:rPr>
              <w:t>2011-8-17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年半年度财务报告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50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sz w:val="18"/>
              </w:rPr>
              <w:t>2011-8-17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年半年度报告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51</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sz w:val="18"/>
              </w:rPr>
              <w:t>2011-8-17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1"/>
              <w:jc w:val="left"/>
              <w:rPr>
                <w:rFonts w:ascii="宋体" w:hAnsi="宋体" w:cs="宋体" w:eastAsia="宋体" w:hint="default"/>
                <w:sz w:val="18"/>
                <w:szCs w:val="18"/>
              </w:rPr>
            </w:pPr>
            <w:r>
              <w:rPr>
                <w:rFonts w:ascii="宋体" w:hAnsi="宋体" w:cs="宋体" w:eastAsia="宋体" w:hint="default"/>
                <w:sz w:val="18"/>
                <w:szCs w:val="18"/>
              </w:rPr>
              <w:t>第三届董事会 </w:t>
            </w:r>
            <w:r>
              <w:rPr>
                <w:rFonts w:ascii="宋体" w:hAnsi="宋体" w:cs="宋体" w:eastAsia="宋体" w:hint="default"/>
                <w:sz w:val="18"/>
                <w:szCs w:val="18"/>
              </w:rPr>
              <w:t>2011</w:t>
            </w:r>
            <w:r>
              <w:rPr>
                <w:rFonts w:ascii="宋体" w:hAnsi="宋体" w:cs="宋体" w:eastAsia="宋体" w:hint="default"/>
                <w:spacing w:val="-31"/>
                <w:sz w:val="18"/>
                <w:szCs w:val="18"/>
              </w:rPr>
              <w:t> </w:t>
            </w:r>
            <w:r>
              <w:rPr>
                <w:rFonts w:ascii="宋体" w:hAnsi="宋体" w:cs="宋体" w:eastAsia="宋体" w:hint="default"/>
                <w:sz w:val="18"/>
                <w:szCs w:val="18"/>
              </w:rPr>
              <w:t>年第七次会议 独立董事意见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7"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52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2011-030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sz w:val="18"/>
              </w:rPr>
              <w:t>2011-9-3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103" w:right="96"/>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
                <w:sz w:val="18"/>
                <w:szCs w:val="18"/>
              </w:rPr>
              <w:t> </w:t>
            </w:r>
            <w:r>
              <w:rPr>
                <w:rFonts w:ascii="宋体" w:hAnsi="宋体" w:cs="宋体" w:eastAsia="宋体" w:hint="default"/>
                <w:spacing w:val="4"/>
                <w:sz w:val="18"/>
                <w:szCs w:val="18"/>
              </w:rPr>
              <w:t>年第一次临时股东大会决议 </w:t>
            </w:r>
            <w:r>
              <w:rPr>
                <w:rFonts w:ascii="宋体" w:hAnsi="宋体" w:cs="宋体" w:eastAsia="宋体" w:hint="default"/>
                <w:sz w:val="18"/>
                <w:szCs w:val="18"/>
              </w:rPr>
              <w:t>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53</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sz w:val="18"/>
              </w:rPr>
              <w:t>2011-9-3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96"/>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
                <w:sz w:val="18"/>
                <w:szCs w:val="18"/>
              </w:rPr>
              <w:t> </w:t>
            </w:r>
            <w:r>
              <w:rPr>
                <w:rFonts w:ascii="宋体" w:hAnsi="宋体" w:cs="宋体" w:eastAsia="宋体" w:hint="default"/>
                <w:spacing w:val="4"/>
                <w:sz w:val="18"/>
                <w:szCs w:val="18"/>
              </w:rPr>
              <w:t>年第一次临时股东大会的法 </w:t>
            </w:r>
            <w:r>
              <w:rPr>
                <w:rFonts w:ascii="宋体" w:hAnsi="宋体" w:cs="宋体" w:eastAsia="宋体" w:hint="default"/>
                <w:sz w:val="18"/>
                <w:szCs w:val="18"/>
              </w:rPr>
              <w:t>律意见书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54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2011-031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
              <w:jc w:val="center"/>
              <w:rPr>
                <w:rFonts w:ascii="宋体" w:hAnsi="宋体" w:cs="宋体" w:eastAsia="宋体" w:hint="default"/>
                <w:sz w:val="18"/>
                <w:szCs w:val="18"/>
              </w:rPr>
            </w:pPr>
            <w:r>
              <w:rPr>
                <w:rFonts w:ascii="宋体"/>
                <w:sz w:val="18"/>
              </w:rPr>
              <w:t>2011-09-07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2"/>
              <w:ind w:left="103" w:right="89"/>
              <w:jc w:val="left"/>
              <w:rPr>
                <w:rFonts w:ascii="宋体" w:hAnsi="宋体" w:cs="宋体" w:eastAsia="宋体" w:hint="default"/>
                <w:sz w:val="18"/>
                <w:szCs w:val="18"/>
              </w:rPr>
            </w:pPr>
            <w:r>
              <w:rPr>
                <w:rFonts w:ascii="宋体" w:hAnsi="宋体" w:cs="宋体" w:eastAsia="宋体" w:hint="default"/>
                <w:spacing w:val="11"/>
                <w:sz w:val="18"/>
                <w:szCs w:val="18"/>
              </w:rPr>
              <w:t>关于到期归还暂时用于补充流动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资金的募集资金的公告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55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2011-032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
              <w:jc w:val="center"/>
              <w:rPr>
                <w:rFonts w:ascii="宋体" w:hAnsi="宋体" w:cs="宋体" w:eastAsia="宋体" w:hint="default"/>
                <w:sz w:val="18"/>
                <w:szCs w:val="18"/>
              </w:rPr>
            </w:pPr>
            <w:r>
              <w:rPr>
                <w:rFonts w:ascii="宋体"/>
                <w:sz w:val="18"/>
              </w:rPr>
              <w:t>2011-09-10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年中期利润分配实施公告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56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2011-033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sz w:val="18"/>
              </w:rPr>
              <w:t>2011-9-14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1"/>
              <w:jc w:val="left"/>
              <w:rPr>
                <w:rFonts w:ascii="宋体" w:hAnsi="宋体" w:cs="宋体" w:eastAsia="宋体" w:hint="default"/>
                <w:sz w:val="18"/>
                <w:szCs w:val="18"/>
              </w:rPr>
            </w:pPr>
            <w:r>
              <w:rPr>
                <w:rFonts w:ascii="宋体" w:hAnsi="宋体" w:cs="宋体" w:eastAsia="宋体" w:hint="default"/>
                <w:sz w:val="18"/>
                <w:szCs w:val="18"/>
              </w:rPr>
              <w:t>第三届董事会 </w:t>
            </w:r>
            <w:r>
              <w:rPr>
                <w:rFonts w:ascii="宋体" w:hAnsi="宋体" w:cs="宋体" w:eastAsia="宋体" w:hint="default"/>
                <w:sz w:val="18"/>
                <w:szCs w:val="18"/>
              </w:rPr>
              <w:t>2011</w:t>
            </w:r>
            <w:r>
              <w:rPr>
                <w:rFonts w:ascii="宋体" w:hAnsi="宋体" w:cs="宋体" w:eastAsia="宋体" w:hint="default"/>
                <w:spacing w:val="-31"/>
                <w:sz w:val="18"/>
                <w:szCs w:val="18"/>
              </w:rPr>
              <w:t> </w:t>
            </w:r>
            <w:r>
              <w:rPr>
                <w:rFonts w:ascii="宋体" w:hAnsi="宋体" w:cs="宋体" w:eastAsia="宋体" w:hint="default"/>
                <w:sz w:val="18"/>
                <w:szCs w:val="18"/>
              </w:rPr>
              <w:t>年第八次会议 决议公告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57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2011-034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sz w:val="18"/>
              </w:rPr>
              <w:t>2011-9-14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103" w:right="101"/>
              <w:jc w:val="left"/>
              <w:rPr>
                <w:rFonts w:ascii="宋体" w:hAnsi="宋体" w:cs="宋体" w:eastAsia="宋体" w:hint="default"/>
                <w:sz w:val="18"/>
                <w:szCs w:val="18"/>
              </w:rPr>
            </w:pPr>
            <w:r>
              <w:rPr>
                <w:rFonts w:ascii="宋体" w:hAnsi="宋体" w:cs="宋体" w:eastAsia="宋体" w:hint="default"/>
                <w:sz w:val="18"/>
                <w:szCs w:val="18"/>
              </w:rPr>
              <w:t>第三届监事会 </w:t>
            </w:r>
            <w:r>
              <w:rPr>
                <w:rFonts w:ascii="宋体" w:hAnsi="宋体" w:cs="宋体" w:eastAsia="宋体" w:hint="default"/>
                <w:sz w:val="18"/>
                <w:szCs w:val="18"/>
              </w:rPr>
              <w:t>2011</w:t>
            </w:r>
            <w:r>
              <w:rPr>
                <w:rFonts w:ascii="宋体" w:hAnsi="宋体" w:cs="宋体" w:eastAsia="宋体" w:hint="default"/>
                <w:spacing w:val="-31"/>
                <w:sz w:val="18"/>
                <w:szCs w:val="18"/>
              </w:rPr>
              <w:t> </w:t>
            </w:r>
            <w:r>
              <w:rPr>
                <w:rFonts w:ascii="宋体" w:hAnsi="宋体" w:cs="宋体" w:eastAsia="宋体" w:hint="default"/>
                <w:sz w:val="18"/>
                <w:szCs w:val="18"/>
              </w:rPr>
              <w:t>年第六次会议 决议的公告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5"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宋体" w:hAnsi="宋体" w:cs="宋体" w:eastAsia="宋体" w:hint="default"/>
                <w:sz w:val="18"/>
                <w:szCs w:val="18"/>
              </w:rPr>
            </w:pPr>
            <w:r>
              <w:rPr>
                <w:rFonts w:ascii="宋体"/>
                <w:sz w:val="18"/>
              </w:rPr>
              <w:t>58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13" w:right="0"/>
              <w:jc w:val="left"/>
              <w:rPr>
                <w:rFonts w:ascii="宋体" w:hAnsi="宋体" w:cs="宋体" w:eastAsia="宋体" w:hint="default"/>
                <w:sz w:val="18"/>
                <w:szCs w:val="18"/>
              </w:rPr>
            </w:pPr>
            <w:r>
              <w:rPr>
                <w:rFonts w:ascii="宋体"/>
                <w:sz w:val="18"/>
              </w:rPr>
              <w:t>2011-035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宋体" w:hAnsi="宋体" w:cs="宋体" w:eastAsia="宋体" w:hint="default"/>
                <w:sz w:val="18"/>
                <w:szCs w:val="18"/>
              </w:rPr>
            </w:pPr>
            <w:r>
              <w:rPr>
                <w:rFonts w:ascii="宋体"/>
                <w:sz w:val="18"/>
              </w:rPr>
              <w:t>2011-9-14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103" w:right="102"/>
              <w:jc w:val="left"/>
              <w:rPr>
                <w:rFonts w:ascii="宋体" w:hAnsi="宋体" w:cs="宋体" w:eastAsia="宋体" w:hint="default"/>
                <w:sz w:val="18"/>
                <w:szCs w:val="18"/>
              </w:rPr>
            </w:pPr>
            <w:r>
              <w:rPr>
                <w:rFonts w:ascii="宋体" w:hAnsi="宋体" w:cs="宋体" w:eastAsia="宋体" w:hint="default"/>
                <w:spacing w:val="10"/>
                <w:sz w:val="18"/>
                <w:szCs w:val="18"/>
              </w:rPr>
              <w:t>关于公司继续使用部分闲置募集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资金补充流动资金的公告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59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sz w:val="18"/>
              </w:rPr>
              <w:t>2011-9-14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70"/>
              <w:ind w:left="103" w:right="101"/>
              <w:jc w:val="left"/>
              <w:rPr>
                <w:rFonts w:ascii="宋体" w:hAnsi="宋体" w:cs="宋体" w:eastAsia="宋体" w:hint="default"/>
                <w:sz w:val="18"/>
                <w:szCs w:val="18"/>
              </w:rPr>
            </w:pPr>
            <w:r>
              <w:rPr>
                <w:rFonts w:ascii="宋体" w:hAnsi="宋体" w:cs="宋体" w:eastAsia="宋体" w:hint="default"/>
                <w:sz w:val="18"/>
                <w:szCs w:val="18"/>
              </w:rPr>
              <w:t>第三届董事会 </w:t>
            </w:r>
            <w:r>
              <w:rPr>
                <w:rFonts w:ascii="宋体" w:hAnsi="宋体" w:cs="宋体" w:eastAsia="宋体" w:hint="default"/>
                <w:sz w:val="18"/>
                <w:szCs w:val="18"/>
              </w:rPr>
              <w:t>2011</w:t>
            </w:r>
            <w:r>
              <w:rPr>
                <w:rFonts w:ascii="宋体" w:hAnsi="宋体" w:cs="宋体" w:eastAsia="宋体" w:hint="default"/>
                <w:spacing w:val="-31"/>
                <w:sz w:val="18"/>
                <w:szCs w:val="18"/>
              </w:rPr>
              <w:t> </w:t>
            </w:r>
            <w:r>
              <w:rPr>
                <w:rFonts w:ascii="宋体" w:hAnsi="宋体" w:cs="宋体" w:eastAsia="宋体" w:hint="default"/>
                <w:sz w:val="18"/>
                <w:szCs w:val="18"/>
              </w:rPr>
              <w:t>年第八次会议 独立董事意见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2"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98"/>
              <w:jc w:val="right"/>
              <w:rPr>
                <w:rFonts w:ascii="宋体" w:hAnsi="宋体" w:cs="宋体" w:eastAsia="宋体" w:hint="default"/>
                <w:sz w:val="18"/>
                <w:szCs w:val="18"/>
              </w:rPr>
            </w:pPr>
            <w:r>
              <w:rPr>
                <w:rFonts w:ascii="宋体"/>
                <w:sz w:val="18"/>
              </w:rPr>
              <w:t>60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 w:right="0"/>
              <w:jc w:val="center"/>
              <w:rPr>
                <w:rFonts w:ascii="宋体" w:hAnsi="宋体" w:cs="宋体" w:eastAsia="宋体" w:hint="default"/>
                <w:sz w:val="18"/>
                <w:szCs w:val="18"/>
              </w:rPr>
            </w:pPr>
            <w:r>
              <w:rPr>
                <w:rFonts w:ascii="宋体"/>
                <w:sz w:val="18"/>
              </w:rPr>
              <w:t>2011-9-14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89"/>
              <w:jc w:val="both"/>
              <w:rPr>
                <w:rFonts w:ascii="宋体" w:hAnsi="宋体" w:cs="宋体" w:eastAsia="宋体" w:hint="default"/>
                <w:sz w:val="18"/>
                <w:szCs w:val="18"/>
              </w:rPr>
            </w:pPr>
            <w:r>
              <w:rPr>
                <w:rFonts w:ascii="宋体" w:hAnsi="宋体" w:cs="宋体" w:eastAsia="宋体" w:hint="default"/>
                <w:spacing w:val="11"/>
                <w:sz w:val="18"/>
                <w:szCs w:val="18"/>
              </w:rPr>
              <w:t>广发证券对深圳劲嘉彩印集团股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份有限公司第三届董事会 </w:t>
            </w:r>
            <w:r>
              <w:rPr>
                <w:rFonts w:ascii="宋体" w:hAnsi="宋体" w:cs="宋体" w:eastAsia="宋体" w:hint="default"/>
                <w:sz w:val="18"/>
                <w:szCs w:val="18"/>
              </w:rPr>
              <w:t>2011</w:t>
            </w:r>
            <w:r>
              <w:rPr>
                <w:rFonts w:ascii="宋体" w:hAnsi="宋体" w:cs="宋体" w:eastAsia="宋体" w:hint="default"/>
                <w:spacing w:val="-31"/>
                <w:sz w:val="18"/>
                <w:szCs w:val="18"/>
              </w:rPr>
              <w:t> </w:t>
            </w:r>
            <w:r>
              <w:rPr>
                <w:rFonts w:ascii="宋体" w:hAnsi="宋体" w:cs="宋体" w:eastAsia="宋体" w:hint="default"/>
                <w:sz w:val="18"/>
                <w:szCs w:val="18"/>
              </w:rPr>
              <w:t>年 </w:t>
            </w:r>
            <w:r>
              <w:rPr>
                <w:rFonts w:ascii="宋体" w:hAnsi="宋体" w:cs="宋体" w:eastAsia="宋体" w:hint="default"/>
                <w:spacing w:val="11"/>
                <w:sz w:val="18"/>
                <w:szCs w:val="18"/>
              </w:rPr>
              <w:t>第八次会议审议的相关议案发表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的意见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61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2011-036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sz w:val="18"/>
              </w:rPr>
              <w:t>2011-9-29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1"/>
              <w:jc w:val="left"/>
              <w:rPr>
                <w:rFonts w:ascii="宋体" w:hAnsi="宋体" w:cs="宋体" w:eastAsia="宋体" w:hint="default"/>
                <w:sz w:val="18"/>
                <w:szCs w:val="18"/>
              </w:rPr>
            </w:pPr>
            <w:r>
              <w:rPr>
                <w:rFonts w:ascii="宋体" w:hAnsi="宋体" w:cs="宋体" w:eastAsia="宋体" w:hint="default"/>
                <w:sz w:val="18"/>
                <w:szCs w:val="18"/>
              </w:rPr>
              <w:t>第三届董事会 </w:t>
            </w:r>
            <w:r>
              <w:rPr>
                <w:rFonts w:ascii="宋体" w:hAnsi="宋体" w:cs="宋体" w:eastAsia="宋体" w:hint="default"/>
                <w:sz w:val="18"/>
                <w:szCs w:val="18"/>
              </w:rPr>
              <w:t>2011</w:t>
            </w:r>
            <w:r>
              <w:rPr>
                <w:rFonts w:ascii="宋体" w:hAnsi="宋体" w:cs="宋体" w:eastAsia="宋体" w:hint="default"/>
                <w:spacing w:val="-31"/>
                <w:sz w:val="18"/>
                <w:szCs w:val="18"/>
              </w:rPr>
              <w:t> </w:t>
            </w:r>
            <w:r>
              <w:rPr>
                <w:rFonts w:ascii="宋体" w:hAnsi="宋体" w:cs="宋体" w:eastAsia="宋体" w:hint="default"/>
                <w:sz w:val="18"/>
                <w:szCs w:val="18"/>
              </w:rPr>
              <w:t>年第九次会议 决议公告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bl>
    <w:p>
      <w:pPr>
        <w:spacing w:after="0" w:line="232" w:lineRule="exact"/>
        <w:jc w:val="left"/>
        <w:rPr>
          <w:rFonts w:ascii="宋体" w:hAnsi="宋体" w:cs="宋体" w:eastAsia="宋体" w:hint="default"/>
          <w:sz w:val="18"/>
          <w:szCs w:val="18"/>
        </w:rPr>
        <w:sectPr>
          <w:pgSz w:w="11910" w:h="16840"/>
          <w:pgMar w:header="920" w:footer="956" w:top="1140" w:bottom="1140" w:left="1000" w:right="0"/>
        </w:sectPr>
      </w:pPr>
    </w:p>
    <w:p>
      <w:pPr>
        <w:spacing w:line="240" w:lineRule="auto" w:before="9"/>
        <w:rPr>
          <w:rFonts w:ascii="Times New Roman" w:hAnsi="Times New Roman" w:cs="Times New Roman" w:eastAsia="Times New Roman"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531"/>
        <w:gridCol w:w="1159"/>
        <w:gridCol w:w="1393"/>
        <w:gridCol w:w="2888"/>
        <w:gridCol w:w="2410"/>
      </w:tblGrid>
      <w:tr>
        <w:trPr>
          <w:trHeight w:val="622" w:hRule="exact"/>
        </w:trPr>
        <w:tc>
          <w:tcPr>
            <w:tcW w:w="5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62</w:t>
            </w:r>
          </w:p>
        </w:tc>
        <w:tc>
          <w:tcPr>
            <w:tcW w:w="11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2011-037</w:t>
            </w:r>
          </w:p>
        </w:tc>
        <w:tc>
          <w:tcPr>
            <w:tcW w:w="1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2011-9-29</w:t>
            </w:r>
          </w:p>
        </w:tc>
        <w:tc>
          <w:tcPr>
            <w:tcW w:w="28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年第二次临时股东大会通知</w:t>
            </w: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32" w:lineRule="exact" w:before="69"/>
              <w:ind w:left="103" w:right="105"/>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63</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2011-9-29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64</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2011-9-29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内部控制规则落实情况整改计划</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65</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2011-9-29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103" w:right="89"/>
              <w:jc w:val="left"/>
              <w:rPr>
                <w:rFonts w:ascii="宋体" w:hAnsi="宋体" w:cs="宋体" w:eastAsia="宋体" w:hint="default"/>
                <w:sz w:val="18"/>
                <w:szCs w:val="18"/>
              </w:rPr>
            </w:pPr>
            <w:r>
              <w:rPr>
                <w:rFonts w:ascii="宋体" w:hAnsi="宋体" w:cs="宋体" w:eastAsia="宋体" w:hint="default"/>
                <w:spacing w:val="11"/>
                <w:sz w:val="18"/>
                <w:szCs w:val="18"/>
              </w:rPr>
              <w:t>中小企业板上市公司内部控制规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则落实情况自查表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66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2011-038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9" w:right="0"/>
              <w:jc w:val="left"/>
              <w:rPr>
                <w:rFonts w:ascii="宋体" w:hAnsi="宋体" w:cs="宋体" w:eastAsia="宋体" w:hint="default"/>
                <w:sz w:val="18"/>
                <w:szCs w:val="18"/>
              </w:rPr>
            </w:pPr>
            <w:r>
              <w:rPr>
                <w:rFonts w:ascii="宋体"/>
                <w:sz w:val="18"/>
              </w:rPr>
              <w:t>2011-10-19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96"/>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
                <w:sz w:val="18"/>
                <w:szCs w:val="18"/>
              </w:rPr>
              <w:t> </w:t>
            </w:r>
            <w:r>
              <w:rPr>
                <w:rFonts w:ascii="宋体" w:hAnsi="宋体" w:cs="宋体" w:eastAsia="宋体" w:hint="default"/>
                <w:spacing w:val="4"/>
                <w:sz w:val="18"/>
                <w:szCs w:val="18"/>
              </w:rPr>
              <w:t>年第二次临时股东大会决议 </w:t>
            </w:r>
            <w:r>
              <w:rPr>
                <w:rFonts w:ascii="宋体" w:hAnsi="宋体" w:cs="宋体" w:eastAsia="宋体" w:hint="default"/>
                <w:sz w:val="18"/>
                <w:szCs w:val="18"/>
              </w:rPr>
              <w:t>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67</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9" w:right="0"/>
              <w:jc w:val="left"/>
              <w:rPr>
                <w:rFonts w:ascii="宋体" w:hAnsi="宋体" w:cs="宋体" w:eastAsia="宋体" w:hint="default"/>
                <w:sz w:val="18"/>
                <w:szCs w:val="18"/>
              </w:rPr>
            </w:pPr>
            <w:r>
              <w:rPr>
                <w:rFonts w:ascii="宋体"/>
                <w:sz w:val="18"/>
              </w:rPr>
              <w:t>2011-10-19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103" w:right="96"/>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
                <w:sz w:val="18"/>
                <w:szCs w:val="18"/>
              </w:rPr>
              <w:t> </w:t>
            </w:r>
            <w:r>
              <w:rPr>
                <w:rFonts w:ascii="宋体" w:hAnsi="宋体" w:cs="宋体" w:eastAsia="宋体" w:hint="default"/>
                <w:spacing w:val="4"/>
                <w:sz w:val="18"/>
                <w:szCs w:val="18"/>
              </w:rPr>
              <w:t>年第二次临时股东大会的法 </w:t>
            </w:r>
            <w:r>
              <w:rPr>
                <w:rFonts w:ascii="宋体" w:hAnsi="宋体" w:cs="宋体" w:eastAsia="宋体" w:hint="default"/>
                <w:sz w:val="18"/>
                <w:szCs w:val="18"/>
              </w:rPr>
              <w:t>律意见书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5"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68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2011-039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9" w:right="0"/>
              <w:jc w:val="left"/>
              <w:rPr>
                <w:rFonts w:ascii="宋体" w:hAnsi="宋体" w:cs="宋体" w:eastAsia="宋体" w:hint="default"/>
                <w:sz w:val="18"/>
                <w:szCs w:val="18"/>
              </w:rPr>
            </w:pPr>
            <w:r>
              <w:rPr>
                <w:rFonts w:ascii="宋体"/>
                <w:sz w:val="18"/>
              </w:rPr>
              <w:t>2011-10-20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5"/>
              <w:ind w:left="103" w:right="96"/>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
                <w:sz w:val="18"/>
                <w:szCs w:val="18"/>
              </w:rPr>
              <w:t> </w:t>
            </w:r>
            <w:r>
              <w:rPr>
                <w:rFonts w:ascii="宋体" w:hAnsi="宋体" w:cs="宋体" w:eastAsia="宋体" w:hint="default"/>
                <w:spacing w:val="4"/>
                <w:sz w:val="18"/>
                <w:szCs w:val="18"/>
              </w:rPr>
              <w:t>年第二次临时股东大会决议 </w:t>
            </w:r>
            <w:r>
              <w:rPr>
                <w:rFonts w:ascii="宋体" w:hAnsi="宋体" w:cs="宋体" w:eastAsia="宋体" w:hint="default"/>
                <w:sz w:val="18"/>
                <w:szCs w:val="18"/>
              </w:rPr>
              <w:t>更正公告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5"/>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69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2011-040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9" w:right="0"/>
              <w:jc w:val="left"/>
              <w:rPr>
                <w:rFonts w:ascii="宋体" w:hAnsi="宋体" w:cs="宋体" w:eastAsia="宋体" w:hint="default"/>
                <w:sz w:val="18"/>
                <w:szCs w:val="18"/>
              </w:rPr>
            </w:pPr>
            <w:r>
              <w:rPr>
                <w:rFonts w:ascii="宋体"/>
                <w:sz w:val="18"/>
              </w:rPr>
              <w:t>2011-10-22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出售股权的公告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70"/>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70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2011-041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9" w:right="0"/>
              <w:jc w:val="left"/>
              <w:rPr>
                <w:rFonts w:ascii="宋体" w:hAnsi="宋体" w:cs="宋体" w:eastAsia="宋体" w:hint="default"/>
                <w:sz w:val="18"/>
                <w:szCs w:val="18"/>
              </w:rPr>
            </w:pPr>
            <w:r>
              <w:rPr>
                <w:rFonts w:ascii="宋体"/>
                <w:sz w:val="18"/>
              </w:rPr>
              <w:t>2011-10-27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年第三季度季度报告正文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71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2011-042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9" w:right="0"/>
              <w:jc w:val="left"/>
              <w:rPr>
                <w:rFonts w:ascii="宋体" w:hAnsi="宋体" w:cs="宋体" w:eastAsia="宋体" w:hint="default"/>
                <w:sz w:val="18"/>
                <w:szCs w:val="18"/>
              </w:rPr>
            </w:pPr>
            <w:r>
              <w:rPr>
                <w:rFonts w:ascii="宋体"/>
                <w:sz w:val="18"/>
              </w:rPr>
              <w:t>2011-10-27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1"/>
              <w:jc w:val="left"/>
              <w:rPr>
                <w:rFonts w:ascii="宋体" w:hAnsi="宋体" w:cs="宋体" w:eastAsia="宋体" w:hint="default"/>
                <w:sz w:val="18"/>
                <w:szCs w:val="18"/>
              </w:rPr>
            </w:pPr>
            <w:r>
              <w:rPr>
                <w:rFonts w:ascii="宋体" w:hAnsi="宋体" w:cs="宋体" w:eastAsia="宋体" w:hint="default"/>
                <w:sz w:val="18"/>
                <w:szCs w:val="18"/>
              </w:rPr>
              <w:t>第三届董事会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年第十次会议 决议公告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72</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9" w:right="0"/>
              <w:jc w:val="left"/>
              <w:rPr>
                <w:rFonts w:ascii="宋体" w:hAnsi="宋体" w:cs="宋体" w:eastAsia="宋体" w:hint="default"/>
                <w:sz w:val="18"/>
                <w:szCs w:val="18"/>
              </w:rPr>
            </w:pPr>
            <w:r>
              <w:rPr>
                <w:rFonts w:ascii="宋体"/>
                <w:sz w:val="18"/>
              </w:rPr>
              <w:t>2011-10-27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年第三季度季度报告全文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73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2011-043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2011-11-8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澄清公告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7"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74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2011-044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sz w:val="18"/>
              </w:rPr>
              <w:t>2011-12-3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关于股东部分股份质押的公告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75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2011-045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9" w:right="0"/>
              <w:jc w:val="left"/>
              <w:rPr>
                <w:rFonts w:ascii="宋体" w:hAnsi="宋体" w:cs="宋体" w:eastAsia="宋体" w:hint="default"/>
                <w:sz w:val="18"/>
                <w:szCs w:val="18"/>
              </w:rPr>
            </w:pPr>
            <w:r>
              <w:rPr>
                <w:rFonts w:ascii="宋体"/>
                <w:sz w:val="18"/>
              </w:rPr>
              <w:t>2011-12-13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89"/>
              <w:jc w:val="left"/>
              <w:rPr>
                <w:rFonts w:ascii="宋体" w:hAnsi="宋体" w:cs="宋体" w:eastAsia="宋体" w:hint="default"/>
                <w:sz w:val="18"/>
                <w:szCs w:val="18"/>
              </w:rPr>
            </w:pPr>
            <w:r>
              <w:rPr>
                <w:rFonts w:ascii="宋体" w:hAnsi="宋体" w:cs="宋体" w:eastAsia="宋体" w:hint="default"/>
                <w:spacing w:val="11"/>
                <w:sz w:val="18"/>
                <w:szCs w:val="18"/>
              </w:rPr>
              <w:t>拟收购江西丰彩丽印刷包装有限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公司股权的公告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4"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76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2011-046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9" w:right="0"/>
              <w:jc w:val="left"/>
              <w:rPr>
                <w:rFonts w:ascii="宋体" w:hAnsi="宋体" w:cs="宋体" w:eastAsia="宋体" w:hint="default"/>
                <w:sz w:val="18"/>
                <w:szCs w:val="18"/>
              </w:rPr>
            </w:pPr>
            <w:r>
              <w:rPr>
                <w:rFonts w:ascii="宋体"/>
                <w:sz w:val="18"/>
              </w:rPr>
              <w:t>2011-12-20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1"/>
              <w:jc w:val="left"/>
              <w:rPr>
                <w:rFonts w:ascii="宋体" w:hAnsi="宋体" w:cs="宋体" w:eastAsia="宋体" w:hint="default"/>
                <w:sz w:val="18"/>
                <w:szCs w:val="18"/>
              </w:rPr>
            </w:pPr>
            <w:r>
              <w:rPr>
                <w:rFonts w:ascii="宋体" w:hAnsi="宋体" w:cs="宋体" w:eastAsia="宋体" w:hint="default"/>
                <w:sz w:val="18"/>
                <w:szCs w:val="18"/>
              </w:rPr>
              <w:t>第三届董事会 </w:t>
            </w:r>
            <w:r>
              <w:rPr>
                <w:rFonts w:ascii="宋体" w:hAnsi="宋体" w:cs="宋体" w:eastAsia="宋体" w:hint="default"/>
                <w:sz w:val="18"/>
                <w:szCs w:val="18"/>
              </w:rPr>
              <w:t>2011</w:t>
            </w:r>
            <w:r>
              <w:rPr>
                <w:rFonts w:ascii="宋体" w:hAnsi="宋体" w:cs="宋体" w:eastAsia="宋体" w:hint="default"/>
                <w:spacing w:val="-31"/>
                <w:sz w:val="18"/>
                <w:szCs w:val="18"/>
              </w:rPr>
              <w:t> </w:t>
            </w:r>
            <w:r>
              <w:rPr>
                <w:rFonts w:ascii="宋体" w:hAnsi="宋体" w:cs="宋体" w:eastAsia="宋体" w:hint="default"/>
                <w:sz w:val="18"/>
                <w:szCs w:val="18"/>
              </w:rPr>
              <w:t>年第十一次会 议决议公告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03" w:right="106"/>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z w:val="18"/>
                <w:szCs w:val="18"/>
              </w:rPr>
              <w:t> 潮资讯网</w:t>
            </w:r>
          </w:p>
        </w:tc>
      </w:tr>
      <w:tr>
        <w:trPr>
          <w:trHeight w:val="6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77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13" w:right="0"/>
              <w:jc w:val="left"/>
              <w:rPr>
                <w:rFonts w:ascii="宋体" w:hAnsi="宋体" w:cs="宋体" w:eastAsia="宋体" w:hint="default"/>
                <w:sz w:val="18"/>
                <w:szCs w:val="18"/>
              </w:rPr>
            </w:pPr>
            <w:r>
              <w:rPr>
                <w:rFonts w:ascii="宋体"/>
                <w:sz w:val="18"/>
              </w:rPr>
              <w:t>2011-047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9" w:right="0"/>
              <w:jc w:val="left"/>
              <w:rPr>
                <w:rFonts w:ascii="宋体" w:hAnsi="宋体" w:cs="宋体" w:eastAsia="宋体" w:hint="default"/>
                <w:sz w:val="18"/>
                <w:szCs w:val="18"/>
              </w:rPr>
            </w:pPr>
            <w:r>
              <w:rPr>
                <w:rFonts w:ascii="宋体"/>
                <w:sz w:val="18"/>
              </w:rPr>
              <w:t>2011-12-30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103" w:right="89"/>
              <w:jc w:val="left"/>
              <w:rPr>
                <w:rFonts w:ascii="宋体" w:hAnsi="宋体" w:cs="宋体" w:eastAsia="宋体" w:hint="default"/>
                <w:sz w:val="18"/>
                <w:szCs w:val="18"/>
              </w:rPr>
            </w:pPr>
            <w:r>
              <w:rPr>
                <w:rFonts w:ascii="宋体" w:hAnsi="宋体" w:cs="宋体" w:eastAsia="宋体" w:hint="default"/>
                <w:spacing w:val="11"/>
                <w:sz w:val="18"/>
                <w:szCs w:val="18"/>
              </w:rPr>
              <w:t>拟收购重庆宏声印务有限责任公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司股权的公告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103" w:right="101"/>
              <w:jc w:val="left"/>
              <w:rPr>
                <w:rFonts w:ascii="宋体" w:hAnsi="宋体" w:cs="宋体" w:eastAsia="宋体" w:hint="default"/>
                <w:sz w:val="18"/>
                <w:szCs w:val="18"/>
              </w:rPr>
            </w:pPr>
            <w:r>
              <w:rPr>
                <w:rFonts w:ascii="宋体" w:hAnsi="宋体" w:cs="宋体" w:eastAsia="宋体" w:hint="default"/>
                <w:spacing w:val="2"/>
                <w:sz w:val="18"/>
                <w:szCs w:val="18"/>
              </w:rPr>
              <w:t>证券时报、中国证券报、巨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潮资讯网</w:t>
            </w:r>
          </w:p>
        </w:tc>
      </w:tr>
    </w:tbl>
    <w:p>
      <w:pPr>
        <w:spacing w:after="0" w:line="232" w:lineRule="exact"/>
        <w:jc w:val="left"/>
        <w:rPr>
          <w:rFonts w:ascii="宋体" w:hAnsi="宋体" w:cs="宋体" w:eastAsia="宋体" w:hint="default"/>
          <w:sz w:val="18"/>
          <w:szCs w:val="18"/>
        </w:rPr>
        <w:sectPr>
          <w:pgSz w:w="11910" w:h="16840"/>
          <w:pgMar w:header="920" w:footer="956" w:top="1140" w:bottom="1140" w:left="1000" w:right="0"/>
        </w:sectPr>
      </w:pPr>
    </w:p>
    <w:p>
      <w:pPr>
        <w:spacing w:line="240" w:lineRule="auto" w:before="11"/>
        <w:rPr>
          <w:rFonts w:ascii="Times New Roman" w:hAnsi="Times New Roman" w:cs="Times New Roman" w:eastAsia="Times New Roman" w:hint="default"/>
          <w:sz w:val="22"/>
          <w:szCs w:val="22"/>
        </w:rPr>
      </w:pPr>
    </w:p>
    <w:p>
      <w:pPr>
        <w:pStyle w:val="Heading1"/>
        <w:tabs>
          <w:tab w:pos="4272" w:val="left" w:leader="none"/>
        </w:tabs>
        <w:spacing w:line="240" w:lineRule="auto"/>
        <w:ind w:left="2993" w:right="0"/>
        <w:jc w:val="left"/>
        <w:rPr>
          <w:rFonts w:ascii="宋体" w:hAnsi="宋体" w:cs="宋体" w:eastAsia="宋体" w:hint="default"/>
        </w:rPr>
      </w:pPr>
      <w:bookmarkStart w:name="_TOC_250001" w:id="10"/>
      <w:r>
        <w:rPr>
          <w:rFonts w:ascii="宋体" w:hAnsi="宋体" w:cs="宋体" w:eastAsia="宋体" w:hint="default"/>
          <w:w w:val="95"/>
        </w:rPr>
        <w:t>第十节</w:t>
        <w:tab/>
      </w:r>
      <w:bookmarkEnd w:id="10"/>
      <w:r>
        <w:rPr>
          <w:rFonts w:ascii="宋体" w:hAnsi="宋体" w:cs="宋体" w:eastAsia="宋体" w:hint="default"/>
        </w:rPr>
        <w:t>财务报告</w:t>
      </w:r>
    </w:p>
    <w:p>
      <w:pPr>
        <w:spacing w:after="0" w:line="240" w:lineRule="auto"/>
        <w:jc w:val="left"/>
        <w:rPr>
          <w:rFonts w:ascii="宋体" w:hAnsi="宋体" w:cs="宋体" w:eastAsia="宋体" w:hint="default"/>
        </w:rPr>
        <w:sectPr>
          <w:headerReference w:type="default" r:id="rId33"/>
          <w:pgSz w:w="11910" w:h="16840"/>
          <w:pgMar w:header="920" w:footer="956" w:top="1140" w:bottom="1140" w:left="1680" w:right="0"/>
        </w:sectPr>
      </w:pPr>
    </w:p>
    <w:p>
      <w:pPr>
        <w:spacing w:line="240" w:lineRule="auto" w:before="0"/>
        <w:rPr>
          <w:rFonts w:ascii="宋体" w:hAnsi="宋体" w:cs="宋体" w:eastAsia="宋体" w:hint="default"/>
          <w:sz w:val="20"/>
          <w:szCs w:val="20"/>
        </w:rPr>
      </w:pPr>
    </w:p>
    <w:p>
      <w:pPr>
        <w:spacing w:before="151"/>
        <w:ind w:left="132" w:right="1115" w:firstLine="0"/>
        <w:jc w:val="center"/>
        <w:rPr>
          <w:rFonts w:ascii="黑体" w:hAnsi="黑体" w:cs="黑体" w:eastAsia="黑体" w:hint="default"/>
          <w:sz w:val="32"/>
          <w:szCs w:val="32"/>
        </w:rPr>
      </w:pPr>
      <w:r>
        <w:rPr>
          <w:rFonts w:ascii="黑体" w:hAnsi="黑体" w:cs="黑体" w:eastAsia="黑体" w:hint="default"/>
          <w:sz w:val="32"/>
          <w:szCs w:val="32"/>
        </w:rPr>
        <w:t>合并资产负债表</w:t>
      </w:r>
    </w:p>
    <w:p>
      <w:pPr>
        <w:spacing w:before="66"/>
        <w:ind w:left="137" w:right="1115" w:firstLine="0"/>
        <w:jc w:val="center"/>
        <w:rPr>
          <w:rFonts w:ascii="宋体" w:hAnsi="宋体" w:cs="宋体" w:eastAsia="宋体" w:hint="default"/>
          <w:sz w:val="18"/>
          <w:szCs w:val="18"/>
        </w:rPr>
      </w:pPr>
      <w:r>
        <w:rPr>
          <w:rFonts w:ascii="宋体" w:hAnsi="宋体" w:cs="宋体" w:eastAsia="宋体" w:hint="default"/>
          <w:sz w:val="18"/>
          <w:szCs w:val="18"/>
        </w:rPr>
        <w:t>财务报表截止日：</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6"/>
        <w:rPr>
          <w:rFonts w:ascii="宋体" w:hAnsi="宋体" w:cs="宋体" w:eastAsia="宋体" w:hint="default"/>
          <w:sz w:val="26"/>
          <w:szCs w:val="26"/>
        </w:rPr>
      </w:pPr>
    </w:p>
    <w:p>
      <w:pPr>
        <w:tabs>
          <w:tab w:pos="6458" w:val="left" w:leader="none"/>
        </w:tabs>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z w:val="18"/>
          <w:szCs w:val="18"/>
          <w:u w:val="single" w:color="000000"/>
        </w:rPr>
        <w:t>深圳劲嘉彩印集团股份有限公司</w:t>
      </w:r>
      <w:r>
        <w:rPr>
          <w:rFonts w:ascii="宋体" w:hAnsi="宋体" w:cs="宋体" w:eastAsia="宋体" w:hint="default"/>
          <w:sz w:val="18"/>
          <w:szCs w:val="18"/>
        </w:rPr>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591"/>
        <w:gridCol w:w="991"/>
        <w:gridCol w:w="2552"/>
        <w:gridCol w:w="2552"/>
      </w:tblGrid>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nil" w:sz="6" w:space="0" w:color="auto"/>
            </w:tcBorders>
          </w:tcPr>
          <w:p>
            <w:pP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909,220,749.89</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776,812,995.63</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201,367,895.95</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317,063,500.31</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305,750,335.26</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305,222,877.71</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50,901,718.15</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spacing w:val="-1"/>
                <w:sz w:val="18"/>
              </w:rPr>
              <w:t>25,854,949.07</w:t>
            </w:r>
          </w:p>
        </w:tc>
      </w:tr>
      <w:tr>
        <w:trPr>
          <w:trHeight w:val="24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106,786,877.86</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31,549,494.18</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color w:val="0000FF"/>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501,219,204.68</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508,323,635.97</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2,075,246,781.79</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1,984,827,452.87</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nil" w:sz="6" w:space="0" w:color="auto"/>
            </w:tcBorders>
          </w:tcPr>
          <w:p>
            <w:pP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822,701.91</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846,886,268.02</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1,173,694,391.49</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259,653,241.38</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198,252,272.55</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9,572,768.32</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223,694,959.01</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270,270,325.01</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609,663.65</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556,932.76</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49,514,806.12</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82,948,598.16</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982,564.31</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2,004,964.31</w:t>
            </w:r>
          </w:p>
        </w:tc>
      </w:tr>
      <w:tr>
        <w:trPr>
          <w:trHeight w:val="24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8,555,665.23</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10,407,283.01</w:t>
            </w:r>
            <w:r>
              <w:rPr>
                <w:rFonts w:ascii="Times New Roman"/>
                <w:sz w:val="18"/>
              </w:rPr>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1,390,047,167.72</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1,748,530,237.52</w:t>
            </w:r>
          </w:p>
        </w:tc>
      </w:tr>
      <w:tr>
        <w:trPr>
          <w:trHeight w:val="24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3,465,293,949.51</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3,733,357,690.39</w:t>
            </w:r>
          </w:p>
        </w:tc>
      </w:tr>
    </w:tbl>
    <w:p>
      <w:pPr>
        <w:spacing w:line="240" w:lineRule="auto" w:before="4"/>
        <w:rPr>
          <w:rFonts w:ascii="宋体" w:hAnsi="宋体" w:cs="宋体" w:eastAsia="宋体" w:hint="default"/>
          <w:sz w:val="20"/>
          <w:szCs w:val="20"/>
        </w:rPr>
      </w:pPr>
    </w:p>
    <w:p>
      <w:pPr>
        <w:tabs>
          <w:tab w:pos="2493" w:val="left" w:leader="none"/>
          <w:tab w:pos="5827" w:val="left" w:leader="none"/>
        </w:tabs>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footerReference w:type="default" r:id="rId34"/>
          <w:pgSz w:w="11910" w:h="16840"/>
          <w:pgMar w:footer="956" w:header="920" w:top="1140" w:bottom="1140" w:left="980" w:right="0"/>
          <w:pgNumType w:start="3"/>
        </w:sectPr>
      </w:pPr>
    </w:p>
    <w:p>
      <w:pPr>
        <w:spacing w:before="5"/>
        <w:ind w:left="133" w:right="1115" w:firstLine="0"/>
        <w:jc w:val="center"/>
        <w:rPr>
          <w:rFonts w:ascii="黑体" w:hAnsi="黑体" w:cs="黑体" w:eastAsia="黑体" w:hint="default"/>
          <w:sz w:val="32"/>
          <w:szCs w:val="32"/>
        </w:rPr>
      </w:pPr>
      <w:r>
        <w:rPr>
          <w:rFonts w:ascii="黑体" w:hAnsi="黑体" w:cs="黑体" w:eastAsia="黑体" w:hint="default"/>
          <w:sz w:val="32"/>
          <w:szCs w:val="32"/>
        </w:rPr>
        <w:t>合并资产负债表（续）</w:t>
      </w:r>
    </w:p>
    <w:p>
      <w:pPr>
        <w:spacing w:before="59"/>
        <w:ind w:left="137" w:right="1115" w:firstLine="0"/>
        <w:jc w:val="center"/>
        <w:rPr>
          <w:rFonts w:ascii="宋体" w:hAnsi="宋体" w:cs="宋体" w:eastAsia="宋体" w:hint="default"/>
          <w:sz w:val="18"/>
          <w:szCs w:val="18"/>
        </w:rPr>
      </w:pPr>
      <w:r>
        <w:rPr>
          <w:rFonts w:ascii="宋体" w:hAnsi="宋体" w:cs="宋体" w:eastAsia="宋体" w:hint="default"/>
          <w:sz w:val="18"/>
          <w:szCs w:val="18"/>
        </w:rPr>
        <w:t>财务报表截止日：</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tabs>
          <w:tab w:pos="6458" w:val="left" w:leader="none"/>
        </w:tabs>
        <w:spacing w:before="149"/>
        <w:ind w:left="152" w:right="1114"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z w:val="18"/>
          <w:szCs w:val="18"/>
          <w:u w:val="single" w:color="000000"/>
        </w:rPr>
        <w:t>深圳劲嘉彩印集团股份有限公司</w:t>
      </w:r>
      <w:r>
        <w:rPr>
          <w:rFonts w:ascii="宋体" w:hAnsi="宋体" w:cs="宋体" w:eastAsia="宋体" w:hint="default"/>
          <w:sz w:val="18"/>
          <w:szCs w:val="18"/>
        </w:rPr>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591"/>
        <w:gridCol w:w="1130"/>
        <w:gridCol w:w="2482"/>
        <w:gridCol w:w="2482"/>
      </w:tblGrid>
      <w:tr>
        <w:trPr>
          <w:trHeight w:val="2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602,000,000.00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549,500,000.00</w:t>
            </w:r>
          </w:p>
        </w:tc>
      </w:tr>
      <w:tr>
        <w:trPr>
          <w:trHeight w:val="2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155,716,276.11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158,312,281.62</w:t>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225,909,747.60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260,733,327.06</w:t>
            </w:r>
          </w:p>
        </w:tc>
      </w:tr>
      <w:tr>
        <w:trPr>
          <w:trHeight w:val="2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965,331.65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5,193,184.47</w:t>
            </w:r>
          </w:p>
        </w:tc>
      </w:tr>
      <w:tr>
        <w:trPr>
          <w:trHeight w:val="2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34,065,529.60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41,165,665.05</w:t>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42,593,798.38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19,438,450.80</w:t>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21,512,227.39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45,620,409.95</w:t>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1,102,762,910.73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1,085,963,318.95</w:t>
            </w:r>
          </w:p>
        </w:tc>
      </w:tr>
      <w:tr>
        <w:trPr>
          <w:trHeight w:val="2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14,855,995.78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14,855,995.78</w:t>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12,519,059.56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20,994,125.88</w:t>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27,375,055.34</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35,850,121.66</w:t>
            </w:r>
          </w:p>
        </w:tc>
      </w:tr>
      <w:tr>
        <w:trPr>
          <w:trHeight w:val="2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1,130,137,966.07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1,121,813,440.61</w:t>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642,000,000.00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642,000,000.00</w:t>
            </w:r>
          </w:p>
        </w:tc>
      </w:tr>
      <w:tr>
        <w:trPr>
          <w:trHeight w:val="2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461,767,425.71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461,763,092.78</w:t>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149,575,035.29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124,080,076.90</w:t>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807,648,271.95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733,050,101.97</w:t>
            </w:r>
          </w:p>
        </w:tc>
      </w:tr>
      <w:tr>
        <w:trPr>
          <w:trHeight w:val="2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-4,974,770.34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-3,807,906.64</w:t>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2,056,015,962.61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1,957,085,365.01</w:t>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279,140,020.83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654,458,884.77</w:t>
            </w:r>
          </w:p>
        </w:tc>
      </w:tr>
      <w:tr>
        <w:trPr>
          <w:trHeight w:val="2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2,335,155,983.44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2,611,544,249.78</w:t>
            </w:r>
          </w:p>
        </w:tc>
      </w:tr>
      <w:tr>
        <w:trPr>
          <w:trHeight w:val="259"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4"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3,465,293,949.51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3,733,357,690.39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35"/>
          <w:pgSz w:w="11910" w:h="16840"/>
          <w:pgMar w:footer="1282" w:header="920" w:top="1140" w:bottom="1480" w:left="980" w:right="0"/>
          <w:pgNumType w:start="4"/>
        </w:sectPr>
      </w:pPr>
    </w:p>
    <w:p>
      <w:pPr>
        <w:spacing w:before="5"/>
        <w:ind w:left="137" w:right="1115" w:firstLine="0"/>
        <w:jc w:val="center"/>
        <w:rPr>
          <w:rFonts w:ascii="黑体" w:hAnsi="黑体" w:cs="黑体" w:eastAsia="黑体" w:hint="default"/>
          <w:sz w:val="32"/>
          <w:szCs w:val="32"/>
        </w:rPr>
      </w:pPr>
      <w:r>
        <w:rPr>
          <w:rFonts w:ascii="黑体" w:hAnsi="黑体" w:cs="黑体" w:eastAsia="黑体" w:hint="default"/>
          <w:sz w:val="32"/>
          <w:szCs w:val="32"/>
        </w:rPr>
        <w:t>母公司资产负债表</w:t>
      </w:r>
    </w:p>
    <w:p>
      <w:pPr>
        <w:spacing w:line="240" w:lineRule="auto" w:before="6"/>
        <w:rPr>
          <w:rFonts w:ascii="黑体" w:hAnsi="黑体" w:cs="黑体" w:eastAsia="黑体" w:hint="default"/>
          <w:sz w:val="23"/>
          <w:szCs w:val="23"/>
        </w:rPr>
      </w:pPr>
    </w:p>
    <w:p>
      <w:pPr>
        <w:spacing w:before="0"/>
        <w:ind w:left="137" w:right="1115" w:firstLine="0"/>
        <w:jc w:val="center"/>
        <w:rPr>
          <w:rFonts w:ascii="宋体" w:hAnsi="宋体" w:cs="宋体" w:eastAsia="宋体" w:hint="default"/>
          <w:sz w:val="18"/>
          <w:szCs w:val="18"/>
        </w:rPr>
      </w:pPr>
      <w:r>
        <w:rPr>
          <w:rFonts w:ascii="宋体" w:hAnsi="宋体" w:cs="宋体" w:eastAsia="宋体" w:hint="default"/>
          <w:sz w:val="18"/>
          <w:szCs w:val="18"/>
        </w:rPr>
        <w:t>财务报表截止日：</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tabs>
          <w:tab w:pos="6458" w:val="left" w:leader="none"/>
        </w:tabs>
        <w:spacing w:before="144"/>
        <w:ind w:left="152" w:right="1114"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z w:val="18"/>
          <w:szCs w:val="18"/>
          <w:u w:val="single" w:color="000000"/>
        </w:rPr>
        <w:t>深圳劲嘉彩印集团股份有限公司</w:t>
      </w:r>
      <w:r>
        <w:rPr>
          <w:rFonts w:ascii="宋体" w:hAnsi="宋体" w:cs="宋体" w:eastAsia="宋体" w:hint="default"/>
          <w:sz w:val="18"/>
          <w:szCs w:val="18"/>
        </w:rPr>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591"/>
        <w:gridCol w:w="1130"/>
        <w:gridCol w:w="2482"/>
        <w:gridCol w:w="2482"/>
      </w:tblGrid>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520,748,011.87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351,775,484.21</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98,180,000.00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3"/>
              <w:jc w:val="right"/>
              <w:rPr>
                <w:rFonts w:ascii="Times New Roman" w:hAnsi="Times New Roman" w:cs="Times New Roman" w:eastAsia="Times New Roman" w:hint="default"/>
                <w:sz w:val="18"/>
                <w:szCs w:val="18"/>
              </w:rPr>
            </w:pPr>
            <w:r>
              <w:rPr>
                <w:rFonts w:ascii="Times New Roman"/>
                <w:spacing w:val="-1"/>
                <w:sz w:val="18"/>
              </w:rPr>
              <w:t>240,390,000.00</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110,616,254.49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106,406,890.61</w:t>
            </w:r>
          </w:p>
        </w:tc>
      </w:tr>
      <w:tr>
        <w:trPr>
          <w:trHeight w:val="3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15,174,735.17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10,977,160.87</w:t>
            </w:r>
          </w:p>
        </w:tc>
      </w:tr>
      <w:tr>
        <w:trPr>
          <w:trHeight w:val="36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97,148,378.24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23,838,842.68</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161,971,307.58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151,921,159.46</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1,003,838,687.35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885,309,537.83</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1,092,821,674.64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1,304,121,233.11</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200,398,772.63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213,936,522.91</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254,761,105.36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190,753,893.13</w:t>
            </w:r>
          </w:p>
        </w:tc>
      </w:tr>
      <w:tr>
        <w:trPr>
          <w:trHeight w:val="362"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132,781,585.28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135,760,814.24</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609,663.65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556,932.76</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2,757,874.65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2,099,420.10</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1,684,130,676.21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1,847,228,816.25</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2,687,969,363.56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2,732,538,354.08</w:t>
            </w:r>
          </w:p>
        </w:tc>
      </w:tr>
    </w:tbl>
    <w:p>
      <w:pPr>
        <w:spacing w:after="0" w:line="240" w:lineRule="auto"/>
        <w:jc w:val="right"/>
        <w:rPr>
          <w:rFonts w:ascii="Times New Roman" w:hAnsi="Times New Roman" w:cs="Times New Roman" w:eastAsia="Times New Roman" w:hint="default"/>
          <w:sz w:val="18"/>
          <w:szCs w:val="18"/>
        </w:rPr>
        <w:sectPr>
          <w:pgSz w:w="11910" w:h="16840"/>
          <w:pgMar w:header="920" w:footer="1282" w:top="1140" w:bottom="1480" w:left="980" w:right="0"/>
        </w:sectPr>
      </w:pPr>
    </w:p>
    <w:p>
      <w:pPr>
        <w:spacing w:before="5"/>
        <w:ind w:left="134" w:right="1115" w:firstLine="0"/>
        <w:jc w:val="center"/>
        <w:rPr>
          <w:rFonts w:ascii="黑体" w:hAnsi="黑体" w:cs="黑体" w:eastAsia="黑体" w:hint="default"/>
          <w:sz w:val="32"/>
          <w:szCs w:val="32"/>
        </w:rPr>
      </w:pPr>
      <w:r>
        <w:rPr>
          <w:rFonts w:ascii="黑体" w:hAnsi="黑体" w:cs="黑体" w:eastAsia="黑体" w:hint="default"/>
          <w:sz w:val="32"/>
          <w:szCs w:val="32"/>
        </w:rPr>
        <w:t>母公司资产负债表（续）</w:t>
      </w:r>
    </w:p>
    <w:p>
      <w:pPr>
        <w:spacing w:before="59"/>
        <w:ind w:left="137" w:right="1115" w:firstLine="0"/>
        <w:jc w:val="center"/>
        <w:rPr>
          <w:rFonts w:ascii="宋体" w:hAnsi="宋体" w:cs="宋体" w:eastAsia="宋体" w:hint="default"/>
          <w:sz w:val="18"/>
          <w:szCs w:val="18"/>
        </w:rPr>
      </w:pPr>
      <w:r>
        <w:rPr>
          <w:rFonts w:ascii="宋体" w:hAnsi="宋体" w:cs="宋体" w:eastAsia="宋体" w:hint="default"/>
          <w:sz w:val="18"/>
          <w:szCs w:val="18"/>
        </w:rPr>
        <w:t>财务报表截止日：</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tabs>
          <w:tab w:pos="6458" w:val="left" w:leader="none"/>
        </w:tabs>
        <w:spacing w:before="144"/>
        <w:ind w:left="152" w:right="1114"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z w:val="18"/>
          <w:szCs w:val="18"/>
          <w:u w:val="single" w:color="000000"/>
        </w:rPr>
        <w:t>深圳劲嘉彩印集团股份有限公司</w:t>
      </w:r>
      <w:r>
        <w:rPr>
          <w:rFonts w:ascii="宋体" w:hAnsi="宋体" w:cs="宋体" w:eastAsia="宋体" w:hint="default"/>
          <w:sz w:val="18"/>
          <w:szCs w:val="18"/>
        </w:rPr>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591"/>
        <w:gridCol w:w="1130"/>
        <w:gridCol w:w="2482"/>
        <w:gridCol w:w="2482"/>
      </w:tblGrid>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597,000,000.00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529,500,000.00</w:t>
            </w:r>
          </w:p>
        </w:tc>
      </w:tr>
      <w:tr>
        <w:trPr>
          <w:trHeight w:val="35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73,712,993.38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118,963,338.62</w:t>
            </w:r>
          </w:p>
        </w:tc>
      </w:tr>
      <w:tr>
        <w:trPr>
          <w:trHeight w:val="35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157,274,774.69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pacing w:val="-1"/>
                <w:sz w:val="18"/>
              </w:rPr>
              <w:t>228,557,714.34</w:t>
            </w: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7,617,578.67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8,579,306.11</w:t>
            </w: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16,184,183.90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2,890,144.87</w:t>
            </w:r>
          </w:p>
        </w:tc>
      </w:tr>
      <w:tr>
        <w:trPr>
          <w:trHeight w:val="35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95,016,166.66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62,933,767.80</w:t>
            </w: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5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946,805,697.30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957,424,271.74</w:t>
            </w:r>
          </w:p>
        </w:tc>
      </w:tr>
      <w:tr>
        <w:trPr>
          <w:trHeight w:val="35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946,805,697.30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957,424,271.74</w:t>
            </w:r>
          </w:p>
        </w:tc>
      </w:tr>
      <w:tr>
        <w:trPr>
          <w:trHeight w:val="35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642,000,000.00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642,000,000.00</w:t>
            </w:r>
          </w:p>
        </w:tc>
      </w:tr>
      <w:tr>
        <w:trPr>
          <w:trHeight w:val="35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710,563,786.65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710,563,786.65</w:t>
            </w: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149,575,035.29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124,080,076.90</w:t>
            </w:r>
          </w:p>
        </w:tc>
      </w:tr>
      <w:tr>
        <w:trPr>
          <w:trHeight w:val="35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239,024,844.32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298,470,218.79</w:t>
            </w:r>
          </w:p>
        </w:tc>
      </w:tr>
      <w:tr>
        <w:trPr>
          <w:trHeight w:val="353"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1,741,163,666.26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1,775,114,082.34</w:t>
            </w:r>
          </w:p>
        </w:tc>
      </w:tr>
      <w:tr>
        <w:trPr>
          <w:trHeight w:val="355"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4"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2,687,969,363.56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2,732,538,354.08</w:t>
            </w:r>
          </w:p>
        </w:tc>
      </w:tr>
    </w:tbl>
    <w:p>
      <w:pPr>
        <w:spacing w:after="0" w:line="240" w:lineRule="auto"/>
        <w:jc w:val="right"/>
        <w:rPr>
          <w:rFonts w:ascii="Times New Roman" w:hAnsi="Times New Roman" w:cs="Times New Roman" w:eastAsia="Times New Roman" w:hint="default"/>
          <w:sz w:val="18"/>
          <w:szCs w:val="18"/>
        </w:rPr>
        <w:sectPr>
          <w:footerReference w:type="default" r:id="rId36"/>
          <w:pgSz w:w="11910" w:h="16840"/>
          <w:pgMar w:footer="956" w:header="920" w:top="1140" w:bottom="1140" w:left="980" w:right="0"/>
          <w:pgNumType w:start="6"/>
        </w:sectPr>
      </w:pPr>
    </w:p>
    <w:p>
      <w:pPr>
        <w:tabs>
          <w:tab w:pos="2453" w:val="left" w:leader="none"/>
          <w:tab w:pos="5787" w:val="left" w:leader="none"/>
        </w:tabs>
        <w:spacing w:before="70"/>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920" w:footer="956" w:top="1140" w:bottom="1140" w:left="1020" w:right="0"/>
        </w:sectPr>
      </w:pPr>
    </w:p>
    <w:p>
      <w:pPr>
        <w:spacing w:before="5"/>
        <w:ind w:left="214" w:right="1117" w:firstLine="0"/>
        <w:jc w:val="center"/>
        <w:rPr>
          <w:rFonts w:ascii="黑体" w:hAnsi="黑体" w:cs="黑体" w:eastAsia="黑体" w:hint="default"/>
          <w:sz w:val="32"/>
          <w:szCs w:val="32"/>
        </w:rPr>
      </w:pPr>
      <w:r>
        <w:rPr>
          <w:rFonts w:ascii="黑体" w:hAnsi="黑体" w:cs="黑体" w:eastAsia="黑体" w:hint="default"/>
          <w:sz w:val="32"/>
          <w:szCs w:val="32"/>
        </w:rPr>
        <w:t>合并利润表</w:t>
      </w:r>
    </w:p>
    <w:p>
      <w:pPr>
        <w:spacing w:before="59"/>
        <w:ind w:left="214" w:right="1109"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spacing w:line="240" w:lineRule="auto" w:before="9"/>
        <w:rPr>
          <w:rFonts w:ascii="宋体" w:hAnsi="宋体" w:cs="宋体" w:eastAsia="宋体" w:hint="default"/>
          <w:sz w:val="21"/>
          <w:szCs w:val="21"/>
        </w:rPr>
      </w:pPr>
    </w:p>
    <w:p>
      <w:pPr>
        <w:tabs>
          <w:tab w:pos="6538" w:val="left" w:leader="none"/>
        </w:tabs>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z w:val="18"/>
          <w:szCs w:val="18"/>
          <w:u w:val="single" w:color="000000"/>
        </w:rPr>
        <w:t>深圳劲嘉彩印集团股份有限公司</w:t>
      </w:r>
      <w:r>
        <w:rPr>
          <w:rFonts w:ascii="宋体" w:hAnsi="宋体" w:cs="宋体" w:eastAsia="宋体" w:hint="default"/>
          <w:sz w:val="18"/>
          <w:szCs w:val="18"/>
        </w:rPr>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p>
      <w:pPr>
        <w:spacing w:line="240" w:lineRule="auto" w:before="11"/>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4379"/>
        <w:gridCol w:w="1414"/>
        <w:gridCol w:w="1985"/>
        <w:gridCol w:w="2067"/>
      </w:tblGrid>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2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67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18"/>
                <w:szCs w:val="18"/>
              </w:rPr>
            </w:pPr>
            <w:r>
              <w:rPr>
                <w:rFonts w:ascii="Times New Roman"/>
                <w:spacing w:val="-1"/>
                <w:sz w:val="18"/>
              </w:rPr>
              <w:t>2,300,272,282.13</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2,023,743,788.39</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18"/>
                <w:szCs w:val="18"/>
              </w:rPr>
            </w:pPr>
            <w:r>
              <w:rPr>
                <w:rFonts w:ascii="Times New Roman"/>
                <w:spacing w:val="-1"/>
                <w:sz w:val="18"/>
              </w:rPr>
              <w:t>2,300,272,282.13</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2,023,743,788.39</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6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66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18"/>
                <w:szCs w:val="18"/>
              </w:rPr>
            </w:pPr>
            <w:r>
              <w:rPr>
                <w:rFonts w:ascii="Times New Roman"/>
                <w:spacing w:val="-1"/>
                <w:sz w:val="18"/>
              </w:rPr>
              <w:t>1,763,812,103.43</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1,571,162,520.51</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1,416,475,294.50</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1,240,298,338.46</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66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66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610"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610"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610"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610"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61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20,368,285.12</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3,075,685.04</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61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81,979,224.00</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78,912,459.40</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61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211,104,846.68</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pacing w:val="-1"/>
                <w:sz w:val="18"/>
              </w:rPr>
              <w:t>201,468,096.73</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61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16,375,270.18</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13,171,811.35</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61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17,509,182.95</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34,236,129.53</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8"/>
              <w:jc w:val="center"/>
              <w:rPr>
                <w:rFonts w:ascii="宋体" w:hAnsi="宋体" w:cs="宋体" w:eastAsia="宋体" w:hint="default"/>
                <w:sz w:val="18"/>
                <w:szCs w:val="18"/>
              </w:rPr>
            </w:pPr>
            <w:r>
              <w:rPr>
                <w:rFonts w:ascii="宋体" w:hAnsi="宋体" w:cs="宋体" w:eastAsia="宋体" w:hint="default"/>
                <w:sz w:val="18"/>
                <w:szCs w:val="18"/>
              </w:rPr>
              <w:t>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8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1,249,052.28</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352,363.80</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8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-103,404.57</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pacing w:val="-1"/>
                <w:sz w:val="18"/>
              </w:rPr>
              <w:t>-117,976.40</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85"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537,709,230.98</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pacing w:val="-1"/>
                <w:sz w:val="18"/>
              </w:rPr>
              <w:t>452,933,631.68</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17,248,501.93</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10,576,477.21</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1,102,535.15</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1,528,786.54</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563,449.69</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76"/>
              <w:jc w:val="right"/>
              <w:rPr>
                <w:rFonts w:ascii="Times New Roman" w:hAnsi="Times New Roman" w:cs="Times New Roman" w:eastAsia="Times New Roman" w:hint="default"/>
                <w:sz w:val="18"/>
                <w:szCs w:val="18"/>
              </w:rPr>
            </w:pPr>
            <w:r>
              <w:rPr>
                <w:rFonts w:ascii="Times New Roman"/>
                <w:spacing w:val="-1"/>
                <w:sz w:val="18"/>
              </w:rPr>
              <w:t>548,301.82</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553,855,197.76</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pacing w:val="-1"/>
                <w:sz w:val="18"/>
              </w:rPr>
              <w:t>461,981,322.35</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95,157,155.48</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85,261,060.05</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8"/>
              <w:jc w:val="center"/>
              <w:rPr>
                <w:rFonts w:ascii="宋体" w:hAnsi="宋体" w:cs="宋体" w:eastAsia="宋体" w:hint="default"/>
                <w:sz w:val="18"/>
                <w:szCs w:val="18"/>
              </w:rPr>
            </w:pPr>
            <w:r>
              <w:rPr>
                <w:rFonts w:ascii="宋体" w:hAnsi="宋体" w:cs="宋体" w:eastAsia="宋体" w:hint="default"/>
                <w:sz w:val="18"/>
                <w:szCs w:val="18"/>
              </w:rPr>
              <w:t>八、</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458,698,042.28</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pacing w:val="-1"/>
                <w:sz w:val="18"/>
              </w:rPr>
              <w:t>376,720,262.30</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388,993,128.37</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303,336,417.17</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69,704,913.91</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pacing w:val="-1"/>
                <w:sz w:val="18"/>
              </w:rPr>
              <w:t>73,383,845.13</w:t>
            </w:r>
          </w:p>
        </w:tc>
      </w:tr>
      <w:tr>
        <w:trPr>
          <w:trHeight w:val="30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0.61</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pacing w:val="-1"/>
                <w:sz w:val="18"/>
              </w:rPr>
              <w:t>0.47</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0.61</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pacing w:val="-1"/>
                <w:sz w:val="18"/>
              </w:rPr>
              <w:t>0.47</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-1,162,530.77</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-1,468,634.68</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457,535,511.51</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375,251,627.62</w:t>
            </w:r>
          </w:p>
        </w:tc>
      </w:tr>
      <w:tr>
        <w:trPr>
          <w:trHeight w:val="300"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387,830,597.60</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301,867,782.49</w:t>
            </w:r>
          </w:p>
        </w:tc>
      </w:tr>
      <w:tr>
        <w:trPr>
          <w:trHeight w:val="302"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69,704,913.91</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pacing w:val="-1"/>
                <w:sz w:val="18"/>
              </w:rPr>
              <w:t>73,383,845.13</w:t>
            </w:r>
          </w:p>
        </w:tc>
      </w:tr>
    </w:tbl>
    <w:p>
      <w:pPr>
        <w:spacing w:line="240" w:lineRule="auto" w:before="8"/>
        <w:rPr>
          <w:rFonts w:ascii="宋体" w:hAnsi="宋体" w:cs="宋体" w:eastAsia="宋体" w:hint="default"/>
          <w:sz w:val="14"/>
          <w:szCs w:val="14"/>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本期未发生同一控制下的企业合并。</w:t>
      </w:r>
    </w:p>
    <w:p>
      <w:pPr>
        <w:spacing w:after="0"/>
        <w:jc w:val="left"/>
        <w:rPr>
          <w:rFonts w:ascii="宋体" w:hAnsi="宋体" w:cs="宋体" w:eastAsia="宋体" w:hint="default"/>
          <w:sz w:val="18"/>
          <w:szCs w:val="18"/>
        </w:rPr>
        <w:sectPr>
          <w:footerReference w:type="default" r:id="rId37"/>
          <w:pgSz w:w="11910" w:h="16840"/>
          <w:pgMar w:footer="1446" w:header="920" w:top="1140" w:bottom="1640" w:left="900" w:right="0"/>
          <w:pgNumType w:start="8"/>
        </w:sectPr>
      </w:pPr>
    </w:p>
    <w:p>
      <w:pPr>
        <w:spacing w:before="5"/>
        <w:ind w:left="214" w:right="1114" w:firstLine="0"/>
        <w:jc w:val="center"/>
        <w:rPr>
          <w:rFonts w:ascii="黑体" w:hAnsi="黑体" w:cs="黑体" w:eastAsia="黑体" w:hint="default"/>
          <w:sz w:val="32"/>
          <w:szCs w:val="32"/>
        </w:rPr>
      </w:pPr>
      <w:r>
        <w:rPr>
          <w:rFonts w:ascii="黑体" w:hAnsi="黑体" w:cs="黑体" w:eastAsia="黑体" w:hint="default"/>
          <w:sz w:val="32"/>
          <w:szCs w:val="32"/>
        </w:rPr>
        <w:t>母公司利润表</w:t>
      </w:r>
    </w:p>
    <w:p>
      <w:pPr>
        <w:spacing w:before="59"/>
        <w:ind w:left="214" w:right="1112"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tabs>
          <w:tab w:pos="6538" w:val="left" w:leader="none"/>
        </w:tabs>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z w:val="18"/>
          <w:szCs w:val="18"/>
          <w:u w:val="single" w:color="000000"/>
        </w:rPr>
        <w:t>深圳劲嘉彩印集团股份有限公司</w:t>
      </w:r>
      <w:r>
        <w:rPr>
          <w:rFonts w:ascii="宋体" w:hAnsi="宋体" w:cs="宋体" w:eastAsia="宋体" w:hint="default"/>
          <w:sz w:val="18"/>
          <w:szCs w:val="18"/>
        </w:rPr>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4379"/>
        <w:gridCol w:w="1414"/>
        <w:gridCol w:w="1985"/>
        <w:gridCol w:w="2067"/>
      </w:tblGrid>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7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850,881,580.21</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838,752,282.47</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526,530,549.87</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561,231,515.82</w:t>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6,072,431.12</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535,764.70</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57,368,499.70</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50,639,404.36</w:t>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77,606,278.19</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80,291,272.35</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22,433,587.73</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16,079,355.61</w:t>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7,348,621.53</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-621,514.89</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120,747,075.73</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60,785,581.95</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2"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274,268,687.80</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191,382,066.47</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10,695,491.82</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5,150,487.42</w:t>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670,123.69</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639,060.50</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370,123.66</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284,294,055.93</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195,893,493.39</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29,344,472.01</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23,178,512.83</w:t>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254,949,583.92</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172,714,980.56</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0.40</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0.27</w:t>
            </w:r>
          </w:p>
        </w:tc>
      </w:tr>
      <w:tr>
        <w:trPr>
          <w:trHeight w:val="509"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0.40</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0.27</w:t>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41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254,949,583.92</w:t>
            </w:r>
          </w:p>
        </w:tc>
        <w:tc>
          <w:tcPr>
            <w:tcW w:w="20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172,714,980.56</w:t>
            </w:r>
          </w:p>
        </w:tc>
      </w:tr>
    </w:tbl>
    <w:p>
      <w:pPr>
        <w:spacing w:after="0" w:line="240" w:lineRule="auto"/>
        <w:jc w:val="right"/>
        <w:rPr>
          <w:rFonts w:ascii="Times New Roman" w:hAnsi="Times New Roman" w:cs="Times New Roman" w:eastAsia="Times New Roman" w:hint="default"/>
          <w:sz w:val="18"/>
          <w:szCs w:val="18"/>
        </w:rPr>
        <w:sectPr>
          <w:pgSz w:w="11910" w:h="16840"/>
          <w:pgMar w:header="920" w:footer="1446" w:top="1140" w:bottom="1640" w:left="900" w:right="0"/>
        </w:sectPr>
      </w:pPr>
    </w:p>
    <w:p>
      <w:pPr>
        <w:spacing w:before="91"/>
        <w:ind w:left="214" w:right="1117" w:firstLine="0"/>
        <w:jc w:val="center"/>
        <w:rPr>
          <w:rFonts w:ascii="黑体" w:hAnsi="黑体" w:cs="黑体" w:eastAsia="黑体" w:hint="default"/>
          <w:sz w:val="32"/>
          <w:szCs w:val="32"/>
        </w:rPr>
      </w:pPr>
      <w:r>
        <w:rPr>
          <w:rFonts w:ascii="黑体" w:hAnsi="黑体" w:cs="黑体" w:eastAsia="黑体" w:hint="default"/>
          <w:sz w:val="32"/>
          <w:szCs w:val="32"/>
        </w:rPr>
        <w:t>合并现金流量表</w:t>
      </w:r>
    </w:p>
    <w:p>
      <w:pPr>
        <w:spacing w:before="64"/>
        <w:ind w:left="214" w:right="1109"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spacing w:line="240" w:lineRule="auto" w:before="5"/>
        <w:rPr>
          <w:rFonts w:ascii="宋体" w:hAnsi="宋体" w:cs="宋体" w:eastAsia="宋体" w:hint="default"/>
          <w:sz w:val="22"/>
          <w:szCs w:val="22"/>
        </w:rPr>
      </w:pPr>
    </w:p>
    <w:p>
      <w:pPr>
        <w:tabs>
          <w:tab w:pos="6627" w:val="left" w:leader="none"/>
        </w:tabs>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z w:val="18"/>
          <w:szCs w:val="18"/>
          <w:u w:val="single" w:color="000000"/>
        </w:rPr>
        <w:t>深圳劲嘉彩印集团股份有限公司</w:t>
      </w:r>
      <w:r>
        <w:rPr>
          <w:rFonts w:ascii="宋体" w:hAnsi="宋体" w:cs="宋体" w:eastAsia="宋体" w:hint="default"/>
          <w:sz w:val="18"/>
          <w:szCs w:val="18"/>
        </w:rPr>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4801"/>
        <w:gridCol w:w="1136"/>
        <w:gridCol w:w="1843"/>
        <w:gridCol w:w="1916"/>
      </w:tblGrid>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83"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55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193" w:lineRule="exact"/>
              <w:ind w:left="59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2,406,384,217.23</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spacing w:val="-1"/>
                <w:sz w:val="18"/>
              </w:rPr>
              <w:t>2,076,824,432.51</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4" w:lineRule="exact"/>
              <w:ind w:left="12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1,621,169.88</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714,038.24</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40,249,476.72</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7"/>
              <w:jc w:val="right"/>
              <w:rPr>
                <w:rFonts w:ascii="Times New Roman" w:hAnsi="Times New Roman" w:cs="Times New Roman" w:eastAsia="Times New Roman" w:hint="default"/>
                <w:sz w:val="18"/>
                <w:szCs w:val="18"/>
              </w:rPr>
            </w:pPr>
            <w:r>
              <w:rPr>
                <w:rFonts w:ascii="Times New Roman"/>
                <w:spacing w:val="-1"/>
                <w:sz w:val="18"/>
              </w:rPr>
              <w:t>40,326,378.59</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2,448,254,863.83</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2,117,864,849.34</w:t>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1,126,955,929.10</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1,022,856,477.40</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190,414,894.43</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218,792,534.15</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256,006,181.41</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spacing w:val="-1"/>
                <w:sz w:val="18"/>
              </w:rPr>
              <w:t>273,715,232.51</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225,600,985.75</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229,285,791.99</w:t>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1,798,977,990.69</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1,744,650,036.05</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649,276,873.14</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spacing w:val="-1"/>
                <w:sz w:val="18"/>
              </w:rPr>
              <w:t>373,214,813.29</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219"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569,297.34</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1,828,372.12</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spacing w:val="-1"/>
                <w:sz w:val="18"/>
              </w:rPr>
              <w:t>470,293.52</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1,761,751.53</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9,513,838.80</w:t>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4,548,903.95</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22,762,200.00</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31,470,524.94</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15,984,132.32</w:t>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154,446,936.20</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79,282,954.34</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spacing w:val="-1"/>
                <w:sz w:val="18"/>
              </w:rPr>
              <w:t>111,852,479.20</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19,900,000.00</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7"/>
              <w:jc w:val="right"/>
              <w:rPr>
                <w:rFonts w:ascii="Times New Roman" w:hAnsi="Times New Roman" w:cs="Times New Roman" w:eastAsia="Times New Roman" w:hint="default"/>
                <w:sz w:val="18"/>
                <w:szCs w:val="18"/>
              </w:rPr>
            </w:pPr>
            <w:r>
              <w:rPr>
                <w:rFonts w:ascii="Times New Roman"/>
                <w:spacing w:val="-1"/>
                <w:sz w:val="18"/>
              </w:rPr>
              <w:t>23,500,000.00</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174,346,936.20</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214,635,433.54</w:t>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-142,876,411.26</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-198,651,301.22</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672,000,000.00</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18"/>
                <w:szCs w:val="18"/>
              </w:rPr>
            </w:pPr>
            <w:r>
              <w:rPr>
                <w:rFonts w:ascii="Times New Roman"/>
                <w:spacing w:val="-1"/>
                <w:sz w:val="18"/>
              </w:rPr>
              <w:t>1,203,700,000.00</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4" w:lineRule="exact"/>
              <w:ind w:left="12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39,969,851.68</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56,123,885.87</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711,969,851.68</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spacing w:val="-1"/>
                <w:sz w:val="18"/>
              </w:rPr>
              <w:t>1,259,823,885.87</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685,500,000.00</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1,094,277,666.67</w:t>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369,324,642.48</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345,328,088.14</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67,759,600.60</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7"/>
              <w:jc w:val="right"/>
              <w:rPr>
                <w:rFonts w:ascii="Times New Roman" w:hAnsi="Times New Roman" w:cs="Times New Roman" w:eastAsia="Times New Roman" w:hint="default"/>
                <w:sz w:val="18"/>
                <w:szCs w:val="18"/>
              </w:rPr>
            </w:pPr>
            <w:r>
              <w:rPr>
                <w:rFonts w:ascii="Times New Roman"/>
                <w:spacing w:val="-1"/>
                <w:sz w:val="18"/>
              </w:rPr>
              <w:t>64,838,741.35</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36,184,054.71</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25,810,171.94</w:t>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1,091,008,697.19</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1,465,415,926.75</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-379,038,845.51</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18"/>
                <w:szCs w:val="18"/>
              </w:rPr>
            </w:pPr>
            <w:r>
              <w:rPr>
                <w:rFonts w:ascii="Times New Roman"/>
                <w:spacing w:val="-1"/>
                <w:sz w:val="18"/>
              </w:rPr>
              <w:t>-205,592,040.88</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-1,637,334.32</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-1,329,142.19</w:t>
            </w:r>
          </w:p>
        </w:tc>
      </w:tr>
      <w:tr>
        <w:trPr>
          <w:trHeight w:val="218"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Times New Roman" w:hAnsi="Times New Roman" w:cs="Times New Roman" w:eastAsia="Times New Roman" w:hint="default"/>
                <w:sz w:val="18"/>
                <w:szCs w:val="18"/>
              </w:rPr>
            </w:pPr>
            <w:r>
              <w:rPr>
                <w:rFonts w:ascii="Times New Roman"/>
                <w:spacing w:val="-1"/>
                <w:sz w:val="18"/>
              </w:rPr>
              <w:t>125,724,282.05</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-32,357,671.00</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720,693,373.36</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spacing w:val="-1"/>
                <w:sz w:val="18"/>
              </w:rPr>
              <w:t>753,051,044.36</w:t>
            </w:r>
          </w:p>
        </w:tc>
      </w:tr>
      <w:tr>
        <w:trPr>
          <w:trHeight w:val="22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846,417,655.41</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720,693,373.36</w:t>
            </w:r>
          </w:p>
        </w:tc>
      </w:tr>
    </w:tbl>
    <w:p>
      <w:pPr>
        <w:spacing w:after="0" w:line="240" w:lineRule="auto"/>
        <w:jc w:val="right"/>
        <w:rPr>
          <w:rFonts w:ascii="Times New Roman" w:hAnsi="Times New Roman" w:cs="Times New Roman" w:eastAsia="Times New Roman" w:hint="default"/>
          <w:sz w:val="18"/>
          <w:szCs w:val="18"/>
        </w:rPr>
        <w:sectPr>
          <w:footerReference w:type="default" r:id="rId38"/>
          <w:pgSz w:w="11910" w:h="16840"/>
          <w:pgMar w:footer="1234" w:header="920" w:top="1140" w:bottom="1500" w:left="900" w:right="0"/>
          <w:pgNumType w:start="10"/>
        </w:sectPr>
      </w:pPr>
    </w:p>
    <w:p>
      <w:pPr>
        <w:spacing w:before="45"/>
        <w:ind w:left="214" w:right="1112" w:firstLine="0"/>
        <w:jc w:val="center"/>
        <w:rPr>
          <w:rFonts w:ascii="黑体" w:hAnsi="黑体" w:cs="黑体" w:eastAsia="黑体" w:hint="default"/>
          <w:sz w:val="32"/>
          <w:szCs w:val="32"/>
        </w:rPr>
      </w:pPr>
      <w:r>
        <w:rPr>
          <w:rFonts w:ascii="黑体" w:hAnsi="黑体" w:cs="黑体" w:eastAsia="黑体" w:hint="default"/>
          <w:sz w:val="32"/>
          <w:szCs w:val="32"/>
        </w:rPr>
        <w:t>母公司现金流量表</w:t>
      </w:r>
    </w:p>
    <w:p>
      <w:pPr>
        <w:spacing w:before="59"/>
        <w:ind w:left="214" w:right="1109"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spacing w:line="240" w:lineRule="auto" w:before="5"/>
        <w:rPr>
          <w:rFonts w:ascii="宋体" w:hAnsi="宋体" w:cs="宋体" w:eastAsia="宋体" w:hint="default"/>
          <w:sz w:val="22"/>
          <w:szCs w:val="22"/>
        </w:rPr>
      </w:pPr>
    </w:p>
    <w:p>
      <w:pPr>
        <w:tabs>
          <w:tab w:pos="6538" w:val="left" w:leader="none"/>
        </w:tabs>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z w:val="18"/>
          <w:szCs w:val="18"/>
          <w:u w:val="single" w:color="000000"/>
        </w:rPr>
        <w:t>深圳劲嘉彩印集团股份有限公司</w:t>
      </w:r>
      <w:r>
        <w:rPr>
          <w:rFonts w:ascii="宋体" w:hAnsi="宋体" w:cs="宋体" w:eastAsia="宋体" w:hint="default"/>
          <w:sz w:val="18"/>
          <w:szCs w:val="18"/>
        </w:rPr>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4950"/>
        <w:gridCol w:w="1128"/>
        <w:gridCol w:w="1897"/>
        <w:gridCol w:w="1896"/>
      </w:tblGrid>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8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58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943,650,770.65</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979,661,337.44</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670,301.31</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565,718.24</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84,844,015.38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38,323,102.79</w:t>
            </w:r>
          </w:p>
        </w:tc>
      </w:tr>
      <w:tr>
        <w:trPr>
          <w:trHeight w:val="32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1,029,165,087.34</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1,018,550,158.47</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439,170,839.32</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658,848,855.39</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70,054,796.25</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57,828,129.88</w:t>
            </w:r>
          </w:p>
        </w:tc>
      </w:tr>
      <w:tr>
        <w:trPr>
          <w:trHeight w:val="32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79,032,841.16</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18"/>
                <w:szCs w:val="18"/>
              </w:rPr>
            </w:pPr>
            <w:r>
              <w:rPr>
                <w:rFonts w:ascii="Times New Roman"/>
                <w:spacing w:val="-1"/>
                <w:sz w:val="18"/>
              </w:rPr>
              <w:t>92,061,559.18</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138,902,540.17</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108,167,008.25</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727,161,016.90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916,905,552.70</w:t>
            </w:r>
          </w:p>
        </w:tc>
      </w:tr>
      <w:tr>
        <w:trPr>
          <w:trHeight w:val="32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302,004,070.44</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101,644,605.77</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90,518,143.04</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60,785,581.95</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w w:val="95"/>
                <w:sz w:val="18"/>
              </w:rPr>
              <w:t>2,000.00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132,000,000.00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2,500,000.00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225,020,143.04</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66,785,581.95</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90,868,252.25</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30,117,716.05</w:t>
            </w:r>
          </w:p>
        </w:tc>
      </w:tr>
      <w:tr>
        <w:trPr>
          <w:trHeight w:val="32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123,852,479.20</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4,900,000.00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32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105,768,252.25</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157,470,195.25</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119,251,890.79</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-90,684,613.30</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727,000,000.00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1,173,700,000.00</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17,074,664.82</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7"/>
              <w:jc w:val="right"/>
              <w:rPr>
                <w:rFonts w:ascii="Times New Roman" w:hAnsi="Times New Roman" w:cs="Times New Roman" w:eastAsia="Times New Roman" w:hint="default"/>
                <w:sz w:val="18"/>
                <w:szCs w:val="18"/>
              </w:rPr>
            </w:pPr>
            <w:r>
              <w:rPr>
                <w:rFonts w:ascii="Times New Roman"/>
                <w:spacing w:val="-1"/>
                <w:sz w:val="18"/>
              </w:rPr>
              <w:t>47,115,296.33</w:t>
            </w:r>
          </w:p>
        </w:tc>
      </w:tr>
      <w:tr>
        <w:trPr>
          <w:trHeight w:val="32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744,074,664.82</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1,220,815,296.33</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665,500,000.00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1,046,277,666.67</w:t>
            </w:r>
          </w:p>
        </w:tc>
      </w:tr>
      <w:tr>
        <w:trPr>
          <w:trHeight w:val="32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320,346,055.07</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18"/>
                <w:szCs w:val="18"/>
              </w:rPr>
            </w:pPr>
            <w:r>
              <w:rPr>
                <w:rFonts w:ascii="Times New Roman"/>
                <w:spacing w:val="-1"/>
                <w:sz w:val="18"/>
              </w:rPr>
              <w:t>279,102,693.85</w:t>
            </w:r>
          </w:p>
        </w:tc>
      </w:tr>
      <w:tr>
        <w:trPr>
          <w:trHeight w:val="32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1,395,566.99</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601,858.48</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987,241,622.06</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1,325,982,219.00</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18"/>
                <w:szCs w:val="18"/>
              </w:rPr>
            </w:pPr>
            <w:r>
              <w:rPr>
                <w:rFonts w:ascii="Times New Roman"/>
                <w:spacing w:val="-1"/>
                <w:sz w:val="18"/>
              </w:rPr>
              <w:t>-243,166,957.24</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-105,166,922.67</w:t>
            </w:r>
          </w:p>
        </w:tc>
      </w:tr>
      <w:tr>
        <w:trPr>
          <w:trHeight w:val="32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178,089,003.99</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-94,206,930.20</w:t>
            </w:r>
          </w:p>
        </w:tc>
      </w:tr>
      <w:tr>
        <w:trPr>
          <w:trHeight w:val="319"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325,727,494.95</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419,934,425.15</w:t>
            </w:r>
          </w:p>
        </w:tc>
      </w:tr>
      <w:tr>
        <w:trPr>
          <w:trHeight w:val="322"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503,816,498.94</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325,727,494.95</w:t>
            </w:r>
          </w:p>
        </w:tc>
      </w:tr>
    </w:tbl>
    <w:p>
      <w:pPr>
        <w:spacing w:after="0" w:line="240" w:lineRule="auto"/>
        <w:jc w:val="right"/>
        <w:rPr>
          <w:rFonts w:ascii="Times New Roman" w:hAnsi="Times New Roman" w:cs="Times New Roman" w:eastAsia="Times New Roman" w:hint="default"/>
          <w:sz w:val="18"/>
          <w:szCs w:val="18"/>
        </w:rPr>
        <w:sectPr>
          <w:pgSz w:w="11910" w:h="16840"/>
          <w:pgMar w:header="920" w:footer="1234" w:top="1140" w:bottom="1420" w:left="900" w:right="0"/>
        </w:sectPr>
      </w:pPr>
    </w:p>
    <w:p>
      <w:pPr>
        <w:spacing w:line="240" w:lineRule="auto" w:before="11"/>
        <w:rPr>
          <w:rFonts w:ascii="Times New Roman" w:hAnsi="Times New Roman" w:cs="Times New Roman" w:eastAsia="Times New Roman"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3276"/>
        <w:gridCol w:w="1337"/>
        <w:gridCol w:w="1394"/>
        <w:gridCol w:w="622"/>
        <w:gridCol w:w="619"/>
        <w:gridCol w:w="1337"/>
        <w:gridCol w:w="722"/>
        <w:gridCol w:w="1219"/>
        <w:gridCol w:w="1217"/>
        <w:gridCol w:w="1529"/>
        <w:gridCol w:w="1469"/>
      </w:tblGrid>
      <w:tr>
        <w:trPr>
          <w:trHeight w:val="250" w:hRule="exact"/>
        </w:trPr>
        <w:tc>
          <w:tcPr>
            <w:tcW w:w="327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66"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52" w:hRule="exact"/>
        </w:trPr>
        <w:tc>
          <w:tcPr>
            <w:tcW w:w="3276" w:type="dxa"/>
            <w:vMerge/>
            <w:tcBorders>
              <w:left w:val="nil" w:sz="6" w:space="0" w:color="auto"/>
              <w:right w:val="single" w:sz="4" w:space="0" w:color="000000"/>
            </w:tcBorders>
          </w:tcPr>
          <w:p>
            <w:pPr/>
          </w:p>
        </w:tc>
        <w:tc>
          <w:tcPr>
            <w:tcW w:w="846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309"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6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302"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490" w:hRule="exact"/>
        </w:trPr>
        <w:tc>
          <w:tcPr>
            <w:tcW w:w="3276" w:type="dxa"/>
            <w:vMerge/>
            <w:tcBorders>
              <w:left w:val="nil" w:sz="6" w:space="0" w:color="auto"/>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left="39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110" w:right="122" w:hanging="77"/>
              <w:jc w:val="left"/>
              <w:rPr>
                <w:rFonts w:ascii="宋体" w:hAnsi="宋体" w:cs="宋体" w:eastAsia="宋体" w:hint="default"/>
                <w:sz w:val="15"/>
                <w:szCs w:val="15"/>
              </w:rPr>
            </w:pPr>
            <w:r>
              <w:rPr>
                <w:rFonts w:ascii="宋体" w:hAnsi="宋体" w:cs="宋体" w:eastAsia="宋体" w:hint="default"/>
                <w:sz w:val="15"/>
                <w:szCs w:val="15"/>
              </w:rPr>
              <w:t>减：库</w:t>
            </w:r>
            <w:r>
              <w:rPr>
                <w:rFonts w:ascii="宋体" w:hAnsi="宋体" w:cs="宋体" w:eastAsia="宋体" w:hint="default"/>
                <w:spacing w:val="-72"/>
                <w:sz w:val="15"/>
                <w:szCs w:val="15"/>
              </w:rPr>
              <w:t> </w:t>
            </w:r>
            <w:r>
              <w:rPr>
                <w:rFonts w:ascii="宋体" w:hAnsi="宋体" w:cs="宋体" w:eastAsia="宋体" w:hint="default"/>
                <w:sz w:val="15"/>
                <w:szCs w:val="15"/>
              </w:rPr>
              <w:t>存股</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153" w:right="151"/>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left="36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206" w:right="50" w:hanging="149"/>
              <w:jc w:val="left"/>
              <w:rPr>
                <w:rFonts w:ascii="宋体" w:hAnsi="宋体" w:cs="宋体" w:eastAsia="宋体" w:hint="default"/>
                <w:sz w:val="15"/>
                <w:szCs w:val="15"/>
              </w:rPr>
            </w:pPr>
            <w:r>
              <w:rPr>
                <w:rFonts w:ascii="宋体" w:hAnsi="宋体" w:cs="宋体" w:eastAsia="宋体" w:hint="default"/>
                <w:sz w:val="15"/>
                <w:szCs w:val="15"/>
              </w:rPr>
              <w:t>一般风险</w:t>
            </w:r>
            <w:r>
              <w:rPr>
                <w:rFonts w:ascii="宋体" w:hAnsi="宋体" w:cs="宋体" w:eastAsia="宋体" w:hint="default"/>
                <w:w w:val="100"/>
                <w:sz w:val="15"/>
                <w:szCs w:val="15"/>
              </w:rPr>
              <w:t> </w:t>
            </w:r>
            <w:r>
              <w:rPr>
                <w:rFonts w:ascii="宋体" w:hAnsi="宋体" w:cs="宋体" w:eastAsia="宋体" w:hint="default"/>
                <w:sz w:val="15"/>
                <w:szCs w:val="15"/>
              </w:rPr>
              <w:t>准备</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left="23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456" w:right="147" w:hanging="300"/>
              <w:jc w:val="left"/>
              <w:rPr>
                <w:rFonts w:ascii="宋体" w:hAnsi="宋体" w:cs="宋体" w:eastAsia="宋体" w:hint="default"/>
                <w:sz w:val="15"/>
                <w:szCs w:val="15"/>
              </w:rPr>
            </w:pPr>
            <w:r>
              <w:rPr>
                <w:rFonts w:ascii="宋体" w:hAnsi="宋体" w:cs="宋体" w:eastAsia="宋体" w:hint="default"/>
                <w:sz w:val="15"/>
                <w:szCs w:val="15"/>
              </w:rPr>
              <w:t>外币报表折算</w:t>
            </w:r>
            <w:r>
              <w:rPr>
                <w:rFonts w:ascii="宋体" w:hAnsi="宋体" w:cs="宋体" w:eastAsia="宋体" w:hint="default"/>
                <w:w w:val="100"/>
                <w:sz w:val="15"/>
                <w:szCs w:val="15"/>
              </w:rPr>
              <w:t> </w:t>
            </w:r>
            <w:r>
              <w:rPr>
                <w:rFonts w:ascii="宋体" w:hAnsi="宋体" w:cs="宋体" w:eastAsia="宋体" w:hint="default"/>
                <w:sz w:val="15"/>
                <w:szCs w:val="15"/>
              </w:rPr>
              <w:t>差额</w:t>
            </w:r>
          </w:p>
        </w:tc>
        <w:tc>
          <w:tcPr>
            <w:tcW w:w="1529" w:type="dxa"/>
            <w:vMerge/>
            <w:tcBorders>
              <w:left w:val="single" w:sz="4" w:space="0" w:color="000000"/>
              <w:bottom w:val="single" w:sz="4" w:space="0" w:color="000000"/>
              <w:right w:val="single" w:sz="4" w:space="0" w:color="000000"/>
            </w:tcBorders>
          </w:tcPr>
          <w:p>
            <w:pPr/>
          </w:p>
        </w:tc>
        <w:tc>
          <w:tcPr>
            <w:tcW w:w="1469" w:type="dxa"/>
            <w:vMerge/>
            <w:tcBorders>
              <w:left w:val="single" w:sz="4" w:space="0" w:color="000000"/>
              <w:bottom w:val="single" w:sz="4" w:space="0" w:color="000000"/>
              <w:right w:val="nil" w:sz="6" w:space="0" w:color="auto"/>
            </w:tcBorders>
          </w:tcPr>
          <w:p>
            <w:pP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5"/>
                <w:szCs w:val="15"/>
              </w:rPr>
            </w:pPr>
            <w:r>
              <w:rPr>
                <w:rFonts w:ascii="Times New Roman"/>
                <w:spacing w:val="-1"/>
                <w:sz w:val="15"/>
              </w:rPr>
              <w:t>642,000,000.00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2"/>
                <w:sz w:val="15"/>
              </w:rPr>
              <w:t>461,763,092.78</w:t>
            </w:r>
          </w:p>
        </w:tc>
        <w:tc>
          <w:tcPr>
            <w:tcW w:w="622"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124,080,076.90</w:t>
            </w:r>
            <w:r>
              <w:rPr>
                <w:rFonts w:ascii="Times New Roman"/>
                <w:sz w:val="15"/>
              </w:rPr>
            </w:r>
          </w:p>
        </w:tc>
        <w:tc>
          <w:tcPr>
            <w:tcW w:w="72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733,050,101.97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-3,807,906.64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654,458,884.77</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2"/>
                <w:sz w:val="15"/>
              </w:rPr>
              <w:t>2,611,544,249.78</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642,000,000.00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461,763,092.78</w:t>
            </w:r>
          </w:p>
        </w:tc>
        <w:tc>
          <w:tcPr>
            <w:tcW w:w="622"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124,080,076.90</w:t>
            </w:r>
            <w:r>
              <w:rPr>
                <w:rFonts w:ascii="Times New Roman"/>
                <w:sz w:val="15"/>
              </w:rPr>
            </w:r>
          </w:p>
        </w:tc>
        <w:tc>
          <w:tcPr>
            <w:tcW w:w="72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733,050,101.97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-3,807,906.64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654,458,884.77</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2"/>
                <w:sz w:val="15"/>
              </w:rPr>
              <w:t>2,611,544,249.78</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pacing w:val="-3"/>
                <w:sz w:val="15"/>
                <w:szCs w:val="15"/>
              </w:rPr>
              <w:t>三、本期增减变动金额（减少以“－”号填列）</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4,332.93</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25,494,958.39</w:t>
            </w:r>
          </w:p>
        </w:tc>
        <w:tc>
          <w:tcPr>
            <w:tcW w:w="72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74,598,169.98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-1,166,863.70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-375,318,863.94</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spacing w:val="-1"/>
                <w:sz w:val="15"/>
              </w:rPr>
              <w:t>-276,388,266.34</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388,993,128.37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69,704,913.91</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458,698,042.28</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4,332.93</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-1,166,863.70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-1,162,530.77</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4,332.93</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388,993,128.37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-1,166,863.70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69,704,913.91</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5"/>
                <w:szCs w:val="15"/>
              </w:rPr>
            </w:pPr>
            <w:r>
              <w:rPr>
                <w:rFonts w:ascii="Times New Roman"/>
                <w:spacing w:val="-2"/>
                <w:sz w:val="15"/>
              </w:rPr>
              <w:t>457,535,511.51</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-377,264,177.25</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5"/>
                <w:szCs w:val="15"/>
              </w:rPr>
            </w:pPr>
            <w:r>
              <w:rPr>
                <w:rFonts w:ascii="Times New Roman"/>
                <w:spacing w:val="-1"/>
                <w:sz w:val="15"/>
              </w:rPr>
              <w:t>-377,264,177.25</w:t>
            </w:r>
          </w:p>
        </w:tc>
      </w:tr>
      <w:tr>
        <w:trPr>
          <w:trHeight w:val="25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-377,264,177.25</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5"/>
                <w:szCs w:val="15"/>
              </w:rPr>
            </w:pPr>
            <w:r>
              <w:rPr>
                <w:rFonts w:ascii="Times New Roman"/>
                <w:spacing w:val="-1"/>
                <w:sz w:val="15"/>
              </w:rPr>
              <w:t>-377,264,177.25</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25,494,958.39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5"/>
                <w:szCs w:val="15"/>
              </w:rPr>
            </w:pPr>
            <w:r>
              <w:rPr>
                <w:rFonts w:ascii="Times New Roman"/>
                <w:spacing w:val="-1"/>
                <w:sz w:val="15"/>
              </w:rPr>
              <w:t>-314,394,958.39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-67,759,600.60</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-356,659,600.60</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25,494,958.39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-25,494,958.39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-288,900,000.00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-67,759,600.60</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1"/>
                <w:sz w:val="15"/>
              </w:rPr>
              <w:t>-356,659,600.60</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3"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642,000,000.00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461,767,425.71</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149,575,035.29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15"/>
                <w:szCs w:val="15"/>
              </w:rPr>
            </w:pPr>
            <w:r>
              <w:rPr>
                <w:rFonts w:ascii="Times New Roman"/>
                <w:spacing w:val="-1"/>
                <w:sz w:val="15"/>
              </w:rPr>
              <w:t>807,648,271.95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-4,974,770.34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279,140,020.83</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2,335,155,983.44</w:t>
            </w:r>
          </w:p>
        </w:tc>
      </w:tr>
    </w:tbl>
    <w:p>
      <w:pPr>
        <w:spacing w:after="0" w:line="240" w:lineRule="auto"/>
        <w:jc w:val="right"/>
        <w:rPr>
          <w:rFonts w:ascii="Times New Roman" w:hAnsi="Times New Roman" w:cs="Times New Roman" w:eastAsia="Times New Roman" w:hint="default"/>
          <w:sz w:val="15"/>
          <w:szCs w:val="15"/>
        </w:rPr>
        <w:sectPr>
          <w:headerReference w:type="default" r:id="rId39"/>
          <w:footerReference w:type="default" r:id="rId40"/>
          <w:pgSz w:w="16840" w:h="11910" w:orient="landscape"/>
          <w:pgMar w:header="920" w:footer="1153" w:top="2200" w:bottom="1340" w:left="920" w:right="0"/>
          <w:pgNumType w:start="12"/>
        </w:sectPr>
      </w:pPr>
    </w:p>
    <w:p>
      <w:pPr>
        <w:spacing w:line="240" w:lineRule="auto" w:before="11"/>
        <w:rPr>
          <w:rFonts w:ascii="Times New Roman" w:hAnsi="Times New Roman" w:cs="Times New Roman" w:eastAsia="Times New Roman"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452"/>
        <w:gridCol w:w="1282"/>
        <w:gridCol w:w="1282"/>
        <w:gridCol w:w="895"/>
        <w:gridCol w:w="593"/>
        <w:gridCol w:w="1296"/>
        <w:gridCol w:w="530"/>
        <w:gridCol w:w="1430"/>
        <w:gridCol w:w="1244"/>
        <w:gridCol w:w="1454"/>
        <w:gridCol w:w="1502"/>
      </w:tblGrid>
      <w:tr>
        <w:trPr>
          <w:trHeight w:val="250" w:hRule="exact"/>
        </w:trPr>
        <w:tc>
          <w:tcPr>
            <w:tcW w:w="345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4"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510"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52" w:hRule="exact"/>
        </w:trPr>
        <w:tc>
          <w:tcPr>
            <w:tcW w:w="3452" w:type="dxa"/>
            <w:vMerge/>
            <w:tcBorders>
              <w:left w:val="nil" w:sz="6" w:space="0" w:color="auto"/>
              <w:right w:val="single" w:sz="4" w:space="0" w:color="000000"/>
            </w:tcBorders>
          </w:tcPr>
          <w:p>
            <w:pPr/>
          </w:p>
        </w:tc>
        <w:tc>
          <w:tcPr>
            <w:tcW w:w="85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center"/>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73"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0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319"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490" w:hRule="exact"/>
        </w:trPr>
        <w:tc>
          <w:tcPr>
            <w:tcW w:w="3452" w:type="dxa"/>
            <w:vMerge/>
            <w:tcBorders>
              <w:left w:val="nil" w:sz="6" w:space="0" w:color="auto"/>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left="33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08"/>
              <w:jc w:val="right"/>
              <w:rPr>
                <w:rFonts w:ascii="宋体" w:hAnsi="宋体" w:cs="宋体" w:eastAsia="宋体" w:hint="default"/>
                <w:sz w:val="15"/>
                <w:szCs w:val="15"/>
              </w:rPr>
            </w:pPr>
            <w:r>
              <w:rPr>
                <w:rFonts w:ascii="宋体" w:hAnsi="宋体" w:cs="宋体" w:eastAsia="宋体" w:hint="default"/>
                <w:spacing w:val="-1"/>
                <w:sz w:val="15"/>
                <w:szCs w:val="15"/>
              </w:rPr>
              <w:t>减：库存股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141" w:right="137"/>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left="34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36" w:right="29"/>
              <w:jc w:val="left"/>
              <w:rPr>
                <w:rFonts w:ascii="宋体" w:hAnsi="宋体" w:cs="宋体" w:eastAsia="宋体" w:hint="default"/>
                <w:sz w:val="15"/>
                <w:szCs w:val="15"/>
              </w:rPr>
            </w:pPr>
            <w:r>
              <w:rPr>
                <w:rFonts w:ascii="宋体" w:hAnsi="宋体" w:cs="宋体" w:eastAsia="宋体" w:hint="default"/>
                <w:sz w:val="15"/>
                <w:szCs w:val="15"/>
              </w:rPr>
              <w:t>一般风</w:t>
            </w:r>
            <w:r>
              <w:rPr>
                <w:rFonts w:ascii="宋体" w:hAnsi="宋体" w:cs="宋体" w:eastAsia="宋体" w:hint="default"/>
                <w:spacing w:val="-72"/>
                <w:sz w:val="15"/>
                <w:szCs w:val="15"/>
              </w:rPr>
              <w:t> </w:t>
            </w:r>
            <w:r>
              <w:rPr>
                <w:rFonts w:ascii="宋体" w:hAnsi="宋体" w:cs="宋体" w:eastAsia="宋体" w:hint="default"/>
                <w:sz w:val="15"/>
                <w:szCs w:val="15"/>
              </w:rPr>
              <w:t>险准备</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467" w:right="161" w:hanging="300"/>
              <w:jc w:val="left"/>
              <w:rPr>
                <w:rFonts w:ascii="宋体" w:hAnsi="宋体" w:cs="宋体" w:eastAsia="宋体" w:hint="default"/>
                <w:sz w:val="15"/>
                <w:szCs w:val="15"/>
              </w:rPr>
            </w:pPr>
            <w:r>
              <w:rPr>
                <w:rFonts w:ascii="宋体" w:hAnsi="宋体" w:cs="宋体" w:eastAsia="宋体" w:hint="default"/>
                <w:sz w:val="15"/>
                <w:szCs w:val="15"/>
              </w:rPr>
              <w:t>外币报表折算</w:t>
            </w:r>
            <w:r>
              <w:rPr>
                <w:rFonts w:ascii="宋体" w:hAnsi="宋体" w:cs="宋体" w:eastAsia="宋体" w:hint="default"/>
                <w:w w:val="100"/>
                <w:sz w:val="15"/>
                <w:szCs w:val="15"/>
              </w:rPr>
              <w:t> </w:t>
            </w:r>
            <w:r>
              <w:rPr>
                <w:rFonts w:ascii="宋体" w:hAnsi="宋体" w:cs="宋体" w:eastAsia="宋体" w:hint="default"/>
                <w:sz w:val="15"/>
                <w:szCs w:val="15"/>
              </w:rPr>
              <w:t>差额</w:t>
            </w:r>
          </w:p>
        </w:tc>
        <w:tc>
          <w:tcPr>
            <w:tcW w:w="1454" w:type="dxa"/>
            <w:vMerge/>
            <w:tcBorders>
              <w:left w:val="single" w:sz="4" w:space="0" w:color="000000"/>
              <w:bottom w:val="single" w:sz="4" w:space="0" w:color="000000"/>
              <w:right w:val="single" w:sz="4" w:space="0" w:color="000000"/>
            </w:tcBorders>
          </w:tcPr>
          <w:p>
            <w:pPr/>
          </w:p>
        </w:tc>
        <w:tc>
          <w:tcPr>
            <w:tcW w:w="1502" w:type="dxa"/>
            <w:vMerge/>
            <w:tcBorders>
              <w:left w:val="single" w:sz="4" w:space="0" w:color="000000"/>
              <w:bottom w:val="single" w:sz="4" w:space="0" w:color="000000"/>
              <w:right w:val="nil" w:sz="6" w:space="0" w:color="auto"/>
            </w:tcBorders>
          </w:tcPr>
          <w:p>
            <w:pP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642,000,000.00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461,763,092.78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106,174,254.50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699,407,314.99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-2,339,271.96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645,913,780.99</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2,552,919,171.30</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634,324.34</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4,377,867.87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5,012,192.21</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642,000,000.00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461,763,092.78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spacing w:val="-1"/>
                <w:sz w:val="15"/>
              </w:rPr>
              <w:t>106,808,578.84</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703,785,182.86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-2,339,271.96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645,913,780.99</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1"/>
                <w:sz w:val="15"/>
              </w:rPr>
              <w:t>2,557,931,363.51</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2"/>
                <w:sz w:val="15"/>
              </w:rPr>
              <w:t>17,271,498.06</w:t>
            </w:r>
            <w:r>
              <w:rPr>
                <w:rFonts w:ascii="Times New Roman"/>
                <w:sz w:val="15"/>
              </w:rPr>
            </w:r>
          </w:p>
        </w:tc>
        <w:tc>
          <w:tcPr>
            <w:tcW w:w="53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2"/>
                <w:sz w:val="15"/>
              </w:rPr>
              <w:t>29,264,919.11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5"/>
                <w:szCs w:val="15"/>
              </w:rPr>
            </w:pPr>
            <w:r>
              <w:rPr>
                <w:rFonts w:ascii="Times New Roman"/>
                <w:spacing w:val="-1"/>
                <w:sz w:val="15"/>
              </w:rPr>
              <w:t>-1,468,634.68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8,545,103.78</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53,612,886.27</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303,336,417.17</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73,383,845.13</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376,720,262.30</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-1,468,634.68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-1,468,634.68</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303,336,417.17</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-1,468,634.68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73,383,845.13</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375,251,627.62</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2"/>
                <w:sz w:val="15"/>
              </w:rPr>
              <w:t>17,271,498.06</w:t>
            </w:r>
            <w:r>
              <w:rPr>
                <w:rFonts w:ascii="Times New Roman"/>
                <w:sz w:val="15"/>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-274,071,498.06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-64,838,741.35</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-321,638,741.35</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17,271,498.06</w:t>
            </w:r>
            <w:r>
              <w:rPr>
                <w:rFonts w:ascii="Times New Roman"/>
                <w:sz w:val="15"/>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-17,271,498.06</w:t>
            </w:r>
            <w:r>
              <w:rPr>
                <w:rFonts w:ascii="Times New Roman"/>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-256,800,000.00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-64,838,741.35</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1"/>
                <w:sz w:val="15"/>
              </w:rPr>
              <w:t>-321,638,741.35</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3"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642,000,000.00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461,763,092.78</w:t>
            </w:r>
          </w:p>
        </w:tc>
        <w:tc>
          <w:tcPr>
            <w:tcW w:w="895"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124,080,076.90</w:t>
            </w:r>
            <w:r>
              <w:rPr>
                <w:rFonts w:ascii="Times New Roman"/>
                <w:sz w:val="15"/>
              </w:rPr>
            </w:r>
          </w:p>
        </w:tc>
        <w:tc>
          <w:tcPr>
            <w:tcW w:w="53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733,050,101.97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-3,807,906.64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654,458,884.77</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2"/>
                <w:sz w:val="15"/>
              </w:rPr>
              <w:t>2,611,544,249.78</w:t>
            </w:r>
          </w:p>
        </w:tc>
      </w:tr>
    </w:tbl>
    <w:p>
      <w:pPr>
        <w:spacing w:after="0" w:line="240" w:lineRule="auto"/>
        <w:jc w:val="right"/>
        <w:rPr>
          <w:rFonts w:ascii="Times New Roman" w:hAnsi="Times New Roman" w:cs="Times New Roman" w:eastAsia="Times New Roman" w:hint="default"/>
          <w:sz w:val="15"/>
          <w:szCs w:val="15"/>
        </w:rPr>
        <w:sectPr>
          <w:headerReference w:type="default" r:id="rId41"/>
          <w:pgSz w:w="16840" w:h="11910" w:orient="landscape"/>
          <w:pgMar w:header="920" w:footer="1153" w:top="2200" w:bottom="1340" w:left="820" w:right="0"/>
        </w:sectPr>
      </w:pPr>
    </w:p>
    <w:p>
      <w:pPr>
        <w:spacing w:line="240" w:lineRule="auto" w:before="4"/>
        <w:rPr>
          <w:rFonts w:ascii="Times New Roman" w:hAnsi="Times New Roman" w:cs="Times New Roman" w:eastAsia="Times New Roman" w:hint="default"/>
          <w:sz w:val="22"/>
          <w:szCs w:val="22"/>
        </w:rPr>
      </w:pPr>
    </w:p>
    <w:p>
      <w:pPr>
        <w:spacing w:before="0"/>
        <w:ind w:left="5841" w:right="6797" w:firstLine="0"/>
        <w:jc w:val="center"/>
        <w:rPr>
          <w:rFonts w:ascii="黑体" w:hAnsi="黑体" w:cs="黑体" w:eastAsia="黑体" w:hint="default"/>
          <w:sz w:val="32"/>
          <w:szCs w:val="32"/>
        </w:rPr>
      </w:pPr>
      <w:r>
        <w:rPr>
          <w:rFonts w:ascii="黑体" w:hAnsi="黑体" w:cs="黑体" w:eastAsia="黑体" w:hint="default"/>
          <w:sz w:val="32"/>
          <w:szCs w:val="32"/>
        </w:rPr>
        <w:t>母公司股东权益变动表</w:t>
      </w:r>
    </w:p>
    <w:p>
      <w:pPr>
        <w:spacing w:before="73"/>
        <w:ind w:left="5841" w:right="6794"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tabs>
          <w:tab w:pos="10597" w:val="left" w:leader="none"/>
        </w:tabs>
        <w:spacing w:before="111"/>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z w:val="18"/>
          <w:szCs w:val="18"/>
          <w:u w:val="single" w:color="000000"/>
        </w:rPr>
        <w:t>深圳劲嘉彩印集团股份有限公司</w:t>
      </w:r>
      <w:r>
        <w:rPr>
          <w:rFonts w:ascii="宋体" w:hAnsi="宋体" w:cs="宋体" w:eastAsia="宋体" w:hint="default"/>
          <w:sz w:val="18"/>
          <w:szCs w:val="18"/>
        </w:rPr>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p>
      <w:pPr>
        <w:spacing w:line="240" w:lineRule="auto" w:before="0"/>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749"/>
        <w:gridCol w:w="1357"/>
        <w:gridCol w:w="1356"/>
        <w:gridCol w:w="1346"/>
        <w:gridCol w:w="1342"/>
        <w:gridCol w:w="1356"/>
        <w:gridCol w:w="1342"/>
        <w:gridCol w:w="1466"/>
        <w:gridCol w:w="1358"/>
      </w:tblGrid>
      <w:tr>
        <w:trPr>
          <w:trHeight w:val="250" w:hRule="exact"/>
        </w:trPr>
        <w:tc>
          <w:tcPr>
            <w:tcW w:w="3749"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4"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924"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4"/>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52" w:hRule="exact"/>
        </w:trPr>
        <w:tc>
          <w:tcPr>
            <w:tcW w:w="3749" w:type="dxa"/>
            <w:vMerge/>
            <w:tcBorders>
              <w:left w:val="nil" w:sz="6" w:space="0" w:color="auto"/>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7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92"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13"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7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16"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5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223"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642,000,000.00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710,563,786.65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124,080,076.90</w:t>
            </w:r>
            <w:r>
              <w:rPr>
                <w:rFonts w:ascii="Times New Roman"/>
                <w:sz w:val="15"/>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Times New Roman" w:hAnsi="Times New Roman" w:cs="Times New Roman" w:eastAsia="Times New Roman" w:hint="default"/>
                <w:sz w:val="15"/>
                <w:szCs w:val="15"/>
              </w:rPr>
            </w:pPr>
            <w:r>
              <w:rPr>
                <w:rFonts w:ascii="Times New Roman"/>
                <w:spacing w:val="-1"/>
                <w:sz w:val="15"/>
              </w:rPr>
              <w:t>298,470,218.79</w:t>
            </w:r>
            <w:r>
              <w:rPr>
                <w:rFonts w:ascii="Times New Roman"/>
                <w:sz w:val="15"/>
              </w:rPr>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pacing w:val="-2"/>
                <w:sz w:val="15"/>
              </w:rPr>
              <w:t>1,775,114,082.34</w:t>
            </w:r>
            <w:r>
              <w:rPr>
                <w:rFonts w:ascii="Times New Roman"/>
                <w:sz w:val="15"/>
              </w:rPr>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642,000,000.00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710,563,786.65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124,080,076.90</w:t>
            </w:r>
            <w:r>
              <w:rPr>
                <w:rFonts w:ascii="Times New Roman"/>
                <w:sz w:val="15"/>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Times New Roman" w:hAnsi="Times New Roman" w:cs="Times New Roman" w:eastAsia="Times New Roman" w:hint="default"/>
                <w:sz w:val="15"/>
                <w:szCs w:val="15"/>
              </w:rPr>
            </w:pPr>
            <w:r>
              <w:rPr>
                <w:rFonts w:ascii="Times New Roman"/>
                <w:spacing w:val="-1"/>
                <w:sz w:val="15"/>
              </w:rPr>
              <w:t>298,470,218.79</w:t>
            </w:r>
            <w:r>
              <w:rPr>
                <w:rFonts w:ascii="Times New Roman"/>
                <w:sz w:val="15"/>
              </w:rPr>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5"/>
                <w:szCs w:val="15"/>
              </w:rPr>
            </w:pPr>
            <w:r>
              <w:rPr>
                <w:rFonts w:ascii="Times New Roman"/>
                <w:spacing w:val="-2"/>
                <w:sz w:val="15"/>
              </w:rPr>
              <w:t>1,775,114,082.34</w:t>
            </w:r>
            <w:r>
              <w:rPr>
                <w:rFonts w:ascii="Times New Roman"/>
                <w:sz w:val="15"/>
              </w:rPr>
            </w:r>
          </w:p>
        </w:tc>
      </w:tr>
      <w:tr>
        <w:trPr>
          <w:trHeight w:val="252"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25,494,958.39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1"/>
                <w:sz w:val="15"/>
              </w:rPr>
              <w:t>-59,445,374.47</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1"/>
                <w:sz w:val="15"/>
              </w:rPr>
              <w:t>-33,950,416.08</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254,949,583.92</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254,949,583.92</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254,949,583.92</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254,949,583.92</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25,494,958.39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2"/>
                <w:sz w:val="15"/>
              </w:rPr>
              <w:t>-314,394,958.39</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-288,900,000.00</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25,494,958.39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-25,494,958.39</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2"/>
                <w:sz w:val="15"/>
              </w:rPr>
              <w:t>-288,900,000.00</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-288,900,000.00</w:t>
            </w:r>
          </w:p>
        </w:tc>
      </w:tr>
      <w:tr>
        <w:trPr>
          <w:trHeight w:val="252"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3"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642,000,000.00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710,563,786.65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149,575,035.29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239,024,844.32</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spacing w:val="-1"/>
                <w:sz w:val="15"/>
              </w:rPr>
              <w:t>1,741,163,666.26</w:t>
            </w:r>
          </w:p>
        </w:tc>
      </w:tr>
    </w:tbl>
    <w:p>
      <w:pPr>
        <w:spacing w:after="0" w:line="240" w:lineRule="auto"/>
        <w:jc w:val="right"/>
        <w:rPr>
          <w:rFonts w:ascii="Times New Roman" w:hAnsi="Times New Roman" w:cs="Times New Roman" w:eastAsia="Times New Roman" w:hint="default"/>
          <w:sz w:val="15"/>
          <w:szCs w:val="15"/>
        </w:rPr>
        <w:sectPr>
          <w:headerReference w:type="default" r:id="rId42"/>
          <w:footerReference w:type="default" r:id="rId43"/>
          <w:pgSz w:w="16840" w:h="11910" w:orient="landscape"/>
          <w:pgMar w:header="920" w:footer="953" w:top="1140" w:bottom="1140" w:left="960" w:right="0"/>
          <w:pgNumType w:start="14"/>
        </w:sectPr>
      </w:pPr>
    </w:p>
    <w:p>
      <w:pPr>
        <w:spacing w:line="411" w:lineRule="exact" w:before="0"/>
        <w:ind w:left="5778" w:right="6799" w:firstLine="0"/>
        <w:jc w:val="center"/>
        <w:rPr>
          <w:rFonts w:ascii="黑体" w:hAnsi="黑体" w:cs="黑体" w:eastAsia="黑体" w:hint="default"/>
          <w:sz w:val="32"/>
          <w:szCs w:val="32"/>
        </w:rPr>
      </w:pPr>
      <w:r>
        <w:rPr>
          <w:rFonts w:ascii="黑体" w:hAnsi="黑体" w:cs="黑体" w:eastAsia="黑体" w:hint="default"/>
          <w:sz w:val="32"/>
          <w:szCs w:val="32"/>
        </w:rPr>
        <w:t>母公司股东权益变动表</w:t>
      </w:r>
    </w:p>
    <w:p>
      <w:pPr>
        <w:spacing w:before="73"/>
        <w:ind w:left="5778" w:right="6791"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tabs>
          <w:tab w:pos="10496" w:val="left" w:leader="none"/>
        </w:tabs>
        <w:spacing w:before="111"/>
        <w:ind w:left="227" w:right="0"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z w:val="18"/>
          <w:szCs w:val="18"/>
          <w:u w:val="single" w:color="000000"/>
        </w:rPr>
        <w:t>深圳劲嘉彩印集团股份有限公司</w:t>
      </w:r>
      <w:r>
        <w:rPr>
          <w:rFonts w:ascii="宋体" w:hAnsi="宋体" w:cs="宋体" w:eastAsia="宋体" w:hint="default"/>
          <w:sz w:val="18"/>
          <w:szCs w:val="18"/>
        </w:rPr>
        <w:tab/>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p>
      <w:pPr>
        <w:spacing w:line="240" w:lineRule="auto" w:before="0"/>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694"/>
        <w:gridCol w:w="1361"/>
        <w:gridCol w:w="1358"/>
        <w:gridCol w:w="1361"/>
        <w:gridCol w:w="1361"/>
        <w:gridCol w:w="1358"/>
        <w:gridCol w:w="1361"/>
        <w:gridCol w:w="1361"/>
        <w:gridCol w:w="1358"/>
      </w:tblGrid>
      <w:tr>
        <w:trPr>
          <w:trHeight w:val="250" w:hRule="exact"/>
        </w:trPr>
        <w:tc>
          <w:tcPr>
            <w:tcW w:w="3694"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881"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52" w:hRule="exact"/>
        </w:trPr>
        <w:tc>
          <w:tcPr>
            <w:tcW w:w="3694" w:type="dxa"/>
            <w:vMerge/>
            <w:tcBorders>
              <w:left w:val="nil" w:sz="6" w:space="0" w:color="auto"/>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7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02"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0"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7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5"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9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225"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642,000,000.00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710,563,786.65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106,174,254.50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2"/>
                <w:sz w:val="15"/>
              </w:rPr>
              <w:t>394,117,817.19</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1,852,855,858.34</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2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634,324.34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5,708,919.10</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6,343,243.44</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642,000,000.00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710,563,786.65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106,808,578.84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399,826,736.29</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1,859,199,101.78</w:t>
            </w:r>
          </w:p>
        </w:tc>
      </w:tr>
      <w:tr>
        <w:trPr>
          <w:trHeight w:val="252"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spacing w:val="-2"/>
                <w:sz w:val="15"/>
              </w:rPr>
              <w:t>17,271,498.06</w:t>
            </w:r>
            <w:r>
              <w:rPr>
                <w:rFonts w:ascii="Times New Roman"/>
                <w:sz w:val="15"/>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-101,356,517.50</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-84,085,019.44</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172,714,980.56</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172,714,980.56</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172,714,980.56</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172,714,980.56</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2"/>
                <w:sz w:val="15"/>
              </w:rPr>
              <w:t>17,271,498.06</w:t>
            </w:r>
            <w:r>
              <w:rPr>
                <w:rFonts w:ascii="Times New Roman"/>
                <w:sz w:val="15"/>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-274,071,498.06</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-256,800,000.00</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2"/>
                <w:sz w:val="15"/>
              </w:rPr>
              <w:t>17,271,498.06</w:t>
            </w:r>
            <w:r>
              <w:rPr>
                <w:rFonts w:ascii="Times New Roman"/>
                <w:sz w:val="15"/>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-17,271,498.06</w:t>
            </w:r>
            <w:r>
              <w:rPr>
                <w:rFonts w:ascii="Times New Roman"/>
                <w:sz w:val="15"/>
              </w:rPr>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-256,800,000.00</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-256,800,000.00</w:t>
            </w:r>
          </w:p>
        </w:tc>
      </w:tr>
      <w:tr>
        <w:trPr>
          <w:trHeight w:val="252"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2"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50"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642,000,000.00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710,563,786.65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Times New Roman" w:hAnsi="Times New Roman" w:cs="Times New Roman" w:eastAsia="Times New Roman" w:hint="default"/>
                <w:sz w:val="15"/>
                <w:szCs w:val="15"/>
              </w:rPr>
            </w:pPr>
            <w:r>
              <w:rPr>
                <w:rFonts w:ascii="Times New Roman"/>
                <w:spacing w:val="-1"/>
                <w:sz w:val="15"/>
              </w:rPr>
              <w:t>124,080,076.90</w:t>
            </w:r>
            <w:r>
              <w:rPr>
                <w:rFonts w:ascii="Times New Roman"/>
                <w:sz w:val="15"/>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w w:val="100"/>
                <w:sz w:val="15"/>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5"/>
                <w:szCs w:val="15"/>
              </w:rPr>
            </w:pPr>
            <w:r>
              <w:rPr>
                <w:rFonts w:ascii="Times New Roman"/>
                <w:spacing w:val="-1"/>
                <w:sz w:val="15"/>
              </w:rPr>
              <w:t>298,470,218.79</w:t>
            </w:r>
            <w:r>
              <w:rPr>
                <w:rFonts w:ascii="Times New Roman"/>
                <w:sz w:val="15"/>
              </w:rPr>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2"/>
                <w:sz w:val="15"/>
              </w:rPr>
              <w:t>1,775,114,082.34</w:t>
            </w:r>
            <w:r>
              <w:rPr>
                <w:rFonts w:ascii="Times New Roman"/>
                <w:sz w:val="15"/>
              </w:rPr>
            </w:r>
          </w:p>
        </w:tc>
      </w:tr>
    </w:tbl>
    <w:p>
      <w:pPr>
        <w:spacing w:after="0" w:line="240" w:lineRule="auto"/>
        <w:jc w:val="right"/>
        <w:rPr>
          <w:rFonts w:ascii="Times New Roman" w:hAnsi="Times New Roman" w:cs="Times New Roman" w:eastAsia="Times New Roman" w:hint="default"/>
          <w:sz w:val="15"/>
          <w:szCs w:val="15"/>
        </w:rPr>
        <w:sectPr>
          <w:headerReference w:type="default" r:id="rId44"/>
          <w:pgSz w:w="16840" w:h="11910" w:orient="landscape"/>
          <w:pgMar w:header="920" w:footer="953" w:top="1420" w:bottom="1140" w:left="1020" w:right="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6840" w:h="11910" w:orient="landscape"/>
          <w:pgMar w:header="920" w:footer="953" w:top="1420" w:bottom="1140" w:left="1020" w:right="0"/>
        </w:sectPr>
      </w:pPr>
    </w:p>
    <w:p>
      <w:pPr>
        <w:spacing w:line="309" w:lineRule="auto" w:before="91"/>
        <w:ind w:left="2180" w:right="3202" w:firstLine="0"/>
        <w:jc w:val="center"/>
        <w:rPr>
          <w:rFonts w:ascii="黑体" w:hAnsi="黑体" w:cs="黑体" w:eastAsia="黑体" w:hint="default"/>
          <w:sz w:val="32"/>
          <w:szCs w:val="32"/>
        </w:rPr>
      </w:pPr>
      <w:r>
        <w:rPr>
          <w:rFonts w:ascii="黑体" w:hAnsi="黑体" w:cs="黑体" w:eastAsia="黑体" w:hint="default"/>
          <w:w w:val="95"/>
          <w:sz w:val="32"/>
          <w:szCs w:val="32"/>
        </w:rPr>
        <w:t>深圳劲嘉彩印集团股份有限公司</w:t>
      </w:r>
      <w:r>
        <w:rPr>
          <w:rFonts w:ascii="黑体" w:hAnsi="黑体" w:cs="黑体" w:eastAsia="黑体" w:hint="default"/>
          <w:spacing w:val="63"/>
          <w:w w:val="95"/>
          <w:sz w:val="32"/>
          <w:szCs w:val="32"/>
        </w:rPr>
        <w:t> </w:t>
      </w:r>
      <w:r>
        <w:rPr>
          <w:rFonts w:ascii="黑体" w:hAnsi="黑体" w:cs="黑体" w:eastAsia="黑体" w:hint="default"/>
          <w:spacing w:val="63"/>
          <w:w w:val="95"/>
          <w:sz w:val="32"/>
          <w:szCs w:val="32"/>
        </w:rPr>
      </w:r>
      <w:r>
        <w:rPr>
          <w:rFonts w:ascii="黑体" w:hAnsi="黑体" w:cs="黑体" w:eastAsia="黑体" w:hint="default"/>
          <w:sz w:val="32"/>
          <w:szCs w:val="32"/>
        </w:rPr>
        <w:t>财务报表附注</w:t>
      </w:r>
    </w:p>
    <w:p>
      <w:pPr>
        <w:spacing w:before="232"/>
        <w:ind w:left="0" w:right="1016"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spacing w:line="240" w:lineRule="auto" w:before="3"/>
        <w:rPr>
          <w:rFonts w:ascii="宋体" w:hAnsi="宋体" w:cs="宋体" w:eastAsia="宋体" w:hint="default"/>
          <w:sz w:val="16"/>
          <w:szCs w:val="16"/>
        </w:rPr>
      </w:pPr>
    </w:p>
    <w:p>
      <w:pPr>
        <w:spacing w:before="36"/>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一、公司基本情况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、公司概况</w:t>
      </w:r>
      <w:r>
        <w:rPr>
          <w:rFonts w:ascii="宋体" w:hAnsi="宋体" w:cs="宋体" w:eastAsia="宋体" w:hint="default"/>
          <w:sz w:val="18"/>
          <w:szCs w:val="18"/>
        </w:rPr>
      </w:r>
    </w:p>
    <w:p>
      <w:pPr>
        <w:spacing w:line="240" w:lineRule="auto" w:before="10"/>
        <w:rPr>
          <w:rFonts w:ascii="宋体" w:hAnsi="宋体" w:cs="宋体" w:eastAsia="宋体" w:hint="default"/>
          <w:b/>
          <w:bCs/>
          <w:sz w:val="20"/>
          <w:szCs w:val="20"/>
        </w:rPr>
      </w:pPr>
    </w:p>
    <w:p>
      <w:pPr>
        <w:spacing w:line="513" w:lineRule="auto" w:before="0"/>
        <w:ind w:left="564" w:right="5980" w:firstLine="0"/>
        <w:jc w:val="left"/>
        <w:rPr>
          <w:rFonts w:ascii="宋体" w:hAnsi="宋体" w:cs="宋体" w:eastAsia="宋体" w:hint="default"/>
          <w:sz w:val="18"/>
          <w:szCs w:val="18"/>
        </w:rPr>
      </w:pPr>
      <w:r>
        <w:rPr>
          <w:rFonts w:ascii="宋体" w:hAnsi="宋体" w:cs="宋体" w:eastAsia="宋体" w:hint="default"/>
          <w:sz w:val="18"/>
          <w:szCs w:val="18"/>
        </w:rPr>
        <w:t>公司名称：深圳劲嘉彩印集团股份有限公司 注册地址：深圳市宝安区福永怀德南路怀德工业区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 总部地址：深圳市南山区文心二路万商大厦 注册资本：人民币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64,200 </w:t>
      </w:r>
      <w:r>
        <w:rPr>
          <w:rFonts w:ascii="宋体" w:hAnsi="宋体" w:cs="宋体" w:eastAsia="宋体" w:hint="default"/>
          <w:sz w:val="18"/>
          <w:szCs w:val="18"/>
        </w:rPr>
        <w:t>万元 法人营业执照注册号：</w:t>
      </w:r>
      <w:r>
        <w:rPr>
          <w:rFonts w:ascii="Times New Roman" w:hAnsi="Times New Roman" w:cs="Times New Roman" w:eastAsia="Times New Roman" w:hint="default"/>
          <w:sz w:val="18"/>
          <w:szCs w:val="18"/>
        </w:rPr>
        <w:t>440301501120233 </w:t>
      </w:r>
      <w:r>
        <w:rPr>
          <w:rFonts w:ascii="宋体" w:hAnsi="宋体" w:cs="宋体" w:eastAsia="宋体" w:hint="default"/>
          <w:sz w:val="18"/>
          <w:szCs w:val="18"/>
        </w:rPr>
        <w:t>法定代表人：乔鲁予</w:t>
      </w:r>
    </w:p>
    <w:p>
      <w:pPr>
        <w:spacing w:before="80"/>
        <w:ind w:left="564" w:right="0" w:firstLine="0"/>
        <w:jc w:val="left"/>
        <w:rPr>
          <w:rFonts w:ascii="宋体" w:hAnsi="宋体" w:cs="宋体" w:eastAsia="宋体" w:hint="default"/>
          <w:sz w:val="18"/>
          <w:szCs w:val="18"/>
        </w:rPr>
      </w:pPr>
      <w:r>
        <w:rPr>
          <w:rFonts w:ascii="宋体" w:hAnsi="宋体" w:cs="宋体" w:eastAsia="宋体" w:hint="default"/>
          <w:sz w:val="18"/>
          <w:szCs w:val="18"/>
        </w:rPr>
        <w:t>公司类型：股份有限公司（上市）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、历史沿革</w:t>
      </w:r>
      <w:r>
        <w:rPr>
          <w:rFonts w:ascii="宋体" w:hAnsi="宋体" w:cs="宋体" w:eastAsia="宋体" w:hint="default"/>
          <w:sz w:val="18"/>
          <w:szCs w:val="18"/>
        </w:rPr>
      </w:r>
    </w:p>
    <w:p>
      <w:pPr>
        <w:spacing w:line="240" w:lineRule="auto" w:before="12"/>
        <w:rPr>
          <w:rFonts w:ascii="宋体" w:hAnsi="宋体" w:cs="宋体" w:eastAsia="宋体" w:hint="default"/>
          <w:b/>
          <w:bCs/>
          <w:sz w:val="20"/>
          <w:szCs w:val="20"/>
        </w:rPr>
      </w:pPr>
    </w:p>
    <w:p>
      <w:pPr>
        <w:spacing w:line="463" w:lineRule="auto" w:before="0"/>
        <w:ind w:left="112" w:right="1125" w:firstLine="360"/>
        <w:jc w:val="left"/>
        <w:rPr>
          <w:rFonts w:ascii="宋体" w:hAnsi="宋体" w:cs="宋体" w:eastAsia="宋体" w:hint="default"/>
          <w:sz w:val="18"/>
          <w:szCs w:val="18"/>
        </w:rPr>
      </w:pPr>
      <w:r>
        <w:rPr>
          <w:rFonts w:ascii="宋体" w:hAnsi="宋体" w:cs="宋体" w:eastAsia="宋体" w:hint="default"/>
          <w:spacing w:val="-4"/>
          <w:sz w:val="18"/>
          <w:szCs w:val="18"/>
        </w:rPr>
        <w:t>深圳劲嘉彩印集团股份有限公司（以下简称“本公司”）系经中华人民共和国商务部以商资二批</w:t>
      </w:r>
      <w:r>
        <w:rPr>
          <w:rFonts w:ascii="Times New Roman" w:hAnsi="Times New Roman" w:cs="Times New Roman" w:eastAsia="Times New Roman" w:hint="default"/>
          <w:spacing w:val="-4"/>
          <w:sz w:val="18"/>
          <w:szCs w:val="18"/>
        </w:rPr>
        <w:t>[2003]933</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号文及深圳市 对外贸易经济合作局以深外经贸资复</w:t>
      </w:r>
      <w:r>
        <w:rPr>
          <w:rFonts w:ascii="Times New Roman" w:hAnsi="Times New Roman" w:cs="Times New Roman" w:eastAsia="Times New Roman" w:hint="default"/>
          <w:sz w:val="18"/>
          <w:szCs w:val="18"/>
        </w:rPr>
        <w:t>[2003]3853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号文批准，以深圳劲嘉彩印集团有限公司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日业经审计的净资</w:t>
      </w:r>
    </w:p>
    <w:p>
      <w:pPr>
        <w:spacing w:before="45"/>
        <w:ind w:left="112" w:right="0" w:firstLine="0"/>
        <w:jc w:val="left"/>
        <w:rPr>
          <w:rFonts w:ascii="宋体" w:hAnsi="宋体" w:cs="宋体" w:eastAsia="宋体" w:hint="default"/>
          <w:sz w:val="18"/>
          <w:szCs w:val="18"/>
        </w:rPr>
      </w:pPr>
      <w:r>
        <w:rPr>
          <w:rFonts w:ascii="宋体" w:hAnsi="宋体" w:cs="宋体" w:eastAsia="宋体" w:hint="default"/>
          <w:sz w:val="18"/>
          <w:szCs w:val="18"/>
        </w:rPr>
        <w:t>产人民币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的比例折成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万股，整体改制设立的股份有限公司。本公司于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日领取了</w:t>
      </w:r>
    </w:p>
    <w:p>
      <w:pPr>
        <w:spacing w:line="240" w:lineRule="auto" w:before="6"/>
        <w:rPr>
          <w:rFonts w:ascii="宋体" w:hAnsi="宋体" w:cs="宋体" w:eastAsia="宋体" w:hint="default"/>
          <w:sz w:val="17"/>
          <w:szCs w:val="17"/>
        </w:rPr>
      </w:pPr>
    </w:p>
    <w:p>
      <w:pPr>
        <w:spacing w:line="501" w:lineRule="auto" w:before="0"/>
        <w:ind w:left="547" w:right="1119" w:hanging="435"/>
        <w:jc w:val="left"/>
        <w:rPr>
          <w:rFonts w:ascii="宋体" w:hAnsi="宋体" w:cs="宋体" w:eastAsia="宋体" w:hint="default"/>
          <w:sz w:val="18"/>
          <w:szCs w:val="18"/>
        </w:rPr>
      </w:pPr>
      <w:r>
        <w:rPr>
          <w:rFonts w:ascii="宋体" w:hAnsi="宋体" w:cs="宋体" w:eastAsia="宋体" w:hint="default"/>
          <w:sz w:val="18"/>
          <w:szCs w:val="18"/>
        </w:rPr>
        <w:t>深圳市工商行政管理局颁发的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440301501120233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号企业法人营业执照，初始登记的注册资本为人民币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根据本公司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年第四次股东大会决议并经中国证券监督管理委员会以证监发行字</w:t>
      </w:r>
      <w:r>
        <w:rPr>
          <w:rFonts w:ascii="Times New Roman" w:hAnsi="Times New Roman" w:cs="Times New Roman" w:eastAsia="Times New Roman" w:hint="default"/>
          <w:sz w:val="18"/>
          <w:szCs w:val="18"/>
        </w:rPr>
        <w:t>[2007]402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号文《关于核准深圳劲</w:t>
      </w:r>
    </w:p>
    <w:p>
      <w:pPr>
        <w:spacing w:before="13"/>
        <w:ind w:left="112" w:right="0" w:firstLine="0"/>
        <w:jc w:val="left"/>
        <w:rPr>
          <w:rFonts w:ascii="宋体" w:hAnsi="宋体" w:cs="宋体" w:eastAsia="宋体" w:hint="default"/>
          <w:sz w:val="18"/>
          <w:szCs w:val="18"/>
        </w:rPr>
      </w:pPr>
      <w:r>
        <w:rPr>
          <w:rFonts w:ascii="宋体" w:hAnsi="宋体" w:cs="宋体" w:eastAsia="宋体" w:hint="default"/>
          <w:sz w:val="18"/>
          <w:szCs w:val="18"/>
        </w:rPr>
        <w:t>嘉彩印集团股份有限公司首次公开发行股票的通知》核准，本公司于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日向社会首次公开发行人民币普通股</w:t>
      </w:r>
    </w:p>
    <w:p>
      <w:pPr>
        <w:spacing w:line="240" w:lineRule="auto" w:before="7"/>
        <w:rPr>
          <w:rFonts w:ascii="宋体" w:hAnsi="宋体" w:cs="宋体" w:eastAsia="宋体" w:hint="default"/>
          <w:sz w:val="17"/>
          <w:szCs w:val="17"/>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6,750 </w:t>
      </w:r>
      <w:r>
        <w:rPr>
          <w:rFonts w:ascii="宋体" w:hAnsi="宋体" w:cs="宋体" w:eastAsia="宋体" w:hint="default"/>
          <w:sz w:val="18"/>
          <w:szCs w:val="18"/>
        </w:rPr>
        <w:t>万股，并于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日在深圳证券交易所挂牌交易，本次发行上市后注册资本增加至人民币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26,750 </w:t>
      </w:r>
      <w:r>
        <w:rPr>
          <w:rFonts w:ascii="宋体" w:hAnsi="宋体" w:cs="宋体" w:eastAsia="宋体" w:hint="default"/>
          <w:sz w:val="18"/>
          <w:szCs w:val="18"/>
        </w:rPr>
        <w:t>万元。</w:t>
      </w:r>
    </w:p>
    <w:p>
      <w:pPr>
        <w:spacing w:line="240" w:lineRule="auto" w:before="12"/>
        <w:rPr>
          <w:rFonts w:ascii="宋体" w:hAnsi="宋体" w:cs="宋体" w:eastAsia="宋体" w:hint="default"/>
          <w:sz w:val="20"/>
          <w:szCs w:val="20"/>
        </w:rPr>
      </w:pPr>
    </w:p>
    <w:p>
      <w:pPr>
        <w:spacing w:before="0"/>
        <w:ind w:left="547" w:right="0" w:firstLine="0"/>
        <w:jc w:val="left"/>
        <w:rPr>
          <w:rFonts w:ascii="宋体" w:hAnsi="宋体" w:cs="宋体" w:eastAsia="宋体" w:hint="default"/>
          <w:sz w:val="18"/>
          <w:szCs w:val="18"/>
        </w:rPr>
      </w:pPr>
      <w:r>
        <w:rPr>
          <w:rFonts w:ascii="宋体" w:hAnsi="宋体" w:cs="宋体" w:eastAsia="宋体" w:hint="default"/>
          <w:sz w:val="18"/>
          <w:szCs w:val="18"/>
        </w:rPr>
        <w:t>根据本公司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年年度股东大会决议，本公司以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26,750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万股为基数，以资本公积转增股本</w:t>
      </w:r>
    </w:p>
    <w:p>
      <w:pPr>
        <w:spacing w:line="240" w:lineRule="auto" w:before="6"/>
        <w:rPr>
          <w:rFonts w:ascii="宋体" w:hAnsi="宋体" w:cs="宋体" w:eastAsia="宋体" w:hint="default"/>
          <w:sz w:val="17"/>
          <w:szCs w:val="1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方式，向全体股东每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股。资本公积转增股本完成后，本公司注册资本增加至人民币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42,800 </w:t>
      </w:r>
      <w:r>
        <w:rPr>
          <w:rFonts w:ascii="宋体" w:hAnsi="宋体" w:cs="宋体" w:eastAsia="宋体" w:hint="default"/>
          <w:sz w:val="18"/>
          <w:szCs w:val="18"/>
        </w:rPr>
        <w:t>万元。</w:t>
      </w:r>
    </w:p>
    <w:p>
      <w:pPr>
        <w:spacing w:line="240" w:lineRule="auto" w:before="12"/>
        <w:rPr>
          <w:rFonts w:ascii="宋体" w:hAnsi="宋体" w:cs="宋体" w:eastAsia="宋体" w:hint="default"/>
          <w:sz w:val="20"/>
          <w:szCs w:val="20"/>
        </w:rPr>
      </w:pPr>
    </w:p>
    <w:p>
      <w:pPr>
        <w:spacing w:before="0"/>
        <w:ind w:left="547" w:right="0" w:firstLine="0"/>
        <w:jc w:val="left"/>
        <w:rPr>
          <w:rFonts w:ascii="宋体" w:hAnsi="宋体" w:cs="宋体" w:eastAsia="宋体" w:hint="default"/>
          <w:sz w:val="18"/>
          <w:szCs w:val="18"/>
        </w:rPr>
      </w:pPr>
      <w:r>
        <w:rPr>
          <w:rFonts w:ascii="宋体" w:hAnsi="宋体" w:cs="宋体" w:eastAsia="宋体" w:hint="default"/>
          <w:sz w:val="18"/>
          <w:szCs w:val="18"/>
        </w:rPr>
        <w:t>根据本公司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年年度股东大会决议，本公司以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42,800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万股为基数，以资本公积转增股本</w:t>
      </w:r>
    </w:p>
    <w:p>
      <w:pPr>
        <w:spacing w:line="240" w:lineRule="auto" w:before="6"/>
        <w:rPr>
          <w:rFonts w:ascii="宋体" w:hAnsi="宋体" w:cs="宋体" w:eastAsia="宋体" w:hint="default"/>
          <w:sz w:val="17"/>
          <w:szCs w:val="1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方式，向全体股东每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股。资本公积转增股本完成后，本公司注册资本增加至人民币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64,200 </w:t>
      </w:r>
      <w:r>
        <w:rPr>
          <w:rFonts w:ascii="宋体" w:hAnsi="宋体" w:cs="宋体" w:eastAsia="宋体" w:hint="default"/>
          <w:sz w:val="18"/>
          <w:szCs w:val="18"/>
        </w:rPr>
        <w:t>万元。</w:t>
      </w:r>
    </w:p>
    <w:p>
      <w:pPr>
        <w:spacing w:line="520" w:lineRule="atLeast" w:before="20"/>
        <w:ind w:left="550" w:right="8156" w:hanging="43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、业务性质和主要经营活动</w:t>
      </w:r>
      <w:r>
        <w:rPr>
          <w:rFonts w:ascii="宋体" w:hAnsi="宋体" w:cs="宋体" w:eastAsia="宋体" w:hint="default"/>
          <w:b/>
          <w:bCs/>
          <w:w w:val="99"/>
          <w:sz w:val="18"/>
          <w:szCs w:val="18"/>
        </w:rPr>
        <w:t> </w:t>
      </w:r>
      <w:r>
        <w:rPr>
          <w:rFonts w:ascii="宋体" w:hAnsi="宋体" w:cs="宋体" w:eastAsia="宋体" w:hint="default"/>
          <w:sz w:val="18"/>
          <w:szCs w:val="18"/>
        </w:rPr>
        <w:t>行业性质：包装印刷行业。</w:t>
      </w:r>
    </w:p>
    <w:p>
      <w:pPr>
        <w:spacing w:after="0" w:line="520" w:lineRule="atLeast"/>
        <w:jc w:val="left"/>
        <w:rPr>
          <w:rFonts w:ascii="宋体" w:hAnsi="宋体" w:cs="宋体" w:eastAsia="宋体" w:hint="default"/>
          <w:sz w:val="18"/>
          <w:szCs w:val="18"/>
        </w:rPr>
        <w:sectPr>
          <w:headerReference w:type="default" r:id="rId45"/>
          <w:footerReference w:type="default" r:id="rId46"/>
          <w:pgSz w:w="11910" w:h="16840"/>
          <w:pgMar w:header="920" w:footer="956" w:top="1140" w:bottom="1140" w:left="1020" w:right="0"/>
          <w:pgNumType w:start="17"/>
        </w:sectPr>
      </w:pPr>
    </w:p>
    <w:p>
      <w:pPr>
        <w:spacing w:line="240" w:lineRule="auto" w:before="3"/>
        <w:rPr>
          <w:rFonts w:ascii="宋体" w:hAnsi="宋体" w:cs="宋体" w:eastAsia="宋体" w:hint="default"/>
          <w:sz w:val="19"/>
          <w:szCs w:val="19"/>
        </w:rPr>
      </w:pPr>
    </w:p>
    <w:p>
      <w:pPr>
        <w:spacing w:line="511" w:lineRule="auto" w:before="44"/>
        <w:ind w:left="112" w:right="1131" w:firstLine="437"/>
        <w:jc w:val="left"/>
        <w:rPr>
          <w:rFonts w:ascii="宋体" w:hAnsi="宋体" w:cs="宋体" w:eastAsia="宋体" w:hint="default"/>
          <w:sz w:val="18"/>
          <w:szCs w:val="18"/>
        </w:rPr>
      </w:pPr>
      <w:r>
        <w:rPr>
          <w:rFonts w:ascii="宋体" w:hAnsi="宋体" w:cs="宋体" w:eastAsia="宋体" w:hint="default"/>
          <w:sz w:val="18"/>
          <w:szCs w:val="18"/>
        </w:rPr>
        <w:t>经营范围：生产经营包装材料、承接包装材料的设计、制版、印刷业务；从事企业形象策划、经济信息咨询、计算机 软件开发。</w:t>
      </w:r>
    </w:p>
    <w:p>
      <w:pPr>
        <w:spacing w:before="101"/>
        <w:ind w:left="473" w:right="0" w:firstLine="0"/>
        <w:jc w:val="left"/>
        <w:rPr>
          <w:rFonts w:ascii="宋体" w:hAnsi="宋体" w:cs="宋体" w:eastAsia="宋体" w:hint="default"/>
          <w:sz w:val="18"/>
          <w:szCs w:val="18"/>
        </w:rPr>
      </w:pPr>
      <w:r>
        <w:rPr>
          <w:rFonts w:ascii="宋体" w:hAnsi="宋体" w:cs="宋体" w:eastAsia="宋体" w:hint="default"/>
          <w:sz w:val="18"/>
          <w:szCs w:val="18"/>
        </w:rPr>
        <w:t>主要产品及提供的劳务：烟标制品。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35" w:lineRule="auto" w:before="138"/>
        <w:ind w:left="533" w:right="6373" w:hanging="42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、控股股东及实际控制人</w:t>
      </w:r>
      <w:r>
        <w:rPr>
          <w:rFonts w:ascii="宋体" w:hAnsi="宋体" w:cs="宋体" w:eastAsia="宋体" w:hint="default"/>
          <w:b/>
          <w:bCs/>
          <w:w w:val="99"/>
          <w:sz w:val="18"/>
          <w:szCs w:val="18"/>
        </w:rPr>
        <w:t> </w:t>
      </w:r>
      <w:r>
        <w:rPr>
          <w:rFonts w:ascii="宋体" w:hAnsi="宋体" w:cs="宋体" w:eastAsia="宋体" w:hint="default"/>
          <w:sz w:val="18"/>
          <w:szCs w:val="18"/>
        </w:rPr>
        <w:t>本公司控股股东为深圳市劲嘉创业投资有限公司。 本公司实际控制人为乔鲁予。</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、财务报告的批准报出者和财务报告批准报出日</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本财务报告经本公司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年第三次会议批准对外报出。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2"/>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二、公司主要会计政策、会计估计和前期差错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line="508" w:lineRule="auto" w:before="0"/>
        <w:ind w:left="112" w:right="0" w:firstLine="360"/>
        <w:jc w:val="left"/>
        <w:rPr>
          <w:rFonts w:ascii="宋体" w:hAnsi="宋体" w:cs="宋体" w:eastAsia="宋体" w:hint="default"/>
          <w:sz w:val="18"/>
          <w:szCs w:val="18"/>
        </w:rPr>
      </w:pPr>
      <w:r>
        <w:rPr>
          <w:rFonts w:ascii="宋体" w:hAnsi="宋体" w:cs="宋体" w:eastAsia="宋体" w:hint="default"/>
          <w:spacing w:val="-2"/>
          <w:sz w:val="18"/>
          <w:szCs w:val="18"/>
        </w:rPr>
        <w:t>本公司以持续经营为基础，根据实际发生的交易和事项，按照《企业会计准则―基本准则》和其他各项会计准则的规定</w:t>
      </w:r>
      <w:r>
        <w:rPr>
          <w:rFonts w:ascii="宋体" w:hAnsi="宋体" w:cs="宋体" w:eastAsia="宋体" w:hint="default"/>
          <w:sz w:val="18"/>
          <w:szCs w:val="18"/>
        </w:rPr>
        <w:t> 进行确认和计量，在此基础上编制财务报表。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本公司基于上述编制基础编制的财务报表符合企业会计准则的要求，真实、完整地反映了本公司及合并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spacing w:line="240" w:lineRule="auto" w:before="1"/>
        <w:rPr>
          <w:rFonts w:ascii="宋体" w:hAnsi="宋体" w:cs="宋体" w:eastAsia="宋体" w:hint="default"/>
          <w:sz w:val="19"/>
          <w:szCs w:val="19"/>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日的财务状况，以及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年度经营成果和现金流量等有关信息。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1"/>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采用公历年度，即从每年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2"/>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以人民币为记账本位币。</w:t>
      </w:r>
    </w:p>
    <w:p>
      <w:pPr>
        <w:spacing w:after="0"/>
        <w:jc w:val="left"/>
        <w:rPr>
          <w:rFonts w:ascii="宋体" w:hAnsi="宋体" w:cs="宋体" w:eastAsia="宋体" w:hint="default"/>
          <w:sz w:val="18"/>
          <w:szCs w:val="18"/>
        </w:rPr>
        <w:sectPr>
          <w:pgSz w:w="11910" w:h="16840"/>
          <w:pgMar w:header="920" w:footer="956" w:top="1140" w:bottom="114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line="504" w:lineRule="auto" w:before="0"/>
        <w:ind w:left="112" w:right="1088" w:firstLine="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A</w:t>
      </w:r>
      <w:r>
        <w:rPr>
          <w:rFonts w:ascii="宋体" w:hAnsi="宋体" w:cs="宋体" w:eastAsia="宋体" w:hint="default"/>
          <w:b/>
          <w:bCs/>
          <w:sz w:val="18"/>
          <w:szCs w:val="18"/>
        </w:rPr>
        <w:t>、同一控制下的企业合并</w:t>
      </w:r>
      <w:r>
        <w:rPr>
          <w:rFonts w:ascii="宋体" w:hAnsi="宋体" w:cs="宋体" w:eastAsia="宋体" w:hint="default"/>
          <w:sz w:val="18"/>
          <w:szCs w:val="18"/>
        </w:rPr>
        <w:t>：在企业合并中取得的资产和负债，按照合并日在被合并方的账面价值计量。取得的净资 产账面价值与支付的合并对价账面价值（或发行股份面值总额）的差额，调整资本公积；资本公积不足冲减的，调整留存</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收益。为进行企业合并发生的各项直接相关费用，包括为进行企业合并而支付的审计费用、评估费用、法律服务费用等，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于发生时计入当期损益。企业合并形成母子公司关系的，由母公司编制合并日的合并资产负债表、合并利润表和合并现金</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1"/>
          <w:sz w:val="18"/>
          <w:szCs w:val="18"/>
        </w:rPr>
        <w:t>流量表。合并资产负债表中被合并方的各项资产、负债，按其账面价值计量。因被合并方采用的会计政策与合并方不一致，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按照准则规定进行调整的，以调整后的账面价值计量。合并利润表包括参与合并各方自合并当期期初至合并日所发生的收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入、费用和利润。被合并方在合并前实现的净利润，在合并利润表中单列项目反映。合并现金流量表包括参与合并各方自</w:t>
      </w:r>
    </w:p>
    <w:p>
      <w:pPr>
        <w:spacing w:before="68"/>
        <w:ind w:left="112" w:right="0" w:firstLine="0"/>
        <w:jc w:val="left"/>
        <w:rPr>
          <w:rFonts w:ascii="宋体" w:hAnsi="宋体" w:cs="宋体" w:eastAsia="宋体" w:hint="default"/>
          <w:sz w:val="18"/>
          <w:szCs w:val="18"/>
        </w:rPr>
      </w:pPr>
      <w:r>
        <w:rPr>
          <w:rFonts w:ascii="宋体" w:hAnsi="宋体" w:cs="宋体" w:eastAsia="宋体" w:hint="default"/>
          <w:sz w:val="18"/>
          <w:szCs w:val="18"/>
        </w:rPr>
        <w:t>合并当期期初至合并日的现金流量。</w:t>
      </w:r>
    </w:p>
    <w:p>
      <w:pPr>
        <w:spacing w:line="240" w:lineRule="auto" w:before="3"/>
        <w:rPr>
          <w:rFonts w:ascii="宋体" w:hAnsi="宋体" w:cs="宋体" w:eastAsia="宋体" w:hint="default"/>
          <w:sz w:val="23"/>
          <w:szCs w:val="23"/>
        </w:rPr>
      </w:pPr>
    </w:p>
    <w:p>
      <w:pPr>
        <w:spacing w:line="504" w:lineRule="auto" w:before="0"/>
        <w:ind w:left="112" w:right="1130" w:firstLine="360"/>
        <w:jc w:val="both"/>
        <w:rPr>
          <w:rFonts w:ascii="宋体" w:hAnsi="宋体" w:cs="宋体" w:eastAsia="宋体" w:hint="default"/>
          <w:sz w:val="18"/>
          <w:szCs w:val="18"/>
        </w:rPr>
      </w:pPr>
      <w:r>
        <w:rPr>
          <w:rFonts w:ascii="Times New Roman" w:hAnsi="Times New Roman" w:cs="Times New Roman" w:eastAsia="Times New Roman" w:hint="default"/>
          <w:b/>
          <w:bCs/>
          <w:spacing w:val="-1"/>
          <w:sz w:val="18"/>
          <w:szCs w:val="18"/>
        </w:rPr>
        <w:t>B</w:t>
      </w:r>
      <w:r>
        <w:rPr>
          <w:rFonts w:ascii="宋体" w:hAnsi="宋体" w:cs="宋体" w:eastAsia="宋体" w:hint="default"/>
          <w:b/>
          <w:bCs/>
          <w:spacing w:val="-1"/>
          <w:sz w:val="18"/>
          <w:szCs w:val="18"/>
        </w:rPr>
        <w:t>、非同一控制下的企业合并</w:t>
      </w:r>
      <w:r>
        <w:rPr>
          <w:rFonts w:ascii="宋体" w:hAnsi="宋体" w:cs="宋体" w:eastAsia="宋体" w:hint="default"/>
          <w:spacing w:val="-1"/>
          <w:sz w:val="18"/>
          <w:szCs w:val="18"/>
        </w:rPr>
        <w:t>：在购买日为取得对被购买方的控制权而付出的资产、发生或承担的负债以及发行的权益</w:t>
      </w:r>
      <w:r>
        <w:rPr>
          <w:rFonts w:ascii="宋体" w:hAnsi="宋体" w:cs="宋体" w:eastAsia="宋体" w:hint="default"/>
          <w:sz w:val="18"/>
          <w:szCs w:val="18"/>
        </w:rPr>
        <w:t> </w:t>
      </w:r>
      <w:r>
        <w:rPr>
          <w:rFonts w:ascii="宋体" w:hAnsi="宋体" w:cs="宋体" w:eastAsia="宋体" w:hint="default"/>
          <w:spacing w:val="-2"/>
          <w:sz w:val="18"/>
          <w:szCs w:val="18"/>
        </w:rPr>
        <w:t>性证券的公允价值加上各项直接相关费用为合并成本。在购买日对作为企业合并对价付出的资产、发生或承担的负债按照公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允价值计量，公允价值与其账面价值的差额，计入当期损益。对合并成本大于合并中取得的被购买方可辨认净资产公允价值</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份额的差额，确认为商誉。对合并成本小于合并中取得的被购买方可辨认净资产公允价值份额的差额，须对取得的被购买方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各项可辨认资产、负债及或有负债的公允价值以及合并成本的计量进行复核；经复核后合并成本仍小于合并中取得的被购买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方可辨认净资产公允价值份额的，其差额计入当期损益。企业合并形成母子公司关系的，由母公司编制购买日的合并财务报</w:t>
      </w:r>
    </w:p>
    <w:p>
      <w:pPr>
        <w:spacing w:before="68"/>
        <w:ind w:left="112" w:right="0" w:firstLine="0"/>
        <w:jc w:val="left"/>
        <w:rPr>
          <w:rFonts w:ascii="宋体" w:hAnsi="宋体" w:cs="宋体" w:eastAsia="宋体" w:hint="default"/>
          <w:sz w:val="18"/>
          <w:szCs w:val="18"/>
        </w:rPr>
      </w:pPr>
      <w:r>
        <w:rPr>
          <w:rFonts w:ascii="宋体" w:hAnsi="宋体" w:cs="宋体" w:eastAsia="宋体" w:hint="default"/>
          <w:sz w:val="18"/>
          <w:szCs w:val="18"/>
        </w:rPr>
        <w:t>表，因企业合并取得的被购买方各项可辨认资产、负债及或有负债以公允价值列示。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line="240" w:lineRule="auto" w:before="4"/>
        <w:rPr>
          <w:rFonts w:ascii="宋体" w:hAnsi="宋体" w:cs="宋体" w:eastAsia="宋体" w:hint="default"/>
          <w:sz w:val="25"/>
          <w:szCs w:val="25"/>
        </w:rPr>
      </w:pPr>
    </w:p>
    <w:p>
      <w:pPr>
        <w:spacing w:line="496" w:lineRule="auto" w:before="0"/>
        <w:ind w:left="112"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、合并财务报表的合并范围以控制为基础加以确定。合并财务报表以本公司和纳入合并财务报表范围的各子公司的财</w:t>
      </w:r>
      <w:r>
        <w:rPr>
          <w:rFonts w:ascii="宋体" w:hAnsi="宋体" w:cs="宋体" w:eastAsia="宋体" w:hint="default"/>
          <w:sz w:val="18"/>
          <w:szCs w:val="18"/>
        </w:rPr>
        <w:t> </w:t>
      </w:r>
      <w:r>
        <w:rPr>
          <w:rFonts w:ascii="宋体" w:hAnsi="宋体" w:cs="宋体" w:eastAsia="宋体" w:hint="default"/>
          <w:spacing w:val="-2"/>
          <w:sz w:val="18"/>
          <w:szCs w:val="18"/>
        </w:rPr>
        <w:t>务报表及其他有关资料为合并依据，按照权益法调整对子公司的长期股权投资，将本公司和纳入合并财务报表范围的各子公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司之间的投资、交易及往来等全部抵销，并计算少数股东损益及少数股东权益后合并编制而成。</w:t>
      </w:r>
    </w:p>
    <w:p>
      <w:pPr>
        <w:spacing w:line="520" w:lineRule="auto" w:before="112"/>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、合并时，如纳入合并范围的子公司与本公司会计政策不一致，按本公司执行的会计政策对其进行调整后合并。 </w:t>
      </w:r>
      <w:r>
        <w:rPr>
          <w:rFonts w:ascii="Times New Roman" w:hAnsi="Times New Roman" w:cs="Times New Roman" w:eastAsia="Times New Roman" w:hint="default"/>
          <w:sz w:val="18"/>
          <w:szCs w:val="18"/>
        </w:rPr>
        <w:t>C</w:t>
      </w:r>
      <w:r>
        <w:rPr>
          <w:rFonts w:ascii="宋体" w:hAnsi="宋体" w:cs="宋体" w:eastAsia="宋体" w:hint="default"/>
          <w:sz w:val="18"/>
          <w:szCs w:val="18"/>
        </w:rPr>
        <w:t>、对于同一控制下企业合并取得的子公司，视同该企业合并于对比期初已经发生，从对比期初起将其资产、负债、经</w:t>
      </w:r>
    </w:p>
    <w:p>
      <w:pPr>
        <w:spacing w:before="17"/>
        <w:ind w:left="112" w:right="0" w:firstLine="0"/>
        <w:jc w:val="left"/>
        <w:rPr>
          <w:rFonts w:ascii="宋体" w:hAnsi="宋体" w:cs="宋体" w:eastAsia="宋体" w:hint="default"/>
          <w:sz w:val="18"/>
          <w:szCs w:val="18"/>
        </w:rPr>
      </w:pPr>
      <w:r>
        <w:rPr>
          <w:rFonts w:ascii="宋体" w:hAnsi="宋体" w:cs="宋体" w:eastAsia="宋体" w:hint="default"/>
          <w:sz w:val="18"/>
          <w:szCs w:val="18"/>
        </w:rPr>
        <w:t>营成果和现金流量纳入合并财务报表。</w:t>
      </w:r>
    </w:p>
    <w:p>
      <w:pPr>
        <w:spacing w:line="240" w:lineRule="auto" w:before="3"/>
        <w:rPr>
          <w:rFonts w:ascii="宋体" w:hAnsi="宋体" w:cs="宋体" w:eastAsia="宋体" w:hint="default"/>
          <w:sz w:val="23"/>
          <w:szCs w:val="23"/>
        </w:rPr>
      </w:pPr>
    </w:p>
    <w:p>
      <w:pPr>
        <w:spacing w:before="0"/>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、对于因非同一控制下企业合并取得的子公司，在编制合并报表时，以购买日可辨认净资产公允价值为基础对个别财</w:t>
      </w:r>
    </w:p>
    <w:p>
      <w:pPr>
        <w:spacing w:after="0"/>
        <w:jc w:val="left"/>
        <w:rPr>
          <w:rFonts w:ascii="宋体" w:hAnsi="宋体" w:cs="宋体" w:eastAsia="宋体" w:hint="default"/>
          <w:sz w:val="18"/>
          <w:szCs w:val="18"/>
        </w:rPr>
        <w:sectPr>
          <w:pgSz w:w="11910" w:h="16840"/>
          <w:pgMar w:header="920" w:footer="956" w:top="1140" w:bottom="1140" w:left="1020" w:right="0"/>
        </w:sectPr>
      </w:pPr>
    </w:p>
    <w:p>
      <w:pPr>
        <w:spacing w:line="240" w:lineRule="auto" w:before="3"/>
        <w:rPr>
          <w:rFonts w:ascii="宋体" w:hAnsi="宋体" w:cs="宋体" w:eastAsia="宋体" w:hint="default"/>
          <w:sz w:val="19"/>
          <w:szCs w:val="19"/>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务报表进行调整。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）本公司未发生对同一子公司的股权在连续两个会计年度买入再卖出或卖出再买入的业务。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2"/>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line="568" w:lineRule="auto"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现金是指本公司的库存现金以及随时用于支付的存款。 </w:t>
      </w:r>
      <w:r>
        <w:rPr>
          <w:rFonts w:ascii="宋体" w:hAnsi="宋体" w:cs="宋体" w:eastAsia="宋体" w:hint="default"/>
          <w:spacing w:val="-2"/>
          <w:sz w:val="18"/>
          <w:szCs w:val="18"/>
        </w:rPr>
        <w:t>现金等价物为本公司持有的期限短（一般是指从购买日起三个月内到期）、流动性强、易于转换为已知金额现金且价值</w:t>
      </w:r>
    </w:p>
    <w:p>
      <w:pPr>
        <w:spacing w:before="37"/>
        <w:ind w:left="112" w:right="0" w:firstLine="0"/>
        <w:jc w:val="left"/>
        <w:rPr>
          <w:rFonts w:ascii="宋体" w:hAnsi="宋体" w:cs="宋体" w:eastAsia="宋体" w:hint="default"/>
          <w:sz w:val="18"/>
          <w:szCs w:val="18"/>
        </w:rPr>
      </w:pPr>
      <w:r>
        <w:rPr>
          <w:rFonts w:ascii="宋体" w:hAnsi="宋体" w:cs="宋体" w:eastAsia="宋体" w:hint="default"/>
          <w:sz w:val="18"/>
          <w:szCs w:val="18"/>
        </w:rPr>
        <w:t>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p>
      <w:pPr>
        <w:spacing w:line="429" w:lineRule="auto" w:before="0"/>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、外币业务核算方法</w:t>
      </w:r>
      <w:r>
        <w:rPr>
          <w:rFonts w:ascii="宋体" w:hAnsi="宋体" w:cs="宋体" w:eastAsia="宋体" w:hint="default"/>
          <w:w w:val="100"/>
          <w:sz w:val="21"/>
          <w:szCs w:val="21"/>
        </w:rPr>
        <w:t> </w:t>
      </w:r>
      <w:r>
        <w:rPr>
          <w:rFonts w:ascii="宋体" w:hAnsi="宋体" w:cs="宋体" w:eastAsia="宋体" w:hint="default"/>
          <w:spacing w:val="-2"/>
          <w:sz w:val="21"/>
          <w:szCs w:val="21"/>
        </w:rPr>
        <w:t>本公司外币交易均按交易发生日的即期近似汇率折算为记账本位币。该即期近似汇率指交易发生日当</w:t>
      </w:r>
    </w:p>
    <w:p>
      <w:pPr>
        <w:spacing w:line="453" w:lineRule="auto" w:before="80"/>
        <w:ind w:left="533" w:right="2685" w:hanging="421"/>
        <w:jc w:val="left"/>
        <w:rPr>
          <w:rFonts w:ascii="宋体" w:hAnsi="宋体" w:cs="宋体" w:eastAsia="宋体" w:hint="default"/>
          <w:sz w:val="21"/>
          <w:szCs w:val="21"/>
        </w:rPr>
      </w:pPr>
      <w:r>
        <w:rPr>
          <w:rFonts w:ascii="宋体" w:hAnsi="宋体" w:cs="宋体" w:eastAsia="宋体" w:hint="default"/>
          <w:sz w:val="21"/>
          <w:szCs w:val="21"/>
        </w:rPr>
        <w:t>月月初的汇率。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在资产负债表日，按照下列规定对外币货币性项目和外币非货币性项目进行处理：</w:t>
      </w:r>
    </w:p>
    <w:p>
      <w:pPr>
        <w:spacing w:line="429" w:lineRule="auto" w:before="59"/>
        <w:ind w:left="11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、外币货币性项目，采用资产负债表日即期汇率折算。因资产负债表日即期汇率与初始确认时或前</w:t>
      </w:r>
      <w:r>
        <w:rPr>
          <w:rFonts w:ascii="宋体" w:hAnsi="宋体" w:cs="宋体" w:eastAsia="宋体" w:hint="default"/>
          <w:w w:val="100"/>
          <w:sz w:val="21"/>
          <w:szCs w:val="21"/>
        </w:rPr>
        <w:t> </w:t>
      </w:r>
      <w:r>
        <w:rPr>
          <w:rFonts w:ascii="宋体" w:hAnsi="宋体" w:cs="宋体" w:eastAsia="宋体" w:hint="default"/>
          <w:sz w:val="21"/>
          <w:szCs w:val="21"/>
        </w:rPr>
        <w:t>一资产负债表日即期汇率不同而产生的汇兑差额，计入当期损益。</w:t>
      </w:r>
    </w:p>
    <w:p>
      <w:pPr>
        <w:spacing w:line="429" w:lineRule="auto" w:before="77"/>
        <w:ind w:left="112" w:right="113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、以历史成本计量的外币非货币性项目，仍采用交易发生日的即期汇率折算，不改变其记账本位币</w:t>
      </w:r>
      <w:r>
        <w:rPr>
          <w:rFonts w:ascii="宋体" w:hAnsi="宋体" w:cs="宋体" w:eastAsia="宋体" w:hint="default"/>
          <w:w w:val="100"/>
          <w:sz w:val="21"/>
          <w:szCs w:val="21"/>
        </w:rPr>
        <w:t> </w:t>
      </w:r>
      <w:r>
        <w:rPr>
          <w:rFonts w:ascii="宋体" w:hAnsi="宋体" w:cs="宋体" w:eastAsia="宋体" w:hint="default"/>
          <w:sz w:val="21"/>
          <w:szCs w:val="21"/>
        </w:rPr>
        <w:t>金额。</w:t>
      </w:r>
    </w:p>
    <w:p>
      <w:pPr>
        <w:spacing w:line="427" w:lineRule="auto" w:before="80"/>
        <w:ind w:left="11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、以公允价值计量的外币非货币性项目，采用公允价值确定日的即期汇率折算，折算后的记账本位</w:t>
      </w:r>
      <w:r>
        <w:rPr>
          <w:rFonts w:ascii="宋体" w:hAnsi="宋体" w:cs="宋体" w:eastAsia="宋体" w:hint="default"/>
          <w:w w:val="100"/>
          <w:sz w:val="21"/>
          <w:szCs w:val="21"/>
        </w:rPr>
        <w:t> </w:t>
      </w:r>
      <w:r>
        <w:rPr>
          <w:rFonts w:ascii="宋体" w:hAnsi="宋体" w:cs="宋体" w:eastAsia="宋体" w:hint="default"/>
          <w:sz w:val="21"/>
          <w:szCs w:val="21"/>
        </w:rPr>
        <w:t>币金额与原记账本位币金额的差额，作为公允价值变动处理，计入当期损益。</w:t>
      </w:r>
    </w:p>
    <w:p>
      <w:pPr>
        <w:spacing w:line="537" w:lineRule="auto" w:before="166"/>
        <w:ind w:left="47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、外币财务报表的折算方法 本公司对境外经营的财务报表进行折算时，遵循下列规定：</w:t>
      </w:r>
    </w:p>
    <w:p>
      <w:pPr>
        <w:spacing w:line="501" w:lineRule="auto" w:before="100"/>
        <w:ind w:left="112" w:right="113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、资产负债表中的资产和负债项目，采用资产负债表日的即期汇率折算，所有者权益项目除“未分配利润”项目外， 其他项目采用发生时的即期近似汇率折算。</w:t>
      </w:r>
    </w:p>
    <w:p>
      <w:pPr>
        <w:spacing w:line="540" w:lineRule="auto" w:before="127"/>
        <w:ind w:left="473" w:right="31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、利润表中的收入和费用项目，采用财务报表合并期间的平均汇率折算。 按照上述方法折算产生的外币报表折算差额，在资产负债表中所有者权益项目下单独列示。</w:t>
      </w:r>
    </w:p>
    <w:p>
      <w:pPr>
        <w:spacing w:after="0" w:line="540" w:lineRule="auto"/>
        <w:jc w:val="left"/>
        <w:rPr>
          <w:rFonts w:ascii="宋体" w:hAnsi="宋体" w:cs="宋体" w:eastAsia="宋体" w:hint="default"/>
          <w:sz w:val="18"/>
          <w:szCs w:val="18"/>
        </w:rPr>
        <w:sectPr>
          <w:pgSz w:w="11910" w:h="16840"/>
          <w:pgMar w:header="920" w:footer="956" w:top="1140" w:bottom="114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537" w:lineRule="auto" w:before="44"/>
        <w:ind w:left="473" w:right="86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、金融工具 </w:t>
      </w:r>
      <w:r>
        <w:rPr>
          <w:rFonts w:ascii="Times New Roman" w:hAnsi="Times New Roman" w:cs="Times New Roman" w:eastAsia="Times New Roman" w:hint="default"/>
          <w:sz w:val="18"/>
          <w:szCs w:val="18"/>
        </w:rPr>
        <w:t>A</w:t>
      </w:r>
      <w:r>
        <w:rPr>
          <w:rFonts w:ascii="宋体" w:hAnsi="宋体" w:cs="宋体" w:eastAsia="宋体" w:hint="default"/>
          <w:sz w:val="18"/>
          <w:szCs w:val="18"/>
        </w:rPr>
        <w:t>、金融工具的分类：</w:t>
      </w:r>
    </w:p>
    <w:p>
      <w:pPr>
        <w:spacing w:line="530" w:lineRule="auto" w:before="24"/>
        <w:ind w:left="473" w:right="0" w:firstLine="0"/>
        <w:jc w:val="left"/>
        <w:rPr>
          <w:rFonts w:ascii="宋体" w:hAnsi="宋体" w:cs="宋体" w:eastAsia="宋体" w:hint="default"/>
          <w:sz w:val="18"/>
          <w:szCs w:val="18"/>
        </w:rPr>
      </w:pPr>
      <w:r>
        <w:rPr>
          <w:rFonts w:ascii="宋体" w:hAnsi="宋体" w:cs="宋体" w:eastAsia="宋体" w:hint="default"/>
          <w:sz w:val="18"/>
          <w:szCs w:val="18"/>
        </w:rPr>
        <w:t>金融工具是指形成一个企业的金融资产，并形成其他单位的金融负债或权益工具的合同。 </w:t>
      </w:r>
      <w:r>
        <w:rPr>
          <w:rFonts w:ascii="宋体" w:hAnsi="宋体" w:cs="宋体" w:eastAsia="宋体" w:hint="default"/>
          <w:spacing w:val="-2"/>
          <w:sz w:val="18"/>
          <w:szCs w:val="18"/>
        </w:rPr>
        <w:t>金融资产在初始确认时分为以公允价值计量且其变动计入当期损益的金融资产（包括交易性金融资产和指定为以公允价</w:t>
      </w:r>
    </w:p>
    <w:p>
      <w:pPr>
        <w:spacing w:line="532" w:lineRule="auto" w:before="24"/>
        <w:ind w:left="473" w:right="1115" w:hanging="361"/>
        <w:jc w:val="left"/>
        <w:rPr>
          <w:rFonts w:ascii="宋体" w:hAnsi="宋体" w:cs="宋体" w:eastAsia="宋体" w:hint="default"/>
          <w:sz w:val="18"/>
          <w:szCs w:val="18"/>
        </w:rPr>
      </w:pPr>
      <w:r>
        <w:rPr>
          <w:rFonts w:ascii="宋体" w:hAnsi="宋体" w:cs="宋体" w:eastAsia="宋体" w:hint="default"/>
          <w:sz w:val="18"/>
          <w:szCs w:val="18"/>
        </w:rPr>
        <w:t>值计量且其变动计入当期损益的金融资产</w:t>
      </w:r>
      <w:r>
        <w:rPr>
          <w:rFonts w:ascii="宋体" w:hAnsi="宋体" w:cs="宋体" w:eastAsia="宋体" w:hint="default"/>
          <w:spacing w:val="-92"/>
          <w:sz w:val="18"/>
          <w:szCs w:val="18"/>
        </w:rPr>
        <w:t>）</w:t>
      </w:r>
      <w:r>
        <w:rPr>
          <w:rFonts w:ascii="宋体" w:hAnsi="宋体" w:cs="宋体" w:eastAsia="宋体" w:hint="default"/>
          <w:sz w:val="18"/>
          <w:szCs w:val="18"/>
        </w:rPr>
        <w:t>、持有至到期投</w:t>
      </w:r>
      <w:r>
        <w:rPr>
          <w:rFonts w:ascii="宋体" w:hAnsi="宋体" w:cs="宋体" w:eastAsia="宋体" w:hint="default"/>
          <w:spacing w:val="2"/>
          <w:sz w:val="18"/>
          <w:szCs w:val="18"/>
        </w:rPr>
        <w:t>资</w:t>
      </w:r>
      <w:r>
        <w:rPr>
          <w:rFonts w:ascii="宋体" w:hAnsi="宋体" w:cs="宋体" w:eastAsia="宋体" w:hint="default"/>
          <w:sz w:val="18"/>
          <w:szCs w:val="18"/>
        </w:rPr>
        <w:t>、贷款及应收款项、可供出售金融资产四类。</w:t>
      </w:r>
      <w:r>
        <w:rPr>
          <w:rFonts w:ascii="宋体" w:hAnsi="宋体" w:cs="宋体" w:eastAsia="宋体" w:hint="default"/>
          <w:sz w:val="18"/>
          <w:szCs w:val="18"/>
        </w:rPr>
        <w:t> 金融负债在初始确认时分为以公允价值计量且其变动计入当期损益的金融负</w:t>
      </w:r>
      <w:r>
        <w:rPr>
          <w:rFonts w:ascii="宋体" w:hAnsi="宋体" w:cs="宋体" w:eastAsia="宋体" w:hint="default"/>
          <w:spacing w:val="-82"/>
          <w:sz w:val="18"/>
          <w:szCs w:val="18"/>
        </w:rPr>
        <w:t>债</w:t>
      </w:r>
      <w:r>
        <w:rPr>
          <w:rFonts w:ascii="宋体" w:hAnsi="宋体" w:cs="宋体" w:eastAsia="宋体" w:hint="default"/>
          <w:sz w:val="18"/>
          <w:szCs w:val="18"/>
        </w:rPr>
        <w:t>（包括交易性金融负债和指定为以公允价</w:t>
      </w:r>
    </w:p>
    <w:p>
      <w:pPr>
        <w:spacing w:line="516" w:lineRule="auto" w:before="22"/>
        <w:ind w:left="473" w:right="4993" w:hanging="361"/>
        <w:jc w:val="left"/>
        <w:rPr>
          <w:rFonts w:ascii="宋体" w:hAnsi="宋体" w:cs="宋体" w:eastAsia="宋体" w:hint="default"/>
          <w:sz w:val="18"/>
          <w:szCs w:val="18"/>
        </w:rPr>
      </w:pPr>
      <w:r>
        <w:rPr>
          <w:rFonts w:ascii="宋体" w:hAnsi="宋体" w:cs="宋体" w:eastAsia="宋体" w:hint="default"/>
          <w:sz w:val="18"/>
          <w:szCs w:val="18"/>
        </w:rPr>
        <w:t>值计量且其变动计入当期损益的金融负债）和其他金融负债两类。 </w:t>
      </w:r>
      <w:r>
        <w:rPr>
          <w:rFonts w:ascii="Times New Roman" w:hAnsi="Times New Roman" w:cs="Times New Roman" w:eastAsia="Times New Roman" w:hint="default"/>
          <w:sz w:val="18"/>
          <w:szCs w:val="18"/>
        </w:rPr>
        <w:t>B</w:t>
      </w:r>
      <w:r>
        <w:rPr>
          <w:rFonts w:ascii="宋体" w:hAnsi="宋体" w:cs="宋体" w:eastAsia="宋体" w:hint="default"/>
          <w:sz w:val="18"/>
          <w:szCs w:val="18"/>
        </w:rPr>
        <w:t>、金融工具的确认依据和计量方法： 本公司成为金融工具合同的一方时，确认一项金融资产或金融负债。</w:t>
      </w:r>
    </w:p>
    <w:p>
      <w:pPr>
        <w:spacing w:line="487" w:lineRule="auto" w:before="80"/>
        <w:ind w:left="112" w:right="1034" w:firstLine="360"/>
        <w:jc w:val="left"/>
        <w:rPr>
          <w:rFonts w:ascii="宋体" w:hAnsi="宋体" w:cs="宋体" w:eastAsia="宋体" w:hint="default"/>
          <w:sz w:val="18"/>
          <w:szCs w:val="18"/>
        </w:rPr>
      </w:pPr>
      <w:r>
        <w:rPr>
          <w:rFonts w:ascii="宋体" w:hAnsi="宋体" w:cs="宋体" w:eastAsia="宋体" w:hint="default"/>
          <w:sz w:val="18"/>
          <w:szCs w:val="18"/>
        </w:rPr>
        <w:t>金融资产及金融负债初始确认时以公允价值计量。对于以公允价值计量且其变动计入当期损益的金融资产或金融负债， 相关交易费用直接计入当期损益；对于其他类别的金融资产或金融负债，相关交易费用计入初始确认金额。</w:t>
      </w:r>
    </w:p>
    <w:p>
      <w:pPr>
        <w:spacing w:line="516" w:lineRule="auto" w:before="100"/>
        <w:ind w:left="473" w:right="0" w:firstLine="0"/>
        <w:jc w:val="left"/>
        <w:rPr>
          <w:rFonts w:ascii="宋体" w:hAnsi="宋体" w:cs="宋体" w:eastAsia="宋体" w:hint="default"/>
          <w:sz w:val="18"/>
          <w:szCs w:val="18"/>
        </w:rPr>
      </w:pPr>
      <w:r>
        <w:rPr>
          <w:rFonts w:ascii="宋体" w:hAnsi="宋体" w:cs="宋体" w:eastAsia="宋体" w:hint="default"/>
          <w:spacing w:val="-4"/>
          <w:sz w:val="18"/>
          <w:szCs w:val="18"/>
        </w:rPr>
        <w:t>本公司按照公允价值对金融资产进行后续计量，且不扣除将来处置该金融资产时可能发生的交易费用。但下列情况除外：</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Times New Roman" w:hAnsi="Times New Roman" w:cs="Times New Roman" w:eastAsia="Times New Roman" w:hint="default"/>
          <w:sz w:val="18"/>
          <w:szCs w:val="18"/>
        </w:rPr>
        <w:t>a.</w:t>
      </w:r>
      <w:r>
        <w:rPr>
          <w:rFonts w:ascii="宋体" w:hAnsi="宋体" w:cs="宋体" w:eastAsia="宋体" w:hint="default"/>
          <w:sz w:val="18"/>
          <w:szCs w:val="18"/>
        </w:rPr>
        <w:t>持有至到期投资以及贷款和应收款项，采用实际利率法按摊余成本进行计量； </w:t>
      </w:r>
      <w:r>
        <w:rPr>
          <w:rFonts w:ascii="Times New Roman" w:hAnsi="Times New Roman" w:cs="Times New Roman" w:eastAsia="Times New Roman" w:hint="default"/>
          <w:sz w:val="18"/>
          <w:szCs w:val="18"/>
        </w:rPr>
        <w:t>b.</w:t>
      </w:r>
      <w:r>
        <w:rPr>
          <w:rFonts w:ascii="宋体" w:hAnsi="宋体" w:cs="宋体" w:eastAsia="宋体" w:hint="default"/>
          <w:sz w:val="18"/>
          <w:szCs w:val="18"/>
        </w:rPr>
        <w:t>在活跃市场中没有报价且其公允价值不能可靠计量的权益工具投资，以及与该权益工具挂钩并须通过交付该权益工具</w:t>
      </w:r>
    </w:p>
    <w:p>
      <w:pPr>
        <w:spacing w:line="530" w:lineRule="auto" w:before="0"/>
        <w:ind w:left="473" w:right="4093" w:hanging="361"/>
        <w:jc w:val="left"/>
        <w:rPr>
          <w:rFonts w:ascii="宋体" w:hAnsi="宋体" w:cs="宋体" w:eastAsia="宋体" w:hint="default"/>
          <w:sz w:val="18"/>
          <w:szCs w:val="18"/>
        </w:rPr>
      </w:pPr>
      <w:r>
        <w:rPr>
          <w:rFonts w:ascii="宋体" w:hAnsi="宋体" w:cs="宋体" w:eastAsia="宋体" w:hint="default"/>
          <w:sz w:val="18"/>
          <w:szCs w:val="18"/>
        </w:rPr>
        <w:t>结算的衍生金融资产，按照成本计量。 本公司采用实际利率法按摊余成本对金融负债进行后续计量。但下列情况除外： </w:t>
      </w:r>
      <w:r>
        <w:rPr>
          <w:rFonts w:ascii="Times New Roman" w:hAnsi="Times New Roman" w:cs="Times New Roman" w:eastAsia="Times New Roman" w:hint="default"/>
          <w:sz w:val="18"/>
          <w:szCs w:val="18"/>
        </w:rPr>
        <w:t>a.</w:t>
      </w:r>
      <w:r>
        <w:rPr>
          <w:rFonts w:ascii="宋体" w:hAnsi="宋体" w:cs="宋体" w:eastAsia="宋体" w:hint="default"/>
          <w:sz w:val="18"/>
          <w:szCs w:val="18"/>
        </w:rPr>
        <w:t>以公允价值计量且其变动计入当期损益的金融负债按照公允价值计量；</w:t>
      </w:r>
    </w:p>
    <w:p>
      <w:pPr>
        <w:spacing w:line="460" w:lineRule="auto" w:before="33"/>
        <w:ind w:left="112" w:right="1131"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与在活跃市场中没有报价、公允价值不能可靠计量的权益工具挂钩并须通过交付该权益工具结算的衍生金融负债，按</w:t>
      </w:r>
      <w:r>
        <w:rPr>
          <w:rFonts w:ascii="宋体" w:hAnsi="宋体" w:cs="宋体" w:eastAsia="宋体" w:hint="default"/>
          <w:sz w:val="18"/>
          <w:szCs w:val="18"/>
        </w:rPr>
        <w:t> 照成本计量。</w:t>
      </w:r>
    </w:p>
    <w:p>
      <w:pPr>
        <w:spacing w:line="516" w:lineRule="auto" w:before="119"/>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、金融资产转移的确认依据和计量方法： </w:t>
      </w:r>
      <w:r>
        <w:rPr>
          <w:rFonts w:ascii="宋体" w:hAnsi="宋体" w:cs="宋体" w:eastAsia="宋体" w:hint="default"/>
          <w:spacing w:val="-3"/>
          <w:sz w:val="18"/>
          <w:szCs w:val="18"/>
        </w:rPr>
        <w:t>金融资产的转移，指本公司将金融资产让与或交付给该金融资产发行方以外的另一方（转入方）。</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本公司已将金融资产所有权上几乎所有的风险和报酬转移给转入方的，则终止确认该金融资产；本公司保留了金融资产</w:t>
      </w:r>
    </w:p>
    <w:p>
      <w:pPr>
        <w:spacing w:line="532" w:lineRule="auto" w:before="35"/>
        <w:ind w:left="473" w:right="0" w:hanging="361"/>
        <w:jc w:val="left"/>
        <w:rPr>
          <w:rFonts w:ascii="宋体" w:hAnsi="宋体" w:cs="宋体" w:eastAsia="宋体" w:hint="default"/>
          <w:sz w:val="18"/>
          <w:szCs w:val="18"/>
        </w:rPr>
      </w:pPr>
      <w:r>
        <w:rPr>
          <w:rFonts w:ascii="宋体" w:hAnsi="宋体" w:cs="宋体" w:eastAsia="宋体" w:hint="default"/>
          <w:sz w:val="18"/>
          <w:szCs w:val="18"/>
        </w:rPr>
        <w:t>所有权上几乎所有的风险和报酬的，则不终止确认该金融资产。 </w:t>
      </w:r>
      <w:r>
        <w:rPr>
          <w:rFonts w:ascii="宋体" w:hAnsi="宋体" w:cs="宋体" w:eastAsia="宋体" w:hint="default"/>
          <w:spacing w:val="-2"/>
          <w:sz w:val="18"/>
          <w:szCs w:val="18"/>
        </w:rPr>
        <w:t>本公司对于金融资产转移满足终止确认条件的，按照因转移而收到的对价，及原直接计入所有者权益的公允价值变动累</w:t>
      </w:r>
    </w:p>
    <w:p>
      <w:pPr>
        <w:spacing w:line="487" w:lineRule="auto" w:before="25"/>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计额（涉及转移的金融资产为可供出售金融资产的情形）之和，与所转移金融资产的账面价值之间的差额计入当期损益。本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公司对于金融资产转移不满足终止确认条件的，继续确认所转移金融资产，并将收到的对价确认为一项金融负债。</w:t>
      </w:r>
    </w:p>
    <w:p>
      <w:pPr>
        <w:spacing w:before="97"/>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、金融负债终止确认条件：</w:t>
      </w:r>
    </w:p>
    <w:p>
      <w:pPr>
        <w:spacing w:after="0"/>
        <w:jc w:val="left"/>
        <w:rPr>
          <w:rFonts w:ascii="宋体" w:hAnsi="宋体" w:cs="宋体" w:eastAsia="宋体" w:hint="default"/>
          <w:sz w:val="18"/>
          <w:szCs w:val="18"/>
        </w:rPr>
        <w:sectPr>
          <w:pgSz w:w="11910" w:h="16840"/>
          <w:pgMar w:header="920" w:footer="956" w:top="1140" w:bottom="1140" w:left="1020" w:right="0"/>
        </w:sectPr>
      </w:pPr>
    </w:p>
    <w:p>
      <w:pPr>
        <w:spacing w:line="240" w:lineRule="auto" w:before="11"/>
        <w:rPr>
          <w:rFonts w:ascii="Times New Roman" w:hAnsi="Times New Roman" w:cs="Times New Roman" w:eastAsia="Times New Roman"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10041"/>
      </w:tblGrid>
      <w:tr>
        <w:trPr>
          <w:trHeight w:val="11708" w:hRule="exact"/>
        </w:trPr>
        <w:tc>
          <w:tcPr>
            <w:tcW w:w="10041" w:type="dxa"/>
            <w:tcBorders>
              <w:top w:val="nil" w:sz="6" w:space="0" w:color="auto"/>
              <w:left w:val="nil" w:sz="6" w:space="0" w:color="auto"/>
              <w:bottom w:val="nil" w:sz="6" w:space="0" w:color="auto"/>
              <w:right w:val="nil" w:sz="6" w:space="0" w:color="auto"/>
            </w:tcBorders>
          </w:tcPr>
          <w:p>
            <w:pPr>
              <w:pStyle w:val="TableParagraph"/>
              <w:spacing w:line="180" w:lineRule="exact"/>
              <w:ind w:left="560" w:right="0"/>
              <w:jc w:val="left"/>
              <w:rPr>
                <w:rFonts w:ascii="宋体" w:hAnsi="宋体" w:cs="宋体" w:eastAsia="宋体" w:hint="default"/>
                <w:sz w:val="18"/>
                <w:szCs w:val="18"/>
              </w:rPr>
            </w:pPr>
            <w:r>
              <w:rPr>
                <w:rFonts w:ascii="宋体" w:hAnsi="宋体" w:cs="宋体" w:eastAsia="宋体" w:hint="default"/>
                <w:sz w:val="18"/>
                <w:szCs w:val="18"/>
              </w:rPr>
              <w:t>本公司在金融负债的现时义务全部或部分已经解除时终止确认该金融负债或其一部分。</w:t>
            </w: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480" w:lineRule="auto"/>
              <w:ind w:left="560" w:right="199"/>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、金融资产和金融负债的公允价值确定方法： </w:t>
            </w:r>
            <w:r>
              <w:rPr>
                <w:rFonts w:ascii="Times New Roman" w:hAnsi="Times New Roman" w:cs="Times New Roman" w:eastAsia="Times New Roman" w:hint="default"/>
                <w:sz w:val="18"/>
                <w:szCs w:val="18"/>
              </w:rPr>
              <w:t>a</w:t>
            </w:r>
            <w:r>
              <w:rPr>
                <w:rFonts w:ascii="宋体" w:hAnsi="宋体" w:cs="宋体" w:eastAsia="宋体" w:hint="default"/>
                <w:sz w:val="18"/>
                <w:szCs w:val="18"/>
              </w:rPr>
              <w:t>、存在活跃市场的金融资产或金融负债，将活跃市场中的报价用于确定其公允价值； </w:t>
            </w:r>
            <w:r>
              <w:rPr>
                <w:rFonts w:ascii="Times New Roman" w:hAnsi="Times New Roman" w:cs="Times New Roman" w:eastAsia="Times New Roman" w:hint="default"/>
                <w:sz w:val="18"/>
                <w:szCs w:val="18"/>
              </w:rPr>
              <w:t>b</w:t>
            </w:r>
            <w:r>
              <w:rPr>
                <w:rFonts w:ascii="宋体" w:hAnsi="宋体" w:cs="宋体" w:eastAsia="宋体" w:hint="default"/>
                <w:sz w:val="18"/>
                <w:szCs w:val="18"/>
              </w:rPr>
              <w:t>、金融资产或金融负债不存在活跃市场的，采用估值技术确定其公允价值。采用估值技术得出的结果，反映估值日在</w:t>
            </w:r>
          </w:p>
          <w:p>
            <w:pPr>
              <w:pStyle w:val="TableParagraph"/>
              <w:spacing w:line="240" w:lineRule="auto" w:before="12"/>
              <w:ind w:left="200" w:right="0"/>
              <w:jc w:val="left"/>
              <w:rPr>
                <w:rFonts w:ascii="宋体" w:hAnsi="宋体" w:cs="宋体" w:eastAsia="宋体" w:hint="default"/>
                <w:sz w:val="18"/>
                <w:szCs w:val="18"/>
              </w:rPr>
            </w:pPr>
            <w:r>
              <w:rPr>
                <w:rFonts w:ascii="宋体" w:hAnsi="宋体" w:cs="宋体" w:eastAsia="宋体" w:hint="default"/>
                <w:sz w:val="18"/>
                <w:szCs w:val="18"/>
              </w:rPr>
              <w:t>公平交易中可能采用的交易价格。</w:t>
            </w: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482" w:lineRule="auto"/>
              <w:ind w:left="560" w:right="199"/>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宋体" w:hAnsi="宋体" w:cs="宋体" w:eastAsia="宋体" w:hint="default"/>
                <w:sz w:val="18"/>
                <w:szCs w:val="18"/>
              </w:rPr>
              <w:t>、金融资产减值： </w:t>
            </w:r>
            <w:r>
              <w:rPr>
                <w:rFonts w:ascii="宋体" w:hAnsi="宋体" w:cs="宋体" w:eastAsia="宋体" w:hint="default"/>
                <w:spacing w:val="-2"/>
                <w:sz w:val="18"/>
                <w:szCs w:val="18"/>
              </w:rPr>
              <w:t>在资产负债表日对以公允价值计量且其变动计入当期损益的金融资产以外的金融资产的账面价值进行检查，有客观证据</w:t>
            </w:r>
          </w:p>
          <w:p>
            <w:pPr>
              <w:pStyle w:val="TableParagraph"/>
              <w:spacing w:line="491" w:lineRule="auto" w:before="41"/>
              <w:ind w:left="560" w:right="2458" w:hanging="361"/>
              <w:jc w:val="left"/>
              <w:rPr>
                <w:rFonts w:ascii="宋体" w:hAnsi="宋体" w:cs="宋体" w:eastAsia="宋体" w:hint="default"/>
                <w:sz w:val="18"/>
                <w:szCs w:val="18"/>
              </w:rPr>
            </w:pPr>
            <w:r>
              <w:rPr>
                <w:rFonts w:ascii="宋体" w:hAnsi="宋体" w:cs="宋体" w:eastAsia="宋体" w:hint="default"/>
                <w:sz w:val="18"/>
                <w:szCs w:val="18"/>
              </w:rPr>
              <w:t>表明该金融资产发生减值的，计提减值准备。金融资产发生减值的客观证据，包括下列各项： </w:t>
            </w:r>
            <w:r>
              <w:rPr>
                <w:rFonts w:ascii="Times New Roman" w:hAnsi="Times New Roman" w:cs="Times New Roman" w:eastAsia="Times New Roman" w:hint="default"/>
                <w:sz w:val="18"/>
                <w:szCs w:val="18"/>
              </w:rPr>
              <w:t>a</w:t>
            </w:r>
            <w:r>
              <w:rPr>
                <w:rFonts w:ascii="宋体" w:hAnsi="宋体" w:cs="宋体" w:eastAsia="宋体" w:hint="default"/>
                <w:sz w:val="18"/>
                <w:szCs w:val="18"/>
              </w:rPr>
              <w:t>、发行方或债务人发生严重财务困难； </w:t>
            </w:r>
            <w:r>
              <w:rPr>
                <w:rFonts w:ascii="Times New Roman" w:hAnsi="Times New Roman" w:cs="Times New Roman" w:eastAsia="Times New Roman" w:hint="default"/>
                <w:sz w:val="18"/>
                <w:szCs w:val="18"/>
              </w:rPr>
              <w:t>b</w:t>
            </w:r>
            <w:r>
              <w:rPr>
                <w:rFonts w:ascii="宋体" w:hAnsi="宋体" w:cs="宋体" w:eastAsia="宋体" w:hint="default"/>
                <w:sz w:val="18"/>
                <w:szCs w:val="18"/>
              </w:rPr>
              <w:t>、债务人违反了合同条款，如偿付利息或本金发生违约或逾期等； </w:t>
            </w:r>
            <w:r>
              <w:rPr>
                <w:rFonts w:ascii="Times New Roman" w:hAnsi="Times New Roman" w:cs="Times New Roman" w:eastAsia="Times New Roman" w:hint="default"/>
                <w:sz w:val="18"/>
                <w:szCs w:val="18"/>
              </w:rPr>
              <w:t>c</w:t>
            </w:r>
            <w:r>
              <w:rPr>
                <w:rFonts w:ascii="宋体" w:hAnsi="宋体" w:cs="宋体" w:eastAsia="宋体" w:hint="default"/>
                <w:sz w:val="18"/>
                <w:szCs w:val="18"/>
              </w:rPr>
              <w:t>、本公司出于经济或法律等方面因素的考虑，对发生困难的债务人作出让步；</w:t>
            </w:r>
          </w:p>
          <w:p>
            <w:pPr>
              <w:pStyle w:val="TableParagraph"/>
              <w:spacing w:line="480" w:lineRule="auto" w:before="43"/>
              <w:ind w:left="560" w:right="958"/>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、债务人很可能倒闭或进行其他财务重组； </w:t>
            </w:r>
            <w:r>
              <w:rPr>
                <w:rFonts w:ascii="Times New Roman" w:hAnsi="Times New Roman" w:cs="Times New Roman" w:eastAsia="Times New Roman" w:hint="default"/>
                <w:sz w:val="18"/>
                <w:szCs w:val="18"/>
              </w:rPr>
              <w:t>e</w:t>
            </w:r>
            <w:r>
              <w:rPr>
                <w:rFonts w:ascii="宋体" w:hAnsi="宋体" w:cs="宋体" w:eastAsia="宋体" w:hint="default"/>
                <w:sz w:val="18"/>
                <w:szCs w:val="18"/>
              </w:rPr>
              <w:t>、因发行方发生重大财务困难，该金融资产无法在活跃市场继续交易； </w:t>
            </w:r>
            <w:r>
              <w:rPr>
                <w:rFonts w:ascii="Times New Roman" w:hAnsi="Times New Roman" w:cs="Times New Roman" w:eastAsia="Times New Roman" w:hint="default"/>
                <w:sz w:val="18"/>
                <w:szCs w:val="18"/>
              </w:rPr>
              <w:t>f</w:t>
            </w:r>
            <w:r>
              <w:rPr>
                <w:rFonts w:ascii="宋体" w:hAnsi="宋体" w:cs="宋体" w:eastAsia="宋体" w:hint="default"/>
                <w:sz w:val="18"/>
                <w:szCs w:val="18"/>
              </w:rPr>
              <w:t>、债务人经营所处的技术、市场、经济和法律环境等发生重大不利变化，使本公司可能无法收回投资成本；</w:t>
            </w:r>
          </w:p>
          <w:p>
            <w:pPr>
              <w:pStyle w:val="TableParagraph"/>
              <w:spacing w:line="441" w:lineRule="auto" w:before="53"/>
              <w:ind w:left="200" w:right="20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g</w:t>
            </w:r>
            <w:r>
              <w:rPr>
                <w:rFonts w:ascii="宋体" w:hAnsi="宋体" w:cs="宋体" w:eastAsia="宋体" w:hint="default"/>
                <w:sz w:val="18"/>
                <w:szCs w:val="18"/>
              </w:rPr>
              <w:t>、无法辨认一组金融资产中的某项资产的现金流量是否已经减少，但根据公开的数据对其进行总体评价后发现，该组 金融资产自初始确认以来的预计未来现金流量确已减少且可计量；</w:t>
            </w:r>
          </w:p>
          <w:p>
            <w:pPr>
              <w:pStyle w:val="TableParagraph"/>
              <w:spacing w:line="480" w:lineRule="auto" w:before="115"/>
              <w:ind w:left="560" w:right="5066"/>
              <w:jc w:val="left"/>
              <w:rPr>
                <w:rFonts w:ascii="宋体" w:hAnsi="宋体" w:cs="宋体" w:eastAsia="宋体" w:hint="default"/>
                <w:sz w:val="18"/>
                <w:szCs w:val="18"/>
              </w:rPr>
            </w:pPr>
            <w:r>
              <w:rPr>
                <w:rFonts w:ascii="Times New Roman" w:hAnsi="Times New Roman" w:cs="Times New Roman" w:eastAsia="Times New Roman" w:hint="default"/>
                <w:sz w:val="18"/>
                <w:szCs w:val="18"/>
              </w:rPr>
              <w:t>h</w:t>
            </w:r>
            <w:r>
              <w:rPr>
                <w:rFonts w:ascii="宋体" w:hAnsi="宋体" w:cs="宋体" w:eastAsia="宋体" w:hint="default"/>
                <w:sz w:val="18"/>
                <w:szCs w:val="18"/>
              </w:rPr>
              <w:t>、权益工具投资的公允价值发生严重或非暂时性下跌； </w:t>
            </w:r>
            <w:r>
              <w:rPr>
                <w:rFonts w:ascii="Times New Roman" w:hAnsi="Times New Roman" w:cs="Times New Roman" w:eastAsia="Times New Roman" w:hint="default"/>
                <w:sz w:val="18"/>
                <w:szCs w:val="18"/>
              </w:rPr>
              <w:t>i</w:t>
            </w:r>
            <w:r>
              <w:rPr>
                <w:rFonts w:ascii="宋体" w:hAnsi="宋体" w:cs="宋体" w:eastAsia="宋体" w:hint="default"/>
                <w:sz w:val="18"/>
                <w:szCs w:val="18"/>
              </w:rPr>
              <w:t>、其他表明金融资产发生减值的客观证据。 </w:t>
            </w:r>
            <w:r>
              <w:rPr>
                <w:rFonts w:ascii="Times New Roman" w:hAnsi="Times New Roman" w:cs="Times New Roman" w:eastAsia="Times New Roman" w:hint="default"/>
                <w:sz w:val="18"/>
                <w:szCs w:val="18"/>
              </w:rPr>
              <w:t>G</w:t>
            </w:r>
            <w:r>
              <w:rPr>
                <w:rFonts w:ascii="宋体" w:hAnsi="宋体" w:cs="宋体" w:eastAsia="宋体" w:hint="default"/>
                <w:sz w:val="18"/>
                <w:szCs w:val="18"/>
              </w:rPr>
              <w:t>、金融资产减值损失的计量：</w:t>
            </w:r>
          </w:p>
          <w:p>
            <w:pPr>
              <w:pStyle w:val="TableParagraph"/>
              <w:spacing w:line="482" w:lineRule="auto" w:before="53"/>
              <w:ind w:left="560" w:right="20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、以公允价值计量且其变动计入当期损益的金融资产不需要进行减值测试； </w:t>
            </w:r>
            <w:r>
              <w:rPr>
                <w:rFonts w:ascii="Times New Roman" w:hAnsi="Times New Roman" w:cs="Times New Roman" w:eastAsia="Times New Roman" w:hint="default"/>
                <w:sz w:val="18"/>
                <w:szCs w:val="18"/>
              </w:rPr>
              <w:t>b</w:t>
            </w:r>
            <w:r>
              <w:rPr>
                <w:rFonts w:ascii="宋体" w:hAnsi="宋体" w:cs="宋体" w:eastAsia="宋体" w:hint="default"/>
                <w:sz w:val="18"/>
                <w:szCs w:val="18"/>
              </w:rPr>
              <w:t>、持有至到期投资的减值损失的计量：按预计未来现金流现值低于期末账面价值的差额计提减值准备； </w:t>
            </w:r>
            <w:r>
              <w:rPr>
                <w:rFonts w:ascii="Times New Roman" w:hAnsi="Times New Roman" w:cs="Times New Roman" w:eastAsia="Times New Roman" w:hint="default"/>
                <w:sz w:val="18"/>
                <w:szCs w:val="18"/>
              </w:rPr>
              <w:t>c</w:t>
            </w:r>
            <w:r>
              <w:rPr>
                <w:rFonts w:ascii="宋体" w:hAnsi="宋体" w:cs="宋体" w:eastAsia="宋体" w:hint="default"/>
                <w:sz w:val="18"/>
                <w:szCs w:val="18"/>
              </w:rPr>
              <w:t>、应收款项减值损失的计量在附注二、</w:t>
            </w:r>
            <w:r>
              <w:rPr>
                <w:rFonts w:ascii="Times New Roman" w:hAnsi="Times New Roman" w:cs="Times New Roman" w:eastAsia="Times New Roman" w:hint="default"/>
                <w:sz w:val="18"/>
                <w:szCs w:val="18"/>
              </w:rPr>
              <w:t>10</w:t>
            </w:r>
            <w:r>
              <w:rPr>
                <w:rFonts w:ascii="宋体" w:hAnsi="宋体" w:cs="宋体" w:eastAsia="宋体" w:hint="default"/>
                <w:sz w:val="18"/>
                <w:szCs w:val="18"/>
              </w:rPr>
              <w:t>、应收款项中说明； </w:t>
            </w:r>
            <w:r>
              <w:rPr>
                <w:rFonts w:ascii="Times New Roman" w:hAnsi="Times New Roman" w:cs="Times New Roman" w:eastAsia="Times New Roman" w:hint="default"/>
                <w:sz w:val="18"/>
                <w:szCs w:val="18"/>
              </w:rPr>
              <w:t>d</w:t>
            </w:r>
            <w:r>
              <w:rPr>
                <w:rFonts w:ascii="宋体" w:hAnsi="宋体" w:cs="宋体" w:eastAsia="宋体" w:hint="default"/>
                <w:sz w:val="18"/>
                <w:szCs w:val="18"/>
              </w:rPr>
              <w:t>、可供出售的金融资产减值的判断：若该项金融资产公允价值出现持续下降，且其下降属于非暂时性的，则可认定该</w:t>
            </w:r>
          </w:p>
          <w:p>
            <w:pPr>
              <w:pStyle w:val="TableParagraph"/>
              <w:spacing w:line="240" w:lineRule="auto" w:before="8"/>
              <w:ind w:left="200" w:right="0"/>
              <w:jc w:val="left"/>
              <w:rPr>
                <w:rFonts w:ascii="宋体" w:hAnsi="宋体" w:cs="宋体" w:eastAsia="宋体" w:hint="default"/>
                <w:sz w:val="18"/>
                <w:szCs w:val="18"/>
              </w:rPr>
            </w:pPr>
            <w:r>
              <w:rPr>
                <w:rFonts w:ascii="宋体" w:hAnsi="宋体" w:cs="宋体" w:eastAsia="宋体" w:hint="default"/>
                <w:sz w:val="18"/>
                <w:szCs w:val="18"/>
              </w:rPr>
              <w:t>项金融资产发生了减值。</w:t>
            </w:r>
          </w:p>
        </w:tc>
      </w:tr>
      <w:tr>
        <w:trPr>
          <w:trHeight w:val="2346" w:hRule="exact"/>
        </w:trPr>
        <w:tc>
          <w:tcPr>
            <w:tcW w:w="10041" w:type="dxa"/>
            <w:tcBorders>
              <w:top w:val="nil" w:sz="6" w:space="0" w:color="auto"/>
              <w:left w:val="nil" w:sz="6" w:space="0" w:color="auto"/>
              <w:bottom w:val="nil" w:sz="6" w:space="0" w:color="auto"/>
              <w:right w:val="nil" w:sz="6" w:space="0" w:color="auto"/>
            </w:tcBorders>
          </w:tcPr>
          <w:p>
            <w:pPr>
              <w:pStyle w:val="TableParagraph"/>
              <w:spacing w:line="465" w:lineRule="auto" w:before="130"/>
              <w:ind w:left="200" w:right="198"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H</w:t>
            </w:r>
            <w:r>
              <w:rPr>
                <w:rFonts w:ascii="宋体" w:hAnsi="宋体" w:cs="宋体" w:eastAsia="宋体" w:hint="default"/>
                <w:spacing w:val="2"/>
                <w:sz w:val="18"/>
                <w:szCs w:val="18"/>
              </w:rPr>
              <w:t>、如果处置或重分类为其他类持有至到期投资的金额相对于本公司全部持有至到期投资在出售或重分类前的总额较</w:t>
            </w:r>
            <w:r>
              <w:rPr>
                <w:rFonts w:ascii="宋体" w:hAnsi="宋体" w:cs="宋体" w:eastAsia="宋体" w:hint="default"/>
                <w:sz w:val="18"/>
                <w:szCs w:val="18"/>
              </w:rPr>
              <w:t> </w:t>
            </w:r>
            <w:r>
              <w:rPr>
                <w:rFonts w:ascii="宋体" w:hAnsi="宋体" w:cs="宋体" w:eastAsia="宋体" w:hint="default"/>
                <w:spacing w:val="-2"/>
                <w:sz w:val="18"/>
                <w:szCs w:val="18"/>
              </w:rPr>
              <w:t>大，则本公司在处置或重分类后应立即将剩余的持有至到期投资（即全部持有至到期投资扣除已处置或重分类的部分）重分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类为可供出售金融资产。但是，遇到下列情况除外：</w:t>
            </w:r>
          </w:p>
          <w:p>
            <w:pPr>
              <w:pStyle w:val="TableParagraph"/>
              <w:spacing w:line="240" w:lineRule="auto" w:before="137"/>
              <w:ind w:left="56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24"/>
                <w:sz w:val="18"/>
                <w:szCs w:val="18"/>
              </w:rPr>
              <w:t>、</w:t>
            </w:r>
            <w:r>
              <w:rPr>
                <w:rFonts w:ascii="宋体" w:hAnsi="宋体" w:cs="宋体" w:eastAsia="宋体" w:hint="default"/>
                <w:sz w:val="18"/>
                <w:szCs w:val="18"/>
              </w:rPr>
              <w:t>出售日或重分类日距离该项投资到期日或赎回日较</w:t>
            </w:r>
            <w:r>
              <w:rPr>
                <w:rFonts w:ascii="宋体" w:hAnsi="宋体" w:cs="宋体" w:eastAsia="宋体" w:hint="default"/>
                <w:spacing w:val="-24"/>
                <w:sz w:val="18"/>
                <w:szCs w:val="18"/>
              </w:rPr>
              <w:t>近</w:t>
            </w:r>
            <w:r>
              <w:rPr>
                <w:rFonts w:ascii="宋体" w:hAnsi="宋体" w:cs="宋体" w:eastAsia="宋体" w:hint="default"/>
                <w:sz w:val="18"/>
                <w:szCs w:val="18"/>
              </w:rPr>
              <w:t>（如到期前三个月内</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且市场利</w:t>
            </w:r>
            <w:r>
              <w:rPr>
                <w:rFonts w:ascii="宋体" w:hAnsi="宋体" w:cs="宋体" w:eastAsia="宋体" w:hint="default"/>
                <w:spacing w:val="2"/>
                <w:sz w:val="18"/>
                <w:szCs w:val="18"/>
              </w:rPr>
              <w:t>率</w:t>
            </w:r>
            <w:r>
              <w:rPr>
                <w:rFonts w:ascii="宋体" w:hAnsi="宋体" w:cs="宋体" w:eastAsia="宋体" w:hint="default"/>
                <w:sz w:val="18"/>
                <w:szCs w:val="18"/>
              </w:rPr>
              <w:t>变化对该项投资的公允价值</w:t>
            </w: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没有显著影响；</w:t>
            </w:r>
          </w:p>
        </w:tc>
      </w:tr>
    </w:tbl>
    <w:p>
      <w:pPr>
        <w:spacing w:after="0" w:line="240" w:lineRule="auto"/>
        <w:jc w:val="left"/>
        <w:rPr>
          <w:rFonts w:ascii="宋体" w:hAnsi="宋体" w:cs="宋体" w:eastAsia="宋体" w:hint="default"/>
          <w:sz w:val="18"/>
          <w:szCs w:val="18"/>
        </w:rPr>
        <w:sectPr>
          <w:pgSz w:w="11910" w:h="16840"/>
          <w:pgMar w:header="920" w:footer="956" w:top="1140" w:bottom="1140" w:left="820" w:right="0"/>
        </w:sectPr>
      </w:pPr>
    </w:p>
    <w:p>
      <w:pPr>
        <w:spacing w:line="240" w:lineRule="auto" w:before="10"/>
        <w:rPr>
          <w:rFonts w:ascii="Times New Roman" w:hAnsi="Times New Roman" w:cs="Times New Roman" w:eastAsia="Times New Roman" w:hint="default"/>
          <w:sz w:val="21"/>
          <w:szCs w:val="21"/>
        </w:rPr>
      </w:pPr>
    </w:p>
    <w:p>
      <w:pPr>
        <w:spacing w:line="520" w:lineRule="auto" w:before="44"/>
        <w:ind w:left="59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、根据合同约定的偿付方式，本公司已收回几乎所有初始本金； </w:t>
      </w:r>
      <w:r>
        <w:rPr>
          <w:rFonts w:ascii="Times New Roman" w:hAnsi="Times New Roman" w:cs="Times New Roman" w:eastAsia="Times New Roman" w:hint="default"/>
          <w:sz w:val="18"/>
          <w:szCs w:val="18"/>
        </w:rPr>
        <w:t>c</w:t>
      </w:r>
      <w:r>
        <w:rPr>
          <w:rFonts w:ascii="宋体" w:hAnsi="宋体" w:cs="宋体" w:eastAsia="宋体" w:hint="default"/>
          <w:sz w:val="18"/>
          <w:szCs w:val="18"/>
        </w:rPr>
        <w:t>、出售或重分类是由于本公司无法控制、预期不会重复发生且难以合理预计的独立事件所引起。此种情况主要包括：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因被投资单位信用状况严重恶化，将持有至到期投资予以出售；</w:t>
      </w:r>
    </w:p>
    <w:p>
      <w:pPr>
        <w:spacing w:line="482" w:lineRule="auto" w:before="57"/>
        <w:ind w:left="232" w:right="1127"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因相关税收法规取消了持有至到期投资的利息税前可抵扣政策或显著减少了税前可抵扣金额，将持有至到期投资予以</w:t>
      </w:r>
      <w:r>
        <w:rPr>
          <w:rFonts w:ascii="宋体" w:hAnsi="宋体" w:cs="宋体" w:eastAsia="宋体" w:hint="default"/>
          <w:sz w:val="18"/>
          <w:szCs w:val="18"/>
        </w:rPr>
        <w:t> 出售；</w:t>
      </w:r>
    </w:p>
    <w:p>
      <w:pPr>
        <w:spacing w:before="122"/>
        <w:ind w:left="59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因发生重大企业合并或重大处置，为保持现行利率风险头寸或维持现行信用风险政策，将持有至到期投资予以出售；</w:t>
      </w:r>
    </w:p>
    <w:p>
      <w:pPr>
        <w:spacing w:line="240" w:lineRule="auto" w:before="3"/>
        <w:rPr>
          <w:rFonts w:ascii="宋体" w:hAnsi="宋体" w:cs="宋体" w:eastAsia="宋体" w:hint="default"/>
          <w:sz w:val="22"/>
          <w:szCs w:val="22"/>
        </w:rPr>
      </w:pPr>
    </w:p>
    <w:p>
      <w:pPr>
        <w:spacing w:line="520" w:lineRule="auto" w:before="0"/>
        <w:ind w:left="232" w:right="25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因法律、行政法规对允许投资的范围或特定投资品种的投资限额作出重大调整，将持有至到期投资 予以出售；</w:t>
      </w:r>
    </w:p>
    <w:p>
      <w:pPr>
        <w:spacing w:line="480" w:lineRule="auto" w:before="94"/>
        <w:ind w:left="232" w:right="1127"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因监管部门要求大幅度提高资产流动性或大幅度提高持有至到期投资在计算资本充足率时的风险权重，将持有至到期</w:t>
      </w:r>
      <w:r>
        <w:rPr>
          <w:rFonts w:ascii="宋体" w:hAnsi="宋体" w:cs="宋体" w:eastAsia="宋体" w:hint="default"/>
          <w:sz w:val="18"/>
          <w:szCs w:val="18"/>
        </w:rPr>
        <w:t> 投资予以出售。</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）单项金额重大并单项计提坏账准备的应收款项：</w:t>
      </w:r>
    </w:p>
    <w:p>
      <w:pPr>
        <w:spacing w:line="240" w:lineRule="auto" w:before="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3951"/>
        <w:gridCol w:w="5953"/>
      </w:tblGrid>
      <w:tr>
        <w:trPr>
          <w:trHeight w:val="1092"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期末应收账款单笔余额在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万元及以上的款项；</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期末其他应收款单笔余额在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万元及以上的款项。</w:t>
            </w:r>
          </w:p>
        </w:tc>
      </w:tr>
      <w:tr>
        <w:trPr>
          <w:trHeight w:val="1049"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953" w:type="dxa"/>
            <w:tcBorders>
              <w:top w:val="single" w:sz="4" w:space="0" w:color="000000"/>
              <w:left w:val="single" w:sz="4" w:space="0" w:color="000000"/>
              <w:bottom w:val="single" w:sz="4" w:space="0" w:color="000000"/>
              <w:right w:val="nil" w:sz="6" w:space="0" w:color="auto"/>
            </w:tcBorders>
          </w:tcPr>
          <w:p>
            <w:pPr>
              <w:pStyle w:val="TableParagraph"/>
              <w:spacing w:line="470" w:lineRule="atLeast" w:before="21"/>
              <w:ind w:left="103" w:right="106"/>
              <w:jc w:val="left"/>
              <w:rPr>
                <w:rFonts w:ascii="宋体" w:hAnsi="宋体" w:cs="宋体" w:eastAsia="宋体" w:hint="default"/>
                <w:sz w:val="18"/>
                <w:szCs w:val="18"/>
              </w:rPr>
            </w:pPr>
            <w:r>
              <w:rPr>
                <w:rFonts w:ascii="宋体" w:hAnsi="宋体" w:cs="宋体" w:eastAsia="宋体" w:hint="default"/>
                <w:spacing w:val="-1"/>
                <w:sz w:val="18"/>
                <w:szCs w:val="18"/>
              </w:rPr>
              <w:t>经减值测试后如存在减值迹象，按其未来现金流量现值低于账面价值的差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额，确认减值损失，计提坏账准备。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）按组合计提坏账准备应收款项：</w:t>
      </w:r>
    </w:p>
    <w:p>
      <w:pPr>
        <w:spacing w:line="240" w:lineRule="auto" w:before="2"/>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5083"/>
        <w:gridCol w:w="4818"/>
      </w:tblGrid>
      <w:tr>
        <w:trPr>
          <w:trHeight w:val="571" w:hRule="exact"/>
        </w:trPr>
        <w:tc>
          <w:tcPr>
            <w:tcW w:w="99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569"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4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未出现减值迹象</w:t>
            </w:r>
          </w:p>
        </w:tc>
      </w:tr>
      <w:tr>
        <w:trPr>
          <w:trHeight w:val="572"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4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未出现减值迹象</w:t>
            </w:r>
          </w:p>
        </w:tc>
      </w:tr>
      <w:tr>
        <w:trPr>
          <w:trHeight w:val="569" w:hRule="exact"/>
        </w:trPr>
        <w:tc>
          <w:tcPr>
            <w:tcW w:w="99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571"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4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r>
        <w:trPr>
          <w:trHeight w:val="571"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4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spacing w:line="240" w:lineRule="auto" w:before="5"/>
        <w:rPr>
          <w:rFonts w:ascii="宋体" w:hAnsi="宋体" w:cs="宋体" w:eastAsia="宋体" w:hint="default"/>
          <w:sz w:val="17"/>
          <w:szCs w:val="17"/>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after="0"/>
        <w:jc w:val="left"/>
        <w:rPr>
          <w:rFonts w:ascii="宋体" w:hAnsi="宋体" w:cs="宋体" w:eastAsia="宋体" w:hint="default"/>
          <w:sz w:val="18"/>
          <w:szCs w:val="18"/>
        </w:rPr>
        <w:sectPr>
          <w:pgSz w:w="11910" w:h="16840"/>
          <w:pgMar w:header="920" w:footer="956" w:top="1140" w:bottom="1140" w:left="900" w:right="0"/>
        </w:sectPr>
      </w:pPr>
    </w:p>
    <w:p>
      <w:pPr>
        <w:spacing w:line="240" w:lineRule="auto" w:before="7"/>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4943"/>
        <w:gridCol w:w="2412"/>
        <w:gridCol w:w="2549"/>
      </w:tblGrid>
      <w:tr>
        <w:trPr>
          <w:trHeight w:val="591"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590"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r>
      <w:tr>
        <w:trPr>
          <w:trHeight w:val="590"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）单项金额虽不重大但单项计提坏账准备的应收账款：</w:t>
      </w:r>
    </w:p>
    <w:p>
      <w:pPr>
        <w:spacing w:line="240" w:lineRule="auto" w:before="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3668"/>
        <w:gridCol w:w="6095"/>
      </w:tblGrid>
      <w:tr>
        <w:trPr>
          <w:trHeight w:val="590"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有明显特征表明该应收款项难以收回</w:t>
            </w:r>
          </w:p>
        </w:tc>
      </w:tr>
      <w:tr>
        <w:trPr>
          <w:trHeight w:val="590"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6"/>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11</w:t>
      </w:r>
      <w:r>
        <w:rPr>
          <w:rFonts w:ascii="宋体" w:hAnsi="宋体" w:cs="宋体" w:eastAsia="宋体" w:hint="default"/>
          <w:b/>
          <w:bCs/>
          <w:spacing w:val="-3"/>
          <w:sz w:val="21"/>
          <w:szCs w:val="21"/>
        </w:rPr>
        <w:t>、存货</w:t>
      </w:r>
      <w:r>
        <w:rPr>
          <w:rFonts w:ascii="宋体" w:hAnsi="宋体" w:cs="宋体" w:eastAsia="宋体" w:hint="default"/>
          <w:spacing w:val="-3"/>
          <w:sz w:val="21"/>
          <w:szCs w:val="21"/>
        </w:rPr>
      </w:r>
    </w:p>
    <w:p>
      <w:pPr>
        <w:spacing w:line="240" w:lineRule="auto" w:before="4"/>
        <w:rPr>
          <w:rFonts w:ascii="宋体" w:hAnsi="宋体" w:cs="宋体" w:eastAsia="宋体" w:hint="default"/>
          <w:b/>
          <w:bCs/>
          <w:sz w:val="22"/>
          <w:szCs w:val="22"/>
        </w:rPr>
      </w:pPr>
    </w:p>
    <w:p>
      <w:pPr>
        <w:spacing w:line="559" w:lineRule="auto" w:before="0"/>
        <w:ind w:left="593" w:right="1127"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）存货的分类 </w:t>
      </w:r>
      <w:r>
        <w:rPr>
          <w:rFonts w:ascii="宋体" w:hAnsi="宋体" w:cs="宋体" w:eastAsia="宋体" w:hint="default"/>
          <w:spacing w:val="-2"/>
          <w:sz w:val="18"/>
          <w:szCs w:val="18"/>
        </w:rPr>
        <w:t>存货是指企业在日常活动中持有以备出售的产成品或商品、处在生产过程中的在产品、在生产过程中或提供劳务过程中</w:t>
      </w:r>
    </w:p>
    <w:p>
      <w:pPr>
        <w:spacing w:line="511" w:lineRule="auto" w:before="24"/>
        <w:ind w:left="232" w:right="1132" w:firstLine="0"/>
        <w:jc w:val="both"/>
        <w:rPr>
          <w:rFonts w:ascii="宋体" w:hAnsi="宋体" w:cs="宋体" w:eastAsia="宋体" w:hint="default"/>
          <w:sz w:val="18"/>
          <w:szCs w:val="18"/>
        </w:rPr>
      </w:pPr>
      <w:r>
        <w:rPr>
          <w:rFonts w:ascii="宋体" w:hAnsi="宋体" w:cs="宋体" w:eastAsia="宋体" w:hint="default"/>
          <w:spacing w:val="-2"/>
          <w:sz w:val="18"/>
          <w:szCs w:val="18"/>
        </w:rPr>
        <w:t>耗用的材料和物料等，本公司存货分为原材料、周转材料（包括包装物、低值易耗品）、在产品、库存商品、发出商品等五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spacing w:line="556" w:lineRule="auto" w:before="0"/>
        <w:ind w:left="593" w:right="7873"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）发出存货的计价方法 存货发出采用加权平均法计价。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554" w:lineRule="auto" w:before="0"/>
        <w:ind w:left="593" w:right="1127"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）存货可变现净值的确定依据及存货跌价准备的计提方法 存货可变现净值系根据本公司在正常经营过程中，以估计售价减去估计完工成本及销售所必须的估计费用后的价值。 </w:t>
      </w:r>
      <w:r>
        <w:rPr>
          <w:rFonts w:ascii="宋体" w:hAnsi="宋体" w:cs="宋体" w:eastAsia="宋体" w:hint="default"/>
          <w:spacing w:val="-2"/>
          <w:sz w:val="18"/>
          <w:szCs w:val="18"/>
        </w:rPr>
        <w:t>存货跌价准备的计提方法：本公司于每年中期期末及年末在对存货进行全面盘点的基础上，对遭受损失，全部或部分陈</w:t>
      </w:r>
    </w:p>
    <w:p>
      <w:pPr>
        <w:spacing w:line="508" w:lineRule="auto" w:before="31"/>
        <w:ind w:left="232" w:right="1132" w:firstLine="0"/>
        <w:jc w:val="both"/>
        <w:rPr>
          <w:rFonts w:ascii="宋体" w:hAnsi="宋体" w:cs="宋体" w:eastAsia="宋体" w:hint="default"/>
          <w:sz w:val="18"/>
          <w:szCs w:val="18"/>
        </w:rPr>
      </w:pPr>
      <w:r>
        <w:rPr>
          <w:rFonts w:ascii="宋体" w:hAnsi="宋体" w:cs="宋体" w:eastAsia="宋体" w:hint="default"/>
          <w:spacing w:val="-2"/>
          <w:sz w:val="18"/>
          <w:szCs w:val="18"/>
        </w:rPr>
        <w:t>旧过时或销售价格低于成本的存货，根据存货成本与可变现净值孰低计量，按单个存货项目对同类存货项目的可变现净值低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于存货成本的差额计提存货跌价准备，并计入当期损益。确定可变现净值时，除考虑持有目的和资产负债表日该存货的价格</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与成本波动外，还需要考虑未来事项的影响。</w:t>
      </w:r>
    </w:p>
    <w:p>
      <w:pPr>
        <w:spacing w:line="240" w:lineRule="auto" w:before="0"/>
        <w:rPr>
          <w:rFonts w:ascii="宋体" w:hAnsi="宋体" w:cs="宋体" w:eastAsia="宋体" w:hint="default"/>
          <w:sz w:val="18"/>
          <w:szCs w:val="18"/>
        </w:rPr>
      </w:pPr>
    </w:p>
    <w:p>
      <w:pPr>
        <w:spacing w:line="560" w:lineRule="atLeast" w:before="137"/>
        <w:ind w:left="593" w:right="7693"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）存货的盘存制度 存货的盘存制度采用永续盘存制。</w:t>
      </w:r>
    </w:p>
    <w:p>
      <w:pPr>
        <w:spacing w:after="0" w:line="560" w:lineRule="atLeast"/>
        <w:jc w:val="left"/>
        <w:rPr>
          <w:rFonts w:ascii="宋体" w:hAnsi="宋体" w:cs="宋体" w:eastAsia="宋体" w:hint="default"/>
          <w:sz w:val="18"/>
          <w:szCs w:val="18"/>
        </w:rPr>
        <w:sectPr>
          <w:pgSz w:w="11910" w:h="16840"/>
          <w:pgMar w:header="920" w:footer="956" w:top="1140" w:bottom="114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line="489" w:lineRule="auto" w:before="44"/>
        <w:ind w:left="473" w:right="5893"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）低值易耗品和包装物的摊销方法 低值易耗品、包装物于其领用时采用一次性摊销法摊销。</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4"/>
          <w:szCs w:val="24"/>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）投资成本的确定</w:t>
      </w:r>
    </w:p>
    <w:p>
      <w:pPr>
        <w:spacing w:line="240" w:lineRule="auto" w:before="8"/>
        <w:rPr>
          <w:rFonts w:ascii="宋体" w:hAnsi="宋体" w:cs="宋体" w:eastAsia="宋体" w:hint="default"/>
          <w:sz w:val="16"/>
          <w:szCs w:val="16"/>
        </w:rPr>
      </w:pPr>
    </w:p>
    <w:p>
      <w:pPr>
        <w:spacing w:line="388" w:lineRule="auto" w:before="0"/>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、企业合并形成的长期股权投资，按照下列规定确定投资成本：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、同一控制下的企业合并，合并方以支付现金、转让非现金资产或承担债务方式作为合并对价的，</w:t>
      </w:r>
    </w:p>
    <w:p>
      <w:pPr>
        <w:spacing w:line="410" w:lineRule="auto" w:before="36"/>
        <w:ind w:left="112" w:right="1126" w:firstLine="0"/>
        <w:jc w:val="both"/>
        <w:rPr>
          <w:rFonts w:ascii="宋体" w:hAnsi="宋体" w:cs="宋体" w:eastAsia="宋体" w:hint="default"/>
          <w:sz w:val="21"/>
          <w:szCs w:val="21"/>
        </w:rPr>
      </w:pPr>
      <w:r>
        <w:rPr>
          <w:rFonts w:ascii="宋体" w:hAnsi="宋体" w:cs="宋体" w:eastAsia="宋体" w:hint="default"/>
          <w:spacing w:val="-2"/>
          <w:sz w:val="21"/>
          <w:szCs w:val="21"/>
        </w:rPr>
        <w:t>在合并日按照取得被合并方所有者权益账面价值的份额作为长期股权投资的投资成本。长期股权投资投资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成本与支付的现金、转让的非现金资产以及所承担债务账面价值之间的差额，调整资本公积；资本公积不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足冲减的，调整留存收益。</w:t>
      </w:r>
    </w:p>
    <w:p>
      <w:pPr>
        <w:spacing w:line="410" w:lineRule="auto" w:before="46"/>
        <w:ind w:left="1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合并方以发行权益性证券作为合并对价的，在合并日按照取得被合并方所有者权益账面价值的份额作</w:t>
      </w:r>
      <w:r>
        <w:rPr>
          <w:rFonts w:ascii="宋体" w:hAnsi="宋体" w:cs="宋体" w:eastAsia="宋体" w:hint="default"/>
          <w:w w:val="100"/>
          <w:sz w:val="21"/>
          <w:szCs w:val="21"/>
        </w:rPr>
        <w:t> </w:t>
      </w:r>
      <w:r>
        <w:rPr>
          <w:rFonts w:ascii="宋体" w:hAnsi="宋体" w:cs="宋体" w:eastAsia="宋体" w:hint="default"/>
          <w:spacing w:val="-2"/>
          <w:sz w:val="21"/>
          <w:szCs w:val="21"/>
        </w:rPr>
        <w:t>为长期股权投资的投资成本。按照发行股份的面值总额作为股本，长期股权投资投资成本与所发行股份面</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值总额之间的差额，调整资本公积；资本公积不足冲减的，调整留存收益。</w:t>
      </w:r>
    </w:p>
    <w:p>
      <w:pPr>
        <w:spacing w:before="46"/>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、非同一控制下的企业合并，按照下列规定确定的合并成本作为长期股权投资的投资成本：</w:t>
      </w:r>
    </w:p>
    <w:p>
      <w:pPr>
        <w:spacing w:line="388" w:lineRule="auto" w:before="179"/>
        <w:ind w:left="11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一次交换交易实现的企业合并，合并成本为购买方在购买日为取得对被购买方的控制权而付出的资</w:t>
      </w:r>
      <w:r>
        <w:rPr>
          <w:rFonts w:ascii="宋体" w:hAnsi="宋体" w:cs="宋体" w:eastAsia="宋体" w:hint="default"/>
          <w:w w:val="100"/>
          <w:sz w:val="21"/>
          <w:szCs w:val="21"/>
        </w:rPr>
        <w:t> </w:t>
      </w:r>
      <w:r>
        <w:rPr>
          <w:rFonts w:ascii="宋体" w:hAnsi="宋体" w:cs="宋体" w:eastAsia="宋体" w:hint="default"/>
          <w:sz w:val="21"/>
          <w:szCs w:val="21"/>
        </w:rPr>
        <w:t>产、发生或承担的负债以及发行的权益性证券的公允价值。</w:t>
      </w:r>
    </w:p>
    <w:p>
      <w:pPr>
        <w:spacing w:before="65"/>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通过多次交换交易分步实现的企业合并，合并成本为每一单项交易成本之和。</w:t>
      </w:r>
    </w:p>
    <w:p>
      <w:pPr>
        <w:spacing w:before="177"/>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购买方为进行企业合并发生的各项直接相关费用也计入企业合并成本。</w:t>
      </w:r>
    </w:p>
    <w:p>
      <w:pPr>
        <w:spacing w:line="388" w:lineRule="auto" w:before="179"/>
        <w:ind w:left="11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在合并合同或协议中对可能影响合并成本的未来事项作出约定的，购买日如果估计未来事项很可能</w:t>
      </w:r>
      <w:r>
        <w:rPr>
          <w:rFonts w:ascii="宋体" w:hAnsi="宋体" w:cs="宋体" w:eastAsia="宋体" w:hint="default"/>
          <w:w w:val="100"/>
          <w:sz w:val="21"/>
          <w:szCs w:val="21"/>
        </w:rPr>
        <w:t> </w:t>
      </w:r>
      <w:r>
        <w:rPr>
          <w:rFonts w:ascii="宋体" w:hAnsi="宋体" w:cs="宋体" w:eastAsia="宋体" w:hint="default"/>
          <w:sz w:val="21"/>
          <w:szCs w:val="21"/>
        </w:rPr>
        <w:t>发生并且对合并成本的影响金额能够可靠计量的，购买方将其计入合并成本。</w:t>
      </w:r>
    </w:p>
    <w:p>
      <w:pPr>
        <w:spacing w:line="388" w:lineRule="auto" w:before="65"/>
        <w:ind w:left="112" w:right="112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、除企业合并形成的长期股权投资以外，其它方式取得的长期股权投资，按照下列规定确定其投资</w:t>
      </w:r>
      <w:r>
        <w:rPr>
          <w:rFonts w:ascii="宋体" w:hAnsi="宋体" w:cs="宋体" w:eastAsia="宋体" w:hint="default"/>
          <w:w w:val="100"/>
          <w:sz w:val="21"/>
          <w:szCs w:val="21"/>
        </w:rPr>
        <w:t> </w:t>
      </w:r>
      <w:r>
        <w:rPr>
          <w:rFonts w:ascii="宋体" w:hAnsi="宋体" w:cs="宋体" w:eastAsia="宋体" w:hint="default"/>
          <w:sz w:val="21"/>
          <w:szCs w:val="21"/>
        </w:rPr>
        <w:t>成本：</w:t>
      </w:r>
    </w:p>
    <w:p>
      <w:pPr>
        <w:spacing w:line="386" w:lineRule="auto" w:before="66"/>
        <w:ind w:left="112" w:right="113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、以支付现金取得的长期股权投资，按照实际支付的购买价款作为投资成本。投资成本包括与取得</w:t>
      </w:r>
      <w:r>
        <w:rPr>
          <w:rFonts w:ascii="宋体" w:hAnsi="宋体" w:cs="宋体" w:eastAsia="宋体" w:hint="default"/>
          <w:w w:val="100"/>
          <w:sz w:val="21"/>
          <w:szCs w:val="21"/>
        </w:rPr>
        <w:t> </w:t>
      </w:r>
      <w:r>
        <w:rPr>
          <w:rFonts w:ascii="宋体" w:hAnsi="宋体" w:cs="宋体" w:eastAsia="宋体" w:hint="default"/>
          <w:sz w:val="21"/>
          <w:szCs w:val="21"/>
        </w:rPr>
        <w:t>长期股权投资直接相关的费用、税金及其它必要支出。</w:t>
      </w:r>
    </w:p>
    <w:p>
      <w:pPr>
        <w:spacing w:line="388" w:lineRule="auto" w:before="67"/>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、以发行权益性证券取得的长期股权投资，按照发行权益性证券的公允价值作为投资成本。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、投资者投入的长期股权投资，按照投资合同或协议约定的价值作为投资成本，但合同或协议约定</w:t>
      </w:r>
    </w:p>
    <w:p>
      <w:pPr>
        <w:spacing w:before="35"/>
        <w:ind w:left="112" w:right="0" w:firstLine="0"/>
        <w:jc w:val="both"/>
        <w:rPr>
          <w:rFonts w:ascii="宋体" w:hAnsi="宋体" w:cs="宋体" w:eastAsia="宋体" w:hint="default"/>
          <w:sz w:val="21"/>
          <w:szCs w:val="21"/>
        </w:rPr>
      </w:pPr>
      <w:r>
        <w:rPr>
          <w:rFonts w:ascii="宋体" w:hAnsi="宋体" w:cs="宋体" w:eastAsia="宋体" w:hint="default"/>
          <w:sz w:val="21"/>
          <w:szCs w:val="21"/>
        </w:rPr>
        <w:t>价值不公允的除外。</w:t>
      </w:r>
    </w:p>
    <w:p>
      <w:pPr>
        <w:spacing w:line="240" w:lineRule="auto" w:before="12"/>
        <w:rPr>
          <w:rFonts w:ascii="宋体" w:hAnsi="宋体" w:cs="宋体" w:eastAsia="宋体" w:hint="default"/>
          <w:sz w:val="14"/>
          <w:szCs w:val="14"/>
        </w:rPr>
      </w:pPr>
    </w:p>
    <w:p>
      <w:pPr>
        <w:spacing w:line="388" w:lineRule="auto" w:before="0"/>
        <w:ind w:left="11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、通过非货币性资产交换取得的长期股权投资，如非货币性资产交换具有商业实质，换入的长期股</w:t>
      </w:r>
      <w:r>
        <w:rPr>
          <w:rFonts w:ascii="宋体" w:hAnsi="宋体" w:cs="宋体" w:eastAsia="宋体" w:hint="default"/>
          <w:w w:val="100"/>
          <w:sz w:val="21"/>
          <w:szCs w:val="21"/>
        </w:rPr>
        <w:t> </w:t>
      </w:r>
      <w:r>
        <w:rPr>
          <w:rFonts w:ascii="宋体" w:hAnsi="宋体" w:cs="宋体" w:eastAsia="宋体" w:hint="default"/>
          <w:spacing w:val="-2"/>
          <w:sz w:val="21"/>
          <w:szCs w:val="21"/>
        </w:rPr>
        <w:t>权投资按照公允价值和应支付的相关税费作为投资成本；如非货币资产交易不具有商业实质，换入的长期</w:t>
      </w:r>
    </w:p>
    <w:p>
      <w:pPr>
        <w:spacing w:after="0" w:line="388" w:lineRule="auto"/>
        <w:jc w:val="both"/>
        <w:rPr>
          <w:rFonts w:ascii="宋体" w:hAnsi="宋体" w:cs="宋体" w:eastAsia="宋体" w:hint="default"/>
          <w:sz w:val="21"/>
          <w:szCs w:val="21"/>
        </w:rPr>
        <w:sectPr>
          <w:pgSz w:w="11910" w:h="16840"/>
          <w:pgMar w:header="920" w:footer="956" w:top="1140" w:bottom="1140" w:left="1020" w:right="0"/>
        </w:sectPr>
      </w:pPr>
    </w:p>
    <w:p>
      <w:pPr>
        <w:spacing w:line="240" w:lineRule="auto" w:before="3"/>
        <w:rPr>
          <w:rFonts w:ascii="宋体" w:hAnsi="宋体" w:cs="宋体" w:eastAsia="宋体" w:hint="default"/>
          <w:sz w:val="14"/>
          <w:szCs w:val="14"/>
        </w:rPr>
      </w:pPr>
    </w:p>
    <w:p>
      <w:pPr>
        <w:spacing w:before="36"/>
        <w:ind w:left="112" w:right="0" w:firstLine="0"/>
        <w:jc w:val="left"/>
        <w:rPr>
          <w:rFonts w:ascii="宋体" w:hAnsi="宋体" w:cs="宋体" w:eastAsia="宋体" w:hint="default"/>
          <w:sz w:val="21"/>
          <w:szCs w:val="21"/>
        </w:rPr>
      </w:pPr>
      <w:r>
        <w:rPr>
          <w:rFonts w:ascii="宋体" w:hAnsi="宋体" w:cs="宋体" w:eastAsia="宋体" w:hint="default"/>
          <w:sz w:val="21"/>
          <w:szCs w:val="21"/>
        </w:rPr>
        <w:t>股权投资以换出资产的账面价值和应支付的相关税费作为投资成本。</w:t>
      </w:r>
    </w:p>
    <w:p>
      <w:pPr>
        <w:spacing w:line="240" w:lineRule="auto" w:before="4"/>
        <w:rPr>
          <w:rFonts w:ascii="宋体" w:hAnsi="宋体" w:cs="宋体" w:eastAsia="宋体" w:hint="default"/>
          <w:sz w:val="21"/>
          <w:szCs w:val="21"/>
        </w:rPr>
      </w:pPr>
    </w:p>
    <w:p>
      <w:pPr>
        <w:spacing w:before="0"/>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、通过债务重组取得的长期股权投资，其投资成本按照公允价值和应付的相关税费确定。</w:t>
      </w:r>
    </w:p>
    <w:p>
      <w:pPr>
        <w:spacing w:line="240" w:lineRule="auto" w:before="2"/>
        <w:rPr>
          <w:rFonts w:ascii="宋体" w:hAnsi="宋体" w:cs="宋体" w:eastAsia="宋体" w:hint="default"/>
          <w:sz w:val="25"/>
          <w:szCs w:val="2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）后续计量及损益确认方法</w:t>
      </w:r>
    </w:p>
    <w:p>
      <w:pPr>
        <w:spacing w:line="240" w:lineRule="auto" w:before="2"/>
        <w:rPr>
          <w:rFonts w:ascii="宋体" w:hAnsi="宋体" w:cs="宋体" w:eastAsia="宋体" w:hint="default"/>
          <w:sz w:val="19"/>
          <w:szCs w:val="19"/>
        </w:rPr>
      </w:pPr>
    </w:p>
    <w:p>
      <w:pPr>
        <w:spacing w:line="412" w:lineRule="auto" w:before="0"/>
        <w:ind w:left="112" w:right="113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、本公司能够对被投资单位实施控制的长期股权投资或本公司对被投资单位不具有共同控制或重大</w:t>
      </w:r>
      <w:r>
        <w:rPr>
          <w:rFonts w:ascii="宋体" w:hAnsi="宋体" w:cs="宋体" w:eastAsia="宋体" w:hint="default"/>
          <w:w w:val="100"/>
          <w:sz w:val="21"/>
          <w:szCs w:val="21"/>
        </w:rPr>
        <w:t> </w:t>
      </w:r>
      <w:r>
        <w:rPr>
          <w:rFonts w:ascii="宋体" w:hAnsi="宋体" w:cs="宋体" w:eastAsia="宋体" w:hint="default"/>
          <w:sz w:val="21"/>
          <w:szCs w:val="21"/>
        </w:rPr>
        <w:t>影响，并且在活跃市场中没有报价、公允价值不能可靠计量的长期股权投资采用成本法核算。</w:t>
      </w:r>
    </w:p>
    <w:p>
      <w:pPr>
        <w:spacing w:line="508" w:lineRule="auto" w:before="158"/>
        <w:ind w:left="112" w:right="1131" w:firstLine="360"/>
        <w:jc w:val="both"/>
        <w:rPr>
          <w:rFonts w:ascii="宋体" w:hAnsi="宋体" w:cs="宋体" w:eastAsia="宋体" w:hint="default"/>
          <w:sz w:val="18"/>
          <w:szCs w:val="18"/>
        </w:rPr>
      </w:pPr>
      <w:r>
        <w:rPr>
          <w:rFonts w:ascii="宋体" w:hAnsi="宋体" w:cs="宋体" w:eastAsia="宋体" w:hint="default"/>
          <w:spacing w:val="-2"/>
          <w:sz w:val="18"/>
          <w:szCs w:val="18"/>
        </w:rPr>
        <w:t>采用成本法核算的长期股权投资按照投资成本计价。追加或收回投资时调整长期股权投资的成本。被投资单位宣告分派</w:t>
      </w:r>
      <w:r>
        <w:rPr>
          <w:rFonts w:ascii="宋体" w:hAnsi="宋体" w:cs="宋体" w:eastAsia="宋体" w:hint="default"/>
          <w:sz w:val="18"/>
          <w:szCs w:val="18"/>
        </w:rPr>
        <w:t> </w:t>
      </w:r>
      <w:r>
        <w:rPr>
          <w:rFonts w:ascii="宋体" w:hAnsi="宋体" w:cs="宋体" w:eastAsia="宋体" w:hint="default"/>
          <w:spacing w:val="-2"/>
          <w:sz w:val="18"/>
          <w:szCs w:val="18"/>
        </w:rPr>
        <w:t>的现金股利或利润，除取得投资时实际支付的价款或对价中包含的已宣告但尚未发放的现金股利或利润外，本公司按照享有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被投资单位宣告发放的现金股利或利润确认当期投资收益。</w:t>
      </w:r>
    </w:p>
    <w:p>
      <w:pPr>
        <w:spacing w:line="520" w:lineRule="auto" w:before="103"/>
        <w:ind w:left="533" w:right="0" w:hanging="6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、本公司对被投资单位具有共同控制或重大影响的长期股权投资采用权益法核算。 长期股权投资的投资成本大于投资时应享有被投资单位可辨认净资产公允价值份额的，不调整长期股权投资的投资成</w:t>
      </w:r>
    </w:p>
    <w:p>
      <w:pPr>
        <w:spacing w:line="511" w:lineRule="auto" w:before="53"/>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本；长期股权投资的投资成本小于投资时应享有被投资单位可辨认净资产公允价值份额的，其差额计入当期损益，同时调整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长期股权投资的成本。</w:t>
      </w:r>
    </w:p>
    <w:p>
      <w:pPr>
        <w:spacing w:line="508" w:lineRule="auto" w:before="101"/>
        <w:ind w:left="112" w:right="1128" w:firstLine="480"/>
        <w:jc w:val="both"/>
        <w:rPr>
          <w:rFonts w:ascii="宋体" w:hAnsi="宋体" w:cs="宋体" w:eastAsia="宋体" w:hint="default"/>
          <w:sz w:val="18"/>
          <w:szCs w:val="18"/>
        </w:rPr>
      </w:pPr>
      <w:r>
        <w:rPr>
          <w:rFonts w:ascii="宋体" w:hAnsi="宋体" w:cs="宋体" w:eastAsia="宋体" w:hint="default"/>
          <w:spacing w:val="-1"/>
          <w:sz w:val="18"/>
          <w:szCs w:val="18"/>
        </w:rPr>
        <w:t>本公司取得长期股权投资后，按照应享有或应分担的被投资单位实现的净损益的份额，确认投资损益并调整长期股权</w:t>
      </w:r>
      <w:r>
        <w:rPr>
          <w:rFonts w:ascii="宋体" w:hAnsi="宋体" w:cs="宋体" w:eastAsia="宋体" w:hint="default"/>
          <w:sz w:val="18"/>
          <w:szCs w:val="18"/>
        </w:rPr>
        <w:t> </w:t>
      </w:r>
      <w:r>
        <w:rPr>
          <w:rFonts w:ascii="宋体" w:hAnsi="宋体" w:cs="宋体" w:eastAsia="宋体" w:hint="default"/>
          <w:spacing w:val="-2"/>
          <w:sz w:val="18"/>
          <w:szCs w:val="18"/>
        </w:rPr>
        <w:t>投资的账面价值；按照被投资单位宣告分派的利润或现金股利计算应分得的部分，相应减少长期股权投资的账面价值。本公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司确认被投资单位发生的净亏损，以长期股权投资的账面价值以及其他实质上构成对被投资单位净投资的长期权益减记至零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为限，本公司负有承担额外损失义务的除外。被投资单位以后实现净利润的，投资企业在其收益分享额弥补未确认的亏损分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担额后，恢复确认收益分享额。</w:t>
      </w:r>
    </w:p>
    <w:p>
      <w:pPr>
        <w:spacing w:line="508" w:lineRule="auto" w:before="103"/>
        <w:ind w:left="112" w:right="1133" w:firstLine="420"/>
        <w:jc w:val="both"/>
        <w:rPr>
          <w:rFonts w:ascii="宋体" w:hAnsi="宋体" w:cs="宋体" w:eastAsia="宋体" w:hint="default"/>
          <w:sz w:val="18"/>
          <w:szCs w:val="18"/>
        </w:rPr>
      </w:pPr>
      <w:r>
        <w:rPr>
          <w:rFonts w:ascii="宋体" w:hAnsi="宋体" w:cs="宋体" w:eastAsia="宋体" w:hint="default"/>
          <w:sz w:val="18"/>
          <w:szCs w:val="18"/>
        </w:rPr>
        <w:t>在确认应享有被投资单位净损益的份额时，以取得投资时被投资单位各项可辨认资产等的公允价值为基础，对被投资 </w:t>
      </w:r>
      <w:r>
        <w:rPr>
          <w:rFonts w:ascii="宋体" w:hAnsi="宋体" w:cs="宋体" w:eastAsia="宋体" w:hint="default"/>
          <w:spacing w:val="-2"/>
          <w:sz w:val="18"/>
          <w:szCs w:val="18"/>
        </w:rPr>
        <w:t>单位的净利润进行调整后确认。被投资单位采用的会计政策及会计期间与投资企业不一致的，按照投资企业的会计政策及会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计期间对被投资单位的财务报表进行调整，并据以确认投资损益。</w:t>
      </w:r>
    </w:p>
    <w:p>
      <w:pPr>
        <w:spacing w:before="103"/>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、处置长期股权投资，其账面价值与实际取得价款的差额，计入当期损益。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line="559" w:lineRule="auto" w:before="0"/>
        <w:ind w:left="473" w:right="0"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）确定对被投资单位具有共同控制、重大影响的依据 </w:t>
      </w:r>
      <w:r>
        <w:rPr>
          <w:rFonts w:ascii="宋体" w:hAnsi="宋体" w:cs="宋体" w:eastAsia="宋体" w:hint="default"/>
          <w:spacing w:val="-2"/>
          <w:sz w:val="18"/>
          <w:szCs w:val="18"/>
        </w:rPr>
        <w:t>共同控制，是指按照合同约定对某项经济活动所共有的控制，仅在与该项经济活动相关的重要财务和经营决策需要分享</w:t>
      </w:r>
    </w:p>
    <w:p>
      <w:pPr>
        <w:spacing w:line="549" w:lineRule="auto" w:before="24"/>
        <w:ind w:left="509" w:right="0" w:hanging="397"/>
        <w:jc w:val="left"/>
        <w:rPr>
          <w:rFonts w:ascii="宋体" w:hAnsi="宋体" w:cs="宋体" w:eastAsia="宋体" w:hint="default"/>
          <w:sz w:val="18"/>
          <w:szCs w:val="18"/>
        </w:rPr>
      </w:pPr>
      <w:r>
        <w:rPr>
          <w:rFonts w:ascii="宋体" w:hAnsi="宋体" w:cs="宋体" w:eastAsia="宋体" w:hint="default"/>
          <w:sz w:val="18"/>
          <w:szCs w:val="18"/>
        </w:rPr>
        <w:t>控制权的投资方一致同意时存在。 重大影响，是指对一个企业的财务和经营政策有参与决策的权力，但并不能够控制或者与其他方一起共同控制这些政</w:t>
      </w:r>
    </w:p>
    <w:p>
      <w:pPr>
        <w:spacing w:before="33"/>
        <w:ind w:left="112" w:right="0" w:firstLine="0"/>
        <w:jc w:val="left"/>
        <w:rPr>
          <w:rFonts w:ascii="宋体" w:hAnsi="宋体" w:cs="宋体" w:eastAsia="宋体" w:hint="default"/>
          <w:sz w:val="18"/>
          <w:szCs w:val="18"/>
        </w:rPr>
      </w:pPr>
      <w:r>
        <w:rPr>
          <w:rFonts w:ascii="宋体" w:hAnsi="宋体" w:cs="宋体" w:eastAsia="宋体" w:hint="default"/>
          <w:sz w:val="18"/>
          <w:szCs w:val="18"/>
        </w:rPr>
        <w:t>策的制定。</w:t>
      </w:r>
    </w:p>
    <w:p>
      <w:pPr>
        <w:spacing w:after="0"/>
        <w:jc w:val="left"/>
        <w:rPr>
          <w:rFonts w:ascii="宋体" w:hAnsi="宋体" w:cs="宋体" w:eastAsia="宋体" w:hint="default"/>
          <w:sz w:val="18"/>
          <w:szCs w:val="18"/>
        </w:rPr>
        <w:sectPr>
          <w:pgSz w:w="11910" w:h="16840"/>
          <w:pgMar w:header="920" w:footer="956" w:top="1140" w:bottom="114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line="561" w:lineRule="auto" w:before="44"/>
        <w:ind w:left="493" w:right="1119"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）减值测试方法及减值准备计提方法 </w:t>
      </w:r>
      <w:r>
        <w:rPr>
          <w:rFonts w:ascii="宋体" w:hAnsi="宋体" w:cs="宋体" w:eastAsia="宋体" w:hint="default"/>
          <w:spacing w:val="-2"/>
          <w:sz w:val="18"/>
          <w:szCs w:val="18"/>
        </w:rPr>
        <w:t>资产负债表日对长期股权投资逐项进行检查，判断长期股权投资是否存在可能发生减值的迹象。如果存在被投资单位经</w:t>
      </w:r>
    </w:p>
    <w:p>
      <w:pPr>
        <w:spacing w:line="508" w:lineRule="auto" w:before="22"/>
        <w:ind w:left="132" w:right="1130" w:firstLine="0"/>
        <w:jc w:val="both"/>
        <w:rPr>
          <w:rFonts w:ascii="宋体" w:hAnsi="宋体" w:cs="宋体" w:eastAsia="宋体" w:hint="default"/>
          <w:sz w:val="18"/>
          <w:szCs w:val="18"/>
        </w:rPr>
      </w:pPr>
      <w:r>
        <w:rPr>
          <w:rFonts w:ascii="宋体" w:hAnsi="宋体" w:cs="宋体" w:eastAsia="宋体" w:hint="default"/>
          <w:spacing w:val="-2"/>
          <w:sz w:val="18"/>
          <w:szCs w:val="18"/>
        </w:rPr>
        <w:t>营状况恶化等减值迹象的，则估计其可收回金额。可收回金额的计量结果表明，长期股权投资的可收回金额低于其账面价值</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的，将长期股权投资的账面价值减记至可收回金额，减记的金额确认为资产减值损失，计入当期损益，同时计提相应的长期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投资减值准备。长期投资减值损失一经确认，在以后会计期间不再转回。</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spacing w:before="0"/>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08" w:lineRule="auto" w:before="0"/>
        <w:ind w:left="132" w:right="1341" w:firstLine="463"/>
        <w:jc w:val="left"/>
        <w:rPr>
          <w:rFonts w:ascii="宋体" w:hAnsi="宋体" w:cs="宋体" w:eastAsia="宋体" w:hint="default"/>
          <w:sz w:val="18"/>
          <w:szCs w:val="18"/>
        </w:rPr>
      </w:pPr>
      <w:r>
        <w:rPr>
          <w:rFonts w:ascii="宋体" w:hAnsi="宋体" w:cs="宋体" w:eastAsia="宋体" w:hint="default"/>
          <w:spacing w:val="-1"/>
          <w:sz w:val="18"/>
          <w:szCs w:val="18"/>
        </w:rPr>
        <w:t>投资性房地产是指为赚取租金或资本增值，或两者兼有而持有的房地产，包括已出租的土地使用权、持有并准备增</w:t>
      </w:r>
      <w:r>
        <w:rPr>
          <w:rFonts w:ascii="宋体" w:hAnsi="宋体" w:cs="宋体" w:eastAsia="宋体" w:hint="default"/>
          <w:sz w:val="18"/>
          <w:szCs w:val="18"/>
        </w:rPr>
        <w:t> 值后转让的土地使用权、已出租的建筑物。</w:t>
      </w:r>
    </w:p>
    <w:p>
      <w:pPr>
        <w:spacing w:line="511" w:lineRule="auto" w:before="103"/>
        <w:ind w:left="132" w:right="1341" w:firstLine="463"/>
        <w:jc w:val="left"/>
        <w:rPr>
          <w:rFonts w:ascii="宋体" w:hAnsi="宋体" w:cs="宋体" w:eastAsia="宋体" w:hint="default"/>
          <w:sz w:val="18"/>
          <w:szCs w:val="18"/>
        </w:rPr>
      </w:pPr>
      <w:r>
        <w:rPr>
          <w:rFonts w:ascii="宋体" w:hAnsi="宋体" w:cs="宋体" w:eastAsia="宋体" w:hint="default"/>
          <w:spacing w:val="-1"/>
          <w:sz w:val="18"/>
          <w:szCs w:val="18"/>
        </w:rPr>
        <w:t>投资性房地产按照成本进行初始计量，采用成本模式进行后续计量，并采用与固定资产、无形资产相同的方法计提</w:t>
      </w:r>
      <w:r>
        <w:rPr>
          <w:rFonts w:ascii="宋体" w:hAnsi="宋体" w:cs="宋体" w:eastAsia="宋体" w:hint="default"/>
          <w:sz w:val="18"/>
          <w:szCs w:val="18"/>
        </w:rPr>
        <w:t> 折旧或摊销以及计提减值准备。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7"/>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line="523" w:lineRule="auto" w:before="0"/>
        <w:ind w:left="553" w:right="1153" w:hanging="4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）固定资产确认条件 固定资产指为生产商品、提供劳务、出租或经营管理而持有的，使用寿命超过一个会计年度的有形资产。固定资产以</w:t>
      </w:r>
    </w:p>
    <w:p>
      <w:pPr>
        <w:spacing w:line="508" w:lineRule="auto" w:before="51"/>
        <w:ind w:left="132" w:right="1128" w:firstLine="0"/>
        <w:jc w:val="both"/>
        <w:rPr>
          <w:rFonts w:ascii="宋体" w:hAnsi="宋体" w:cs="宋体" w:eastAsia="宋体" w:hint="default"/>
          <w:sz w:val="18"/>
          <w:szCs w:val="18"/>
        </w:rPr>
      </w:pPr>
      <w:r>
        <w:rPr>
          <w:rFonts w:ascii="宋体" w:hAnsi="宋体" w:cs="宋体" w:eastAsia="宋体" w:hint="default"/>
          <w:spacing w:val="-2"/>
          <w:sz w:val="18"/>
          <w:szCs w:val="18"/>
        </w:rPr>
        <w:t>实际成本进行初始计量。当与该固定资产有关的经济利益很可能流入企业，且该固定资产的成本能够可靠地计量时，确认固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）各类固定资产的折旧方法</w:t>
      </w:r>
    </w:p>
    <w:p>
      <w:pPr>
        <w:spacing w:line="240" w:lineRule="auto" w:before="2"/>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2372"/>
        <w:gridCol w:w="2465"/>
        <w:gridCol w:w="2552"/>
        <w:gridCol w:w="2266"/>
      </w:tblGrid>
      <w:tr>
        <w:trPr>
          <w:trHeight w:val="590" w:hRule="exact"/>
        </w:trPr>
        <w:tc>
          <w:tcPr>
            <w:tcW w:w="2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91" w:hRule="exact"/>
        </w:trPr>
        <w:tc>
          <w:tcPr>
            <w:tcW w:w="2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20-50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15" w:right="0"/>
              <w:jc w:val="left"/>
              <w:rPr>
                <w:rFonts w:ascii="Times New Roman" w:hAnsi="Times New Roman" w:cs="Times New Roman" w:eastAsia="Times New Roman" w:hint="default"/>
                <w:sz w:val="18"/>
                <w:szCs w:val="18"/>
              </w:rPr>
            </w:pPr>
            <w:r>
              <w:rPr>
                <w:rFonts w:ascii="Times New Roman"/>
                <w:sz w:val="18"/>
              </w:rPr>
              <w:t>1.8-4.5</w:t>
            </w:r>
          </w:p>
        </w:tc>
      </w:tr>
      <w:tr>
        <w:trPr>
          <w:trHeight w:val="590" w:hRule="exact"/>
        </w:trPr>
        <w:tc>
          <w:tcPr>
            <w:tcW w:w="2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81" w:right="0"/>
              <w:jc w:val="center"/>
              <w:rPr>
                <w:rFonts w:ascii="Times New Roman" w:hAnsi="Times New Roman" w:cs="Times New Roman" w:eastAsia="Times New Roman" w:hint="default"/>
                <w:sz w:val="18"/>
                <w:szCs w:val="18"/>
              </w:rPr>
            </w:pPr>
            <w:r>
              <w:rPr>
                <w:rFonts w:ascii="Times New Roman"/>
                <w:sz w:val="18"/>
              </w:rPr>
              <w:t>9-18</w:t>
            </w:r>
          </w:p>
        </w:tc>
      </w:tr>
      <w:tr>
        <w:trPr>
          <w:trHeight w:val="590" w:hRule="exact"/>
        </w:trPr>
        <w:tc>
          <w:tcPr>
            <w:tcW w:w="2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83" w:right="0"/>
              <w:jc w:val="center"/>
              <w:rPr>
                <w:rFonts w:ascii="Times New Roman" w:hAnsi="Times New Roman" w:cs="Times New Roman" w:eastAsia="Times New Roman" w:hint="default"/>
                <w:sz w:val="18"/>
                <w:szCs w:val="18"/>
              </w:rPr>
            </w:pPr>
            <w:r>
              <w:rPr>
                <w:rFonts w:ascii="Times New Roman"/>
                <w:sz w:val="18"/>
              </w:rPr>
              <w:t>18</w:t>
            </w:r>
          </w:p>
        </w:tc>
      </w:tr>
      <w:tr>
        <w:trPr>
          <w:trHeight w:val="590" w:hRule="exact"/>
        </w:trPr>
        <w:tc>
          <w:tcPr>
            <w:tcW w:w="2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83" w:right="0"/>
              <w:jc w:val="center"/>
              <w:rPr>
                <w:rFonts w:ascii="Times New Roman" w:hAnsi="Times New Roman" w:cs="Times New Roman" w:eastAsia="Times New Roman" w:hint="default"/>
                <w:sz w:val="18"/>
                <w:szCs w:val="18"/>
              </w:rPr>
            </w:pPr>
            <w:r>
              <w:rPr>
                <w:rFonts w:ascii="Times New Roman"/>
                <w:sz w:val="18"/>
              </w:rPr>
              <w:t>18</w:t>
            </w:r>
          </w:p>
        </w:tc>
      </w:tr>
    </w:tbl>
    <w:p>
      <w:pPr>
        <w:spacing w:after="0" w:line="240" w:lineRule="auto"/>
        <w:jc w:val="center"/>
        <w:rPr>
          <w:rFonts w:ascii="Times New Roman" w:hAnsi="Times New Roman" w:cs="Times New Roman" w:eastAsia="Times New Roman" w:hint="default"/>
          <w:sz w:val="18"/>
          <w:szCs w:val="18"/>
        </w:rPr>
        <w:sectPr>
          <w:pgSz w:w="11910" w:h="16840"/>
          <w:pgMar w:header="920" w:footer="956" w:top="1140" w:bottom="1140" w:left="1000" w:right="0"/>
        </w:sectPr>
      </w:pPr>
    </w:p>
    <w:p>
      <w:pPr>
        <w:spacing w:line="240" w:lineRule="auto" w:before="3"/>
        <w:rPr>
          <w:rFonts w:ascii="宋体" w:hAnsi="宋体" w:cs="宋体" w:eastAsia="宋体" w:hint="default"/>
          <w:sz w:val="19"/>
          <w:szCs w:val="19"/>
        </w:rPr>
      </w:pPr>
    </w:p>
    <w:p>
      <w:pPr>
        <w:spacing w:line="559" w:lineRule="auto" w:before="44"/>
        <w:ind w:left="473" w:right="0"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）固定资产的减值测试方法、减值准备计提方法 </w:t>
      </w:r>
      <w:r>
        <w:rPr>
          <w:rFonts w:ascii="宋体" w:hAnsi="宋体" w:cs="宋体" w:eastAsia="宋体" w:hint="default"/>
          <w:spacing w:val="-2"/>
          <w:sz w:val="18"/>
          <w:szCs w:val="18"/>
        </w:rPr>
        <w:t>资产负债表日判断固定资产是否存在可能发生减值的迹象。如果存在资产市价持续下跌，或技术陈旧、损坏、长期闲置</w:t>
      </w:r>
    </w:p>
    <w:p>
      <w:pPr>
        <w:spacing w:line="508" w:lineRule="auto" w:before="24"/>
        <w:ind w:left="112" w:right="1130" w:firstLine="0"/>
        <w:jc w:val="both"/>
        <w:rPr>
          <w:rFonts w:ascii="宋体" w:hAnsi="宋体" w:cs="宋体" w:eastAsia="宋体" w:hint="default"/>
          <w:sz w:val="18"/>
          <w:szCs w:val="18"/>
        </w:rPr>
      </w:pPr>
      <w:r>
        <w:rPr>
          <w:rFonts w:ascii="宋体" w:hAnsi="宋体" w:cs="宋体" w:eastAsia="宋体" w:hint="default"/>
          <w:spacing w:val="-2"/>
          <w:sz w:val="18"/>
          <w:szCs w:val="18"/>
        </w:rPr>
        <w:t>等减值迹象的，则估计其可收回金额。可收回金额的计量结果表明，固定资产的可收回金额低于其账面价值的，将固定资产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的账面价值减记至可收回金额，减记的金额确认为资产减值损失，计入当期损益，同时计提相应的固定资产减值准备。固定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line="559" w:lineRule="auto" w:before="0"/>
        <w:ind w:left="473" w:right="0"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）融资租入固定资产的认定依据、计价方法 </w:t>
      </w:r>
      <w:r>
        <w:rPr>
          <w:rFonts w:ascii="宋体" w:hAnsi="宋体" w:cs="宋体" w:eastAsia="宋体" w:hint="default"/>
          <w:spacing w:val="-2"/>
          <w:sz w:val="18"/>
          <w:szCs w:val="18"/>
        </w:rPr>
        <w:t>如果与某项租入固定资产有关的全部风险和报酬实质上已经转移，本公司认定为融资租赁。融资租入固定资产需按租赁</w:t>
      </w:r>
    </w:p>
    <w:p>
      <w:pPr>
        <w:spacing w:line="508" w:lineRule="auto" w:before="24"/>
        <w:ind w:left="112" w:right="1130" w:firstLine="0"/>
        <w:jc w:val="both"/>
        <w:rPr>
          <w:rFonts w:ascii="宋体" w:hAnsi="宋体" w:cs="宋体" w:eastAsia="宋体" w:hint="default"/>
          <w:sz w:val="18"/>
          <w:szCs w:val="18"/>
        </w:rPr>
      </w:pPr>
      <w:r>
        <w:rPr>
          <w:rFonts w:ascii="宋体" w:hAnsi="宋体" w:cs="宋体" w:eastAsia="宋体" w:hint="default"/>
          <w:spacing w:val="-2"/>
          <w:sz w:val="18"/>
          <w:szCs w:val="18"/>
        </w:rPr>
        <w:t>开始日租赁资产的公允价值与最低租赁付款额现值两者中的较低者，加上可直接归属于租赁项目的初始直接费用，作为租入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资产的入账价值，将最低租赁付款额作为长期应付款的入账价值，其差额作为未确认融资费用。未确认融资费用采用实际利</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率法在租赁期内分摊。租赁资产折旧采用与本公司自有应折旧资产一致的折旧政策。对于可合理确定租赁届满时将会取得其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所有权的租赁资产，在其尚可使用年限内计提折旧；无法合理确定租赁届满时将会取得其所有权的租赁资产，在租赁期与租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赁资产尚可使用年限两者中较短的期间内计提折旧。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）其他说明</w:t>
      </w:r>
    </w:p>
    <w:p>
      <w:pPr>
        <w:spacing w:line="240" w:lineRule="auto" w:before="4"/>
        <w:rPr>
          <w:rFonts w:ascii="宋体" w:hAnsi="宋体" w:cs="宋体" w:eastAsia="宋体" w:hint="default"/>
          <w:sz w:val="25"/>
          <w:szCs w:val="25"/>
        </w:rPr>
      </w:pPr>
    </w:p>
    <w:p>
      <w:pPr>
        <w:spacing w:line="549" w:lineRule="auto" w:before="0"/>
        <w:ind w:left="533" w:right="0" w:firstLine="0"/>
        <w:jc w:val="left"/>
        <w:rPr>
          <w:rFonts w:ascii="宋体" w:hAnsi="宋体" w:cs="宋体" w:eastAsia="宋体" w:hint="default"/>
          <w:sz w:val="18"/>
          <w:szCs w:val="18"/>
        </w:rPr>
      </w:pPr>
      <w:r>
        <w:rPr>
          <w:rFonts w:ascii="宋体" w:hAnsi="宋体" w:cs="宋体" w:eastAsia="宋体" w:hint="default"/>
          <w:sz w:val="18"/>
          <w:szCs w:val="18"/>
        </w:rPr>
        <w:t>固定资产的后续支出 如果不可能使流入企业的经济利益超过原先的估计，则在发生时确认为费用。如果使可能流入企业的经济利益超过了</w:t>
      </w:r>
    </w:p>
    <w:p>
      <w:pPr>
        <w:spacing w:before="34"/>
        <w:ind w:left="112" w:right="0" w:firstLine="0"/>
        <w:jc w:val="both"/>
        <w:rPr>
          <w:rFonts w:ascii="宋体" w:hAnsi="宋体" w:cs="宋体" w:eastAsia="宋体" w:hint="default"/>
          <w:sz w:val="18"/>
          <w:szCs w:val="18"/>
        </w:rPr>
      </w:pPr>
      <w:r>
        <w:rPr>
          <w:rFonts w:ascii="宋体" w:hAnsi="宋体" w:cs="宋体" w:eastAsia="宋体" w:hint="default"/>
          <w:sz w:val="18"/>
          <w:szCs w:val="18"/>
        </w:rPr>
        <w:t>原先的估计，则计入固定资产账面价值，其增计后金额不应超过该固定资产的可收回金额。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4"/>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、在建工程的核算方法</w:t>
      </w:r>
    </w:p>
    <w:p>
      <w:pPr>
        <w:spacing w:line="240" w:lineRule="auto" w:before="4"/>
        <w:rPr>
          <w:rFonts w:ascii="宋体" w:hAnsi="宋体" w:cs="宋体" w:eastAsia="宋体" w:hint="default"/>
          <w:sz w:val="22"/>
          <w:szCs w:val="22"/>
        </w:rPr>
      </w:pPr>
    </w:p>
    <w:p>
      <w:pPr>
        <w:spacing w:line="508" w:lineRule="auto" w:before="0"/>
        <w:ind w:left="112" w:right="1131" w:firstLine="360"/>
        <w:jc w:val="both"/>
        <w:rPr>
          <w:rFonts w:ascii="宋体" w:hAnsi="宋体" w:cs="宋体" w:eastAsia="宋体" w:hint="default"/>
          <w:sz w:val="18"/>
          <w:szCs w:val="18"/>
        </w:rPr>
      </w:pPr>
      <w:r>
        <w:rPr>
          <w:rFonts w:ascii="宋体" w:hAnsi="宋体" w:cs="宋体" w:eastAsia="宋体" w:hint="default"/>
          <w:spacing w:val="-2"/>
          <w:sz w:val="18"/>
          <w:szCs w:val="18"/>
        </w:rPr>
        <w:t>在建工程包括施工前期准备、正在施工中的建筑工程、安装工程、技术改造工程和大修理工程等。在建工程按照实际发</w:t>
      </w:r>
      <w:r>
        <w:rPr>
          <w:rFonts w:ascii="宋体" w:hAnsi="宋体" w:cs="宋体" w:eastAsia="宋体" w:hint="default"/>
          <w:sz w:val="18"/>
          <w:szCs w:val="18"/>
        </w:rPr>
        <w:t> </w:t>
      </w:r>
      <w:r>
        <w:rPr>
          <w:rFonts w:ascii="宋体" w:hAnsi="宋体" w:cs="宋体" w:eastAsia="宋体" w:hint="default"/>
          <w:spacing w:val="-2"/>
          <w:sz w:val="18"/>
          <w:szCs w:val="18"/>
        </w:rPr>
        <w:t>生的支出分项目核算，并在工程达到预定可使用状态时结转为固定资产。与在建工程有关的借款费用（包括借款利息、溢折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价摊销、汇兑损益等），在相关工程达到预定可使用状态前的计入工程成本，在相关工程达到预定可使用状态后的计入当期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财务费用。</w:t>
      </w:r>
    </w:p>
    <w:p>
      <w:pPr>
        <w:spacing w:before="103"/>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、在建工程减值准备</w:t>
      </w:r>
    </w:p>
    <w:p>
      <w:pPr>
        <w:spacing w:after="0"/>
        <w:jc w:val="left"/>
        <w:rPr>
          <w:rFonts w:ascii="宋体" w:hAnsi="宋体" w:cs="宋体" w:eastAsia="宋体" w:hint="default"/>
          <w:sz w:val="18"/>
          <w:szCs w:val="18"/>
        </w:rPr>
        <w:sectPr>
          <w:headerReference w:type="default" r:id="rId47"/>
          <w:pgSz w:w="11910" w:h="16840"/>
          <w:pgMar w:header="920" w:footer="956" w:top="1140" w:bottom="1140" w:left="1020" w:right="0"/>
        </w:sectPr>
      </w:pPr>
    </w:p>
    <w:p>
      <w:pPr>
        <w:spacing w:line="240" w:lineRule="auto" w:before="3"/>
        <w:rPr>
          <w:rFonts w:ascii="宋体" w:hAnsi="宋体" w:cs="宋体" w:eastAsia="宋体" w:hint="default"/>
          <w:sz w:val="19"/>
          <w:szCs w:val="19"/>
        </w:rPr>
      </w:pPr>
    </w:p>
    <w:p>
      <w:pPr>
        <w:spacing w:line="496" w:lineRule="auto" w:before="44"/>
        <w:ind w:left="112" w:right="1131" w:firstLine="360"/>
        <w:jc w:val="both"/>
        <w:rPr>
          <w:rFonts w:ascii="宋体" w:hAnsi="宋体" w:cs="宋体" w:eastAsia="宋体" w:hint="default"/>
          <w:sz w:val="18"/>
          <w:szCs w:val="18"/>
        </w:rPr>
      </w:pPr>
      <w:r>
        <w:rPr>
          <w:rFonts w:ascii="宋体" w:hAnsi="宋体" w:cs="宋体" w:eastAsia="宋体" w:hint="default"/>
          <w:spacing w:val="-4"/>
          <w:sz w:val="18"/>
          <w:szCs w:val="18"/>
        </w:rPr>
        <w:t>资产负债表日对在建工程进行全面检查，判断在建工程是否存在可能发生减值的迹象。如果存在：（</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）在建工程长期停</w:t>
      </w:r>
      <w:r>
        <w:rPr>
          <w:rFonts w:ascii="宋体" w:hAnsi="宋体" w:cs="宋体" w:eastAsia="宋体" w:hint="default"/>
          <w:sz w:val="18"/>
          <w:szCs w:val="18"/>
        </w:rPr>
        <w:t> 建并且预计在未来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年内不会重新开工；（</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）所建项目在性能上、技术上已经落后并且所带来的经济效益具有很大的不确定</w:t>
      </w:r>
      <w:r>
        <w:rPr>
          <w:rFonts w:ascii="宋体" w:hAnsi="宋体" w:cs="宋体" w:eastAsia="宋体" w:hint="default"/>
          <w:sz w:val="18"/>
          <w:szCs w:val="18"/>
        </w:rPr>
        <w:t> </w:t>
      </w:r>
      <w:r>
        <w:rPr>
          <w:rFonts w:ascii="宋体" w:hAnsi="宋体" w:cs="宋体" w:eastAsia="宋体" w:hint="default"/>
          <w:spacing w:val="-2"/>
          <w:sz w:val="18"/>
          <w:szCs w:val="18"/>
        </w:rPr>
        <w:t>性等减值迹象的，则估计其可收回金额。可收回金额的计量结果表明，在建工程的可收回金额低于其账面价值的，将在建工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程的账面价值减记至可收回金额，减记的金额确认为资产减值损失，计入当期损益，同时计提相应的在建工程减值准备。在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建工程减值损失一经确认，在以后会计期间不再转回。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line="424" w:lineRule="auto" w:before="0"/>
        <w:ind w:left="112" w:right="1131"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、企业发生的借款费用，可直接归属于符合资本化条件的资产的购建或者生产的，予以资本化，计</w:t>
      </w:r>
      <w:r>
        <w:rPr>
          <w:rFonts w:ascii="宋体" w:hAnsi="宋体" w:cs="宋体" w:eastAsia="宋体" w:hint="default"/>
          <w:w w:val="100"/>
          <w:sz w:val="21"/>
          <w:szCs w:val="21"/>
        </w:rPr>
        <w:t> </w:t>
      </w:r>
      <w:r>
        <w:rPr>
          <w:rFonts w:ascii="宋体" w:hAnsi="宋体" w:cs="宋体" w:eastAsia="宋体" w:hint="default"/>
          <w:spacing w:val="-2"/>
          <w:sz w:val="21"/>
          <w:szCs w:val="21"/>
        </w:rPr>
        <w:t>入相关资产成本；其他借款费用，在发生时根据其发生额确认为费用，计入当期损益。借款费用同时满足</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下列条件的，开始资本化：</w:t>
      </w:r>
    </w:p>
    <w:p>
      <w:pPr>
        <w:spacing w:line="412" w:lineRule="auto" w:before="65"/>
        <w:ind w:left="112" w:right="1222"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、资产支出已经发生，资产支出包括为购建或者生产符合资本化条件的资产而以支付现金、转移非</w:t>
      </w:r>
      <w:r>
        <w:rPr>
          <w:rFonts w:ascii="宋体" w:hAnsi="宋体" w:cs="宋体" w:eastAsia="宋体" w:hint="default"/>
          <w:w w:val="100"/>
          <w:sz w:val="21"/>
          <w:szCs w:val="21"/>
        </w:rPr>
        <w:t> </w:t>
      </w:r>
      <w:r>
        <w:rPr>
          <w:rFonts w:ascii="宋体" w:hAnsi="宋体" w:cs="宋体" w:eastAsia="宋体" w:hint="default"/>
          <w:sz w:val="21"/>
          <w:szCs w:val="21"/>
        </w:rPr>
        <w:t>现金资产或者承担带息债务形式发生的支出；</w:t>
      </w:r>
    </w:p>
    <w:p>
      <w:pPr>
        <w:spacing w:line="412" w:lineRule="auto" w:before="73"/>
        <w:ind w:left="533" w:right="1131" w:firstLine="2"/>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、借款费用已经发生；</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、为使资产达到预定可使用或者可销售状态所必要的购建或者生产活动已经开始。</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、购建或者生产符合资本化条件的资产达到预定可使用或者可销售状态时，借款费用停止资本化。</w:t>
      </w:r>
    </w:p>
    <w:p>
      <w:pPr>
        <w:spacing w:line="439" w:lineRule="auto" w:before="41"/>
        <w:ind w:left="112" w:right="0" w:firstLine="0"/>
        <w:jc w:val="left"/>
        <w:rPr>
          <w:rFonts w:ascii="宋体" w:hAnsi="宋体" w:cs="宋体" w:eastAsia="宋体" w:hint="default"/>
          <w:sz w:val="21"/>
          <w:szCs w:val="21"/>
        </w:rPr>
      </w:pPr>
      <w:r>
        <w:rPr>
          <w:rFonts w:ascii="宋体" w:hAnsi="宋体" w:cs="宋体" w:eastAsia="宋体" w:hint="default"/>
          <w:spacing w:val="-2"/>
          <w:sz w:val="21"/>
          <w:szCs w:val="21"/>
        </w:rPr>
        <w:t>在符合资本化条件的资产达到预定可使用或者可销售状态之后所发生的借款费用，在发生时根据其发生额</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确认为费用，计入当期损益。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420" w:right="0" w:firstLine="0"/>
        <w:jc w:val="left"/>
        <w:rPr>
          <w:rFonts w:ascii="宋体" w:hAnsi="宋体" w:cs="宋体" w:eastAsia="宋体" w:hint="default"/>
          <w:sz w:val="18"/>
          <w:szCs w:val="18"/>
        </w:rPr>
      </w:pPr>
      <w:r>
        <w:rPr>
          <w:rFonts w:ascii="宋体" w:hAnsi="宋体" w:cs="宋体" w:eastAsia="宋体" w:hint="default"/>
          <w:sz w:val="18"/>
          <w:szCs w:val="18"/>
        </w:rPr>
        <w:t>本公司未发生涉及生物资产的业务。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before="0"/>
        <w:ind w:left="420" w:right="0" w:firstLine="0"/>
        <w:jc w:val="left"/>
        <w:rPr>
          <w:rFonts w:ascii="宋体" w:hAnsi="宋体" w:cs="宋体" w:eastAsia="宋体" w:hint="default"/>
          <w:sz w:val="18"/>
          <w:szCs w:val="18"/>
        </w:rPr>
      </w:pPr>
      <w:r>
        <w:rPr>
          <w:rFonts w:ascii="宋体" w:hAnsi="宋体" w:cs="宋体" w:eastAsia="宋体" w:hint="default"/>
          <w:sz w:val="18"/>
          <w:szCs w:val="18"/>
        </w:rPr>
        <w:t>本公司未发生涉及油气资产的业务。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line="501" w:lineRule="auto" w:before="0"/>
        <w:ind w:left="473" w:right="2163" w:hanging="361"/>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、无形资产</w:t>
      </w:r>
      <w:r>
        <w:rPr>
          <w:rFonts w:ascii="宋体" w:hAnsi="宋体" w:cs="宋体" w:eastAsia="宋体" w:hint="default"/>
          <w:b/>
          <w:bCs/>
          <w:w w:val="100"/>
          <w:sz w:val="21"/>
          <w:szCs w:val="21"/>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、无形资产指企业拥有或控制的没有实物形态的可辨认非货币性资产，包括专有技术、土地使用权等。 </w:t>
      </w:r>
      <w:r>
        <w:rPr>
          <w:rFonts w:ascii="Times New Roman" w:hAnsi="Times New Roman" w:cs="Times New Roman" w:eastAsia="Times New Roman" w:hint="default"/>
          <w:sz w:val="18"/>
          <w:szCs w:val="18"/>
        </w:rPr>
        <w:t>B</w:t>
      </w:r>
      <w:r>
        <w:rPr>
          <w:rFonts w:ascii="宋体" w:hAnsi="宋体" w:cs="宋体" w:eastAsia="宋体" w:hint="default"/>
          <w:sz w:val="18"/>
          <w:szCs w:val="18"/>
        </w:rPr>
        <w:t>、无形资产在取得时按照实际成本计价。</w:t>
      </w:r>
    </w:p>
    <w:p>
      <w:pPr>
        <w:spacing w:after="0" w:line="501" w:lineRule="auto"/>
        <w:jc w:val="left"/>
        <w:rPr>
          <w:rFonts w:ascii="宋体" w:hAnsi="宋体" w:cs="宋体" w:eastAsia="宋体" w:hint="default"/>
          <w:sz w:val="18"/>
          <w:szCs w:val="18"/>
        </w:rPr>
        <w:sectPr>
          <w:pgSz w:w="11910" w:h="16840"/>
          <w:pgMar w:header="920" w:footer="956" w:top="1140" w:bottom="1140" w:left="1020" w:right="0"/>
        </w:sectPr>
      </w:pPr>
    </w:p>
    <w:p>
      <w:pPr>
        <w:spacing w:line="240" w:lineRule="auto" w:before="3"/>
        <w:rPr>
          <w:rFonts w:ascii="宋体" w:hAnsi="宋体" w:cs="宋体" w:eastAsia="宋体" w:hint="default"/>
          <w:sz w:val="19"/>
          <w:szCs w:val="19"/>
        </w:rPr>
      </w:pPr>
    </w:p>
    <w:p>
      <w:pPr>
        <w:spacing w:line="496" w:lineRule="auto" w:before="44"/>
        <w:ind w:left="112" w:right="1133"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、对使用寿命确定的无形资产，自无形资产可供使用时起，在使用寿命内采用直线法摊销，计入当期损益；对使用寿</w:t>
      </w:r>
      <w:r>
        <w:rPr>
          <w:rFonts w:ascii="宋体" w:hAnsi="宋体" w:cs="宋体" w:eastAsia="宋体" w:hint="default"/>
          <w:sz w:val="18"/>
          <w:szCs w:val="18"/>
        </w:rPr>
        <w:t> </w:t>
      </w:r>
      <w:r>
        <w:rPr>
          <w:rFonts w:ascii="宋体" w:hAnsi="宋体" w:cs="宋体" w:eastAsia="宋体" w:hint="default"/>
          <w:spacing w:val="-2"/>
          <w:sz w:val="18"/>
          <w:szCs w:val="18"/>
        </w:rPr>
        <w:t>命不确定的无形资产不摊销；本公司于年度终了对无形资产的使用寿命及摊销方法进行复核，使用寿命及摊销方法与以前估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计不同的，则改变摊销期限和摊销方法。</w:t>
      </w:r>
    </w:p>
    <w:p>
      <w:pPr>
        <w:spacing w:before="69"/>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、无形资产减值准备</w:t>
      </w:r>
    </w:p>
    <w:p>
      <w:pPr>
        <w:spacing w:line="240" w:lineRule="auto" w:before="4"/>
        <w:rPr>
          <w:rFonts w:ascii="宋体" w:hAnsi="宋体" w:cs="宋体" w:eastAsia="宋体" w:hint="default"/>
          <w:sz w:val="22"/>
          <w:szCs w:val="22"/>
        </w:rPr>
      </w:pPr>
    </w:p>
    <w:p>
      <w:pPr>
        <w:spacing w:line="491" w:lineRule="auto" w:before="0"/>
        <w:ind w:left="112" w:right="0" w:firstLine="360"/>
        <w:jc w:val="left"/>
        <w:rPr>
          <w:rFonts w:ascii="宋体" w:hAnsi="宋体" w:cs="宋体" w:eastAsia="宋体" w:hint="default"/>
          <w:sz w:val="18"/>
          <w:szCs w:val="18"/>
        </w:rPr>
      </w:pPr>
      <w:r>
        <w:rPr>
          <w:rFonts w:ascii="宋体" w:hAnsi="宋体" w:cs="宋体" w:eastAsia="宋体" w:hint="default"/>
          <w:spacing w:val="-4"/>
          <w:sz w:val="18"/>
          <w:szCs w:val="18"/>
        </w:rPr>
        <w:t>期末检查各项无形资产预计给本公司带来未来经济利益的能力，当存在以下情形之一时：（</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）某项无形资产已被其他新</w:t>
      </w:r>
      <w:r>
        <w:rPr>
          <w:rFonts w:ascii="宋体" w:hAnsi="宋体" w:cs="宋体" w:eastAsia="宋体" w:hint="default"/>
          <w:sz w:val="18"/>
          <w:szCs w:val="18"/>
        </w:rPr>
        <w:t> </w:t>
      </w:r>
      <w:r>
        <w:rPr>
          <w:rFonts w:ascii="宋体" w:hAnsi="宋体" w:cs="宋体" w:eastAsia="宋体" w:hint="default"/>
          <w:spacing w:val="-4"/>
          <w:sz w:val="18"/>
          <w:szCs w:val="18"/>
        </w:rPr>
        <w:t>技术等所替代，使其为企业创造经济利益的能力受到重大不利影响；（</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）某项无形资产的市价在当期大幅下跌，在剩余摊销</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4"/>
          <w:sz w:val="18"/>
          <w:szCs w:val="18"/>
        </w:rPr>
        <w:t>年限内预期不会恢复；（</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）某项无形资产已超过法律保护期限，但仍然具有部分使用价值等减值迹象的，则估计其可收回金</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2"/>
          <w:sz w:val="18"/>
          <w:szCs w:val="18"/>
        </w:rPr>
        <w:t>额。可收回金额的计量结果表明，无形资产的可收回金额低于其账面价值的，将无形资产的账面价值减记至可收回金额，减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记的金额确认为资产减值损失，计入当期损益，同时计提相应的无形资产减值准备；（</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）其他足以证明某项无形资产实质上</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已发生了减值准备情形的情况，按预计可收回金额低于账面价值的差额计提无形资产减值准备。无形资产减值损失一经确认，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line="540" w:lineRule="auto" w:before="0"/>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、长期待摊费用指应由本期和以后各期负担的分摊期限在一年以上的各项费用。 </w:t>
      </w: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、长期待摊费用在取得时按照实际成本计价，开办费在发生时计入当期损益；其他长期待摊费用按项目的受益期平均</w:t>
      </w:r>
    </w:p>
    <w:p>
      <w:pPr>
        <w:spacing w:before="22"/>
        <w:ind w:left="112" w:right="0" w:firstLine="0"/>
        <w:jc w:val="left"/>
        <w:rPr>
          <w:rFonts w:ascii="宋体" w:hAnsi="宋体" w:cs="宋体" w:eastAsia="宋体" w:hint="default"/>
          <w:sz w:val="18"/>
          <w:szCs w:val="18"/>
        </w:rPr>
      </w:pPr>
      <w:r>
        <w:rPr>
          <w:rFonts w:ascii="宋体" w:hAnsi="宋体" w:cs="宋体" w:eastAsia="宋体" w:hint="default"/>
          <w:sz w:val="18"/>
          <w:szCs w:val="18"/>
        </w:rPr>
        <w:t>摊销。对于在以后会计期间已无法带来预期经济利益的长期待摊费用，本公司对其尚未摊销的摊余价值全部转入当期损益。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、附回购条件的资产转让</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本公司未发生此项业务。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spacing w:line="499" w:lineRule="auto" w:before="0"/>
        <w:ind w:left="112" w:right="1025" w:firstLine="360"/>
        <w:jc w:val="left"/>
        <w:rPr>
          <w:rFonts w:ascii="宋体" w:hAnsi="宋体" w:cs="宋体" w:eastAsia="宋体" w:hint="default"/>
          <w:sz w:val="18"/>
          <w:szCs w:val="18"/>
        </w:rPr>
      </w:pPr>
      <w:r>
        <w:rPr>
          <w:rFonts w:ascii="Times New Roman" w:hAnsi="Times New Roman" w:cs="Times New Roman" w:eastAsia="Times New Roman" w:hint="default"/>
          <w:spacing w:val="-3"/>
          <w:w w:val="99"/>
          <w:sz w:val="18"/>
          <w:szCs w:val="18"/>
        </w:rPr>
        <w:t>A</w:t>
      </w:r>
      <w:r>
        <w:rPr>
          <w:rFonts w:ascii="宋体" w:hAnsi="宋体" w:cs="宋体" w:eastAsia="宋体" w:hint="default"/>
          <w:spacing w:val="-24"/>
          <w:sz w:val="18"/>
          <w:szCs w:val="18"/>
        </w:rPr>
        <w:t>、</w:t>
      </w:r>
      <w:r>
        <w:rPr>
          <w:rFonts w:ascii="宋体" w:hAnsi="宋体" w:cs="宋体" w:eastAsia="宋体" w:hint="default"/>
          <w:sz w:val="18"/>
          <w:szCs w:val="18"/>
        </w:rPr>
        <w:t>与或有事项相关的义务同</w:t>
      </w:r>
      <w:r>
        <w:rPr>
          <w:rFonts w:ascii="宋体" w:hAnsi="宋体" w:cs="宋体" w:eastAsia="宋体" w:hint="default"/>
          <w:spacing w:val="2"/>
          <w:sz w:val="18"/>
          <w:szCs w:val="18"/>
        </w:rPr>
        <w:t>时</w:t>
      </w:r>
      <w:r>
        <w:rPr>
          <w:rFonts w:ascii="宋体" w:hAnsi="宋体" w:cs="宋体" w:eastAsia="宋体" w:hint="default"/>
          <w:sz w:val="18"/>
          <w:szCs w:val="18"/>
        </w:rPr>
        <w:t>符合以下条件</w:t>
      </w:r>
      <w:r>
        <w:rPr>
          <w:rFonts w:ascii="宋体" w:hAnsi="宋体" w:cs="宋体" w:eastAsia="宋体" w:hint="default"/>
          <w:spacing w:val="-24"/>
          <w:sz w:val="18"/>
          <w:szCs w:val="18"/>
        </w:rPr>
        <w:t>，</w:t>
      </w:r>
      <w:r>
        <w:rPr>
          <w:rFonts w:ascii="宋体" w:hAnsi="宋体" w:cs="宋体" w:eastAsia="宋体" w:hint="default"/>
          <w:sz w:val="18"/>
          <w:szCs w:val="18"/>
        </w:rPr>
        <w:t>本公司将其确认为预计负债</w:t>
      </w:r>
      <w:r>
        <w:rPr>
          <w:rFonts w:ascii="宋体" w:hAnsi="宋体" w:cs="宋体" w:eastAsia="宋体" w:hint="default"/>
          <w:spacing w:val="-11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4"/>
          <w:sz w:val="18"/>
          <w:szCs w:val="18"/>
        </w:rPr>
        <w:t>）</w:t>
      </w:r>
      <w:r>
        <w:rPr>
          <w:rFonts w:ascii="宋体" w:hAnsi="宋体" w:cs="宋体" w:eastAsia="宋体" w:hint="default"/>
          <w:sz w:val="18"/>
          <w:szCs w:val="18"/>
        </w:rPr>
        <w:t>该义务是本公司承担的现时义务</w:t>
      </w:r>
      <w:r>
        <w:rPr>
          <w:rFonts w:ascii="宋体" w:hAnsi="宋体" w:cs="宋体" w:eastAsia="宋体" w:hint="default"/>
          <w:spacing w:val="-11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 该义务的履行很可能导致经济利益流出企业</w:t>
      </w:r>
      <w:r>
        <w:rPr>
          <w:rFonts w:ascii="宋体" w:hAnsi="宋体" w:cs="宋体" w:eastAsia="宋体" w:hint="default"/>
          <w:spacing w:val="-9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）该义务的金额能够可靠的计量。</w:t>
      </w:r>
    </w:p>
    <w:p>
      <w:pPr>
        <w:spacing w:line="501" w:lineRule="auto" w:before="94"/>
        <w:ind w:left="112" w:right="0"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、本公司清偿预计负债所需支出全部或部分预期由第三方补偿的，补偿金额只有在基本确定能够收到时，才能作为资</w:t>
      </w:r>
      <w:r>
        <w:rPr>
          <w:rFonts w:ascii="宋体" w:hAnsi="宋体" w:cs="宋体" w:eastAsia="宋体" w:hint="default"/>
          <w:sz w:val="18"/>
          <w:szCs w:val="18"/>
        </w:rPr>
        <w:t> 产单独确认，同时对该项单独核算的资产确认的补偿金额不超过对应的预计负债的账面金额。</w:t>
      </w:r>
    </w:p>
    <w:p>
      <w:pPr>
        <w:spacing w:after="0" w:line="501" w:lineRule="auto"/>
        <w:jc w:val="left"/>
        <w:rPr>
          <w:rFonts w:ascii="宋体" w:hAnsi="宋体" w:cs="宋体" w:eastAsia="宋体" w:hint="default"/>
          <w:sz w:val="18"/>
          <w:szCs w:val="18"/>
        </w:rPr>
        <w:sectPr>
          <w:headerReference w:type="default" r:id="rId48"/>
          <w:pgSz w:w="11910" w:h="16840"/>
          <w:pgMar w:header="920" w:footer="956" w:top="1140" w:bottom="1140" w:left="1020" w:right="0"/>
        </w:sectPr>
      </w:pPr>
    </w:p>
    <w:p>
      <w:pPr>
        <w:spacing w:line="240" w:lineRule="auto" w:before="1"/>
        <w:rPr>
          <w:rFonts w:ascii="宋体" w:hAnsi="宋体" w:cs="宋体" w:eastAsia="宋体" w:hint="default"/>
          <w:sz w:val="18"/>
          <w:szCs w:val="18"/>
        </w:rPr>
      </w:pPr>
    </w:p>
    <w:p>
      <w:pPr>
        <w:spacing w:before="36"/>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、股份支付及权益工具</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本公司未发生涉及股份支付及权益工具的业务。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、回购本公司股份</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0"/>
        <w:ind w:left="420" w:right="0" w:firstLine="0"/>
        <w:jc w:val="left"/>
        <w:rPr>
          <w:rFonts w:ascii="宋体" w:hAnsi="宋体" w:cs="宋体" w:eastAsia="宋体" w:hint="default"/>
          <w:sz w:val="18"/>
          <w:szCs w:val="18"/>
        </w:rPr>
      </w:pPr>
      <w:r>
        <w:rPr>
          <w:rFonts w:ascii="宋体" w:hAnsi="宋体" w:cs="宋体" w:eastAsia="宋体" w:hint="default"/>
          <w:sz w:val="18"/>
          <w:szCs w:val="18"/>
        </w:rPr>
        <w:t>本公司未发生此项业务。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20" w:lineRule="auto" w:before="0"/>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、销售商品收入 </w:t>
      </w:r>
      <w:r>
        <w:rPr>
          <w:rFonts w:ascii="宋体" w:hAnsi="宋体" w:cs="宋体" w:eastAsia="宋体" w:hint="default"/>
          <w:spacing w:val="-2"/>
          <w:sz w:val="18"/>
          <w:szCs w:val="18"/>
        </w:rPr>
        <w:t>本公司对已将商品所有权上的重要风险和报酬转移给买方，既没有保留通常与所有权相联系的继续管理权，也没有对已</w:t>
      </w:r>
    </w:p>
    <w:p>
      <w:pPr>
        <w:spacing w:line="508" w:lineRule="auto" w:before="55"/>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售出的商品实施控制，收入的金额能够可靠地计量，相关的经济利益很可能流入本公司，相关的已发生或将发生的成本能够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可靠地计量的商品销售确认收入。</w:t>
      </w:r>
    </w:p>
    <w:p>
      <w:pPr>
        <w:spacing w:line="520" w:lineRule="auto" w:before="62"/>
        <w:ind w:left="473" w:right="1033" w:firstLine="2"/>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、提供劳务收入 对在同一会计年度内开始并完成的劳务，于完成劳务时确认收入；如果劳务的开始和完成分属不同的会计年度，则在提</w:t>
      </w:r>
    </w:p>
    <w:p>
      <w:pPr>
        <w:spacing w:before="55"/>
        <w:ind w:left="112" w:right="0" w:firstLine="0"/>
        <w:jc w:val="left"/>
        <w:rPr>
          <w:rFonts w:ascii="宋体" w:hAnsi="宋体" w:cs="宋体" w:eastAsia="宋体" w:hint="default"/>
          <w:sz w:val="18"/>
          <w:szCs w:val="18"/>
        </w:rPr>
      </w:pPr>
      <w:r>
        <w:rPr>
          <w:rFonts w:ascii="宋体" w:hAnsi="宋体" w:cs="宋体" w:eastAsia="宋体" w:hint="default"/>
          <w:sz w:val="18"/>
          <w:szCs w:val="18"/>
        </w:rPr>
        <w:t>供劳务交易的结果能够可靠估计的情况下，于期末按完工百分比法确认相关的劳务收入。</w:t>
      </w:r>
    </w:p>
    <w:p>
      <w:pPr>
        <w:spacing w:line="240" w:lineRule="auto" w:before="4"/>
        <w:rPr>
          <w:rFonts w:ascii="宋体" w:hAnsi="宋体" w:cs="宋体" w:eastAsia="宋体" w:hint="default"/>
          <w:sz w:val="23"/>
          <w:szCs w:val="23"/>
        </w:rPr>
      </w:pPr>
    </w:p>
    <w:p>
      <w:pPr>
        <w:spacing w:line="520" w:lineRule="auto" w:before="0"/>
        <w:ind w:left="47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、让渡资产使用权收入 让渡资产使用权收入包括利息收入和使用费收入等；</w:t>
      </w:r>
    </w:p>
    <w:p>
      <w:pPr>
        <w:spacing w:line="508" w:lineRule="auto" w:before="94"/>
        <w:ind w:left="112" w:right="0" w:firstLine="360"/>
        <w:jc w:val="left"/>
        <w:rPr>
          <w:rFonts w:ascii="宋体" w:hAnsi="宋体" w:cs="宋体" w:eastAsia="宋体" w:hint="default"/>
          <w:sz w:val="18"/>
          <w:szCs w:val="18"/>
        </w:rPr>
      </w:pPr>
      <w:r>
        <w:rPr>
          <w:rFonts w:ascii="宋体" w:hAnsi="宋体" w:cs="宋体" w:eastAsia="宋体" w:hint="default"/>
          <w:spacing w:val="-2"/>
          <w:sz w:val="18"/>
          <w:szCs w:val="18"/>
        </w:rPr>
        <w:t>利息收入金额，按照他人使用本公司货币资金的时间和实际利率计算确定；使用费收入金额，按照有关合同或协议约定</w:t>
      </w:r>
      <w:r>
        <w:rPr>
          <w:rFonts w:ascii="宋体" w:hAnsi="宋体" w:cs="宋体" w:eastAsia="宋体" w:hint="default"/>
          <w:sz w:val="18"/>
          <w:szCs w:val="18"/>
        </w:rPr>
        <w:t> 的收费时间和方法计算确定。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08" w:lineRule="auto" w:before="0"/>
        <w:ind w:left="112" w:right="1034" w:firstLine="362"/>
        <w:jc w:val="left"/>
        <w:rPr>
          <w:rFonts w:ascii="宋体" w:hAnsi="宋体" w:cs="宋体" w:eastAsia="宋体" w:hint="default"/>
          <w:sz w:val="18"/>
          <w:szCs w:val="18"/>
        </w:rPr>
      </w:pPr>
      <w:r>
        <w:rPr>
          <w:rFonts w:ascii="宋体" w:hAnsi="宋体" w:cs="宋体" w:eastAsia="宋体" w:hint="default"/>
          <w:spacing w:val="-4"/>
          <w:sz w:val="18"/>
          <w:szCs w:val="18"/>
        </w:rPr>
        <w:t>包括财政拨款、财政贴息、税收返还和无偿划拨非货币性资产。本公司收到的与资产相关的政府补助，确认为递延收益，</w:t>
      </w:r>
      <w:r>
        <w:rPr>
          <w:rFonts w:ascii="宋体" w:hAnsi="宋体" w:cs="宋体" w:eastAsia="宋体" w:hint="default"/>
          <w:sz w:val="18"/>
          <w:szCs w:val="18"/>
        </w:rPr>
        <w:t> 自相关资产达到预定可使用状态时起，在该资产使用寿命内平均计入各期损益。相关资产在使用寿命结束前被出售、转让、 </w:t>
      </w:r>
      <w:r>
        <w:rPr>
          <w:rFonts w:ascii="宋体" w:hAnsi="宋体" w:cs="宋体" w:eastAsia="宋体" w:hint="default"/>
          <w:spacing w:val="-2"/>
          <w:sz w:val="18"/>
          <w:szCs w:val="18"/>
        </w:rPr>
        <w:t>报废或发生毁损的，将递延收益余额一次性转入资产处置当期的损益。收到的与收益相关的政府补助，用于补偿以后期间的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相关费用或损失的，确认为递延收益，在确认相关费用的期间计入当期损益；用于补偿已经发生的相关费用或损失的，取得</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时直接计入当期损益。</w:t>
      </w:r>
    </w:p>
    <w:p>
      <w:pPr>
        <w:spacing w:after="0" w:line="508" w:lineRule="auto"/>
        <w:jc w:val="left"/>
        <w:rPr>
          <w:rFonts w:ascii="宋体" w:hAnsi="宋体" w:cs="宋体" w:eastAsia="宋体" w:hint="default"/>
          <w:sz w:val="18"/>
          <w:szCs w:val="18"/>
        </w:rPr>
        <w:sectPr>
          <w:pgSz w:w="11910" w:h="16840"/>
          <w:pgMar w:header="920" w:footer="956" w:top="1140" w:bottom="114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36"/>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line="523" w:lineRule="auto" w:before="0"/>
        <w:ind w:left="533"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、递延所得税资产的确认 </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、本公司以很可能取得用来抵扣可抵扣暂时性差异的应纳税所得额为限，确认由可抵扣暂时性差异产生的递延所得税</w:t>
      </w:r>
    </w:p>
    <w:p>
      <w:pPr>
        <w:spacing w:before="15"/>
        <w:ind w:left="112" w:right="0" w:firstLine="0"/>
        <w:jc w:val="left"/>
        <w:rPr>
          <w:rFonts w:ascii="宋体" w:hAnsi="宋体" w:cs="宋体" w:eastAsia="宋体" w:hint="default"/>
          <w:sz w:val="18"/>
          <w:szCs w:val="18"/>
        </w:rPr>
      </w:pPr>
      <w:r>
        <w:rPr>
          <w:rFonts w:ascii="宋体" w:hAnsi="宋体" w:cs="宋体" w:eastAsia="宋体" w:hint="default"/>
          <w:sz w:val="18"/>
          <w:szCs w:val="18"/>
        </w:rPr>
        <w:t>资产。但是同时具有下列特征的交易中因资产或负债的初始确认所产生的递延所得税资产不予确认：</w:t>
      </w:r>
    </w:p>
    <w:p>
      <w:pPr>
        <w:spacing w:line="240" w:lineRule="auto" w:before="3"/>
        <w:rPr>
          <w:rFonts w:ascii="宋体" w:hAnsi="宋体" w:cs="宋体" w:eastAsia="宋体" w:hint="default"/>
          <w:sz w:val="23"/>
          <w:szCs w:val="23"/>
        </w:rPr>
      </w:pPr>
    </w:p>
    <w:p>
      <w:pPr>
        <w:spacing w:before="0"/>
        <w:ind w:left="5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该项交易不是企业合并；</w:t>
      </w:r>
    </w:p>
    <w:p>
      <w:pPr>
        <w:spacing w:line="240" w:lineRule="auto" w:before="3"/>
        <w:rPr>
          <w:rFonts w:ascii="宋体" w:hAnsi="宋体" w:cs="宋体" w:eastAsia="宋体" w:hint="default"/>
          <w:sz w:val="22"/>
          <w:szCs w:val="22"/>
        </w:rPr>
      </w:pPr>
    </w:p>
    <w:p>
      <w:pPr>
        <w:spacing w:before="0"/>
        <w:ind w:left="533"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交易发生时既不影响会计</w:t>
      </w:r>
      <w:r>
        <w:rPr>
          <w:rFonts w:ascii="宋体" w:hAnsi="宋体" w:cs="宋体" w:eastAsia="宋体" w:hint="default"/>
          <w:spacing w:val="-2"/>
          <w:sz w:val="18"/>
          <w:szCs w:val="18"/>
        </w:rPr>
        <w:t>利</w:t>
      </w:r>
      <w:r>
        <w:rPr>
          <w:rFonts w:ascii="宋体" w:hAnsi="宋体" w:cs="宋体" w:eastAsia="宋体" w:hint="default"/>
          <w:sz w:val="18"/>
          <w:szCs w:val="18"/>
        </w:rPr>
        <w:t>润也不影响应纳税所得额（或可抵扣亏损</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4"/>
        <w:rPr>
          <w:rFonts w:ascii="宋体" w:hAnsi="宋体" w:cs="宋体" w:eastAsia="宋体" w:hint="default"/>
          <w:sz w:val="22"/>
          <w:szCs w:val="22"/>
        </w:rPr>
      </w:pPr>
    </w:p>
    <w:p>
      <w:pPr>
        <w:spacing w:line="480" w:lineRule="auto" w:before="0"/>
        <w:ind w:left="112" w:right="1116" w:firstLine="4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、本公司对与子公司、联营公司及合营企业投资相关的可抵扣暂时性差异，同时满足下列条件的，确认相应的递延所</w:t>
      </w:r>
      <w:r>
        <w:rPr>
          <w:rFonts w:ascii="宋体" w:hAnsi="宋体" w:cs="宋体" w:eastAsia="宋体" w:hint="default"/>
          <w:sz w:val="18"/>
          <w:szCs w:val="18"/>
        </w:rPr>
        <w:t> 得税资产：</w:t>
      </w:r>
    </w:p>
    <w:p>
      <w:pPr>
        <w:spacing w:before="124"/>
        <w:ind w:left="5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暂时性差异在可预见的未来很可能转回；</w:t>
      </w:r>
    </w:p>
    <w:p>
      <w:pPr>
        <w:spacing w:line="240" w:lineRule="auto" w:before="3"/>
        <w:rPr>
          <w:rFonts w:ascii="宋体" w:hAnsi="宋体" w:cs="宋体" w:eastAsia="宋体" w:hint="default"/>
          <w:sz w:val="22"/>
          <w:szCs w:val="22"/>
        </w:rPr>
      </w:pPr>
    </w:p>
    <w:p>
      <w:pPr>
        <w:spacing w:before="0"/>
        <w:ind w:left="5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未来很可能获得用来抵扣暂时性差异的应纳税所得额。</w:t>
      </w:r>
    </w:p>
    <w:p>
      <w:pPr>
        <w:spacing w:line="240" w:lineRule="auto" w:before="3"/>
        <w:rPr>
          <w:rFonts w:ascii="宋体" w:hAnsi="宋体" w:cs="宋体" w:eastAsia="宋体" w:hint="default"/>
          <w:sz w:val="22"/>
          <w:szCs w:val="22"/>
        </w:rPr>
      </w:pPr>
    </w:p>
    <w:p>
      <w:pPr>
        <w:spacing w:line="482" w:lineRule="auto" w:before="0"/>
        <w:ind w:left="112" w:right="1126" w:firstLine="4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、本公司对于能够结转以后年度的可抵扣亏损和税款抵减，以很可能获得用来抵扣可抵扣亏损和税款抵减的未来应纳</w:t>
      </w:r>
      <w:r>
        <w:rPr>
          <w:rFonts w:ascii="宋体" w:hAnsi="宋体" w:cs="宋体" w:eastAsia="宋体" w:hint="default"/>
          <w:sz w:val="18"/>
          <w:szCs w:val="18"/>
        </w:rPr>
        <w:t> 税所得额为限，确认相应的递延所得税资产。</w:t>
      </w:r>
    </w:p>
    <w:p>
      <w:pPr>
        <w:spacing w:line="535" w:lineRule="auto" w:before="122"/>
        <w:ind w:left="533" w:right="2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、递延所得税负债的确认 除下列情况产生的递延所得税负债以外，本公司确认所有应纳税暂时性差异产生的递延所得税负债： </w:t>
      </w:r>
      <w:r>
        <w:rPr>
          <w:rFonts w:ascii="Times New Roman" w:hAnsi="Times New Roman" w:cs="Times New Roman" w:eastAsia="Times New Roman" w:hint="default"/>
          <w:sz w:val="18"/>
          <w:szCs w:val="18"/>
        </w:rPr>
        <w:t>a</w:t>
      </w:r>
      <w:r>
        <w:rPr>
          <w:rFonts w:ascii="宋体" w:hAnsi="宋体" w:cs="宋体" w:eastAsia="宋体" w:hint="default"/>
          <w:sz w:val="18"/>
          <w:szCs w:val="18"/>
        </w:rPr>
        <w:t>、商誉的初始确认；</w:t>
      </w:r>
    </w:p>
    <w:p>
      <w:pPr>
        <w:spacing w:line="520" w:lineRule="auto" w:before="45"/>
        <w:ind w:left="533" w:right="50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、同时满足具有下列特征的交易中产生的资产或负债的初始确认：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该项交易不是企业合并；</w:t>
      </w:r>
    </w:p>
    <w:p>
      <w:pPr>
        <w:spacing w:line="520" w:lineRule="auto" w:before="57"/>
        <w:ind w:left="533" w:right="2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交易发生时既不影响会计利润也不影响应纳税所得额（或可抵扣亏损）。</w:t>
      </w:r>
      <w:r>
        <w:rPr>
          <w:rFonts w:ascii="宋体" w:hAnsi="宋体" w:cs="宋体" w:eastAsia="宋体" w:hint="default"/>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、本公司对与子公司、联营公司及合营企业投资产生相关的应纳税暂时性差异，同时满足下列条件的：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投资企业能够控制暂时性差异的转回的时间；</w:t>
      </w:r>
    </w:p>
    <w:p>
      <w:pPr>
        <w:spacing w:before="58"/>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暂时性差异在可预见的未来很可能不会转回。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、经营租赁、融资租赁</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56" w:lineRule="auto" w:before="0"/>
        <w:ind w:left="420" w:right="1266" w:hanging="30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）租赁的分类 租赁分为经营租赁与融资租赁，符合下列一项或数项标准的，认定为融资租赁；除融资租赁以外的租赁为经营租赁。</w:t>
      </w:r>
    </w:p>
    <w:p>
      <w:pPr>
        <w:spacing w:after="0" w:line="556" w:lineRule="auto"/>
        <w:jc w:val="left"/>
        <w:rPr>
          <w:rFonts w:ascii="宋体" w:hAnsi="宋体" w:cs="宋体" w:eastAsia="宋体" w:hint="default"/>
          <w:sz w:val="18"/>
          <w:szCs w:val="18"/>
        </w:rPr>
        <w:sectPr>
          <w:pgSz w:w="11910" w:h="16840"/>
          <w:pgMar w:header="920" w:footer="956" w:top="1140" w:bottom="1140" w:left="1020" w:right="0"/>
        </w:sectPr>
      </w:pPr>
    </w:p>
    <w:p>
      <w:pPr>
        <w:spacing w:line="240" w:lineRule="auto" w:before="3"/>
        <w:rPr>
          <w:rFonts w:ascii="宋体" w:hAnsi="宋体" w:cs="宋体" w:eastAsia="宋体" w:hint="default"/>
          <w:sz w:val="19"/>
          <w:szCs w:val="19"/>
        </w:rPr>
      </w:pPr>
    </w:p>
    <w:p>
      <w:pPr>
        <w:spacing w:line="520" w:lineRule="auto" w:before="44"/>
        <w:ind w:left="6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、在租赁期届满时，租赁资产的所有权转移给承租人。 </w:t>
      </w:r>
      <w:r>
        <w:rPr>
          <w:rFonts w:ascii="Times New Roman" w:hAnsi="Times New Roman" w:cs="Times New Roman" w:eastAsia="Times New Roman" w:hint="default"/>
          <w:sz w:val="18"/>
          <w:szCs w:val="18"/>
        </w:rPr>
        <w:t>B</w:t>
      </w:r>
      <w:r>
        <w:rPr>
          <w:rFonts w:ascii="宋体" w:hAnsi="宋体" w:cs="宋体" w:eastAsia="宋体" w:hint="default"/>
          <w:sz w:val="18"/>
          <w:szCs w:val="18"/>
        </w:rPr>
        <w:t>、承租人有购买租赁资产的选择权，所订立的购买价款预计将远低于行使选择权时租赁资产的公允价值，因而在租赁</w:t>
      </w:r>
    </w:p>
    <w:p>
      <w:pPr>
        <w:spacing w:line="535" w:lineRule="auto" w:before="19"/>
        <w:ind w:left="620" w:right="0" w:hanging="308"/>
        <w:jc w:val="left"/>
        <w:rPr>
          <w:rFonts w:ascii="宋体" w:hAnsi="宋体" w:cs="宋体" w:eastAsia="宋体" w:hint="default"/>
          <w:sz w:val="18"/>
          <w:szCs w:val="18"/>
        </w:rPr>
      </w:pPr>
      <w:r>
        <w:rPr>
          <w:rFonts w:ascii="宋体" w:hAnsi="宋体" w:cs="宋体" w:eastAsia="宋体" w:hint="default"/>
          <w:sz w:val="18"/>
          <w:szCs w:val="18"/>
        </w:rPr>
        <w:t>开始日就可合理地确定承租人将会行使这种选择权。 </w:t>
      </w: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、即使资产的所有权不转移，但租赁期占租赁资产使用寿命的大部分（一般为使用寿命的</w:t>
      </w:r>
      <w:r>
        <w:rPr>
          <w:rFonts w:ascii="宋体" w:hAnsi="宋体" w:cs="宋体" w:eastAsia="宋体" w:hint="default"/>
          <w:spacing w:val="-43"/>
          <w:sz w:val="18"/>
          <w:szCs w:val="18"/>
        </w:rPr>
        <w:t> </w:t>
      </w:r>
      <w:r>
        <w:rPr>
          <w:rFonts w:ascii="Times New Roman" w:hAnsi="Times New Roman" w:cs="Times New Roman" w:eastAsia="Times New Roman" w:hint="default"/>
          <w:spacing w:val="-12"/>
          <w:sz w:val="18"/>
          <w:szCs w:val="18"/>
        </w:rPr>
        <w:t>75%</w:t>
      </w:r>
      <w:r>
        <w:rPr>
          <w:rFonts w:ascii="宋体" w:hAnsi="宋体" w:cs="宋体" w:eastAsia="宋体" w:hint="default"/>
          <w:spacing w:val="-12"/>
          <w:sz w:val="18"/>
          <w:szCs w:val="18"/>
        </w:rPr>
        <w:t>及以上）。</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、承租人租赁开始日的最低租赁付款额的现值，几乎相当于（一般为</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90%</w:t>
      </w:r>
      <w:r>
        <w:rPr>
          <w:rFonts w:ascii="宋体" w:hAnsi="宋体" w:cs="宋体" w:eastAsia="宋体" w:hint="default"/>
          <w:spacing w:val="-3"/>
          <w:sz w:val="18"/>
          <w:szCs w:val="18"/>
        </w:rPr>
        <w:t>以上，下同）租赁开始日租赁资产公允价值；</w:t>
      </w:r>
    </w:p>
    <w:p>
      <w:pPr>
        <w:spacing w:before="5"/>
        <w:ind w:left="312" w:right="0" w:firstLine="0"/>
        <w:jc w:val="left"/>
        <w:rPr>
          <w:rFonts w:ascii="宋体" w:hAnsi="宋体" w:cs="宋体" w:eastAsia="宋体" w:hint="default"/>
          <w:sz w:val="18"/>
          <w:szCs w:val="18"/>
        </w:rPr>
      </w:pPr>
      <w:r>
        <w:rPr>
          <w:rFonts w:ascii="宋体" w:hAnsi="宋体" w:cs="宋体" w:eastAsia="宋体" w:hint="default"/>
          <w:sz w:val="18"/>
          <w:szCs w:val="18"/>
        </w:rPr>
        <w:t>出租人在租赁开始日最低租赁收款额的现值，几乎相当于租赁开始日租赁资产公允价值。</w:t>
      </w:r>
    </w:p>
    <w:p>
      <w:pPr>
        <w:spacing w:line="240" w:lineRule="auto" w:before="3"/>
        <w:rPr>
          <w:rFonts w:ascii="宋体" w:hAnsi="宋体" w:cs="宋体" w:eastAsia="宋体" w:hint="default"/>
          <w:sz w:val="23"/>
          <w:szCs w:val="23"/>
        </w:rPr>
      </w:pPr>
    </w:p>
    <w:p>
      <w:pPr>
        <w:spacing w:before="0"/>
        <w:ind w:left="6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、租赁资产性质特殊，如果不作较大改造，只有承租人才能使用。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before="0"/>
        <w:ind w:left="3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）经营租赁的会计处理</w:t>
      </w:r>
    </w:p>
    <w:p>
      <w:pPr>
        <w:spacing w:line="240" w:lineRule="auto" w:before="9"/>
        <w:rPr>
          <w:rFonts w:ascii="宋体" w:hAnsi="宋体" w:cs="宋体" w:eastAsia="宋体" w:hint="default"/>
          <w:sz w:val="23"/>
          <w:szCs w:val="23"/>
        </w:rPr>
      </w:pPr>
    </w:p>
    <w:p>
      <w:pPr>
        <w:spacing w:line="501" w:lineRule="auto" w:before="0"/>
        <w:ind w:left="312" w:right="0" w:firstLine="42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、本公司为承租人时，对于经营租赁的租金，在租赁期内各个期间按照直线法计入相关资产成本或当期损益。发生</w:t>
      </w:r>
      <w:r>
        <w:rPr>
          <w:rFonts w:ascii="宋体" w:hAnsi="宋体" w:cs="宋体" w:eastAsia="宋体" w:hint="default"/>
          <w:spacing w:val="2"/>
          <w:sz w:val="18"/>
          <w:szCs w:val="18"/>
        </w:rPr>
        <w:t> </w:t>
      </w:r>
      <w:r>
        <w:rPr>
          <w:rFonts w:ascii="宋体" w:hAnsi="宋体" w:cs="宋体" w:eastAsia="宋体" w:hint="default"/>
          <w:sz w:val="18"/>
          <w:szCs w:val="18"/>
        </w:rPr>
        <w:t>的初始直接费用，直接计入当期损益。或有租金在实际发生时计入当期损益。</w:t>
      </w:r>
    </w:p>
    <w:p>
      <w:pPr>
        <w:spacing w:line="501" w:lineRule="auto" w:before="127"/>
        <w:ind w:left="312" w:right="0" w:firstLine="4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、本公司为出租人时，对于经营租赁的租金，在租赁期内各个期间按照直线法确认为当期损益。发生的初始直接费用，</w:t>
      </w:r>
      <w:r>
        <w:rPr>
          <w:rFonts w:ascii="宋体" w:hAnsi="宋体" w:cs="宋体" w:eastAsia="宋体" w:hint="default"/>
          <w:sz w:val="18"/>
          <w:szCs w:val="18"/>
        </w:rPr>
        <w:t> 直接计入当期损益。或有租金在实际发生时计入当期损益。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spacing w:before="0"/>
        <w:ind w:left="3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）融资租赁的会计处理</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0131"/>
      </w:tblGrid>
      <w:tr>
        <w:trPr>
          <w:trHeight w:val="1429" w:hRule="exact"/>
        </w:trPr>
        <w:tc>
          <w:tcPr>
            <w:tcW w:w="10131" w:type="dxa"/>
            <w:tcBorders>
              <w:top w:val="nil" w:sz="6" w:space="0" w:color="auto"/>
              <w:left w:val="nil" w:sz="6" w:space="0" w:color="auto"/>
              <w:bottom w:val="nil" w:sz="6" w:space="0" w:color="auto"/>
              <w:right w:val="nil" w:sz="6" w:space="0" w:color="auto"/>
            </w:tcBorders>
          </w:tcPr>
          <w:p>
            <w:pPr>
              <w:pStyle w:val="TableParagraph"/>
              <w:spacing w:line="194" w:lineRule="exact"/>
              <w:ind w:left="6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、本公司为承租人时，在租赁期开始日，按租赁开始日租赁资产的公允价值与最低租赁付款额现值两者中的较低者，</w:t>
            </w:r>
          </w:p>
          <w:p>
            <w:pPr>
              <w:pStyle w:val="TableParagraph"/>
              <w:spacing w:line="520" w:lineRule="exact" w:before="63"/>
              <w:ind w:left="200" w:right="287"/>
              <w:jc w:val="left"/>
              <w:rPr>
                <w:rFonts w:ascii="宋体" w:hAnsi="宋体" w:cs="宋体" w:eastAsia="宋体" w:hint="default"/>
                <w:sz w:val="18"/>
                <w:szCs w:val="18"/>
              </w:rPr>
            </w:pPr>
            <w:r>
              <w:rPr>
                <w:rFonts w:ascii="宋体" w:hAnsi="宋体" w:cs="宋体" w:eastAsia="宋体" w:hint="default"/>
                <w:spacing w:val="-2"/>
                <w:sz w:val="18"/>
                <w:szCs w:val="18"/>
              </w:rPr>
              <w:t>加上可直接归属于租赁项目的初始直接费用，作为租入资产的入账价值，将最低租赁付款额作为长期应付款的入账价值，其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差额作为未确认融资费用。未确认融资费用采用实际利率法在租赁期内分摊。或有租金在实际发生时计入当期损益。</w:t>
            </w:r>
          </w:p>
        </w:tc>
      </w:tr>
      <w:tr>
        <w:trPr>
          <w:trHeight w:val="1430" w:hRule="exact"/>
        </w:trPr>
        <w:tc>
          <w:tcPr>
            <w:tcW w:w="10131" w:type="dxa"/>
            <w:tcBorders>
              <w:top w:val="nil" w:sz="6" w:space="0" w:color="auto"/>
              <w:left w:val="nil" w:sz="6" w:space="0" w:color="auto"/>
              <w:bottom w:val="nil" w:sz="6" w:space="0" w:color="auto"/>
              <w:right w:val="nil" w:sz="6" w:space="0" w:color="auto"/>
            </w:tcBorders>
          </w:tcPr>
          <w:p>
            <w:pPr>
              <w:pStyle w:val="TableParagraph"/>
              <w:spacing w:line="499" w:lineRule="auto" w:before="154"/>
              <w:ind w:left="200" w:right="289"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、本公司为出租人时，在租赁期开始日，将租赁开始日最低租赁收款额与初始直接费用之和作为应收融资租赁款的入</w:t>
            </w:r>
            <w:r>
              <w:rPr>
                <w:rFonts w:ascii="宋体" w:hAnsi="宋体" w:cs="宋体" w:eastAsia="宋体" w:hint="default"/>
                <w:sz w:val="18"/>
                <w:szCs w:val="18"/>
              </w:rPr>
              <w:t> </w:t>
            </w:r>
            <w:r>
              <w:rPr>
                <w:rFonts w:ascii="宋体" w:hAnsi="宋体" w:cs="宋体" w:eastAsia="宋体" w:hint="default"/>
                <w:spacing w:val="-2"/>
                <w:sz w:val="18"/>
                <w:szCs w:val="18"/>
              </w:rPr>
              <w:t>账价值，同时记录未担保余值；将最低租赁收款额、初始直接费用及未担保余值之和与其现值之和的差额确认为未实现融资</w:t>
            </w:r>
          </w:p>
          <w:p>
            <w:pPr>
              <w:pStyle w:val="TableParagraph"/>
              <w:spacing w:line="240" w:lineRule="auto" w:before="91"/>
              <w:ind w:left="200" w:right="0"/>
              <w:jc w:val="left"/>
              <w:rPr>
                <w:rFonts w:ascii="宋体" w:hAnsi="宋体" w:cs="宋体" w:eastAsia="宋体" w:hint="default"/>
                <w:sz w:val="18"/>
                <w:szCs w:val="18"/>
              </w:rPr>
            </w:pPr>
            <w:r>
              <w:rPr>
                <w:rFonts w:ascii="宋体" w:hAnsi="宋体" w:cs="宋体" w:eastAsia="宋体" w:hint="default"/>
                <w:sz w:val="18"/>
                <w:szCs w:val="18"/>
              </w:rPr>
              <w:t>收益。未实现融资收益采用实际利率法在租赁期内分摊。或有租金在实际发生时计入当期损益。</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36"/>
        <w:ind w:left="3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0"/>
        <w:ind w:left="675" w:right="0" w:firstLine="0"/>
        <w:jc w:val="left"/>
        <w:rPr>
          <w:rFonts w:ascii="宋体" w:hAnsi="宋体" w:cs="宋体" w:eastAsia="宋体" w:hint="default"/>
          <w:sz w:val="18"/>
          <w:szCs w:val="18"/>
        </w:rPr>
      </w:pPr>
      <w:r>
        <w:rPr>
          <w:rFonts w:ascii="宋体" w:hAnsi="宋体" w:cs="宋体" w:eastAsia="宋体" w:hint="default"/>
          <w:sz w:val="18"/>
          <w:szCs w:val="18"/>
        </w:rPr>
        <w:t>本公司无持有待售资产。</w:t>
      </w:r>
    </w:p>
    <w:p>
      <w:pPr>
        <w:spacing w:after="0"/>
        <w:jc w:val="left"/>
        <w:rPr>
          <w:rFonts w:ascii="宋体" w:hAnsi="宋体" w:cs="宋体" w:eastAsia="宋体" w:hint="default"/>
          <w:sz w:val="18"/>
          <w:szCs w:val="18"/>
        </w:rPr>
        <w:sectPr>
          <w:pgSz w:w="11910" w:h="16840"/>
          <w:pgMar w:header="920" w:footer="956" w:top="1140" w:bottom="1140" w:left="820" w:right="0"/>
        </w:sectPr>
      </w:pPr>
    </w:p>
    <w:p>
      <w:pPr>
        <w:spacing w:line="240" w:lineRule="auto" w:before="1"/>
        <w:rPr>
          <w:rFonts w:ascii="宋体" w:hAnsi="宋体" w:cs="宋体" w:eastAsia="宋体" w:hint="default"/>
          <w:sz w:val="18"/>
          <w:szCs w:val="18"/>
        </w:rPr>
      </w:pPr>
    </w:p>
    <w:p>
      <w:pPr>
        <w:spacing w:before="36"/>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、资产证券化业务</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spacing w:before="0"/>
        <w:ind w:left="495" w:right="1119" w:firstLine="0"/>
        <w:jc w:val="left"/>
        <w:rPr>
          <w:rFonts w:ascii="宋体" w:hAnsi="宋体" w:cs="宋体" w:eastAsia="宋体" w:hint="default"/>
          <w:sz w:val="18"/>
          <w:szCs w:val="18"/>
        </w:rPr>
      </w:pPr>
      <w:r>
        <w:rPr>
          <w:rFonts w:ascii="宋体" w:hAnsi="宋体" w:cs="宋体" w:eastAsia="宋体" w:hint="default"/>
          <w:sz w:val="18"/>
          <w:szCs w:val="18"/>
        </w:rPr>
        <w:t>本公司未发生此项业务。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spacing w:before="0"/>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、套期会计</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0"/>
        <w:ind w:left="495" w:right="1119" w:firstLine="0"/>
        <w:jc w:val="left"/>
        <w:rPr>
          <w:rFonts w:ascii="宋体" w:hAnsi="宋体" w:cs="宋体" w:eastAsia="宋体" w:hint="default"/>
          <w:sz w:val="18"/>
          <w:szCs w:val="18"/>
        </w:rPr>
      </w:pPr>
      <w:r>
        <w:rPr>
          <w:rFonts w:ascii="宋体" w:hAnsi="宋体" w:cs="宋体" w:eastAsia="宋体" w:hint="default"/>
          <w:sz w:val="18"/>
          <w:szCs w:val="18"/>
        </w:rPr>
        <w:t>本公司未发生涉及套期会计的业务。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spacing w:before="0"/>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before="0"/>
        <w:ind w:left="495" w:right="1119"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本报告期内，本公司未发生主要会计政策、会计估计变更事项。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spacing w:before="0"/>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0"/>
        <w:ind w:left="493" w:right="1119"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本报告期内，本公司未发生前期会计差错更正事项。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4"/>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、其他主要会计政策、会计估计和财务报表编制方法</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spacing w:before="0"/>
        <w:ind w:left="553" w:right="1119" w:firstLine="0"/>
        <w:jc w:val="left"/>
        <w:rPr>
          <w:rFonts w:ascii="宋体" w:hAnsi="宋体" w:cs="宋体" w:eastAsia="宋体" w:hint="default"/>
          <w:sz w:val="18"/>
          <w:szCs w:val="18"/>
        </w:rPr>
      </w:pPr>
      <w:r>
        <w:rPr>
          <w:rFonts w:ascii="宋体" w:hAnsi="宋体" w:cs="宋体" w:eastAsia="宋体" w:hint="default"/>
          <w:sz w:val="18"/>
          <w:szCs w:val="18"/>
        </w:rPr>
        <w:t>本公司无其他主要会计政策、会计估计和财务报表编制方法需要披露。</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spacing w:before="0"/>
        <w:ind w:left="132" w:right="1119"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76"/>
          <w:sz w:val="21"/>
          <w:szCs w:val="21"/>
        </w:rPr>
        <w:t> </w:t>
      </w:r>
      <w:r>
        <w:rPr>
          <w:rFonts w:ascii="宋体" w:hAnsi="宋体" w:cs="宋体" w:eastAsia="宋体" w:hint="default"/>
          <w:b/>
          <w:bCs/>
          <w:sz w:val="21"/>
          <w:szCs w:val="21"/>
        </w:rPr>
        <w:t>税项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spacing w:before="0"/>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61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种</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w:t>
            </w:r>
          </w:p>
        </w:tc>
      </w:tr>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w:t>
            </w:r>
          </w:p>
        </w:tc>
      </w:tr>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r>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r>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r>
      <w:tr>
        <w:trPr>
          <w:trHeight w:val="61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after="0" w:line="240" w:lineRule="auto"/>
        <w:jc w:val="center"/>
        <w:rPr>
          <w:rFonts w:ascii="Times New Roman" w:hAnsi="Times New Roman" w:cs="Times New Roman" w:eastAsia="Times New Roman" w:hint="default"/>
          <w:sz w:val="18"/>
          <w:szCs w:val="18"/>
        </w:rPr>
        <w:sectPr>
          <w:pgSz w:w="11910" w:h="16840"/>
          <w:pgMar w:header="920" w:footer="956" w:top="1140" w:bottom="1140" w:left="1000" w:right="0"/>
        </w:sectPr>
      </w:pPr>
    </w:p>
    <w:p>
      <w:pPr>
        <w:spacing w:line="240" w:lineRule="auto" w:before="11"/>
        <w:rPr>
          <w:rFonts w:ascii="宋体" w:hAnsi="宋体" w:cs="宋体" w:eastAsia="宋体" w:hint="default"/>
          <w:b/>
          <w:bCs/>
          <w:sz w:val="20"/>
          <w:szCs w:val="20"/>
        </w:rPr>
      </w:pPr>
    </w:p>
    <w:p>
      <w:pPr>
        <w:spacing w:before="44"/>
        <w:ind w:left="473" w:right="0" w:firstLine="0"/>
        <w:jc w:val="left"/>
        <w:rPr>
          <w:rFonts w:ascii="宋体" w:hAnsi="宋体" w:cs="宋体" w:eastAsia="宋体" w:hint="default"/>
          <w:sz w:val="18"/>
          <w:szCs w:val="18"/>
        </w:rPr>
      </w:pPr>
      <w:r>
        <w:rPr>
          <w:rFonts w:ascii="宋体" w:hAnsi="宋体" w:cs="宋体" w:eastAsia="宋体" w:hint="default"/>
          <w:sz w:val="18"/>
          <w:szCs w:val="18"/>
        </w:rPr>
        <w:t>企业所得税税率的说明：</w:t>
      </w:r>
    </w:p>
    <w:p>
      <w:pPr>
        <w:spacing w:line="240" w:lineRule="auto" w:before="10"/>
        <w:rPr>
          <w:rFonts w:ascii="宋体" w:hAnsi="宋体" w:cs="宋体" w:eastAsia="宋体" w:hint="default"/>
          <w:sz w:val="24"/>
          <w:szCs w:val="24"/>
        </w:rPr>
      </w:pPr>
    </w:p>
    <w:p>
      <w:pPr>
        <w:spacing w:line="499" w:lineRule="auto" w:before="0"/>
        <w:ind w:left="11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）本公司及下属全资子公司深圳嘉美达印务有限公司、深圳市劲嘉科技有限公司、控股子公司深圳市万商物业管理 有限公司等四家公司因注册地设立在深圳市，</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年度执行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的过渡期所得税税率。</w:t>
      </w:r>
    </w:p>
    <w:p>
      <w:pPr>
        <w:spacing w:line="499" w:lineRule="auto" w:before="97"/>
        <w:ind w:left="112" w:right="112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）本公司之控股子公司中丰田光电科技（珠海）有限公司因注册地设立在珠海市，</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年度执行</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的过渡期所得 税税率。</w:t>
      </w:r>
    </w:p>
    <w:p>
      <w:pPr>
        <w:spacing w:line="499" w:lineRule="auto" w:before="131"/>
        <w:ind w:left="112" w:right="113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）本公司之全资子公司安徽安泰新型包装材料有限公司因注册地设立在合肥市经济开发区，</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年度执行</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的过 渡期所得税税率。</w:t>
      </w:r>
    </w:p>
    <w:p>
      <w:pPr>
        <w:spacing w:line="499" w:lineRule="auto" w:before="132"/>
        <w:ind w:left="112" w:right="1132"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）本公司之全资子公司中华香港国际烟草集团有限公司依照香港立法局颁布的《税务条例》，依据课税年度的应纳税</w:t>
      </w:r>
      <w:r>
        <w:rPr>
          <w:rFonts w:ascii="宋体" w:hAnsi="宋体" w:cs="宋体" w:eastAsia="宋体" w:hint="default"/>
          <w:sz w:val="18"/>
          <w:szCs w:val="18"/>
        </w:rPr>
        <w:t> 所得额按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16.5%</w:t>
      </w:r>
      <w:r>
        <w:rPr>
          <w:rFonts w:ascii="宋体" w:hAnsi="宋体" w:cs="宋体" w:eastAsia="宋体" w:hint="default"/>
          <w:sz w:val="18"/>
          <w:szCs w:val="18"/>
        </w:rPr>
        <w:t>的税率缴纳利得税。</w:t>
      </w:r>
    </w:p>
    <w:p>
      <w:pPr>
        <w:spacing w:before="97"/>
        <w:ind w:left="4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）本公司之全资子公司东方英莎特有限公司注册地为英属维尔京群岛，根据当地税收规定免除所有离岸业务的税收。</w:t>
      </w:r>
    </w:p>
    <w:p>
      <w:pPr>
        <w:spacing w:line="240" w:lineRule="auto" w:before="3"/>
        <w:rPr>
          <w:rFonts w:ascii="宋体" w:hAnsi="宋体" w:cs="宋体" w:eastAsia="宋体" w:hint="default"/>
          <w:sz w:val="22"/>
          <w:szCs w:val="22"/>
        </w:rPr>
      </w:pPr>
    </w:p>
    <w:p>
      <w:pPr>
        <w:spacing w:line="482" w:lineRule="auto" w:before="0"/>
        <w:ind w:left="112" w:right="113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）本公司之全资子公司贵州劲嘉新型包装材料有限公司、控股子公司昆明彩印有限责任公司、江苏劲嘉新型包装材 料有限公司、淮安华丰彩印有限公司、淮安新劲嘉新型包装材料有限公司以及</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年已经转让的原控股子公司湖州天外绿 色包装印刷有限公司、浙江天外包装印刷股份有限公司、浙江湖州天外纸品有限公司的企业所得税税率为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、企业所得税优惠税率及批文</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p>
    <w:p>
      <w:pPr>
        <w:spacing w:line="240" w:lineRule="auto" w:before="5"/>
        <w:rPr>
          <w:rFonts w:ascii="宋体" w:hAnsi="宋体" w:cs="宋体" w:eastAsia="宋体" w:hint="default"/>
          <w:sz w:val="22"/>
          <w:szCs w:val="22"/>
        </w:rPr>
      </w:pPr>
    </w:p>
    <w:p>
      <w:pPr>
        <w:spacing w:line="480" w:lineRule="auto" w:before="0"/>
        <w:ind w:left="112" w:right="1132" w:firstLine="365"/>
        <w:jc w:val="both"/>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日获得深圳市科技工贸和信息化委员会及深圳市财政委员会等单位联合颁发的高新技术企业证 书，编号为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GR200944200569</w:t>
      </w:r>
      <w:r>
        <w:rPr>
          <w:rFonts w:ascii="宋体" w:hAnsi="宋体" w:cs="宋体" w:eastAsia="宋体" w:hint="default"/>
          <w:sz w:val="18"/>
          <w:szCs w:val="18"/>
        </w:rPr>
        <w:t>，根据《中华人民共和国企业所得税法》和《关于实施高新技术企业所得税优惠有关问题的通 知》的有关规定，本公司自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年执行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的所得税优惠税率。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4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）昆明彩印有限责任公司（以下简称“昆明彩印</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4"/>
        <w:rPr>
          <w:rFonts w:ascii="宋体" w:hAnsi="宋体" w:cs="宋体" w:eastAsia="宋体" w:hint="default"/>
          <w:sz w:val="22"/>
          <w:szCs w:val="22"/>
        </w:rPr>
      </w:pPr>
    </w:p>
    <w:p>
      <w:pPr>
        <w:spacing w:line="482" w:lineRule="auto" w:before="0"/>
        <w:ind w:left="112" w:right="1132" w:firstLine="360"/>
        <w:jc w:val="both"/>
        <w:rPr>
          <w:rFonts w:ascii="宋体" w:hAnsi="宋体" w:cs="宋体" w:eastAsia="宋体" w:hint="default"/>
          <w:sz w:val="18"/>
          <w:szCs w:val="18"/>
        </w:rPr>
      </w:pPr>
      <w:r>
        <w:rPr>
          <w:rFonts w:ascii="宋体" w:hAnsi="宋体" w:cs="宋体" w:eastAsia="宋体" w:hint="default"/>
          <w:sz w:val="18"/>
          <w:szCs w:val="18"/>
        </w:rPr>
        <w:t>经昆明市国家税务局直属税务分局以直属国税函</w:t>
      </w:r>
      <w:r>
        <w:rPr>
          <w:rFonts w:ascii="Times New Roman" w:hAnsi="Times New Roman" w:cs="Times New Roman" w:eastAsia="Times New Roman" w:hint="default"/>
          <w:sz w:val="18"/>
          <w:szCs w:val="18"/>
        </w:rPr>
        <w:t>[2007]37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号文《关于昆明彩印有限责任公司享受西部大开发税收优惠政</w:t>
      </w:r>
      <w:r>
        <w:rPr>
          <w:rFonts w:ascii="宋体" w:hAnsi="宋体" w:cs="宋体" w:eastAsia="宋体" w:hint="default"/>
          <w:sz w:val="18"/>
          <w:szCs w:val="18"/>
        </w:rPr>
        <w:t> </w:t>
      </w:r>
      <w:r>
        <w:rPr>
          <w:rFonts w:ascii="宋体" w:hAnsi="宋体" w:cs="宋体" w:eastAsia="宋体" w:hint="default"/>
          <w:spacing w:val="-8"/>
          <w:sz w:val="18"/>
          <w:szCs w:val="18"/>
        </w:rPr>
        <w:t>策的批准》，同意昆明彩印自</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月起至</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月止，享受减按</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税率优惠政策征收企业所得税。</w:t>
      </w:r>
    </w:p>
    <w:p>
      <w:pPr>
        <w:spacing w:before="89"/>
        <w:ind w:left="4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）安徽安泰新型包装材料印刷有限公司（以下简称“安徽安泰</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3"/>
        <w:rPr>
          <w:rFonts w:ascii="宋体" w:hAnsi="宋体" w:cs="宋体" w:eastAsia="宋体" w:hint="default"/>
          <w:sz w:val="22"/>
          <w:szCs w:val="22"/>
        </w:rPr>
      </w:pPr>
    </w:p>
    <w:p>
      <w:pPr>
        <w:spacing w:before="0"/>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日，安徽安泰领取了安徽省科学技术厅、安徽省财政厅、安徽省国家税务局、安徽省地方税务局颁发</w:t>
      </w:r>
    </w:p>
    <w:p>
      <w:pPr>
        <w:spacing w:line="240" w:lineRule="auto" w:before="1"/>
        <w:rPr>
          <w:rFonts w:ascii="宋体" w:hAnsi="宋体" w:cs="宋体" w:eastAsia="宋体" w:hint="default"/>
          <w:sz w:val="19"/>
          <w:szCs w:val="19"/>
        </w:rPr>
      </w:pPr>
    </w:p>
    <w:p>
      <w:pPr>
        <w:spacing w:before="0"/>
        <w:ind w:left="11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的高新技术企业证书，编号为</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GF201134000307</w:t>
      </w:r>
      <w:r>
        <w:rPr>
          <w:rFonts w:ascii="宋体" w:hAnsi="宋体" w:cs="宋体" w:eastAsia="宋体" w:hint="default"/>
          <w:spacing w:val="-3"/>
          <w:sz w:val="18"/>
          <w:szCs w:val="18"/>
        </w:rPr>
        <w:t>。根据《中华人民共和国企业所得税法》的有关规定，该公司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p>
    <w:p>
      <w:pPr>
        <w:spacing w:line="240" w:lineRule="auto" w:before="9"/>
        <w:rPr>
          <w:rFonts w:ascii="Times New Roman" w:hAnsi="Times New Roman" w:cs="Times New Roman" w:eastAsia="Times New Roman"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年享受高新技术企业税收优惠政策，减按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的税率缴纳企业所得税。</w:t>
      </w:r>
    </w:p>
    <w:p>
      <w:pPr>
        <w:spacing w:after="0"/>
        <w:jc w:val="left"/>
        <w:rPr>
          <w:rFonts w:ascii="宋体" w:hAnsi="宋体" w:cs="宋体" w:eastAsia="宋体" w:hint="default"/>
          <w:sz w:val="18"/>
          <w:szCs w:val="18"/>
        </w:rPr>
        <w:sectPr>
          <w:pgSz w:w="11910" w:h="16840"/>
          <w:pgMar w:header="920" w:footer="956" w:top="1140" w:bottom="1140" w:left="1020" w:right="0"/>
        </w:sectPr>
      </w:pPr>
    </w:p>
    <w:p>
      <w:pPr>
        <w:spacing w:line="240" w:lineRule="auto" w:before="3"/>
        <w:rPr>
          <w:rFonts w:ascii="宋体" w:hAnsi="宋体" w:cs="宋体" w:eastAsia="宋体" w:hint="default"/>
          <w:sz w:val="19"/>
          <w:szCs w:val="19"/>
        </w:rPr>
      </w:pPr>
    </w:p>
    <w:p>
      <w:pPr>
        <w:spacing w:before="44"/>
        <w:ind w:left="4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）中丰田光电科技（珠海）有限公司（以下简称“中丰田</w:t>
      </w:r>
      <w:r>
        <w:rPr>
          <w:rFonts w:ascii="宋体" w:hAnsi="宋体" w:cs="宋体" w:eastAsia="宋体" w:hint="default"/>
          <w:spacing w:val="-89"/>
          <w:sz w:val="18"/>
          <w:szCs w:val="18"/>
        </w:rPr>
        <w:t>”</w:t>
      </w:r>
      <w:r>
        <w:rPr>
          <w:rFonts w:ascii="宋体" w:hAnsi="宋体" w:cs="宋体" w:eastAsia="宋体" w:hint="default"/>
          <w:sz w:val="18"/>
          <w:szCs w:val="18"/>
        </w:rPr>
        <w:t>）</w:t>
      </w:r>
    </w:p>
    <w:p>
      <w:pPr>
        <w:spacing w:line="240" w:lineRule="auto" w:before="3"/>
        <w:rPr>
          <w:rFonts w:ascii="宋体" w:hAnsi="宋体" w:cs="宋体" w:eastAsia="宋体" w:hint="default"/>
          <w:sz w:val="22"/>
          <w:szCs w:val="22"/>
        </w:rPr>
      </w:pPr>
    </w:p>
    <w:p>
      <w:pPr>
        <w:spacing w:before="0"/>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日，中丰田领取了广东省科学技术厅、广东省财政厅、广东国家税务局、广东省地方税务局颁发的高</w:t>
      </w:r>
    </w:p>
    <w:p>
      <w:pPr>
        <w:spacing w:line="240" w:lineRule="auto" w:before="4"/>
        <w:rPr>
          <w:rFonts w:ascii="宋体" w:hAnsi="宋体" w:cs="宋体" w:eastAsia="宋体" w:hint="default"/>
          <w:sz w:val="19"/>
          <w:szCs w:val="19"/>
        </w:rPr>
      </w:pPr>
    </w:p>
    <w:p>
      <w:pPr>
        <w:spacing w:line="480" w:lineRule="auto" w:before="0"/>
        <w:ind w:left="112" w:right="1124" w:firstLine="0"/>
        <w:jc w:val="left"/>
        <w:rPr>
          <w:rFonts w:ascii="宋体" w:hAnsi="宋体" w:cs="宋体" w:eastAsia="宋体" w:hint="default"/>
          <w:sz w:val="18"/>
          <w:szCs w:val="18"/>
        </w:rPr>
      </w:pPr>
      <w:r>
        <w:rPr>
          <w:rFonts w:ascii="宋体" w:hAnsi="宋体" w:cs="宋体" w:eastAsia="宋体" w:hint="default"/>
          <w:sz w:val="18"/>
          <w:szCs w:val="18"/>
        </w:rPr>
        <w:t>新技术企业证书，编号为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GF201144001026</w:t>
      </w:r>
      <w:r>
        <w:rPr>
          <w:rFonts w:ascii="宋体" w:hAnsi="宋体" w:cs="宋体" w:eastAsia="宋体" w:hint="default"/>
          <w:sz w:val="18"/>
          <w:szCs w:val="18"/>
        </w:rPr>
        <w:t>。根据《中华人民共和国企业所得税法》的有关规定，该公司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享受高新技术企业税收优惠政策，减按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的税率缴纳企业所得税。</w:t>
      </w:r>
    </w:p>
    <w:p>
      <w:pPr>
        <w:spacing w:after="0" w:line="480" w:lineRule="auto"/>
        <w:jc w:val="left"/>
        <w:rPr>
          <w:rFonts w:ascii="宋体" w:hAnsi="宋体" w:cs="宋体" w:eastAsia="宋体" w:hint="default"/>
          <w:sz w:val="18"/>
          <w:szCs w:val="18"/>
        </w:rPr>
        <w:sectPr>
          <w:headerReference w:type="default" r:id="rId49"/>
          <w:pgSz w:w="11910" w:h="16840"/>
          <w:pgMar w:header="920" w:footer="956" w:top="1140" w:bottom="1140" w:left="1020" w:right="0"/>
        </w:sectPr>
      </w:pPr>
    </w:p>
    <w:p>
      <w:pPr>
        <w:spacing w:line="240" w:lineRule="auto" w:before="7"/>
        <w:rPr>
          <w:rFonts w:ascii="宋体" w:hAnsi="宋体" w:cs="宋体" w:eastAsia="宋体" w:hint="default"/>
          <w:sz w:val="13"/>
          <w:szCs w:val="13"/>
        </w:rPr>
      </w:pPr>
    </w:p>
    <w:p>
      <w:pPr>
        <w:spacing w:before="36"/>
        <w:ind w:left="252" w:right="1126" w:firstLine="0"/>
        <w:jc w:val="left"/>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before="0"/>
        <w:ind w:left="252" w:right="11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3"/>
        <w:rPr>
          <w:rFonts w:ascii="宋体" w:hAnsi="宋体" w:cs="宋体" w:eastAsia="宋体" w:hint="default"/>
          <w:b/>
          <w:bCs/>
          <w:sz w:val="20"/>
          <w:szCs w:val="20"/>
        </w:rPr>
      </w:pPr>
    </w:p>
    <w:p>
      <w:pPr>
        <w:spacing w:before="0"/>
        <w:ind w:left="252" w:right="112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）本公司通过设立或投资等方式取得的子公司</w:t>
      </w:r>
    </w:p>
    <w:p>
      <w:pPr>
        <w:spacing w:line="240" w:lineRule="auto" w:before="8"/>
        <w:rPr>
          <w:rFonts w:ascii="宋体" w:hAnsi="宋体" w:cs="宋体" w:eastAsia="宋体" w:hint="default"/>
          <w:sz w:val="16"/>
          <w:szCs w:val="16"/>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10"/>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422"/>
        <w:gridCol w:w="1015"/>
        <w:gridCol w:w="802"/>
        <w:gridCol w:w="941"/>
        <w:gridCol w:w="1517"/>
        <w:gridCol w:w="2136"/>
        <w:gridCol w:w="1671"/>
        <w:gridCol w:w="2057"/>
        <w:gridCol w:w="830"/>
        <w:gridCol w:w="941"/>
        <w:gridCol w:w="1443"/>
      </w:tblGrid>
      <w:tr>
        <w:trPr>
          <w:trHeight w:val="6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53"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before="16"/>
              <w:ind w:left="203" w:right="199" w:firstLine="74"/>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w w:val="100"/>
                <w:sz w:val="15"/>
                <w:szCs w:val="15"/>
              </w:rPr>
              <w:t> </w:t>
            </w:r>
            <w:r>
              <w:rPr>
                <w:rFonts w:ascii="宋体" w:hAnsi="宋体" w:cs="宋体" w:eastAsia="宋体" w:hint="default"/>
                <w:sz w:val="15"/>
                <w:szCs w:val="15"/>
              </w:rPr>
              <w:t>企业类型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4"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经营范围</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7" w:right="0"/>
              <w:jc w:val="left"/>
              <w:rPr>
                <w:rFonts w:ascii="宋体" w:hAnsi="宋体" w:cs="宋体" w:eastAsia="宋体" w:hint="default"/>
                <w:sz w:val="15"/>
                <w:szCs w:val="15"/>
              </w:rPr>
            </w:pPr>
            <w:r>
              <w:rPr>
                <w:rFonts w:ascii="宋体" w:hAnsi="宋体" w:cs="宋体" w:eastAsia="宋体" w:hint="default"/>
                <w:sz w:val="15"/>
                <w:szCs w:val="15"/>
              </w:rPr>
              <w:t>期末实际出资额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before="16"/>
              <w:ind w:left="276" w:right="267" w:firstLine="74"/>
              <w:jc w:val="left"/>
              <w:rPr>
                <w:rFonts w:ascii="宋体" w:hAnsi="宋体" w:cs="宋体" w:eastAsia="宋体" w:hint="default"/>
                <w:sz w:val="15"/>
                <w:szCs w:val="15"/>
              </w:rPr>
            </w:pPr>
            <w:r>
              <w:rPr>
                <w:rFonts w:ascii="宋体" w:hAnsi="宋体" w:cs="宋体" w:eastAsia="宋体" w:hint="default"/>
                <w:sz w:val="15"/>
                <w:szCs w:val="15"/>
              </w:rPr>
              <w:t>实质上构成对子公司</w:t>
            </w:r>
            <w:r>
              <w:rPr>
                <w:rFonts w:ascii="宋体" w:hAnsi="宋体" w:cs="宋体" w:eastAsia="宋体" w:hint="default"/>
                <w:w w:val="100"/>
                <w:sz w:val="15"/>
                <w:szCs w:val="15"/>
              </w:rPr>
              <w:t> </w:t>
            </w:r>
            <w:r>
              <w:rPr>
                <w:rFonts w:ascii="宋体" w:hAnsi="宋体" w:cs="宋体" w:eastAsia="宋体" w:hint="default"/>
                <w:spacing w:val="-2"/>
                <w:sz w:val="15"/>
                <w:szCs w:val="15"/>
              </w:rPr>
              <w:t>净投资的其他项目余额</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before="16"/>
              <w:ind w:left="223" w:right="180"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before="16"/>
              <w:ind w:left="201" w:right="199" w:firstLine="38"/>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14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 w:right="0"/>
              <w:jc w:val="center"/>
              <w:rPr>
                <w:rFonts w:ascii="宋体" w:hAnsi="宋体" w:cs="宋体" w:eastAsia="宋体" w:hint="default"/>
                <w:sz w:val="15"/>
                <w:szCs w:val="15"/>
              </w:rPr>
            </w:pPr>
            <w:r>
              <w:rPr>
                <w:rFonts w:ascii="宋体" w:hAnsi="宋体" w:cs="宋体" w:eastAsia="宋体" w:hint="default"/>
                <w:sz w:val="15"/>
                <w:szCs w:val="15"/>
              </w:rPr>
              <w:t>是否合并报表</w:t>
            </w:r>
          </w:p>
        </w:tc>
      </w:tr>
      <w:tr>
        <w:trPr>
          <w:trHeight w:val="715"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47" w:right="117"/>
              <w:jc w:val="left"/>
              <w:rPr>
                <w:rFonts w:ascii="宋体" w:hAnsi="宋体" w:cs="宋体" w:eastAsia="宋体" w:hint="default"/>
                <w:sz w:val="15"/>
                <w:szCs w:val="15"/>
              </w:rPr>
            </w:pPr>
            <w:r>
              <w:rPr>
                <w:rFonts w:ascii="宋体" w:hAnsi="宋体" w:cs="宋体" w:eastAsia="宋体" w:hint="default"/>
                <w:spacing w:val="12"/>
                <w:sz w:val="15"/>
                <w:szCs w:val="15"/>
              </w:rPr>
              <w:t>贵州劲嘉新型包</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装材料有限公</w:t>
            </w:r>
            <w:r>
              <w:rPr>
                <w:rFonts w:ascii="宋体" w:hAnsi="宋体" w:cs="宋体" w:eastAsia="宋体" w:hint="default"/>
                <w:spacing w:val="1"/>
                <w:sz w:val="15"/>
                <w:szCs w:val="15"/>
              </w:rPr>
              <w:t> </w:t>
            </w:r>
            <w:r>
              <w:rPr>
                <w:rFonts w:ascii="宋体" w:hAnsi="宋体" w:cs="宋体" w:eastAsia="宋体" w:hint="default"/>
                <w:sz w:val="15"/>
                <w:szCs w:val="15"/>
              </w:rPr>
              <w:t>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9" w:right="120" w:hanging="300"/>
              <w:jc w:val="left"/>
              <w:rPr>
                <w:rFonts w:ascii="宋体" w:hAnsi="宋体" w:cs="宋体" w:eastAsia="宋体" w:hint="default"/>
                <w:sz w:val="15"/>
                <w:szCs w:val="15"/>
              </w:rPr>
            </w:pPr>
            <w:r>
              <w:rPr>
                <w:rFonts w:ascii="宋体" w:hAnsi="宋体" w:cs="宋体" w:eastAsia="宋体" w:hint="default"/>
                <w:sz w:val="15"/>
                <w:szCs w:val="15"/>
              </w:rPr>
              <w:t>有限责任公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2" w:right="0"/>
              <w:jc w:val="center"/>
              <w:rPr>
                <w:rFonts w:ascii="宋体" w:hAnsi="宋体" w:cs="宋体" w:eastAsia="宋体" w:hint="default"/>
                <w:sz w:val="15"/>
                <w:szCs w:val="15"/>
              </w:rPr>
            </w:pPr>
            <w:r>
              <w:rPr>
                <w:rFonts w:ascii="宋体" w:hAnsi="宋体" w:cs="宋体" w:eastAsia="宋体" w:hint="default"/>
                <w:sz w:val="15"/>
                <w:szCs w:val="15"/>
              </w:rPr>
              <w:t>贵阳市</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144" w:right="0"/>
              <w:jc w:val="left"/>
              <w:rPr>
                <w:rFonts w:ascii="宋体" w:hAnsi="宋体" w:cs="宋体" w:eastAsia="宋体" w:hint="default"/>
                <w:sz w:val="15"/>
                <w:szCs w:val="15"/>
              </w:rPr>
            </w:pPr>
            <w:r>
              <w:rPr>
                <w:rFonts w:ascii="宋体" w:hAnsi="宋体" w:cs="宋体" w:eastAsia="宋体" w:hint="default"/>
                <w:sz w:val="15"/>
                <w:szCs w:val="15"/>
              </w:rPr>
              <w:t>生产制造</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RMB10,000.00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4" w:right="2"/>
              <w:jc w:val="both"/>
              <w:rPr>
                <w:rFonts w:ascii="宋体" w:hAnsi="宋体" w:cs="宋体" w:eastAsia="宋体" w:hint="default"/>
                <w:sz w:val="15"/>
                <w:szCs w:val="15"/>
              </w:rPr>
            </w:pPr>
            <w:r>
              <w:rPr>
                <w:rFonts w:ascii="宋体" w:hAnsi="宋体" w:cs="宋体" w:eastAsia="宋体" w:hint="default"/>
                <w:spacing w:val="-1"/>
                <w:sz w:val="15"/>
                <w:szCs w:val="15"/>
              </w:rPr>
              <w:t>生产经营包装材料，承接包装材</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1"/>
                <w:sz w:val="15"/>
                <w:szCs w:val="15"/>
              </w:rPr>
              <w:t>料的设计、制版、包装装潢印刷</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品印刷</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21,853.90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100"/>
                <w:sz w:val="15"/>
              </w:rPr>
              <w:t>-</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349"/>
              <w:jc w:val="right"/>
              <w:rPr>
                <w:rFonts w:ascii="Times New Roman" w:hAnsi="Times New Roman" w:cs="Times New Roman" w:eastAsia="Times New Roman" w:hint="default"/>
                <w:sz w:val="15"/>
                <w:szCs w:val="15"/>
              </w:rPr>
            </w:pPr>
            <w:r>
              <w:rPr>
                <w:rFonts w:ascii="Times New Roman"/>
                <w:spacing w:val="-1"/>
                <w:sz w:val="15"/>
              </w:rPr>
              <w:t>100</w:t>
            </w:r>
          </w:p>
        </w:tc>
        <w:tc>
          <w:tcPr>
            <w:tcW w:w="14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27"/>
              <w:jc w:val="center"/>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907"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147" w:right="117"/>
              <w:jc w:val="left"/>
              <w:rPr>
                <w:rFonts w:ascii="宋体" w:hAnsi="宋体" w:cs="宋体" w:eastAsia="宋体" w:hint="default"/>
                <w:sz w:val="15"/>
                <w:szCs w:val="15"/>
              </w:rPr>
            </w:pPr>
            <w:r>
              <w:rPr>
                <w:rFonts w:ascii="宋体" w:hAnsi="宋体" w:cs="宋体" w:eastAsia="宋体" w:hint="default"/>
                <w:spacing w:val="12"/>
                <w:sz w:val="15"/>
                <w:szCs w:val="15"/>
              </w:rPr>
              <w:t>深圳市劲嘉物业</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管理有限公司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429" w:right="120" w:hanging="300"/>
              <w:jc w:val="left"/>
              <w:rPr>
                <w:rFonts w:ascii="宋体" w:hAnsi="宋体" w:cs="宋体" w:eastAsia="宋体" w:hint="default"/>
                <w:sz w:val="15"/>
                <w:szCs w:val="15"/>
              </w:rPr>
            </w:pPr>
            <w:r>
              <w:rPr>
                <w:rFonts w:ascii="宋体" w:hAnsi="宋体" w:cs="宋体" w:eastAsia="宋体" w:hint="default"/>
                <w:sz w:val="15"/>
                <w:szCs w:val="15"/>
              </w:rPr>
              <w:t>有限责任公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5"/>
                <w:szCs w:val="15"/>
              </w:rPr>
            </w:pPr>
            <w:r>
              <w:rPr>
                <w:rFonts w:ascii="宋体" w:hAnsi="宋体" w:cs="宋体" w:eastAsia="宋体" w:hint="default"/>
                <w:sz w:val="15"/>
                <w:szCs w:val="15"/>
              </w:rPr>
              <w:t>物业管理</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RMB1,000.00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2"/>
              <w:jc w:val="both"/>
              <w:rPr>
                <w:rFonts w:ascii="宋体" w:hAnsi="宋体" w:cs="宋体" w:eastAsia="宋体" w:hint="default"/>
                <w:sz w:val="15"/>
                <w:szCs w:val="15"/>
              </w:rPr>
            </w:pPr>
            <w:r>
              <w:rPr>
                <w:rFonts w:ascii="宋体" w:hAnsi="宋体" w:cs="宋体" w:eastAsia="宋体" w:hint="default"/>
                <w:spacing w:val="-1"/>
                <w:sz w:val="15"/>
                <w:szCs w:val="15"/>
              </w:rPr>
              <w:t>物业管理，室内外清洁服务，自</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1"/>
                <w:sz w:val="15"/>
                <w:szCs w:val="15"/>
              </w:rPr>
              <w:t>有物业租赁，在合法取得的土地</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1"/>
                <w:sz w:val="15"/>
                <w:szCs w:val="15"/>
              </w:rPr>
              <w:t>上从事房地产开发经营，房地产</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经纪等</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100"/>
                <w:sz w:val="15"/>
              </w:rPr>
              <w:t>-</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49"/>
              <w:jc w:val="right"/>
              <w:rPr>
                <w:rFonts w:ascii="Times New Roman" w:hAnsi="Times New Roman" w:cs="Times New Roman" w:eastAsia="Times New Roman" w:hint="default"/>
                <w:sz w:val="15"/>
                <w:szCs w:val="15"/>
              </w:rPr>
            </w:pPr>
            <w:r>
              <w:rPr>
                <w:rFonts w:ascii="Times New Roman"/>
                <w:spacing w:val="-1"/>
                <w:sz w:val="15"/>
              </w:rPr>
              <w:t>100</w:t>
            </w:r>
          </w:p>
        </w:tc>
        <w:tc>
          <w:tcPr>
            <w:tcW w:w="14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
              <w:jc w:val="center"/>
              <w:rPr>
                <w:rFonts w:ascii="宋体" w:hAnsi="宋体" w:cs="宋体" w:eastAsia="宋体" w:hint="default"/>
                <w:sz w:val="15"/>
                <w:szCs w:val="15"/>
              </w:rPr>
            </w:pPr>
            <w:r>
              <w:rPr>
                <w:rFonts w:ascii="宋体" w:hAnsi="宋体" w:cs="宋体" w:eastAsia="宋体" w:hint="default"/>
                <w:w w:val="100"/>
                <w:sz w:val="15"/>
                <w:szCs w:val="15"/>
              </w:rPr>
              <w:t>是</w:t>
            </w:r>
          </w:p>
        </w:tc>
      </w:tr>
    </w:tbl>
    <w:p>
      <w:pPr>
        <w:spacing w:line="240" w:lineRule="auto" w:before="9"/>
        <w:rPr>
          <w:rFonts w:ascii="宋体" w:hAnsi="宋体" w:cs="宋体" w:eastAsia="宋体" w:hint="default"/>
          <w:sz w:val="14"/>
          <w:szCs w:val="14"/>
        </w:rPr>
      </w:pPr>
    </w:p>
    <w:p>
      <w:pPr>
        <w:spacing w:line="482" w:lineRule="auto" w:before="44"/>
        <w:ind w:left="252" w:right="1126"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日，本公司投资人民币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万元设立深圳市劲嘉物业管理有限公司，该公司主要负责</w:t>
      </w:r>
      <w:r>
        <w:rPr>
          <w:rFonts w:ascii="宋体" w:hAnsi="宋体" w:cs="宋体" w:eastAsia="宋体" w:hint="default"/>
          <w:spacing w:val="-43"/>
          <w:sz w:val="18"/>
          <w:szCs w:val="18"/>
        </w:rPr>
        <w:t> </w:t>
      </w: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年即将完工的劲嘉科技大厦的物业管理。截至报告期末，该公司尚未正式 运营。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spacing w:before="0"/>
        <w:ind w:left="252" w:right="112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）同一控制下企业合并取得的子公司</w:t>
      </w:r>
    </w:p>
    <w:p>
      <w:pPr>
        <w:spacing w:line="240" w:lineRule="auto" w:before="3"/>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139"/>
        <w:gridCol w:w="1272"/>
        <w:gridCol w:w="799"/>
        <w:gridCol w:w="1034"/>
        <w:gridCol w:w="1275"/>
        <w:gridCol w:w="1351"/>
        <w:gridCol w:w="910"/>
        <w:gridCol w:w="898"/>
        <w:gridCol w:w="722"/>
        <w:gridCol w:w="725"/>
        <w:gridCol w:w="590"/>
        <w:gridCol w:w="1057"/>
        <w:gridCol w:w="991"/>
        <w:gridCol w:w="2012"/>
      </w:tblGrid>
      <w:tr>
        <w:trPr>
          <w:trHeight w:val="1262"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3"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子公司企业类型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63"/>
              <w:jc w:val="right"/>
              <w:rPr>
                <w:rFonts w:ascii="宋体" w:hAnsi="宋体" w:cs="宋体" w:eastAsia="宋体" w:hint="default"/>
                <w:sz w:val="15"/>
                <w:szCs w:val="15"/>
              </w:rPr>
            </w:pPr>
            <w:r>
              <w:rPr>
                <w:rFonts w:ascii="宋体" w:hAnsi="宋体" w:cs="宋体" w:eastAsia="宋体" w:hint="default"/>
                <w:sz w:val="15"/>
                <w:szCs w:val="15"/>
              </w:rPr>
              <w:t>注册地</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06"/>
              <w:jc w:val="right"/>
              <w:rPr>
                <w:rFonts w:ascii="宋体" w:hAnsi="宋体" w:cs="宋体" w:eastAsia="宋体" w:hint="default"/>
                <w:sz w:val="15"/>
                <w:szCs w:val="15"/>
              </w:rPr>
            </w:pPr>
            <w:r>
              <w:rPr>
                <w:rFonts w:ascii="宋体" w:hAnsi="宋体" w:cs="宋体" w:eastAsia="宋体" w:hint="default"/>
                <w:spacing w:val="-1"/>
                <w:sz w:val="15"/>
                <w:szCs w:val="15"/>
              </w:rPr>
              <w:t>业务性质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192" w:lineRule="exact"/>
              <w:ind w:left="225" w:right="144" w:hanging="75"/>
              <w:jc w:val="left"/>
              <w:rPr>
                <w:rFonts w:ascii="宋体" w:hAnsi="宋体" w:cs="宋体" w:eastAsia="宋体" w:hint="default"/>
                <w:sz w:val="15"/>
                <w:szCs w:val="15"/>
              </w:rPr>
            </w:pPr>
            <w:r>
              <w:rPr>
                <w:rFonts w:ascii="宋体" w:hAnsi="宋体" w:cs="宋体" w:eastAsia="宋体" w:hint="default"/>
                <w:sz w:val="15"/>
                <w:szCs w:val="15"/>
              </w:rPr>
              <w:t>期末实际</w:t>
            </w:r>
            <w:r>
              <w:rPr>
                <w:rFonts w:ascii="宋体" w:hAnsi="宋体" w:cs="宋体" w:eastAsia="宋体" w:hint="default"/>
                <w:w w:val="100"/>
                <w:sz w:val="15"/>
                <w:szCs w:val="15"/>
              </w:rPr>
              <w:t> </w:t>
            </w:r>
            <w:r>
              <w:rPr>
                <w:rFonts w:ascii="宋体" w:hAnsi="宋体" w:cs="宋体" w:eastAsia="宋体" w:hint="default"/>
                <w:sz w:val="15"/>
                <w:szCs w:val="15"/>
              </w:rPr>
              <w:t>出资额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7" w:lineRule="auto"/>
              <w:ind w:left="144" w:right="139"/>
              <w:jc w:val="both"/>
              <w:rPr>
                <w:rFonts w:ascii="宋体" w:hAnsi="宋体" w:cs="宋体" w:eastAsia="宋体" w:hint="default"/>
                <w:sz w:val="15"/>
                <w:szCs w:val="15"/>
              </w:rPr>
            </w:pPr>
            <w:r>
              <w:rPr>
                <w:rFonts w:ascii="宋体" w:hAnsi="宋体" w:cs="宋体" w:eastAsia="宋体" w:hint="default"/>
                <w:sz w:val="15"/>
                <w:szCs w:val="15"/>
              </w:rPr>
              <w:t>实质上构</w:t>
            </w:r>
            <w:r>
              <w:rPr>
                <w:rFonts w:ascii="宋体" w:hAnsi="宋体" w:cs="宋体" w:eastAsia="宋体" w:hint="default"/>
                <w:w w:val="100"/>
                <w:sz w:val="15"/>
                <w:szCs w:val="15"/>
              </w:rPr>
              <w:t> </w:t>
            </w:r>
            <w:r>
              <w:rPr>
                <w:rFonts w:ascii="宋体" w:hAnsi="宋体" w:cs="宋体" w:eastAsia="宋体" w:hint="default"/>
                <w:sz w:val="15"/>
                <w:szCs w:val="15"/>
              </w:rPr>
              <w:t>成对子公</w:t>
            </w:r>
            <w:r>
              <w:rPr>
                <w:rFonts w:ascii="宋体" w:hAnsi="宋体" w:cs="宋体" w:eastAsia="宋体" w:hint="default"/>
                <w:w w:val="100"/>
                <w:sz w:val="15"/>
                <w:szCs w:val="15"/>
              </w:rPr>
              <w:t> </w:t>
            </w:r>
            <w:r>
              <w:rPr>
                <w:rFonts w:ascii="宋体" w:hAnsi="宋体" w:cs="宋体" w:eastAsia="宋体" w:hint="default"/>
                <w:sz w:val="15"/>
                <w:szCs w:val="15"/>
              </w:rPr>
              <w:t>司净投资</w:t>
            </w:r>
            <w:r>
              <w:rPr>
                <w:rFonts w:ascii="宋体" w:hAnsi="宋体" w:cs="宋体" w:eastAsia="宋体" w:hint="default"/>
                <w:w w:val="100"/>
                <w:sz w:val="15"/>
                <w:szCs w:val="15"/>
              </w:rPr>
              <w:t> </w:t>
            </w:r>
            <w:r>
              <w:rPr>
                <w:rFonts w:ascii="宋体" w:hAnsi="宋体" w:cs="宋体" w:eastAsia="宋体" w:hint="default"/>
                <w:sz w:val="15"/>
                <w:szCs w:val="15"/>
              </w:rPr>
              <w:t>的其他项</w:t>
            </w:r>
            <w:r>
              <w:rPr>
                <w:rFonts w:ascii="宋体" w:hAnsi="宋体" w:cs="宋体" w:eastAsia="宋体" w:hint="default"/>
                <w:w w:val="100"/>
                <w:sz w:val="15"/>
                <w:szCs w:val="15"/>
              </w:rPr>
              <w:t> </w:t>
            </w:r>
            <w:r>
              <w:rPr>
                <w:rFonts w:ascii="宋体" w:hAnsi="宋体" w:cs="宋体" w:eastAsia="宋体" w:hint="default"/>
                <w:sz w:val="15"/>
                <w:szCs w:val="15"/>
              </w:rPr>
              <w:t>目余额</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92" w:lineRule="exact" w:before="109"/>
              <w:ind w:left="170" w:right="125"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9" w:lineRule="auto"/>
              <w:ind w:left="134" w:right="125"/>
              <w:jc w:val="center"/>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35" w:lineRule="auto"/>
              <w:ind w:left="141" w:right="134"/>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合并</w:t>
            </w:r>
            <w:r>
              <w:rPr>
                <w:rFonts w:ascii="宋体" w:hAnsi="宋体" w:cs="宋体" w:eastAsia="宋体" w:hint="default"/>
                <w:spacing w:val="-73"/>
                <w:sz w:val="15"/>
                <w:szCs w:val="15"/>
              </w:rPr>
              <w:t> </w:t>
            </w:r>
            <w:r>
              <w:rPr>
                <w:rFonts w:ascii="宋体" w:hAnsi="宋体" w:cs="宋体" w:eastAsia="宋体" w:hint="default"/>
                <w:sz w:val="15"/>
                <w:szCs w:val="15"/>
              </w:rPr>
              <w:t>报表</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535" w:lineRule="auto"/>
              <w:ind w:left="374" w:right="217"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37" w:lineRule="auto"/>
              <w:ind w:left="117" w:right="108"/>
              <w:jc w:val="both"/>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益中用于冲</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减少数股东</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损益的金额</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7" w:lineRule="auto"/>
              <w:ind w:left="165" w:right="186"/>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从母公司所有者权益冲减</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子公司少数股东分担的本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期亏损超过少数股东在该</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子公司期初所有者权益中</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所享有份额后的余额</w:t>
            </w:r>
          </w:p>
        </w:tc>
      </w:tr>
      <w:tr>
        <w:trPr>
          <w:trHeight w:val="485"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5" w:right="0"/>
              <w:jc w:val="center"/>
              <w:rPr>
                <w:rFonts w:ascii="宋体" w:hAnsi="宋体" w:cs="宋体" w:eastAsia="宋体" w:hint="default"/>
                <w:sz w:val="15"/>
                <w:szCs w:val="15"/>
              </w:rPr>
            </w:pPr>
            <w:r>
              <w:rPr>
                <w:rFonts w:ascii="宋体" w:hAnsi="宋体" w:cs="宋体" w:eastAsia="宋体" w:hint="default"/>
                <w:sz w:val="15"/>
                <w:szCs w:val="15"/>
              </w:rPr>
              <w:t>东</w:t>
            </w:r>
            <w:r>
              <w:rPr>
                <w:rFonts w:ascii="宋体" w:hAnsi="宋体" w:cs="宋体" w:eastAsia="宋体" w:hint="default"/>
                <w:spacing w:val="-41"/>
                <w:sz w:val="15"/>
                <w:szCs w:val="15"/>
              </w:rPr>
              <w:t> </w:t>
            </w:r>
            <w:r>
              <w:rPr>
                <w:rFonts w:ascii="宋体" w:hAnsi="宋体" w:cs="宋体" w:eastAsia="宋体" w:hint="default"/>
                <w:sz w:val="15"/>
                <w:szCs w:val="15"/>
              </w:rPr>
              <w:t>方</w:t>
            </w:r>
            <w:r>
              <w:rPr>
                <w:rFonts w:ascii="宋体" w:hAnsi="宋体" w:cs="宋体" w:eastAsia="宋体" w:hint="default"/>
                <w:spacing w:val="-43"/>
                <w:sz w:val="15"/>
                <w:szCs w:val="15"/>
              </w:rPr>
              <w:t> </w:t>
            </w:r>
            <w:r>
              <w:rPr>
                <w:rFonts w:ascii="宋体" w:hAnsi="宋体" w:cs="宋体" w:eastAsia="宋体" w:hint="default"/>
                <w:sz w:val="15"/>
                <w:szCs w:val="15"/>
              </w:rPr>
              <w:t>英</w:t>
            </w:r>
            <w:r>
              <w:rPr>
                <w:rFonts w:ascii="宋体" w:hAnsi="宋体" w:cs="宋体" w:eastAsia="宋体" w:hint="default"/>
                <w:spacing w:val="-43"/>
                <w:sz w:val="15"/>
                <w:szCs w:val="15"/>
              </w:rPr>
              <w:t> </w:t>
            </w:r>
            <w:r>
              <w:rPr>
                <w:rFonts w:ascii="宋体" w:hAnsi="宋体" w:cs="宋体" w:eastAsia="宋体" w:hint="default"/>
                <w:sz w:val="15"/>
                <w:szCs w:val="15"/>
              </w:rPr>
              <w:t>莎</w:t>
            </w:r>
            <w:r>
              <w:rPr>
                <w:rFonts w:ascii="宋体" w:hAnsi="宋体" w:cs="宋体" w:eastAsia="宋体" w:hint="default"/>
                <w:spacing w:val="-41"/>
                <w:sz w:val="15"/>
                <w:szCs w:val="15"/>
              </w:rPr>
              <w:t> </w:t>
            </w:r>
            <w:r>
              <w:rPr>
                <w:rFonts w:ascii="宋体" w:hAnsi="宋体" w:cs="宋体" w:eastAsia="宋体" w:hint="default"/>
                <w:sz w:val="15"/>
                <w:szCs w:val="15"/>
              </w:rPr>
              <w:t>特</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BVI </w:t>
            </w:r>
            <w:r>
              <w:rPr>
                <w:rFonts w:ascii="宋体" w:hAnsi="宋体" w:cs="宋体" w:eastAsia="宋体" w:hint="default"/>
                <w:sz w:val="15"/>
                <w:szCs w:val="15"/>
              </w:rPr>
              <w:t>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63"/>
              <w:jc w:val="right"/>
              <w:rPr>
                <w:rFonts w:ascii="宋体" w:hAnsi="宋体" w:cs="宋体" w:eastAsia="宋体" w:hint="default"/>
                <w:sz w:val="15"/>
                <w:szCs w:val="15"/>
              </w:rPr>
            </w:pPr>
            <w:r>
              <w:rPr>
                <w:rFonts w:ascii="宋体" w:hAnsi="宋体" w:cs="宋体" w:eastAsia="宋体" w:hint="default"/>
                <w:sz w:val="15"/>
                <w:szCs w:val="15"/>
              </w:rPr>
              <w:t>英属维</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6"/>
              <w:jc w:val="right"/>
              <w:rPr>
                <w:rFonts w:ascii="宋体" w:hAnsi="宋体" w:cs="宋体" w:eastAsia="宋体" w:hint="default"/>
                <w:sz w:val="15"/>
                <w:szCs w:val="15"/>
              </w:rPr>
            </w:pPr>
            <w:r>
              <w:rPr>
                <w:rFonts w:ascii="宋体" w:hAnsi="宋体" w:cs="宋体" w:eastAsia="宋体" w:hint="default"/>
                <w:spacing w:val="-1"/>
                <w:sz w:val="15"/>
                <w:szCs w:val="15"/>
              </w:rPr>
              <w:t>投资控股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USD1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元</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投资控股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60" w:right="0"/>
              <w:jc w:val="left"/>
              <w:rPr>
                <w:rFonts w:ascii="Times New Roman" w:hAnsi="Times New Roman" w:cs="Times New Roman" w:eastAsia="Times New Roman" w:hint="default"/>
                <w:sz w:val="15"/>
                <w:szCs w:val="15"/>
              </w:rPr>
            </w:pPr>
            <w:r>
              <w:rPr>
                <w:rFonts w:ascii="Times New Roman"/>
                <w:sz w:val="15"/>
              </w:rPr>
              <w:t>84.65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w w:val="100"/>
                <w:sz w:val="15"/>
              </w:rPr>
              <w:t>-</w:t>
            </w:r>
          </w:p>
        </w:tc>
      </w:tr>
    </w:tbl>
    <w:p>
      <w:pPr>
        <w:spacing w:after="0" w:line="240" w:lineRule="auto"/>
        <w:jc w:val="right"/>
        <w:rPr>
          <w:rFonts w:ascii="Times New Roman" w:hAnsi="Times New Roman" w:cs="Times New Roman" w:eastAsia="Times New Roman" w:hint="default"/>
          <w:sz w:val="15"/>
          <w:szCs w:val="15"/>
        </w:rPr>
        <w:sectPr>
          <w:headerReference w:type="default" r:id="rId50"/>
          <w:footerReference w:type="default" r:id="rId51"/>
          <w:pgSz w:w="16840" w:h="11910" w:orient="landscape"/>
          <w:pgMar w:header="920" w:footer="956" w:top="1140" w:bottom="1140" w:left="880" w:right="0"/>
          <w:pgNumType w:start="37"/>
        </w:sectPr>
      </w:pPr>
    </w:p>
    <w:p>
      <w:pPr>
        <w:spacing w:line="240" w:lineRule="auto" w:before="7"/>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114"/>
        <w:gridCol w:w="1272"/>
        <w:gridCol w:w="799"/>
        <w:gridCol w:w="1034"/>
        <w:gridCol w:w="1275"/>
        <w:gridCol w:w="1351"/>
        <w:gridCol w:w="910"/>
        <w:gridCol w:w="898"/>
        <w:gridCol w:w="722"/>
        <w:gridCol w:w="725"/>
        <w:gridCol w:w="590"/>
        <w:gridCol w:w="1057"/>
        <w:gridCol w:w="991"/>
        <w:gridCol w:w="1987"/>
      </w:tblGrid>
      <w:tr>
        <w:trPr>
          <w:trHeight w:val="1265" w:hRule="exact"/>
        </w:trPr>
        <w:tc>
          <w:tcPr>
            <w:tcW w:w="11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子公司企业类型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3"/>
              <w:jc w:val="right"/>
              <w:rPr>
                <w:rFonts w:ascii="宋体" w:hAnsi="宋体" w:cs="宋体" w:eastAsia="宋体" w:hint="default"/>
                <w:sz w:val="15"/>
                <w:szCs w:val="15"/>
              </w:rPr>
            </w:pPr>
            <w:r>
              <w:rPr>
                <w:rFonts w:ascii="宋体" w:hAnsi="宋体" w:cs="宋体" w:eastAsia="宋体" w:hint="default"/>
                <w:sz w:val="15"/>
                <w:szCs w:val="15"/>
              </w:rPr>
              <w:t>注册地</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6"/>
              <w:jc w:val="right"/>
              <w:rPr>
                <w:rFonts w:ascii="宋体" w:hAnsi="宋体" w:cs="宋体" w:eastAsia="宋体" w:hint="default"/>
                <w:sz w:val="15"/>
                <w:szCs w:val="15"/>
              </w:rPr>
            </w:pPr>
            <w:r>
              <w:rPr>
                <w:rFonts w:ascii="宋体" w:hAnsi="宋体" w:cs="宋体" w:eastAsia="宋体" w:hint="default"/>
                <w:spacing w:val="-1"/>
                <w:sz w:val="15"/>
                <w:szCs w:val="15"/>
              </w:rPr>
              <w:t>业务性质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192" w:lineRule="exact"/>
              <w:ind w:left="225" w:right="144" w:hanging="75"/>
              <w:jc w:val="left"/>
              <w:rPr>
                <w:rFonts w:ascii="宋体" w:hAnsi="宋体" w:cs="宋体" w:eastAsia="宋体" w:hint="default"/>
                <w:sz w:val="15"/>
                <w:szCs w:val="15"/>
              </w:rPr>
            </w:pPr>
            <w:r>
              <w:rPr>
                <w:rFonts w:ascii="宋体" w:hAnsi="宋体" w:cs="宋体" w:eastAsia="宋体" w:hint="default"/>
                <w:sz w:val="15"/>
                <w:szCs w:val="15"/>
              </w:rPr>
              <w:t>期末实际</w:t>
            </w:r>
            <w:r>
              <w:rPr>
                <w:rFonts w:ascii="宋体" w:hAnsi="宋体" w:cs="宋体" w:eastAsia="宋体" w:hint="default"/>
                <w:w w:val="100"/>
                <w:sz w:val="15"/>
                <w:szCs w:val="15"/>
              </w:rPr>
              <w:t> </w:t>
            </w:r>
            <w:r>
              <w:rPr>
                <w:rFonts w:ascii="宋体" w:hAnsi="宋体" w:cs="宋体" w:eastAsia="宋体" w:hint="default"/>
                <w:sz w:val="15"/>
                <w:szCs w:val="15"/>
              </w:rPr>
              <w:t>出资额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7" w:lineRule="auto"/>
              <w:ind w:left="144" w:right="139"/>
              <w:jc w:val="both"/>
              <w:rPr>
                <w:rFonts w:ascii="宋体" w:hAnsi="宋体" w:cs="宋体" w:eastAsia="宋体" w:hint="default"/>
                <w:sz w:val="15"/>
                <w:szCs w:val="15"/>
              </w:rPr>
            </w:pPr>
            <w:r>
              <w:rPr>
                <w:rFonts w:ascii="宋体" w:hAnsi="宋体" w:cs="宋体" w:eastAsia="宋体" w:hint="default"/>
                <w:sz w:val="15"/>
                <w:szCs w:val="15"/>
              </w:rPr>
              <w:t>实质上构</w:t>
            </w:r>
            <w:r>
              <w:rPr>
                <w:rFonts w:ascii="宋体" w:hAnsi="宋体" w:cs="宋体" w:eastAsia="宋体" w:hint="default"/>
                <w:w w:val="100"/>
                <w:sz w:val="15"/>
                <w:szCs w:val="15"/>
              </w:rPr>
              <w:t> </w:t>
            </w:r>
            <w:r>
              <w:rPr>
                <w:rFonts w:ascii="宋体" w:hAnsi="宋体" w:cs="宋体" w:eastAsia="宋体" w:hint="default"/>
                <w:sz w:val="15"/>
                <w:szCs w:val="15"/>
              </w:rPr>
              <w:t>成对子公</w:t>
            </w:r>
            <w:r>
              <w:rPr>
                <w:rFonts w:ascii="宋体" w:hAnsi="宋体" w:cs="宋体" w:eastAsia="宋体" w:hint="default"/>
                <w:w w:val="100"/>
                <w:sz w:val="15"/>
                <w:szCs w:val="15"/>
              </w:rPr>
              <w:t> </w:t>
            </w:r>
            <w:r>
              <w:rPr>
                <w:rFonts w:ascii="宋体" w:hAnsi="宋体" w:cs="宋体" w:eastAsia="宋体" w:hint="default"/>
                <w:sz w:val="15"/>
                <w:szCs w:val="15"/>
              </w:rPr>
              <w:t>司净投资</w:t>
            </w:r>
            <w:r>
              <w:rPr>
                <w:rFonts w:ascii="宋体" w:hAnsi="宋体" w:cs="宋体" w:eastAsia="宋体" w:hint="default"/>
                <w:w w:val="100"/>
                <w:sz w:val="15"/>
                <w:szCs w:val="15"/>
              </w:rPr>
              <w:t> </w:t>
            </w:r>
            <w:r>
              <w:rPr>
                <w:rFonts w:ascii="宋体" w:hAnsi="宋体" w:cs="宋体" w:eastAsia="宋体" w:hint="default"/>
                <w:sz w:val="15"/>
                <w:szCs w:val="15"/>
              </w:rPr>
              <w:t>的其他项</w:t>
            </w:r>
            <w:r>
              <w:rPr>
                <w:rFonts w:ascii="宋体" w:hAnsi="宋体" w:cs="宋体" w:eastAsia="宋体" w:hint="default"/>
                <w:w w:val="100"/>
                <w:sz w:val="15"/>
                <w:szCs w:val="15"/>
              </w:rPr>
              <w:t> </w:t>
            </w:r>
            <w:r>
              <w:rPr>
                <w:rFonts w:ascii="宋体" w:hAnsi="宋体" w:cs="宋体" w:eastAsia="宋体" w:hint="default"/>
                <w:sz w:val="15"/>
                <w:szCs w:val="15"/>
              </w:rPr>
              <w:t>目余额</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92" w:lineRule="exact" w:before="112"/>
              <w:ind w:left="170" w:right="125"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9" w:lineRule="auto"/>
              <w:ind w:left="134" w:right="125"/>
              <w:jc w:val="center"/>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35" w:lineRule="auto"/>
              <w:ind w:left="141" w:right="134"/>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合并</w:t>
            </w:r>
            <w:r>
              <w:rPr>
                <w:rFonts w:ascii="宋体" w:hAnsi="宋体" w:cs="宋体" w:eastAsia="宋体" w:hint="default"/>
                <w:spacing w:val="-73"/>
                <w:sz w:val="15"/>
                <w:szCs w:val="15"/>
              </w:rPr>
              <w:t> </w:t>
            </w:r>
            <w:r>
              <w:rPr>
                <w:rFonts w:ascii="宋体" w:hAnsi="宋体" w:cs="宋体" w:eastAsia="宋体" w:hint="default"/>
                <w:sz w:val="15"/>
                <w:szCs w:val="15"/>
              </w:rPr>
              <w:t>报表</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535" w:lineRule="auto"/>
              <w:ind w:left="374" w:right="217"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37" w:lineRule="auto"/>
              <w:ind w:left="117" w:right="108"/>
              <w:jc w:val="both"/>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益中用于冲</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减少数股东</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损益的金额</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7" w:lineRule="auto"/>
              <w:ind w:left="165" w:right="161"/>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从母公司所有者权益冲减</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子公司少数股东分担的本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期亏损超过少数股东在该</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子公司期初所有者权益中</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所享有份额后的余额</w:t>
            </w:r>
          </w:p>
        </w:tc>
      </w:tr>
      <w:tr>
        <w:trPr>
          <w:trHeight w:val="437" w:hRule="exact"/>
        </w:trPr>
        <w:tc>
          <w:tcPr>
            <w:tcW w:w="1114"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27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4" w:right="0"/>
              <w:jc w:val="center"/>
              <w:rPr>
                <w:rFonts w:ascii="宋体" w:hAnsi="宋体" w:cs="宋体" w:eastAsia="宋体" w:hint="default"/>
                <w:sz w:val="15"/>
                <w:szCs w:val="15"/>
              </w:rPr>
            </w:pPr>
            <w:r>
              <w:rPr>
                <w:rFonts w:ascii="宋体" w:hAnsi="宋体" w:cs="宋体" w:eastAsia="宋体" w:hint="default"/>
                <w:sz w:val="15"/>
                <w:szCs w:val="15"/>
              </w:rPr>
              <w:t>尔京群</w:t>
            </w:r>
          </w:p>
          <w:p>
            <w:pPr>
              <w:pStyle w:val="TableParagraph"/>
              <w:spacing w:line="194" w:lineRule="exact"/>
              <w:ind w:right="0"/>
              <w:jc w:val="center"/>
              <w:rPr>
                <w:rFonts w:ascii="宋体" w:hAnsi="宋体" w:cs="宋体" w:eastAsia="宋体" w:hint="default"/>
                <w:sz w:val="15"/>
                <w:szCs w:val="15"/>
              </w:rPr>
            </w:pPr>
            <w:r>
              <w:rPr>
                <w:rFonts w:ascii="宋体" w:hAnsi="宋体" w:cs="宋体" w:eastAsia="宋体" w:hint="default"/>
                <w:w w:val="100"/>
                <w:sz w:val="15"/>
                <w:szCs w:val="15"/>
              </w:rPr>
              <w:t>岛</w:t>
            </w:r>
          </w:p>
        </w:tc>
        <w:tc>
          <w:tcPr>
            <w:tcW w:w="10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nil" w:sz="6" w:space="0" w:color="auto"/>
            </w:tcBorders>
          </w:tcPr>
          <w:p>
            <w:pPr/>
          </w:p>
        </w:tc>
      </w:tr>
      <w:tr>
        <w:trPr>
          <w:trHeight w:val="852" w:hRule="exact"/>
        </w:trPr>
        <w:tc>
          <w:tcPr>
            <w:tcW w:w="1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淮</w:t>
            </w:r>
            <w:r>
              <w:rPr>
                <w:rFonts w:ascii="宋体" w:hAnsi="宋体" w:cs="宋体" w:eastAsia="宋体" w:hint="default"/>
                <w:spacing w:val="-41"/>
                <w:sz w:val="15"/>
                <w:szCs w:val="15"/>
              </w:rPr>
              <w:t> </w:t>
            </w:r>
            <w:r>
              <w:rPr>
                <w:rFonts w:ascii="宋体" w:hAnsi="宋体" w:cs="宋体" w:eastAsia="宋体" w:hint="default"/>
                <w:sz w:val="15"/>
                <w:szCs w:val="15"/>
              </w:rPr>
              <w:t>安</w:t>
            </w:r>
            <w:r>
              <w:rPr>
                <w:rFonts w:ascii="宋体" w:hAnsi="宋体" w:cs="宋体" w:eastAsia="宋体" w:hint="default"/>
                <w:spacing w:val="-43"/>
                <w:sz w:val="15"/>
                <w:szCs w:val="15"/>
              </w:rPr>
              <w:t> </w:t>
            </w:r>
            <w:r>
              <w:rPr>
                <w:rFonts w:ascii="宋体" w:hAnsi="宋体" w:cs="宋体" w:eastAsia="宋体" w:hint="default"/>
                <w:sz w:val="15"/>
                <w:szCs w:val="15"/>
              </w:rPr>
              <w:t>华</w:t>
            </w:r>
            <w:r>
              <w:rPr>
                <w:rFonts w:ascii="宋体" w:hAnsi="宋体" w:cs="宋体" w:eastAsia="宋体" w:hint="default"/>
                <w:spacing w:val="-43"/>
                <w:sz w:val="15"/>
                <w:szCs w:val="15"/>
              </w:rPr>
              <w:t> </w:t>
            </w:r>
            <w:r>
              <w:rPr>
                <w:rFonts w:ascii="宋体" w:hAnsi="宋体" w:cs="宋体" w:eastAsia="宋体" w:hint="default"/>
                <w:sz w:val="15"/>
                <w:szCs w:val="15"/>
              </w:rPr>
              <w:t>丰</w:t>
            </w:r>
            <w:r>
              <w:rPr>
                <w:rFonts w:ascii="宋体" w:hAnsi="宋体" w:cs="宋体" w:eastAsia="宋体" w:hint="default"/>
                <w:spacing w:val="-41"/>
                <w:sz w:val="15"/>
                <w:szCs w:val="15"/>
              </w:rPr>
              <w:t> </w:t>
            </w:r>
            <w:r>
              <w:rPr>
                <w:rFonts w:ascii="宋体" w:hAnsi="宋体" w:cs="宋体" w:eastAsia="宋体" w:hint="default"/>
                <w:sz w:val="15"/>
                <w:szCs w:val="15"/>
              </w:rPr>
              <w:t>彩</w:t>
            </w:r>
            <w:r>
              <w:rPr>
                <w:rFonts w:ascii="宋体" w:hAnsi="宋体" w:cs="宋体" w:eastAsia="宋体" w:hint="default"/>
                <w:w w:val="100"/>
                <w:sz w:val="15"/>
                <w:szCs w:val="15"/>
              </w:rPr>
              <w:t> </w:t>
            </w:r>
            <w:r>
              <w:rPr>
                <w:rFonts w:ascii="宋体" w:hAnsi="宋体" w:cs="宋体" w:eastAsia="宋体" w:hint="default"/>
                <w:sz w:val="15"/>
                <w:szCs w:val="15"/>
              </w:rPr>
              <w:t>印</w:t>
            </w:r>
            <w:r>
              <w:rPr>
                <w:rFonts w:ascii="宋体" w:hAnsi="宋体" w:cs="宋体" w:eastAsia="宋体" w:hint="default"/>
                <w:spacing w:val="-41"/>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spacing w:val="-41"/>
                <w:sz w:val="15"/>
                <w:szCs w:val="15"/>
              </w:rPr>
              <w:t> </w:t>
            </w:r>
            <w:r>
              <w:rPr>
                <w:rFonts w:ascii="宋体" w:hAnsi="宋体" w:cs="宋体" w:eastAsia="宋体" w:hint="default"/>
                <w:sz w:val="15"/>
                <w:szCs w:val="15"/>
              </w:rPr>
              <w:t>司</w:t>
            </w:r>
          </w:p>
          <w:p>
            <w:pPr>
              <w:pStyle w:val="TableParagraph"/>
              <w:spacing w:line="240" w:lineRule="auto" w:before="16"/>
              <w:ind w:left="122" w:right="0"/>
              <w:jc w:val="left"/>
              <w:rPr>
                <w:rFonts w:ascii="Times New Roman" w:hAnsi="Times New Roman" w:cs="Times New Roman" w:eastAsia="Times New Roman" w:hint="default"/>
                <w:sz w:val="15"/>
                <w:szCs w:val="15"/>
              </w:rPr>
            </w:pPr>
            <w:r>
              <w:rPr>
                <w:rFonts w:ascii="Times New Roman"/>
                <w:spacing w:val="-4"/>
                <w:sz w:val="15"/>
              </w:rPr>
              <w:t>*1</w:t>
            </w:r>
            <w:r>
              <w:rPr>
                <w:rFonts w:ascii="Times New Roman"/>
                <w:sz w:val="15"/>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63"/>
              <w:jc w:val="right"/>
              <w:rPr>
                <w:rFonts w:ascii="宋体" w:hAnsi="宋体" w:cs="宋体" w:eastAsia="宋体" w:hint="default"/>
                <w:sz w:val="15"/>
                <w:szCs w:val="15"/>
              </w:rPr>
            </w:pPr>
            <w:r>
              <w:rPr>
                <w:rFonts w:ascii="宋体" w:hAnsi="宋体" w:cs="宋体" w:eastAsia="宋体" w:hint="default"/>
                <w:sz w:val="15"/>
                <w:szCs w:val="15"/>
              </w:rPr>
              <w:t>淮安市</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06"/>
              <w:jc w:val="right"/>
              <w:rPr>
                <w:rFonts w:ascii="宋体" w:hAnsi="宋体" w:cs="宋体" w:eastAsia="宋体" w:hint="default"/>
                <w:sz w:val="15"/>
                <w:szCs w:val="15"/>
              </w:rPr>
            </w:pPr>
            <w:r>
              <w:rPr>
                <w:rFonts w:ascii="宋体" w:hAnsi="宋体" w:cs="宋体" w:eastAsia="宋体" w:hint="default"/>
                <w:spacing w:val="-1"/>
                <w:sz w:val="15"/>
                <w:szCs w:val="15"/>
              </w:rPr>
              <w:t>生产制造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RMB1,500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192" w:lineRule="exact"/>
              <w:ind w:left="103" w:right="97"/>
              <w:jc w:val="left"/>
              <w:rPr>
                <w:rFonts w:ascii="宋体" w:hAnsi="宋体" w:cs="宋体" w:eastAsia="宋体" w:hint="default"/>
                <w:sz w:val="15"/>
                <w:szCs w:val="15"/>
              </w:rPr>
            </w:pPr>
            <w:r>
              <w:rPr>
                <w:rFonts w:ascii="宋体" w:hAnsi="宋体" w:cs="宋体" w:eastAsia="宋体" w:hint="default"/>
                <w:spacing w:val="10"/>
                <w:sz w:val="15"/>
                <w:szCs w:val="15"/>
              </w:rPr>
              <w:t>生产各种彩印包</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装制品并销售</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825.00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5"/>
                <w:szCs w:val="15"/>
              </w:rPr>
            </w:pPr>
            <w:r>
              <w:rPr>
                <w:rFonts w:ascii="Times New Roman"/>
                <w:sz w:val="15"/>
              </w:rPr>
              <w:t>55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5"/>
                <w:szCs w:val="15"/>
              </w:rPr>
            </w:pPr>
            <w:r>
              <w:rPr>
                <w:rFonts w:ascii="Times New Roman"/>
                <w:sz w:val="15"/>
              </w:rPr>
              <w:t>55</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1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1,109.15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874" w:hRule="exact"/>
        </w:trPr>
        <w:tc>
          <w:tcPr>
            <w:tcW w:w="1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both"/>
              <w:rPr>
                <w:rFonts w:ascii="Times New Roman" w:hAnsi="Times New Roman" w:cs="Times New Roman" w:eastAsia="Times New Roman" w:hint="default"/>
                <w:sz w:val="15"/>
                <w:szCs w:val="15"/>
              </w:rPr>
            </w:pPr>
            <w:r>
              <w:rPr>
                <w:rFonts w:ascii="宋体" w:hAnsi="宋体" w:cs="宋体" w:eastAsia="宋体" w:hint="default"/>
                <w:sz w:val="15"/>
                <w:szCs w:val="15"/>
              </w:rPr>
              <w:t>江</w:t>
            </w:r>
            <w:r>
              <w:rPr>
                <w:rFonts w:ascii="宋体" w:hAnsi="宋体" w:cs="宋体" w:eastAsia="宋体" w:hint="default"/>
                <w:spacing w:val="-41"/>
                <w:sz w:val="15"/>
                <w:szCs w:val="15"/>
              </w:rPr>
              <w:t> </w:t>
            </w:r>
            <w:r>
              <w:rPr>
                <w:rFonts w:ascii="宋体" w:hAnsi="宋体" w:cs="宋体" w:eastAsia="宋体" w:hint="default"/>
                <w:sz w:val="15"/>
                <w:szCs w:val="15"/>
              </w:rPr>
              <w:t>苏</w:t>
            </w:r>
            <w:r>
              <w:rPr>
                <w:rFonts w:ascii="宋体" w:hAnsi="宋体" w:cs="宋体" w:eastAsia="宋体" w:hint="default"/>
                <w:spacing w:val="-43"/>
                <w:sz w:val="15"/>
                <w:szCs w:val="15"/>
              </w:rPr>
              <w:t> </w:t>
            </w:r>
            <w:r>
              <w:rPr>
                <w:rFonts w:ascii="宋体" w:hAnsi="宋体" w:cs="宋体" w:eastAsia="宋体" w:hint="default"/>
                <w:sz w:val="15"/>
                <w:szCs w:val="15"/>
              </w:rPr>
              <w:t>劲</w:t>
            </w:r>
            <w:r>
              <w:rPr>
                <w:rFonts w:ascii="宋体" w:hAnsi="宋体" w:cs="宋体" w:eastAsia="宋体" w:hint="default"/>
                <w:spacing w:val="-43"/>
                <w:sz w:val="15"/>
                <w:szCs w:val="15"/>
              </w:rPr>
              <w:t> </w:t>
            </w:r>
            <w:r>
              <w:rPr>
                <w:rFonts w:ascii="宋体" w:hAnsi="宋体" w:cs="宋体" w:eastAsia="宋体" w:hint="default"/>
                <w:sz w:val="15"/>
                <w:szCs w:val="15"/>
              </w:rPr>
              <w:t>嘉</w:t>
            </w:r>
            <w:r>
              <w:rPr>
                <w:rFonts w:ascii="宋体" w:hAnsi="宋体" w:cs="宋体" w:eastAsia="宋体" w:hint="default"/>
                <w:spacing w:val="-41"/>
                <w:sz w:val="15"/>
                <w:szCs w:val="15"/>
              </w:rPr>
              <w:t> </w:t>
            </w:r>
            <w:r>
              <w:rPr>
                <w:rFonts w:ascii="宋体" w:hAnsi="宋体" w:cs="宋体" w:eastAsia="宋体" w:hint="default"/>
                <w:sz w:val="15"/>
                <w:szCs w:val="15"/>
              </w:rPr>
              <w:t>新</w:t>
            </w:r>
            <w:r>
              <w:rPr>
                <w:rFonts w:ascii="宋体" w:hAnsi="宋体" w:cs="宋体" w:eastAsia="宋体" w:hint="default"/>
                <w:w w:val="100"/>
                <w:sz w:val="15"/>
                <w:szCs w:val="15"/>
              </w:rPr>
              <w:t> </w:t>
            </w:r>
            <w:r>
              <w:rPr>
                <w:rFonts w:ascii="宋体" w:hAnsi="宋体" w:cs="宋体" w:eastAsia="宋体" w:hint="default"/>
                <w:sz w:val="15"/>
                <w:szCs w:val="15"/>
              </w:rPr>
              <w:t>型</w:t>
            </w:r>
            <w:r>
              <w:rPr>
                <w:rFonts w:ascii="宋体" w:hAnsi="宋体" w:cs="宋体" w:eastAsia="宋体" w:hint="default"/>
                <w:spacing w:val="-41"/>
                <w:sz w:val="15"/>
                <w:szCs w:val="15"/>
              </w:rPr>
              <w:t> </w:t>
            </w:r>
            <w:r>
              <w:rPr>
                <w:rFonts w:ascii="宋体" w:hAnsi="宋体" w:cs="宋体" w:eastAsia="宋体" w:hint="default"/>
                <w:sz w:val="15"/>
                <w:szCs w:val="15"/>
              </w:rPr>
              <w:t>包</w:t>
            </w:r>
            <w:r>
              <w:rPr>
                <w:rFonts w:ascii="宋体" w:hAnsi="宋体" w:cs="宋体" w:eastAsia="宋体" w:hint="default"/>
                <w:spacing w:val="-43"/>
                <w:sz w:val="15"/>
                <w:szCs w:val="15"/>
              </w:rPr>
              <w:t> </w:t>
            </w:r>
            <w:r>
              <w:rPr>
                <w:rFonts w:ascii="宋体" w:hAnsi="宋体" w:cs="宋体" w:eastAsia="宋体" w:hint="default"/>
                <w:sz w:val="15"/>
                <w:szCs w:val="15"/>
              </w:rPr>
              <w:t>装</w:t>
            </w:r>
            <w:r>
              <w:rPr>
                <w:rFonts w:ascii="宋体" w:hAnsi="宋体" w:cs="宋体" w:eastAsia="宋体" w:hint="default"/>
                <w:spacing w:val="-43"/>
                <w:sz w:val="15"/>
                <w:szCs w:val="15"/>
              </w:rPr>
              <w:t> </w:t>
            </w:r>
            <w:r>
              <w:rPr>
                <w:rFonts w:ascii="宋体" w:hAnsi="宋体" w:cs="宋体" w:eastAsia="宋体" w:hint="default"/>
                <w:sz w:val="15"/>
                <w:szCs w:val="15"/>
              </w:rPr>
              <w:t>材</w:t>
            </w:r>
            <w:r>
              <w:rPr>
                <w:rFonts w:ascii="宋体" w:hAnsi="宋体" w:cs="宋体" w:eastAsia="宋体" w:hint="default"/>
                <w:spacing w:val="-41"/>
                <w:sz w:val="15"/>
                <w:szCs w:val="15"/>
              </w:rPr>
              <w:t> </w:t>
            </w:r>
            <w:r>
              <w:rPr>
                <w:rFonts w:ascii="宋体" w:hAnsi="宋体" w:cs="宋体" w:eastAsia="宋体" w:hint="default"/>
                <w:sz w:val="15"/>
                <w:szCs w:val="15"/>
              </w:rPr>
              <w:t>料</w:t>
            </w:r>
            <w:r>
              <w:rPr>
                <w:rFonts w:ascii="宋体" w:hAnsi="宋体" w:cs="宋体" w:eastAsia="宋体" w:hint="default"/>
                <w:w w:val="100"/>
                <w:sz w:val="15"/>
                <w:szCs w:val="15"/>
              </w:rPr>
              <w:t> </w:t>
            </w:r>
            <w:r>
              <w:rPr>
                <w:rFonts w:ascii="宋体" w:hAnsi="宋体" w:cs="宋体" w:eastAsia="宋体" w:hint="default"/>
                <w:spacing w:val="-3"/>
                <w:sz w:val="15"/>
                <w:szCs w:val="15"/>
              </w:rPr>
              <w:t>有限公司</w:t>
            </w:r>
            <w:r>
              <w:rPr>
                <w:rFonts w:ascii="Times New Roman" w:hAnsi="Times New Roman" w:cs="Times New Roman" w:eastAsia="Times New Roman" w:hint="default"/>
                <w:spacing w:val="-3"/>
                <w:sz w:val="15"/>
                <w:szCs w:val="15"/>
              </w:rPr>
              <w:t>*2</w:t>
            </w:r>
            <w:r>
              <w:rPr>
                <w:rFonts w:ascii="Times New Roman" w:hAnsi="Times New Roman" w:cs="Times New Roman" w:eastAsia="Times New Roman" w:hint="default"/>
                <w:sz w:val="15"/>
                <w:szCs w:val="15"/>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63"/>
              <w:jc w:val="right"/>
              <w:rPr>
                <w:rFonts w:ascii="宋体" w:hAnsi="宋体" w:cs="宋体" w:eastAsia="宋体" w:hint="default"/>
                <w:sz w:val="15"/>
                <w:szCs w:val="15"/>
              </w:rPr>
            </w:pPr>
            <w:r>
              <w:rPr>
                <w:rFonts w:ascii="宋体" w:hAnsi="宋体" w:cs="宋体" w:eastAsia="宋体" w:hint="default"/>
                <w:sz w:val="15"/>
                <w:szCs w:val="15"/>
              </w:rPr>
              <w:t>淮安市</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6"/>
              <w:jc w:val="right"/>
              <w:rPr>
                <w:rFonts w:ascii="宋体" w:hAnsi="宋体" w:cs="宋体" w:eastAsia="宋体" w:hint="default"/>
                <w:sz w:val="15"/>
                <w:szCs w:val="15"/>
              </w:rPr>
            </w:pPr>
            <w:r>
              <w:rPr>
                <w:rFonts w:ascii="宋体" w:hAnsi="宋体" w:cs="宋体" w:eastAsia="宋体" w:hint="default"/>
                <w:spacing w:val="-1"/>
                <w:sz w:val="15"/>
                <w:szCs w:val="15"/>
              </w:rPr>
              <w:t>生产制造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RMB6,000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103" w:right="96"/>
              <w:jc w:val="left"/>
              <w:rPr>
                <w:rFonts w:ascii="宋体" w:hAnsi="宋体" w:cs="宋体" w:eastAsia="宋体" w:hint="default"/>
                <w:sz w:val="15"/>
                <w:szCs w:val="15"/>
              </w:rPr>
            </w:pPr>
            <w:r>
              <w:rPr>
                <w:rFonts w:ascii="宋体" w:hAnsi="宋体" w:cs="宋体" w:eastAsia="宋体" w:hint="default"/>
                <w:spacing w:val="10"/>
                <w:sz w:val="15"/>
                <w:szCs w:val="15"/>
              </w:rPr>
              <w:t>生产新型包装材</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pacing w:val="-9"/>
                <w:w w:val="100"/>
                <w:sz w:val="15"/>
                <w:szCs w:val="15"/>
              </w:rPr>
              <w:t>料，销售自产产品</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3,600.00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80" w:right="0"/>
              <w:jc w:val="left"/>
              <w:rPr>
                <w:rFonts w:ascii="Times New Roman" w:hAnsi="Times New Roman" w:cs="Times New Roman" w:eastAsia="Times New Roman" w:hint="default"/>
                <w:sz w:val="15"/>
                <w:szCs w:val="15"/>
              </w:rPr>
            </w:pPr>
            <w:r>
              <w:rPr>
                <w:rFonts w:ascii="Times New Roman"/>
                <w:sz w:val="15"/>
              </w:rPr>
              <w:t>60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5"/>
                <w:szCs w:val="15"/>
              </w:rPr>
            </w:pPr>
            <w:r>
              <w:rPr>
                <w:rFonts w:ascii="Times New Roman"/>
                <w:sz w:val="15"/>
              </w:rPr>
              <w:t>60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6,451.46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1046" w:hRule="exact"/>
        </w:trPr>
        <w:tc>
          <w:tcPr>
            <w:tcW w:w="1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both"/>
              <w:rPr>
                <w:rFonts w:ascii="宋体" w:hAnsi="宋体" w:cs="宋体" w:eastAsia="宋体" w:hint="default"/>
                <w:sz w:val="15"/>
                <w:szCs w:val="15"/>
              </w:rPr>
            </w:pPr>
            <w:r>
              <w:rPr>
                <w:rFonts w:ascii="宋体" w:hAnsi="宋体" w:cs="宋体" w:eastAsia="宋体" w:hint="default"/>
                <w:sz w:val="15"/>
                <w:szCs w:val="15"/>
              </w:rPr>
              <w:t>淮</w:t>
            </w:r>
            <w:r>
              <w:rPr>
                <w:rFonts w:ascii="宋体" w:hAnsi="宋体" w:cs="宋体" w:eastAsia="宋体" w:hint="default"/>
                <w:spacing w:val="-41"/>
                <w:sz w:val="15"/>
                <w:szCs w:val="15"/>
              </w:rPr>
              <w:t> </w:t>
            </w:r>
            <w:r>
              <w:rPr>
                <w:rFonts w:ascii="宋体" w:hAnsi="宋体" w:cs="宋体" w:eastAsia="宋体" w:hint="default"/>
                <w:sz w:val="15"/>
                <w:szCs w:val="15"/>
              </w:rPr>
              <w:t>安</w:t>
            </w:r>
            <w:r>
              <w:rPr>
                <w:rFonts w:ascii="宋体" w:hAnsi="宋体" w:cs="宋体" w:eastAsia="宋体" w:hint="default"/>
                <w:spacing w:val="-43"/>
                <w:sz w:val="15"/>
                <w:szCs w:val="15"/>
              </w:rPr>
              <w:t> </w:t>
            </w:r>
            <w:r>
              <w:rPr>
                <w:rFonts w:ascii="宋体" w:hAnsi="宋体" w:cs="宋体" w:eastAsia="宋体" w:hint="default"/>
                <w:sz w:val="15"/>
                <w:szCs w:val="15"/>
              </w:rPr>
              <w:t>新</w:t>
            </w:r>
            <w:r>
              <w:rPr>
                <w:rFonts w:ascii="宋体" w:hAnsi="宋体" w:cs="宋体" w:eastAsia="宋体" w:hint="default"/>
                <w:spacing w:val="-43"/>
                <w:sz w:val="15"/>
                <w:szCs w:val="15"/>
              </w:rPr>
              <w:t> </w:t>
            </w:r>
            <w:r>
              <w:rPr>
                <w:rFonts w:ascii="宋体" w:hAnsi="宋体" w:cs="宋体" w:eastAsia="宋体" w:hint="default"/>
                <w:sz w:val="15"/>
                <w:szCs w:val="15"/>
              </w:rPr>
              <w:t>劲</w:t>
            </w:r>
            <w:r>
              <w:rPr>
                <w:rFonts w:ascii="宋体" w:hAnsi="宋体" w:cs="宋体" w:eastAsia="宋体" w:hint="default"/>
                <w:spacing w:val="-41"/>
                <w:sz w:val="15"/>
                <w:szCs w:val="15"/>
              </w:rPr>
              <w:t> </w:t>
            </w:r>
            <w:r>
              <w:rPr>
                <w:rFonts w:ascii="宋体" w:hAnsi="宋体" w:cs="宋体" w:eastAsia="宋体" w:hint="default"/>
                <w:sz w:val="15"/>
                <w:szCs w:val="15"/>
              </w:rPr>
              <w:t>嘉</w:t>
            </w:r>
            <w:r>
              <w:rPr>
                <w:rFonts w:ascii="宋体" w:hAnsi="宋体" w:cs="宋体" w:eastAsia="宋体" w:hint="default"/>
                <w:w w:val="100"/>
                <w:sz w:val="15"/>
                <w:szCs w:val="15"/>
              </w:rPr>
              <w:t> </w:t>
            </w:r>
            <w:r>
              <w:rPr>
                <w:rFonts w:ascii="宋体" w:hAnsi="宋体" w:cs="宋体" w:eastAsia="宋体" w:hint="default"/>
                <w:sz w:val="15"/>
                <w:szCs w:val="15"/>
              </w:rPr>
              <w:t>新</w:t>
            </w:r>
            <w:r>
              <w:rPr>
                <w:rFonts w:ascii="宋体" w:hAnsi="宋体" w:cs="宋体" w:eastAsia="宋体" w:hint="default"/>
                <w:spacing w:val="-41"/>
                <w:sz w:val="15"/>
                <w:szCs w:val="15"/>
              </w:rPr>
              <w:t> </w:t>
            </w:r>
            <w:r>
              <w:rPr>
                <w:rFonts w:ascii="宋体" w:hAnsi="宋体" w:cs="宋体" w:eastAsia="宋体" w:hint="default"/>
                <w:sz w:val="15"/>
                <w:szCs w:val="15"/>
              </w:rPr>
              <w:t>型</w:t>
            </w:r>
            <w:r>
              <w:rPr>
                <w:rFonts w:ascii="宋体" w:hAnsi="宋体" w:cs="宋体" w:eastAsia="宋体" w:hint="default"/>
                <w:spacing w:val="-43"/>
                <w:sz w:val="15"/>
                <w:szCs w:val="15"/>
              </w:rPr>
              <w:t> </w:t>
            </w:r>
            <w:r>
              <w:rPr>
                <w:rFonts w:ascii="宋体" w:hAnsi="宋体" w:cs="宋体" w:eastAsia="宋体" w:hint="default"/>
                <w:sz w:val="15"/>
                <w:szCs w:val="15"/>
              </w:rPr>
              <w:t>包</w:t>
            </w:r>
            <w:r>
              <w:rPr>
                <w:rFonts w:ascii="宋体" w:hAnsi="宋体" w:cs="宋体" w:eastAsia="宋体" w:hint="default"/>
                <w:spacing w:val="-43"/>
                <w:sz w:val="15"/>
                <w:szCs w:val="15"/>
              </w:rPr>
              <w:t> </w:t>
            </w:r>
            <w:r>
              <w:rPr>
                <w:rFonts w:ascii="宋体" w:hAnsi="宋体" w:cs="宋体" w:eastAsia="宋体" w:hint="default"/>
                <w:sz w:val="15"/>
                <w:szCs w:val="15"/>
              </w:rPr>
              <w:t>装</w:t>
            </w:r>
            <w:r>
              <w:rPr>
                <w:rFonts w:ascii="宋体" w:hAnsi="宋体" w:cs="宋体" w:eastAsia="宋体" w:hint="default"/>
                <w:spacing w:val="-41"/>
                <w:sz w:val="15"/>
                <w:szCs w:val="15"/>
              </w:rPr>
              <w:t> </w:t>
            </w:r>
            <w:r>
              <w:rPr>
                <w:rFonts w:ascii="宋体" w:hAnsi="宋体" w:cs="宋体" w:eastAsia="宋体" w:hint="default"/>
                <w:sz w:val="15"/>
                <w:szCs w:val="15"/>
              </w:rPr>
              <w:t>材</w:t>
            </w:r>
            <w:r>
              <w:rPr>
                <w:rFonts w:ascii="宋体" w:hAnsi="宋体" w:cs="宋体" w:eastAsia="宋体" w:hint="default"/>
                <w:w w:val="100"/>
                <w:sz w:val="15"/>
                <w:szCs w:val="15"/>
              </w:rPr>
              <w:t> </w:t>
            </w:r>
            <w:r>
              <w:rPr>
                <w:rFonts w:ascii="宋体" w:hAnsi="宋体" w:cs="宋体" w:eastAsia="宋体" w:hint="default"/>
                <w:sz w:val="15"/>
                <w:szCs w:val="15"/>
              </w:rPr>
              <w:t>料</w:t>
            </w:r>
            <w:r>
              <w:rPr>
                <w:rFonts w:ascii="宋体" w:hAnsi="宋体" w:cs="宋体" w:eastAsia="宋体" w:hint="default"/>
                <w:spacing w:val="-41"/>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spacing w:val="-41"/>
                <w:sz w:val="15"/>
                <w:szCs w:val="15"/>
              </w:rPr>
              <w:t> </w:t>
            </w:r>
            <w:r>
              <w:rPr>
                <w:rFonts w:ascii="宋体" w:hAnsi="宋体" w:cs="宋体" w:eastAsia="宋体" w:hint="default"/>
                <w:sz w:val="15"/>
                <w:szCs w:val="15"/>
              </w:rPr>
              <w:t>司</w:t>
            </w:r>
          </w:p>
          <w:p>
            <w:pPr>
              <w:pStyle w:val="TableParagraph"/>
              <w:spacing w:line="240" w:lineRule="auto" w:before="16"/>
              <w:ind w:left="122" w:right="0"/>
              <w:jc w:val="both"/>
              <w:rPr>
                <w:rFonts w:ascii="Times New Roman" w:hAnsi="Times New Roman" w:cs="Times New Roman" w:eastAsia="Times New Roman" w:hint="default"/>
                <w:sz w:val="15"/>
                <w:szCs w:val="15"/>
              </w:rPr>
            </w:pPr>
            <w:r>
              <w:rPr>
                <w:rFonts w:ascii="Times New Roman"/>
                <w:spacing w:val="-4"/>
                <w:sz w:val="15"/>
              </w:rPr>
              <w:t>*3</w:t>
            </w:r>
            <w:r>
              <w:rPr>
                <w:rFonts w:ascii="Times New Roman"/>
                <w:sz w:val="15"/>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63"/>
              <w:jc w:val="right"/>
              <w:rPr>
                <w:rFonts w:ascii="宋体" w:hAnsi="宋体" w:cs="宋体" w:eastAsia="宋体" w:hint="default"/>
                <w:sz w:val="15"/>
                <w:szCs w:val="15"/>
              </w:rPr>
            </w:pPr>
            <w:r>
              <w:rPr>
                <w:rFonts w:ascii="宋体" w:hAnsi="宋体" w:cs="宋体" w:eastAsia="宋体" w:hint="default"/>
                <w:sz w:val="15"/>
                <w:szCs w:val="15"/>
              </w:rPr>
              <w:t>淮安市</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206"/>
              <w:jc w:val="right"/>
              <w:rPr>
                <w:rFonts w:ascii="宋体" w:hAnsi="宋体" w:cs="宋体" w:eastAsia="宋体" w:hint="default"/>
                <w:sz w:val="15"/>
                <w:szCs w:val="15"/>
              </w:rPr>
            </w:pPr>
            <w:r>
              <w:rPr>
                <w:rFonts w:ascii="宋体" w:hAnsi="宋体" w:cs="宋体" w:eastAsia="宋体" w:hint="default"/>
                <w:spacing w:val="-1"/>
                <w:sz w:val="15"/>
                <w:szCs w:val="15"/>
              </w:rPr>
              <w:t>生产制造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RMB1,000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192" w:lineRule="exact"/>
              <w:ind w:left="103" w:right="97"/>
              <w:jc w:val="left"/>
              <w:rPr>
                <w:rFonts w:ascii="宋体" w:hAnsi="宋体" w:cs="宋体" w:eastAsia="宋体" w:hint="default"/>
                <w:sz w:val="15"/>
                <w:szCs w:val="15"/>
              </w:rPr>
            </w:pPr>
            <w:r>
              <w:rPr>
                <w:rFonts w:ascii="宋体" w:hAnsi="宋体" w:cs="宋体" w:eastAsia="宋体" w:hint="default"/>
                <w:spacing w:val="10"/>
                <w:sz w:val="15"/>
                <w:szCs w:val="15"/>
              </w:rPr>
              <w:t>高档新型包装材</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料生产、销售</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80" w:right="0"/>
              <w:jc w:val="left"/>
              <w:rPr>
                <w:rFonts w:ascii="Times New Roman" w:hAnsi="Times New Roman" w:cs="Times New Roman" w:eastAsia="Times New Roman" w:hint="default"/>
                <w:sz w:val="15"/>
                <w:szCs w:val="15"/>
              </w:rPr>
            </w:pPr>
            <w:r>
              <w:rPr>
                <w:rFonts w:ascii="Times New Roman"/>
                <w:sz w:val="15"/>
              </w:rPr>
              <w:t>60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47" w:right="0"/>
              <w:jc w:val="left"/>
              <w:rPr>
                <w:rFonts w:ascii="Times New Roman" w:hAnsi="Times New Roman" w:cs="Times New Roman" w:eastAsia="Times New Roman" w:hint="default"/>
                <w:sz w:val="15"/>
                <w:szCs w:val="15"/>
              </w:rPr>
            </w:pPr>
            <w:r>
              <w:rPr>
                <w:rFonts w:ascii="Times New Roman"/>
                <w:sz w:val="15"/>
              </w:rPr>
              <w:t>100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21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bl>
    <w:p>
      <w:pPr>
        <w:spacing w:line="240" w:lineRule="auto" w:before="8"/>
        <w:rPr>
          <w:rFonts w:ascii="宋体" w:hAnsi="宋体" w:cs="宋体" w:eastAsia="宋体" w:hint="default"/>
          <w:sz w:val="17"/>
          <w:szCs w:val="17"/>
        </w:rPr>
      </w:pPr>
    </w:p>
    <w:p>
      <w:pPr>
        <w:spacing w:before="44"/>
        <w:ind w:left="652"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本公司通过全资子公司东</w:t>
      </w:r>
      <w:r>
        <w:rPr>
          <w:rFonts w:ascii="宋体" w:hAnsi="宋体" w:cs="宋体" w:eastAsia="宋体" w:hint="default"/>
          <w:spacing w:val="2"/>
          <w:sz w:val="18"/>
          <w:szCs w:val="18"/>
        </w:rPr>
        <w:t>方</w:t>
      </w:r>
      <w:r>
        <w:rPr>
          <w:rFonts w:ascii="宋体" w:hAnsi="宋体" w:cs="宋体" w:eastAsia="宋体" w:hint="default"/>
          <w:sz w:val="18"/>
          <w:szCs w:val="18"/>
        </w:rPr>
        <w:t>英莎特有限公司（以下简称“东方英莎特</w:t>
      </w:r>
      <w:r>
        <w:rPr>
          <w:rFonts w:ascii="宋体" w:hAnsi="宋体" w:cs="宋体" w:eastAsia="宋体" w:hint="default"/>
          <w:spacing w:val="-92"/>
          <w:sz w:val="18"/>
          <w:szCs w:val="18"/>
        </w:rPr>
        <w:t>”</w:t>
      </w:r>
      <w:r>
        <w:rPr>
          <w:rFonts w:ascii="宋体" w:hAnsi="宋体" w:cs="宋体" w:eastAsia="宋体" w:hint="default"/>
          <w:sz w:val="18"/>
          <w:szCs w:val="18"/>
        </w:rPr>
        <w:t>）间接持有淮安</w:t>
      </w:r>
      <w:r>
        <w:rPr>
          <w:rFonts w:ascii="宋体" w:hAnsi="宋体" w:cs="宋体" w:eastAsia="宋体" w:hint="default"/>
          <w:spacing w:val="2"/>
          <w:sz w:val="18"/>
          <w:szCs w:val="18"/>
        </w:rPr>
        <w:t>华</w:t>
      </w:r>
      <w:r>
        <w:rPr>
          <w:rFonts w:ascii="宋体" w:hAnsi="宋体" w:cs="宋体" w:eastAsia="宋体" w:hint="default"/>
          <w:sz w:val="18"/>
          <w:szCs w:val="18"/>
        </w:rPr>
        <w:t>丰彩印有限公司</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55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的股权。</w:t>
      </w:r>
    </w:p>
    <w:p>
      <w:pPr>
        <w:spacing w:line="240" w:lineRule="auto" w:before="6"/>
        <w:rPr>
          <w:rFonts w:ascii="宋体" w:hAnsi="宋体" w:cs="宋体" w:eastAsia="宋体" w:hint="default"/>
          <w:sz w:val="22"/>
          <w:szCs w:val="22"/>
        </w:rPr>
      </w:pPr>
    </w:p>
    <w:p>
      <w:pPr>
        <w:spacing w:before="0"/>
        <w:ind w:left="652"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本公司直接持有江苏劲嘉</w:t>
      </w:r>
      <w:r>
        <w:rPr>
          <w:rFonts w:ascii="宋体" w:hAnsi="宋体" w:cs="宋体" w:eastAsia="宋体" w:hint="default"/>
          <w:spacing w:val="2"/>
          <w:sz w:val="18"/>
          <w:szCs w:val="18"/>
        </w:rPr>
        <w:t>新</w:t>
      </w:r>
      <w:r>
        <w:rPr>
          <w:rFonts w:ascii="宋体" w:hAnsi="宋体" w:cs="宋体" w:eastAsia="宋体" w:hint="default"/>
          <w:sz w:val="18"/>
          <w:szCs w:val="18"/>
        </w:rPr>
        <w:t>型包装材料有限公司（以下简称“江苏劲嘉</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的股权，并通过东方英莎特间接持有其</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的股权，合计持有其</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的股权。</w:t>
      </w:r>
    </w:p>
    <w:p>
      <w:pPr>
        <w:spacing w:line="240" w:lineRule="auto" w:before="3"/>
        <w:rPr>
          <w:rFonts w:ascii="宋体" w:hAnsi="宋体" w:cs="宋体" w:eastAsia="宋体" w:hint="default"/>
          <w:sz w:val="22"/>
          <w:szCs w:val="22"/>
        </w:rPr>
      </w:pPr>
    </w:p>
    <w:p>
      <w:pPr>
        <w:spacing w:before="0"/>
        <w:ind w:left="6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本公司之控股子公司江苏劲嘉持有淮安新劲嘉新型包装材料有限公司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的股权，本公司通过江苏劲嘉间接持有其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的股权。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2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）非同一控制下企业合并取得的子公司</w:t>
      </w:r>
    </w:p>
    <w:p>
      <w:pPr>
        <w:spacing w:line="240" w:lineRule="auto" w:before="4"/>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93" w:type="dxa"/>
        <w:tblLayout w:type="fixed"/>
        <w:tblCellMar>
          <w:top w:w="0" w:type="dxa"/>
          <w:left w:w="0" w:type="dxa"/>
          <w:bottom w:w="0" w:type="dxa"/>
          <w:right w:w="0" w:type="dxa"/>
        </w:tblCellMar>
        <w:tblLook w:val="01E0"/>
      </w:tblPr>
      <w:tblGrid>
        <w:gridCol w:w="1324"/>
        <w:gridCol w:w="1294"/>
        <w:gridCol w:w="698"/>
        <w:gridCol w:w="595"/>
        <w:gridCol w:w="1373"/>
        <w:gridCol w:w="1284"/>
        <w:gridCol w:w="986"/>
        <w:gridCol w:w="1054"/>
        <w:gridCol w:w="749"/>
        <w:gridCol w:w="746"/>
        <w:gridCol w:w="746"/>
        <w:gridCol w:w="1023"/>
        <w:gridCol w:w="1022"/>
        <w:gridCol w:w="1818"/>
      </w:tblGrid>
      <w:tr>
        <w:trPr>
          <w:trHeight w:val="1262" w:hRule="exact"/>
        </w:trPr>
        <w:tc>
          <w:tcPr>
            <w:tcW w:w="13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6"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子公司企业类型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192" w:lineRule="exact"/>
              <w:ind w:left="141" w:right="139"/>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82"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经营范围</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192" w:lineRule="exact"/>
              <w:ind w:left="338" w:right="108" w:hanging="226"/>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资额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35" w:lineRule="auto" w:before="113"/>
              <w:ind w:left="38" w:right="101"/>
              <w:jc w:val="center"/>
              <w:rPr>
                <w:rFonts w:ascii="宋体" w:hAnsi="宋体" w:cs="宋体" w:eastAsia="宋体" w:hint="default"/>
                <w:sz w:val="15"/>
                <w:szCs w:val="15"/>
              </w:rPr>
            </w:pPr>
            <w:r>
              <w:rPr>
                <w:rFonts w:ascii="宋体" w:hAnsi="宋体" w:cs="宋体" w:eastAsia="宋体" w:hint="default"/>
                <w:spacing w:val="-1"/>
                <w:sz w:val="15"/>
                <w:szCs w:val="15"/>
              </w:rPr>
              <w:t>实质上构成对</w:t>
            </w:r>
            <w:r>
              <w:rPr>
                <w:rFonts w:ascii="宋体" w:hAnsi="宋体" w:cs="宋体" w:eastAsia="宋体" w:hint="default"/>
                <w:w w:val="100"/>
                <w:sz w:val="15"/>
                <w:szCs w:val="15"/>
              </w:rPr>
              <w:t> </w:t>
            </w:r>
            <w:r>
              <w:rPr>
                <w:rFonts w:ascii="宋体" w:hAnsi="宋体" w:cs="宋体" w:eastAsia="宋体" w:hint="default"/>
                <w:spacing w:val="-1"/>
                <w:sz w:val="15"/>
                <w:szCs w:val="15"/>
              </w:rPr>
              <w:t>子公司净投资</w:t>
            </w:r>
            <w:r>
              <w:rPr>
                <w:rFonts w:ascii="宋体" w:hAnsi="宋体" w:cs="宋体" w:eastAsia="宋体" w:hint="default"/>
                <w:w w:val="100"/>
                <w:sz w:val="15"/>
                <w:szCs w:val="15"/>
              </w:rPr>
              <w:t> </w:t>
            </w:r>
            <w:r>
              <w:rPr>
                <w:rFonts w:ascii="宋体" w:hAnsi="宋体" w:cs="宋体" w:eastAsia="宋体" w:hint="default"/>
                <w:sz w:val="15"/>
                <w:szCs w:val="15"/>
              </w:rPr>
              <w:t>的其他项目</w:t>
            </w:r>
          </w:p>
          <w:p>
            <w:pPr>
              <w:pStyle w:val="TableParagraph"/>
              <w:spacing w:line="240" w:lineRule="auto" w:before="39"/>
              <w:ind w:right="62"/>
              <w:jc w:val="center"/>
              <w:rPr>
                <w:rFonts w:ascii="宋体" w:hAnsi="宋体" w:cs="宋体" w:eastAsia="宋体" w:hint="default"/>
                <w:sz w:val="15"/>
                <w:szCs w:val="15"/>
              </w:rPr>
            </w:pPr>
            <w:r>
              <w:rPr>
                <w:rFonts w:ascii="宋体" w:hAnsi="宋体" w:cs="宋体" w:eastAsia="宋体" w:hint="default"/>
                <w:sz w:val="15"/>
                <w:szCs w:val="15"/>
              </w:rPr>
              <w:t>余额</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92" w:lineRule="exact" w:before="111"/>
              <w:ind w:left="182" w:right="139"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92" w:lineRule="exact" w:before="111"/>
              <w:ind w:left="105" w:right="101" w:firstLine="36"/>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192" w:lineRule="exact"/>
              <w:ind w:left="141" w:right="139"/>
              <w:jc w:val="left"/>
              <w:rPr>
                <w:rFonts w:ascii="宋体" w:hAnsi="宋体" w:cs="宋体" w:eastAsia="宋体" w:hint="default"/>
                <w:sz w:val="15"/>
                <w:szCs w:val="15"/>
              </w:rPr>
            </w:pPr>
            <w:r>
              <w:rPr>
                <w:rFonts w:ascii="宋体" w:hAnsi="宋体" w:cs="宋体" w:eastAsia="宋体" w:hint="default"/>
                <w:sz w:val="15"/>
                <w:szCs w:val="15"/>
              </w:rPr>
              <w:t>是否合</w:t>
            </w:r>
            <w:r>
              <w:rPr>
                <w:rFonts w:ascii="宋体" w:hAnsi="宋体" w:cs="宋体" w:eastAsia="宋体" w:hint="default"/>
                <w:spacing w:val="-72"/>
                <w:sz w:val="15"/>
                <w:szCs w:val="15"/>
              </w:rPr>
              <w:t> </w:t>
            </w:r>
            <w:r>
              <w:rPr>
                <w:rFonts w:ascii="宋体" w:hAnsi="宋体" w:cs="宋体" w:eastAsia="宋体" w:hint="default"/>
                <w:sz w:val="15"/>
                <w:szCs w:val="15"/>
              </w:rPr>
              <w:t>并报表</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530" w:lineRule="auto"/>
              <w:ind w:left="357" w:right="200"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37" w:lineRule="auto"/>
              <w:ind w:left="52" w:right="55"/>
              <w:jc w:val="center"/>
              <w:rPr>
                <w:rFonts w:ascii="宋体" w:hAnsi="宋体" w:cs="宋体" w:eastAsia="宋体" w:hint="default"/>
                <w:sz w:val="15"/>
                <w:szCs w:val="15"/>
              </w:rPr>
            </w:pPr>
            <w:r>
              <w:rPr>
                <w:rFonts w:ascii="宋体" w:hAnsi="宋体" w:cs="宋体" w:eastAsia="宋体" w:hint="default"/>
                <w:spacing w:val="-1"/>
                <w:sz w:val="15"/>
                <w:szCs w:val="15"/>
              </w:rPr>
              <w:t>少数股东权益</w:t>
            </w:r>
            <w:r>
              <w:rPr>
                <w:rFonts w:ascii="宋体" w:hAnsi="宋体" w:cs="宋体" w:eastAsia="宋体" w:hint="default"/>
                <w:w w:val="100"/>
                <w:sz w:val="15"/>
                <w:szCs w:val="15"/>
              </w:rPr>
              <w:t> </w:t>
            </w:r>
            <w:r>
              <w:rPr>
                <w:rFonts w:ascii="宋体" w:hAnsi="宋体" w:cs="宋体" w:eastAsia="宋体" w:hint="default"/>
                <w:spacing w:val="-1"/>
                <w:sz w:val="15"/>
                <w:szCs w:val="15"/>
              </w:rPr>
              <w:t>中用于冲减少</w:t>
            </w:r>
            <w:r>
              <w:rPr>
                <w:rFonts w:ascii="宋体" w:hAnsi="宋体" w:cs="宋体" w:eastAsia="宋体" w:hint="default"/>
                <w:w w:val="100"/>
                <w:sz w:val="15"/>
                <w:szCs w:val="15"/>
              </w:rPr>
              <w:t> </w:t>
            </w:r>
            <w:r>
              <w:rPr>
                <w:rFonts w:ascii="宋体" w:hAnsi="宋体" w:cs="宋体" w:eastAsia="宋体" w:hint="default"/>
                <w:spacing w:val="-1"/>
                <w:sz w:val="15"/>
                <w:szCs w:val="15"/>
              </w:rPr>
              <w:t>数股东损益的</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1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7" w:lineRule="auto"/>
              <w:ind w:left="60" w:right="97"/>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从母公司所有者权益冲减</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子公司少数股东分担的本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期亏损超过少数股东在该</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子公司期初所有者权益中</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所享有份额后的余额</w:t>
            </w:r>
          </w:p>
        </w:tc>
      </w:tr>
      <w:tr>
        <w:trPr>
          <w:trHeight w:val="485" w:hRule="exact"/>
        </w:trPr>
        <w:tc>
          <w:tcPr>
            <w:tcW w:w="1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 w:right="0"/>
              <w:jc w:val="center"/>
              <w:rPr>
                <w:rFonts w:ascii="宋体" w:hAnsi="宋体" w:cs="宋体" w:eastAsia="宋体" w:hint="default"/>
                <w:sz w:val="15"/>
                <w:szCs w:val="15"/>
              </w:rPr>
            </w:pPr>
            <w:r>
              <w:rPr>
                <w:rFonts w:ascii="宋体" w:hAnsi="宋体" w:cs="宋体" w:eastAsia="宋体" w:hint="default"/>
                <w:sz w:val="15"/>
                <w:szCs w:val="15"/>
              </w:rPr>
              <w:t>中华香港国际烟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香港</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投资控</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5"/>
                <w:szCs w:val="15"/>
              </w:rPr>
            </w:pPr>
            <w:r>
              <w:rPr>
                <w:rFonts w:ascii="Times New Roman"/>
                <w:sz w:val="15"/>
              </w:rPr>
              <w:t>HKD50,200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pacing w:val="4"/>
                <w:sz w:val="15"/>
                <w:szCs w:val="15"/>
              </w:rPr>
              <w:t>包装材料的设计、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5"/>
                <w:szCs w:val="15"/>
              </w:rPr>
            </w:pPr>
            <w:r>
              <w:rPr>
                <w:rFonts w:ascii="Times New Roman"/>
                <w:sz w:val="15"/>
              </w:rPr>
              <w:t>45,556.11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10" w:right="0"/>
              <w:jc w:val="left"/>
              <w:rPr>
                <w:rFonts w:ascii="Times New Roman" w:hAnsi="Times New Roman" w:cs="Times New Roman" w:eastAsia="Times New Roman" w:hint="default"/>
                <w:sz w:val="15"/>
                <w:szCs w:val="15"/>
              </w:rPr>
            </w:pPr>
            <w:r>
              <w:rPr>
                <w:rFonts w:ascii="Times New Roman"/>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8" w:right="0"/>
              <w:jc w:val="left"/>
              <w:rPr>
                <w:rFonts w:ascii="Times New Roman" w:hAnsi="Times New Roman" w:cs="Times New Roman" w:eastAsia="Times New Roman" w:hint="default"/>
                <w:sz w:val="15"/>
                <w:szCs w:val="15"/>
              </w:rPr>
            </w:pPr>
            <w:r>
              <w:rPr>
                <w:rFonts w:ascii="Times New Roman"/>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100"/>
                <w:sz w:val="15"/>
              </w:rPr>
              <w:t>-</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920" w:footer="956" w:top="1140" w:bottom="1140" w:left="900" w:right="0"/>
        </w:sectPr>
      </w:pPr>
    </w:p>
    <w:p>
      <w:pPr>
        <w:spacing w:line="240" w:lineRule="auto" w:before="7"/>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299"/>
        <w:gridCol w:w="1294"/>
        <w:gridCol w:w="698"/>
        <w:gridCol w:w="595"/>
        <w:gridCol w:w="1373"/>
        <w:gridCol w:w="1284"/>
        <w:gridCol w:w="986"/>
        <w:gridCol w:w="1054"/>
        <w:gridCol w:w="749"/>
        <w:gridCol w:w="746"/>
        <w:gridCol w:w="746"/>
        <w:gridCol w:w="1023"/>
        <w:gridCol w:w="1022"/>
        <w:gridCol w:w="1793"/>
      </w:tblGrid>
      <w:tr>
        <w:trPr>
          <w:trHeight w:val="1265"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子公司企业类型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13"/>
              <w:jc w:val="right"/>
              <w:rPr>
                <w:rFonts w:ascii="宋体" w:hAnsi="宋体" w:cs="宋体" w:eastAsia="宋体" w:hint="default"/>
                <w:sz w:val="15"/>
                <w:szCs w:val="15"/>
              </w:rPr>
            </w:pPr>
            <w:r>
              <w:rPr>
                <w:rFonts w:ascii="宋体" w:hAnsi="宋体" w:cs="宋体" w:eastAsia="宋体" w:hint="default"/>
                <w:sz w:val="15"/>
                <w:szCs w:val="15"/>
              </w:rPr>
              <w:t>注册地</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192" w:lineRule="exact"/>
              <w:ind w:left="141" w:right="139"/>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82"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6"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192" w:lineRule="exact"/>
              <w:ind w:left="338" w:right="108" w:hanging="226"/>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资额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35" w:lineRule="auto" w:before="116"/>
              <w:ind w:left="38" w:right="101"/>
              <w:jc w:val="center"/>
              <w:rPr>
                <w:rFonts w:ascii="宋体" w:hAnsi="宋体" w:cs="宋体" w:eastAsia="宋体" w:hint="default"/>
                <w:sz w:val="15"/>
                <w:szCs w:val="15"/>
              </w:rPr>
            </w:pPr>
            <w:r>
              <w:rPr>
                <w:rFonts w:ascii="宋体" w:hAnsi="宋体" w:cs="宋体" w:eastAsia="宋体" w:hint="default"/>
                <w:spacing w:val="-1"/>
                <w:sz w:val="15"/>
                <w:szCs w:val="15"/>
              </w:rPr>
              <w:t>实质上构成对</w:t>
            </w:r>
            <w:r>
              <w:rPr>
                <w:rFonts w:ascii="宋体" w:hAnsi="宋体" w:cs="宋体" w:eastAsia="宋体" w:hint="default"/>
                <w:w w:val="100"/>
                <w:sz w:val="15"/>
                <w:szCs w:val="15"/>
              </w:rPr>
              <w:t> </w:t>
            </w:r>
            <w:r>
              <w:rPr>
                <w:rFonts w:ascii="宋体" w:hAnsi="宋体" w:cs="宋体" w:eastAsia="宋体" w:hint="default"/>
                <w:spacing w:val="-1"/>
                <w:sz w:val="15"/>
                <w:szCs w:val="15"/>
              </w:rPr>
              <w:t>子公司净投资</w:t>
            </w:r>
            <w:r>
              <w:rPr>
                <w:rFonts w:ascii="宋体" w:hAnsi="宋体" w:cs="宋体" w:eastAsia="宋体" w:hint="default"/>
                <w:w w:val="100"/>
                <w:sz w:val="15"/>
                <w:szCs w:val="15"/>
              </w:rPr>
              <w:t> </w:t>
            </w:r>
            <w:r>
              <w:rPr>
                <w:rFonts w:ascii="宋体" w:hAnsi="宋体" w:cs="宋体" w:eastAsia="宋体" w:hint="default"/>
                <w:sz w:val="15"/>
                <w:szCs w:val="15"/>
              </w:rPr>
              <w:t>的其他项目</w:t>
            </w:r>
          </w:p>
          <w:p>
            <w:pPr>
              <w:pStyle w:val="TableParagraph"/>
              <w:spacing w:line="240" w:lineRule="auto" w:before="39"/>
              <w:ind w:right="62"/>
              <w:jc w:val="center"/>
              <w:rPr>
                <w:rFonts w:ascii="宋体" w:hAnsi="宋体" w:cs="宋体" w:eastAsia="宋体" w:hint="default"/>
                <w:sz w:val="15"/>
                <w:szCs w:val="15"/>
              </w:rPr>
            </w:pPr>
            <w:r>
              <w:rPr>
                <w:rFonts w:ascii="宋体" w:hAnsi="宋体" w:cs="宋体" w:eastAsia="宋体" w:hint="default"/>
                <w:sz w:val="15"/>
                <w:szCs w:val="15"/>
              </w:rPr>
              <w:t>余额</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92" w:lineRule="exact" w:before="112"/>
              <w:ind w:left="182" w:right="139"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92" w:lineRule="exact" w:before="112"/>
              <w:ind w:left="105" w:right="101" w:firstLine="36"/>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192" w:lineRule="exact"/>
              <w:ind w:left="141" w:right="139"/>
              <w:jc w:val="left"/>
              <w:rPr>
                <w:rFonts w:ascii="宋体" w:hAnsi="宋体" w:cs="宋体" w:eastAsia="宋体" w:hint="default"/>
                <w:sz w:val="15"/>
                <w:szCs w:val="15"/>
              </w:rPr>
            </w:pPr>
            <w:r>
              <w:rPr>
                <w:rFonts w:ascii="宋体" w:hAnsi="宋体" w:cs="宋体" w:eastAsia="宋体" w:hint="default"/>
                <w:sz w:val="15"/>
                <w:szCs w:val="15"/>
              </w:rPr>
              <w:t>是否合</w:t>
            </w:r>
            <w:r>
              <w:rPr>
                <w:rFonts w:ascii="宋体" w:hAnsi="宋体" w:cs="宋体" w:eastAsia="宋体" w:hint="default"/>
                <w:spacing w:val="-72"/>
                <w:sz w:val="15"/>
                <w:szCs w:val="15"/>
              </w:rPr>
              <w:t> </w:t>
            </w:r>
            <w:r>
              <w:rPr>
                <w:rFonts w:ascii="宋体" w:hAnsi="宋体" w:cs="宋体" w:eastAsia="宋体" w:hint="default"/>
                <w:sz w:val="15"/>
                <w:szCs w:val="15"/>
              </w:rPr>
              <w:t>并报表</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535" w:lineRule="auto"/>
              <w:ind w:left="357" w:right="200"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37" w:lineRule="auto"/>
              <w:ind w:left="52" w:right="55"/>
              <w:jc w:val="center"/>
              <w:rPr>
                <w:rFonts w:ascii="宋体" w:hAnsi="宋体" w:cs="宋体" w:eastAsia="宋体" w:hint="default"/>
                <w:sz w:val="15"/>
                <w:szCs w:val="15"/>
              </w:rPr>
            </w:pPr>
            <w:r>
              <w:rPr>
                <w:rFonts w:ascii="宋体" w:hAnsi="宋体" w:cs="宋体" w:eastAsia="宋体" w:hint="default"/>
                <w:spacing w:val="-1"/>
                <w:sz w:val="15"/>
                <w:szCs w:val="15"/>
              </w:rPr>
              <w:t>少数股东权益</w:t>
            </w:r>
            <w:r>
              <w:rPr>
                <w:rFonts w:ascii="宋体" w:hAnsi="宋体" w:cs="宋体" w:eastAsia="宋体" w:hint="default"/>
                <w:w w:val="100"/>
                <w:sz w:val="15"/>
                <w:szCs w:val="15"/>
              </w:rPr>
              <w:t> </w:t>
            </w:r>
            <w:r>
              <w:rPr>
                <w:rFonts w:ascii="宋体" w:hAnsi="宋体" w:cs="宋体" w:eastAsia="宋体" w:hint="default"/>
                <w:spacing w:val="-1"/>
                <w:sz w:val="15"/>
                <w:szCs w:val="15"/>
              </w:rPr>
              <w:t>中用于冲减少</w:t>
            </w:r>
            <w:r>
              <w:rPr>
                <w:rFonts w:ascii="宋体" w:hAnsi="宋体" w:cs="宋体" w:eastAsia="宋体" w:hint="default"/>
                <w:w w:val="100"/>
                <w:sz w:val="15"/>
                <w:szCs w:val="15"/>
              </w:rPr>
              <w:t> </w:t>
            </w:r>
            <w:r>
              <w:rPr>
                <w:rFonts w:ascii="宋体" w:hAnsi="宋体" w:cs="宋体" w:eastAsia="宋体" w:hint="default"/>
                <w:spacing w:val="-1"/>
                <w:sz w:val="15"/>
                <w:szCs w:val="15"/>
              </w:rPr>
              <w:t>数股东损益的</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7" w:lineRule="auto"/>
              <w:ind w:left="60" w:right="72"/>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从母公司所有者权益冲减</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子公司少数股东分担的本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期亏损超过少数股东在该</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子公司期初所有者权益中</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所享有份额后的余额</w:t>
            </w:r>
          </w:p>
        </w:tc>
      </w:tr>
      <w:tr>
        <w:trPr>
          <w:trHeight w:val="437"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4" w:right="0"/>
              <w:jc w:val="center"/>
              <w:rPr>
                <w:rFonts w:ascii="宋体" w:hAnsi="宋体" w:cs="宋体" w:eastAsia="宋体" w:hint="default"/>
                <w:sz w:val="15"/>
                <w:szCs w:val="15"/>
              </w:rPr>
            </w:pPr>
            <w:r>
              <w:rPr>
                <w:rFonts w:ascii="宋体" w:hAnsi="宋体" w:cs="宋体" w:eastAsia="宋体" w:hint="default"/>
                <w:sz w:val="15"/>
                <w:szCs w:val="15"/>
              </w:rPr>
              <w:t>草集团有限公司</w:t>
            </w:r>
          </w:p>
        </w:tc>
        <w:tc>
          <w:tcPr>
            <w:tcW w:w="12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94" w:right="0"/>
              <w:jc w:val="left"/>
              <w:rPr>
                <w:rFonts w:ascii="宋体" w:hAnsi="宋体" w:cs="宋体" w:eastAsia="宋体" w:hint="default"/>
                <w:sz w:val="15"/>
                <w:szCs w:val="15"/>
              </w:rPr>
            </w:pPr>
            <w:r>
              <w:rPr>
                <w:rFonts w:ascii="宋体" w:hAnsi="宋体" w:cs="宋体" w:eastAsia="宋体" w:hint="default"/>
                <w:w w:val="100"/>
                <w:sz w:val="15"/>
                <w:szCs w:val="15"/>
              </w:rPr>
              <w:t>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2" w:right="0"/>
              <w:jc w:val="left"/>
              <w:rPr>
                <w:rFonts w:ascii="宋体" w:hAnsi="宋体" w:cs="宋体" w:eastAsia="宋体" w:hint="default"/>
                <w:sz w:val="15"/>
                <w:szCs w:val="15"/>
              </w:rPr>
            </w:pPr>
            <w:r>
              <w:rPr>
                <w:rFonts w:ascii="宋体" w:hAnsi="宋体" w:cs="宋体" w:eastAsia="宋体" w:hint="default"/>
                <w:spacing w:val="4"/>
                <w:sz w:val="15"/>
                <w:szCs w:val="15"/>
              </w:rPr>
              <w:t>制版、印刷及相关</w:t>
            </w:r>
          </w:p>
          <w:p>
            <w:pPr>
              <w:pStyle w:val="TableParagraph"/>
              <w:spacing w:line="194" w:lineRule="exact"/>
              <w:ind w:left="12" w:right="0"/>
              <w:jc w:val="left"/>
              <w:rPr>
                <w:rFonts w:ascii="宋体" w:hAnsi="宋体" w:cs="宋体" w:eastAsia="宋体" w:hint="default"/>
                <w:sz w:val="15"/>
                <w:szCs w:val="15"/>
              </w:rPr>
            </w:pPr>
            <w:r>
              <w:rPr>
                <w:rFonts w:ascii="宋体" w:hAnsi="宋体" w:cs="宋体" w:eastAsia="宋体" w:hint="default"/>
                <w:sz w:val="15"/>
                <w:szCs w:val="15"/>
              </w:rPr>
              <w:t>业务</w:t>
            </w:r>
          </w:p>
        </w:tc>
        <w:tc>
          <w:tcPr>
            <w:tcW w:w="98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nil" w:sz="6" w:space="0" w:color="auto"/>
            </w:tcBorders>
          </w:tcPr>
          <w:p>
            <w:pPr/>
          </w:p>
        </w:tc>
      </w:tr>
      <w:tr>
        <w:trPr>
          <w:trHeight w:val="1265"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192" w:lineRule="exact"/>
              <w:ind w:left="122" w:right="99"/>
              <w:jc w:val="left"/>
              <w:rPr>
                <w:rFonts w:ascii="宋体" w:hAnsi="宋体" w:cs="宋体" w:eastAsia="宋体" w:hint="default"/>
                <w:sz w:val="15"/>
                <w:szCs w:val="15"/>
              </w:rPr>
            </w:pPr>
            <w:r>
              <w:rPr>
                <w:rFonts w:ascii="宋体" w:hAnsi="宋体" w:cs="宋体" w:eastAsia="宋体" w:hint="default"/>
                <w:sz w:val="15"/>
                <w:szCs w:val="15"/>
              </w:rPr>
              <w:t>深圳市劲嘉科技</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13"/>
              <w:jc w:val="right"/>
              <w:rPr>
                <w:rFonts w:ascii="宋体" w:hAnsi="宋体" w:cs="宋体" w:eastAsia="宋体" w:hint="default"/>
                <w:sz w:val="15"/>
                <w:szCs w:val="15"/>
              </w:rPr>
            </w:pPr>
            <w:r>
              <w:rPr>
                <w:rFonts w:ascii="宋体" w:hAnsi="宋体" w:cs="宋体" w:eastAsia="宋体" w:hint="default"/>
                <w:sz w:val="15"/>
                <w:szCs w:val="15"/>
              </w:rPr>
              <w:t>深圳市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192" w:lineRule="exact"/>
              <w:ind w:left="194" w:right="84" w:hanging="149"/>
              <w:jc w:val="left"/>
              <w:rPr>
                <w:rFonts w:ascii="宋体" w:hAnsi="宋体" w:cs="宋体" w:eastAsia="宋体" w:hint="default"/>
                <w:sz w:val="15"/>
                <w:szCs w:val="15"/>
              </w:rPr>
            </w:pPr>
            <w:r>
              <w:rPr>
                <w:rFonts w:ascii="宋体" w:hAnsi="宋体" w:cs="宋体" w:eastAsia="宋体" w:hint="default"/>
                <w:sz w:val="15"/>
                <w:szCs w:val="15"/>
              </w:rPr>
              <w:t>生产制</w:t>
            </w:r>
            <w:r>
              <w:rPr>
                <w:rFonts w:ascii="宋体" w:hAnsi="宋体" w:cs="宋体" w:eastAsia="宋体" w:hint="default"/>
                <w:spacing w:val="-72"/>
                <w:sz w:val="15"/>
                <w:szCs w:val="15"/>
              </w:rPr>
              <w:t> </w:t>
            </w:r>
            <w:r>
              <w:rPr>
                <w:rFonts w:ascii="宋体" w:hAnsi="宋体" w:cs="宋体" w:eastAsia="宋体" w:hint="default"/>
                <w:sz w:val="15"/>
                <w:szCs w:val="15"/>
              </w:rPr>
              <w:t>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RMB2,000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7" w:lineRule="auto"/>
              <w:ind w:left="12" w:right="8"/>
              <w:jc w:val="both"/>
              <w:rPr>
                <w:rFonts w:ascii="宋体" w:hAnsi="宋体" w:cs="宋体" w:eastAsia="宋体" w:hint="default"/>
                <w:sz w:val="15"/>
                <w:szCs w:val="15"/>
              </w:rPr>
            </w:pPr>
            <w:r>
              <w:rPr>
                <w:rFonts w:ascii="宋体" w:hAnsi="宋体" w:cs="宋体" w:eastAsia="宋体" w:hint="default"/>
                <w:sz w:val="15"/>
                <w:szCs w:val="15"/>
              </w:rPr>
              <w:t>激</w:t>
            </w:r>
            <w:r>
              <w:rPr>
                <w:rFonts w:ascii="宋体" w:hAnsi="宋体" w:cs="宋体" w:eastAsia="宋体" w:hint="default"/>
                <w:spacing w:val="-41"/>
                <w:sz w:val="15"/>
                <w:szCs w:val="15"/>
              </w:rPr>
              <w:t> </w:t>
            </w:r>
            <w:r>
              <w:rPr>
                <w:rFonts w:ascii="宋体" w:hAnsi="宋体" w:cs="宋体" w:eastAsia="宋体" w:hint="default"/>
                <w:sz w:val="15"/>
                <w:szCs w:val="15"/>
              </w:rPr>
              <w:t>光</w:t>
            </w:r>
            <w:r>
              <w:rPr>
                <w:rFonts w:ascii="宋体" w:hAnsi="宋体" w:cs="宋体" w:eastAsia="宋体" w:hint="default"/>
                <w:spacing w:val="-43"/>
                <w:sz w:val="15"/>
                <w:szCs w:val="15"/>
              </w:rPr>
              <w:t> </w:t>
            </w:r>
            <w:r>
              <w:rPr>
                <w:rFonts w:ascii="宋体" w:hAnsi="宋体" w:cs="宋体" w:eastAsia="宋体" w:hint="default"/>
                <w:sz w:val="15"/>
                <w:szCs w:val="15"/>
              </w:rPr>
              <w:t>全</w:t>
            </w:r>
            <w:r>
              <w:rPr>
                <w:rFonts w:ascii="宋体" w:hAnsi="宋体" w:cs="宋体" w:eastAsia="宋体" w:hint="default"/>
                <w:spacing w:val="-41"/>
                <w:sz w:val="15"/>
                <w:szCs w:val="15"/>
              </w:rPr>
              <w:t> </w:t>
            </w:r>
            <w:r>
              <w:rPr>
                <w:rFonts w:ascii="宋体" w:hAnsi="宋体" w:cs="宋体" w:eastAsia="宋体" w:hint="default"/>
                <w:sz w:val="15"/>
                <w:szCs w:val="15"/>
              </w:rPr>
              <w:t>息</w:t>
            </w:r>
            <w:r>
              <w:rPr>
                <w:rFonts w:ascii="宋体" w:hAnsi="宋体" w:cs="宋体" w:eastAsia="宋体" w:hint="default"/>
                <w:spacing w:val="-43"/>
                <w:sz w:val="15"/>
                <w:szCs w:val="15"/>
              </w:rPr>
              <w:t> </w:t>
            </w:r>
            <w:r>
              <w:rPr>
                <w:rFonts w:ascii="宋体" w:hAnsi="宋体" w:cs="宋体" w:eastAsia="宋体" w:hint="default"/>
                <w:sz w:val="15"/>
                <w:szCs w:val="15"/>
              </w:rPr>
              <w:t>技</w:t>
            </w:r>
            <w:r>
              <w:rPr>
                <w:rFonts w:ascii="宋体" w:hAnsi="宋体" w:cs="宋体" w:eastAsia="宋体" w:hint="default"/>
                <w:spacing w:val="-41"/>
                <w:sz w:val="15"/>
                <w:szCs w:val="15"/>
              </w:rPr>
              <w:t> </w:t>
            </w:r>
            <w:r>
              <w:rPr>
                <w:rFonts w:ascii="宋体" w:hAnsi="宋体" w:cs="宋体" w:eastAsia="宋体" w:hint="default"/>
                <w:sz w:val="15"/>
                <w:szCs w:val="15"/>
              </w:rPr>
              <w:t>术</w:t>
            </w:r>
            <w:r>
              <w:rPr>
                <w:rFonts w:ascii="宋体" w:hAnsi="宋体" w:cs="宋体" w:eastAsia="宋体" w:hint="default"/>
                <w:spacing w:val="-43"/>
                <w:sz w:val="15"/>
                <w:szCs w:val="15"/>
              </w:rPr>
              <w:t> </w:t>
            </w:r>
            <w:r>
              <w:rPr>
                <w:rFonts w:ascii="宋体" w:hAnsi="宋体" w:cs="宋体" w:eastAsia="宋体" w:hint="default"/>
                <w:sz w:val="15"/>
                <w:szCs w:val="15"/>
              </w:rPr>
              <w:t>研</w:t>
            </w:r>
            <w:r>
              <w:rPr>
                <w:rFonts w:ascii="宋体" w:hAnsi="宋体" w:cs="宋体" w:eastAsia="宋体" w:hint="default"/>
                <w:w w:val="100"/>
                <w:sz w:val="15"/>
                <w:szCs w:val="15"/>
              </w:rPr>
              <w:t> </w:t>
            </w:r>
            <w:r>
              <w:rPr>
                <w:rFonts w:ascii="宋体" w:hAnsi="宋体" w:cs="宋体" w:eastAsia="宋体" w:hint="default"/>
                <w:spacing w:val="4"/>
                <w:sz w:val="15"/>
                <w:szCs w:val="15"/>
              </w:rPr>
              <w:t>究、开发；生产、</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销售镭射膜、银色</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膜；国内商业及物</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资供销</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2,156.00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677"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122" w:right="99"/>
              <w:jc w:val="left"/>
              <w:rPr>
                <w:rFonts w:ascii="Times New Roman" w:hAnsi="Times New Roman" w:cs="Times New Roman" w:eastAsia="Times New Roman" w:hint="default"/>
                <w:sz w:val="15"/>
                <w:szCs w:val="15"/>
              </w:rPr>
            </w:pPr>
            <w:r>
              <w:rPr>
                <w:rFonts w:ascii="宋体" w:hAnsi="宋体" w:cs="宋体" w:eastAsia="宋体" w:hint="default"/>
                <w:sz w:val="15"/>
                <w:szCs w:val="15"/>
              </w:rPr>
              <w:t>深圳嘉美达印务</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3"/>
                <w:sz w:val="15"/>
                <w:szCs w:val="15"/>
              </w:rPr>
              <w:t>有限公司</w:t>
            </w:r>
            <w:r>
              <w:rPr>
                <w:rFonts w:ascii="Times New Roman" w:hAnsi="Times New Roman" w:cs="Times New Roman" w:eastAsia="Times New Roman" w:hint="default"/>
                <w:spacing w:val="-3"/>
                <w:sz w:val="15"/>
                <w:szCs w:val="15"/>
              </w:rPr>
              <w:t>*4</w:t>
            </w:r>
            <w:r>
              <w:rPr>
                <w:rFonts w:ascii="Times New Roman" w:hAnsi="Times New Roman" w:cs="Times New Roman" w:eastAsia="Times New Roman" w:hint="default"/>
                <w:sz w:val="15"/>
                <w:szCs w:val="15"/>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13"/>
              <w:jc w:val="right"/>
              <w:rPr>
                <w:rFonts w:ascii="宋体" w:hAnsi="宋体" w:cs="宋体" w:eastAsia="宋体" w:hint="default"/>
                <w:sz w:val="15"/>
                <w:szCs w:val="15"/>
              </w:rPr>
            </w:pPr>
            <w:r>
              <w:rPr>
                <w:rFonts w:ascii="宋体" w:hAnsi="宋体" w:cs="宋体" w:eastAsia="宋体" w:hint="default"/>
                <w:sz w:val="15"/>
                <w:szCs w:val="15"/>
              </w:rPr>
              <w:t>深圳市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194" w:right="84" w:hanging="149"/>
              <w:jc w:val="left"/>
              <w:rPr>
                <w:rFonts w:ascii="宋体" w:hAnsi="宋体" w:cs="宋体" w:eastAsia="宋体" w:hint="default"/>
                <w:sz w:val="15"/>
                <w:szCs w:val="15"/>
              </w:rPr>
            </w:pPr>
            <w:r>
              <w:rPr>
                <w:rFonts w:ascii="宋体" w:hAnsi="宋体" w:cs="宋体" w:eastAsia="宋体" w:hint="default"/>
                <w:sz w:val="15"/>
                <w:szCs w:val="15"/>
              </w:rPr>
              <w:t>生产制</w:t>
            </w:r>
            <w:r>
              <w:rPr>
                <w:rFonts w:ascii="宋体" w:hAnsi="宋体" w:cs="宋体" w:eastAsia="宋体" w:hint="default"/>
                <w:spacing w:val="-72"/>
                <w:sz w:val="15"/>
                <w:szCs w:val="15"/>
              </w:rPr>
              <w:t> </w:t>
            </w:r>
            <w:r>
              <w:rPr>
                <w:rFonts w:ascii="宋体" w:hAnsi="宋体" w:cs="宋体" w:eastAsia="宋体" w:hint="default"/>
                <w:sz w:val="15"/>
                <w:szCs w:val="15"/>
              </w:rPr>
              <w:t>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RMB2,000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12" w:right="8"/>
              <w:jc w:val="left"/>
              <w:rPr>
                <w:rFonts w:ascii="宋体" w:hAnsi="宋体" w:cs="宋体" w:eastAsia="宋体" w:hint="default"/>
                <w:sz w:val="15"/>
                <w:szCs w:val="15"/>
              </w:rPr>
            </w:pPr>
            <w:r>
              <w:rPr>
                <w:rFonts w:ascii="宋体" w:hAnsi="宋体" w:cs="宋体" w:eastAsia="宋体" w:hint="default"/>
                <w:spacing w:val="4"/>
                <w:sz w:val="15"/>
                <w:szCs w:val="15"/>
              </w:rPr>
              <w:t>包装、装潢、印刷</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品印刷</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2,341.63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874"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安徽安泰新型包</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装材料有限公司</w:t>
            </w:r>
          </w:p>
          <w:p>
            <w:pPr>
              <w:pStyle w:val="TableParagraph"/>
              <w:spacing w:line="240" w:lineRule="auto" w:before="16"/>
              <w:ind w:left="122" w:right="0"/>
              <w:jc w:val="left"/>
              <w:rPr>
                <w:rFonts w:ascii="Times New Roman" w:hAnsi="Times New Roman" w:cs="Times New Roman" w:eastAsia="Times New Roman" w:hint="default"/>
                <w:sz w:val="15"/>
                <w:szCs w:val="15"/>
              </w:rPr>
            </w:pPr>
            <w:r>
              <w:rPr>
                <w:rFonts w:ascii="Times New Roman"/>
                <w:spacing w:val="-4"/>
                <w:sz w:val="15"/>
              </w:rPr>
              <w:t>*5</w:t>
            </w:r>
            <w:r>
              <w:rPr>
                <w:rFonts w:ascii="Times New Roman"/>
                <w:sz w:val="15"/>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3"/>
              <w:jc w:val="right"/>
              <w:rPr>
                <w:rFonts w:ascii="宋体" w:hAnsi="宋体" w:cs="宋体" w:eastAsia="宋体" w:hint="default"/>
                <w:sz w:val="15"/>
                <w:szCs w:val="15"/>
              </w:rPr>
            </w:pPr>
            <w:r>
              <w:rPr>
                <w:rFonts w:ascii="宋体" w:hAnsi="宋体" w:cs="宋体" w:eastAsia="宋体" w:hint="default"/>
                <w:sz w:val="15"/>
                <w:szCs w:val="15"/>
              </w:rPr>
              <w:t>合肥市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194" w:right="84" w:hanging="149"/>
              <w:jc w:val="left"/>
              <w:rPr>
                <w:rFonts w:ascii="宋体" w:hAnsi="宋体" w:cs="宋体" w:eastAsia="宋体" w:hint="default"/>
                <w:sz w:val="15"/>
                <w:szCs w:val="15"/>
              </w:rPr>
            </w:pPr>
            <w:r>
              <w:rPr>
                <w:rFonts w:ascii="宋体" w:hAnsi="宋体" w:cs="宋体" w:eastAsia="宋体" w:hint="default"/>
                <w:sz w:val="15"/>
                <w:szCs w:val="15"/>
              </w:rPr>
              <w:t>生产制</w:t>
            </w:r>
            <w:r>
              <w:rPr>
                <w:rFonts w:ascii="宋体" w:hAnsi="宋体" w:cs="宋体" w:eastAsia="宋体" w:hint="default"/>
                <w:spacing w:val="-72"/>
                <w:sz w:val="15"/>
                <w:szCs w:val="15"/>
              </w:rPr>
              <w:t> </w:t>
            </w:r>
            <w:r>
              <w:rPr>
                <w:rFonts w:ascii="宋体" w:hAnsi="宋体" w:cs="宋体" w:eastAsia="宋体" w:hint="default"/>
                <w:sz w:val="15"/>
                <w:szCs w:val="15"/>
              </w:rPr>
              <w:t>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RMB8,400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35" w:lineRule="auto"/>
              <w:ind w:left="12" w:right="8"/>
              <w:jc w:val="both"/>
              <w:rPr>
                <w:rFonts w:ascii="宋体" w:hAnsi="宋体" w:cs="宋体" w:eastAsia="宋体" w:hint="default"/>
                <w:sz w:val="15"/>
                <w:szCs w:val="15"/>
              </w:rPr>
            </w:pPr>
            <w:r>
              <w:rPr>
                <w:rFonts w:ascii="宋体" w:hAnsi="宋体" w:cs="宋体" w:eastAsia="宋体" w:hint="default"/>
                <w:spacing w:val="4"/>
                <w:sz w:val="15"/>
                <w:szCs w:val="15"/>
              </w:rPr>
              <w:t>新型包装材料、包</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装装潢印刷品的设</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计、生产和销售</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36,858.44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874"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122" w:right="99"/>
              <w:jc w:val="left"/>
              <w:rPr>
                <w:rFonts w:ascii="宋体" w:hAnsi="宋体" w:cs="宋体" w:eastAsia="宋体" w:hint="default"/>
                <w:sz w:val="15"/>
                <w:szCs w:val="15"/>
              </w:rPr>
            </w:pPr>
            <w:r>
              <w:rPr>
                <w:rFonts w:ascii="宋体" w:hAnsi="宋体" w:cs="宋体" w:eastAsia="宋体" w:hint="default"/>
                <w:sz w:val="15"/>
                <w:szCs w:val="15"/>
              </w:rPr>
              <w:t>深圳市万商物业</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管理有限公司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3"/>
              <w:jc w:val="right"/>
              <w:rPr>
                <w:rFonts w:ascii="宋体" w:hAnsi="宋体" w:cs="宋体" w:eastAsia="宋体" w:hint="default"/>
                <w:sz w:val="15"/>
                <w:szCs w:val="15"/>
              </w:rPr>
            </w:pPr>
            <w:r>
              <w:rPr>
                <w:rFonts w:ascii="宋体" w:hAnsi="宋体" w:cs="宋体" w:eastAsia="宋体" w:hint="default"/>
                <w:sz w:val="15"/>
                <w:szCs w:val="15"/>
              </w:rPr>
              <w:t>深圳市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194" w:right="84" w:hanging="149"/>
              <w:jc w:val="left"/>
              <w:rPr>
                <w:rFonts w:ascii="宋体" w:hAnsi="宋体" w:cs="宋体" w:eastAsia="宋体" w:hint="default"/>
                <w:sz w:val="15"/>
                <w:szCs w:val="15"/>
              </w:rPr>
            </w:pPr>
            <w:r>
              <w:rPr>
                <w:rFonts w:ascii="宋体" w:hAnsi="宋体" w:cs="宋体" w:eastAsia="宋体" w:hint="default"/>
                <w:sz w:val="15"/>
                <w:szCs w:val="15"/>
              </w:rPr>
              <w:t>物业管</w:t>
            </w:r>
            <w:r>
              <w:rPr>
                <w:rFonts w:ascii="宋体" w:hAnsi="宋体" w:cs="宋体" w:eastAsia="宋体" w:hint="default"/>
                <w:spacing w:val="-72"/>
                <w:sz w:val="15"/>
                <w:szCs w:val="15"/>
              </w:rPr>
              <w:t> </w:t>
            </w:r>
            <w:r>
              <w:rPr>
                <w:rFonts w:ascii="宋体" w:hAnsi="宋体" w:cs="宋体" w:eastAsia="宋体" w:hint="default"/>
                <w:sz w:val="15"/>
                <w:szCs w:val="15"/>
              </w:rPr>
              <w:t>理</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RMB1,800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7" w:lineRule="auto"/>
              <w:ind w:left="12" w:right="8"/>
              <w:jc w:val="both"/>
              <w:rPr>
                <w:rFonts w:ascii="宋体" w:hAnsi="宋体" w:cs="宋体" w:eastAsia="宋体" w:hint="default"/>
                <w:sz w:val="15"/>
                <w:szCs w:val="15"/>
              </w:rPr>
            </w:pPr>
            <w:r>
              <w:rPr>
                <w:rFonts w:ascii="宋体" w:hAnsi="宋体" w:cs="宋体" w:eastAsia="宋体" w:hint="default"/>
                <w:spacing w:val="4"/>
                <w:sz w:val="15"/>
                <w:szCs w:val="15"/>
              </w:rPr>
              <w:t>物业管理（按物业</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管</w:t>
            </w:r>
            <w:r>
              <w:rPr>
                <w:rFonts w:ascii="宋体" w:hAnsi="宋体" w:cs="宋体" w:eastAsia="宋体" w:hint="default"/>
                <w:spacing w:val="-41"/>
                <w:sz w:val="15"/>
                <w:szCs w:val="15"/>
              </w:rPr>
              <w:t> </w:t>
            </w:r>
            <w:r>
              <w:rPr>
                <w:rFonts w:ascii="宋体" w:hAnsi="宋体" w:cs="宋体" w:eastAsia="宋体" w:hint="default"/>
                <w:sz w:val="15"/>
                <w:szCs w:val="15"/>
              </w:rPr>
              <w:t>理</w:t>
            </w:r>
            <w:r>
              <w:rPr>
                <w:rFonts w:ascii="宋体" w:hAnsi="宋体" w:cs="宋体" w:eastAsia="宋体" w:hint="default"/>
                <w:spacing w:val="-43"/>
                <w:sz w:val="15"/>
                <w:szCs w:val="15"/>
              </w:rPr>
              <w:t> </w:t>
            </w:r>
            <w:r>
              <w:rPr>
                <w:rFonts w:ascii="宋体" w:hAnsi="宋体" w:cs="宋体" w:eastAsia="宋体" w:hint="default"/>
                <w:sz w:val="15"/>
                <w:szCs w:val="15"/>
              </w:rPr>
              <w:t>资</w:t>
            </w:r>
            <w:r>
              <w:rPr>
                <w:rFonts w:ascii="宋体" w:hAnsi="宋体" w:cs="宋体" w:eastAsia="宋体" w:hint="default"/>
                <w:spacing w:val="-41"/>
                <w:sz w:val="15"/>
                <w:szCs w:val="15"/>
              </w:rPr>
              <w:t> </w:t>
            </w:r>
            <w:r>
              <w:rPr>
                <w:rFonts w:ascii="宋体" w:hAnsi="宋体" w:cs="宋体" w:eastAsia="宋体" w:hint="default"/>
                <w:sz w:val="15"/>
                <w:szCs w:val="15"/>
              </w:rPr>
              <w:t>质</w:t>
            </w:r>
            <w:r>
              <w:rPr>
                <w:rFonts w:ascii="宋体" w:hAnsi="宋体" w:cs="宋体" w:eastAsia="宋体" w:hint="default"/>
                <w:spacing w:val="-43"/>
                <w:sz w:val="15"/>
                <w:szCs w:val="15"/>
              </w:rPr>
              <w:t> </w:t>
            </w:r>
            <w:r>
              <w:rPr>
                <w:rFonts w:ascii="宋体" w:hAnsi="宋体" w:cs="宋体" w:eastAsia="宋体" w:hint="default"/>
                <w:sz w:val="15"/>
                <w:szCs w:val="15"/>
              </w:rPr>
              <w:t>证</w:t>
            </w:r>
            <w:r>
              <w:rPr>
                <w:rFonts w:ascii="宋体" w:hAnsi="宋体" w:cs="宋体" w:eastAsia="宋体" w:hint="default"/>
                <w:spacing w:val="-41"/>
                <w:sz w:val="15"/>
                <w:szCs w:val="15"/>
              </w:rPr>
              <w:t> </w:t>
            </w:r>
            <w:r>
              <w:rPr>
                <w:rFonts w:ascii="宋体" w:hAnsi="宋体" w:cs="宋体" w:eastAsia="宋体" w:hint="default"/>
                <w:sz w:val="15"/>
                <w:szCs w:val="15"/>
              </w:rPr>
              <w:t>书</w:t>
            </w:r>
            <w:r>
              <w:rPr>
                <w:rFonts w:ascii="宋体" w:hAnsi="宋体" w:cs="宋体" w:eastAsia="宋体" w:hint="default"/>
                <w:spacing w:val="-43"/>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1,620.00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90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90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161.20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117"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中丰田光电科技</w:t>
            </w:r>
          </w:p>
          <w:p>
            <w:pPr>
              <w:pStyle w:val="TableParagraph"/>
              <w:spacing w:line="192" w:lineRule="exact" w:before="20"/>
              <w:ind w:left="122" w:right="99"/>
              <w:jc w:val="left"/>
              <w:rPr>
                <w:rFonts w:ascii="Times New Roman" w:hAnsi="Times New Roman" w:cs="Times New Roman" w:eastAsia="Times New Roman" w:hint="default"/>
                <w:sz w:val="15"/>
                <w:szCs w:val="15"/>
              </w:rPr>
            </w:pPr>
            <w:r>
              <w:rPr>
                <w:rFonts w:ascii="宋体" w:hAnsi="宋体" w:cs="宋体" w:eastAsia="宋体" w:hint="default"/>
                <w:sz w:val="15"/>
                <w:szCs w:val="15"/>
              </w:rPr>
              <w:t>（珠海）有限公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4"/>
                <w:sz w:val="15"/>
                <w:szCs w:val="15"/>
              </w:rPr>
              <w:t>司</w:t>
            </w:r>
            <w:r>
              <w:rPr>
                <w:rFonts w:ascii="Times New Roman" w:hAnsi="Times New Roman" w:cs="Times New Roman" w:eastAsia="Times New Roman" w:hint="default"/>
                <w:spacing w:val="-4"/>
                <w:sz w:val="15"/>
                <w:szCs w:val="15"/>
              </w:rPr>
              <w:t>*6</w:t>
            </w:r>
            <w:r>
              <w:rPr>
                <w:rFonts w:ascii="Times New Roman" w:hAnsi="Times New Roman" w:cs="Times New Roman" w:eastAsia="Times New Roman" w:hint="default"/>
                <w:sz w:val="15"/>
                <w:szCs w:val="15"/>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194" w:lineRule="exact"/>
              <w:ind w:left="191" w:right="0"/>
              <w:jc w:val="left"/>
              <w:rPr>
                <w:rFonts w:ascii="宋体" w:hAnsi="宋体" w:cs="宋体" w:eastAsia="宋体" w:hint="default"/>
                <w:sz w:val="15"/>
                <w:szCs w:val="15"/>
              </w:rPr>
            </w:pPr>
            <w:r>
              <w:rPr>
                <w:rFonts w:ascii="宋体" w:hAnsi="宋体" w:cs="宋体" w:eastAsia="宋体" w:hint="default"/>
                <w:sz w:val="15"/>
                <w:szCs w:val="15"/>
              </w:rPr>
              <w:t>有限责任公司</w:t>
            </w:r>
          </w:p>
          <w:p>
            <w:pPr>
              <w:pStyle w:val="TableParagraph"/>
              <w:spacing w:line="194" w:lineRule="exact"/>
              <w:ind w:left="191" w:right="0"/>
              <w:jc w:val="left"/>
              <w:rPr>
                <w:rFonts w:ascii="宋体" w:hAnsi="宋体" w:cs="宋体" w:eastAsia="宋体" w:hint="default"/>
                <w:sz w:val="15"/>
                <w:szCs w:val="15"/>
              </w:rPr>
            </w:pPr>
            <w:r>
              <w:rPr>
                <w:rFonts w:ascii="宋体" w:hAnsi="宋体" w:cs="宋体" w:eastAsia="宋体" w:hint="default"/>
                <w:sz w:val="15"/>
                <w:szCs w:val="15"/>
              </w:rPr>
              <w:t>（外商合资）</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13"/>
              <w:jc w:val="right"/>
              <w:rPr>
                <w:rFonts w:ascii="宋体" w:hAnsi="宋体" w:cs="宋体" w:eastAsia="宋体" w:hint="default"/>
                <w:sz w:val="15"/>
                <w:szCs w:val="15"/>
              </w:rPr>
            </w:pPr>
            <w:r>
              <w:rPr>
                <w:rFonts w:ascii="宋体" w:hAnsi="宋体" w:cs="宋体" w:eastAsia="宋体" w:hint="default"/>
                <w:sz w:val="15"/>
                <w:szCs w:val="15"/>
              </w:rPr>
              <w:t>珠海市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192" w:lineRule="exact"/>
              <w:ind w:left="194" w:right="84" w:hanging="149"/>
              <w:jc w:val="left"/>
              <w:rPr>
                <w:rFonts w:ascii="宋体" w:hAnsi="宋体" w:cs="宋体" w:eastAsia="宋体" w:hint="default"/>
                <w:sz w:val="15"/>
                <w:szCs w:val="15"/>
              </w:rPr>
            </w:pPr>
            <w:r>
              <w:rPr>
                <w:rFonts w:ascii="宋体" w:hAnsi="宋体" w:cs="宋体" w:eastAsia="宋体" w:hint="default"/>
                <w:sz w:val="15"/>
                <w:szCs w:val="15"/>
              </w:rPr>
              <w:t>生产制</w:t>
            </w:r>
            <w:r>
              <w:rPr>
                <w:rFonts w:ascii="宋体" w:hAnsi="宋体" w:cs="宋体" w:eastAsia="宋体" w:hint="default"/>
                <w:spacing w:val="-72"/>
                <w:sz w:val="15"/>
                <w:szCs w:val="15"/>
              </w:rPr>
              <w:t> </w:t>
            </w:r>
            <w:r>
              <w:rPr>
                <w:rFonts w:ascii="宋体" w:hAnsi="宋体" w:cs="宋体" w:eastAsia="宋体" w:hint="default"/>
                <w:sz w:val="15"/>
                <w:szCs w:val="15"/>
              </w:rPr>
              <w:t>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USD1,090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02"/>
              <w:ind w:left="12" w:right="8"/>
              <w:jc w:val="left"/>
              <w:rPr>
                <w:rFonts w:ascii="宋体" w:hAnsi="宋体" w:cs="宋体" w:eastAsia="宋体" w:hint="default"/>
                <w:sz w:val="15"/>
                <w:szCs w:val="15"/>
              </w:rPr>
            </w:pPr>
            <w:r>
              <w:rPr>
                <w:rFonts w:ascii="宋体" w:hAnsi="宋体" w:cs="宋体" w:eastAsia="宋体" w:hint="default"/>
                <w:spacing w:val="4"/>
                <w:sz w:val="15"/>
                <w:szCs w:val="15"/>
              </w:rPr>
              <w:t>开发生产销售激光</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新材料（包括宽幅</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素面激光膜、彩虹</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复合材料等）和高</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性</w:t>
            </w:r>
            <w:r>
              <w:rPr>
                <w:rFonts w:ascii="宋体" w:hAnsi="宋体" w:cs="宋体" w:eastAsia="宋体" w:hint="default"/>
                <w:spacing w:val="-41"/>
                <w:sz w:val="15"/>
                <w:szCs w:val="15"/>
              </w:rPr>
              <w:t> </w:t>
            </w:r>
            <w:r>
              <w:rPr>
                <w:rFonts w:ascii="宋体" w:hAnsi="宋体" w:cs="宋体" w:eastAsia="宋体" w:hint="default"/>
                <w:sz w:val="15"/>
                <w:szCs w:val="15"/>
              </w:rPr>
              <w:t>能</w:t>
            </w:r>
            <w:r>
              <w:rPr>
                <w:rFonts w:ascii="宋体" w:hAnsi="宋体" w:cs="宋体" w:eastAsia="宋体" w:hint="default"/>
                <w:spacing w:val="-43"/>
                <w:sz w:val="15"/>
                <w:szCs w:val="15"/>
              </w:rPr>
              <w:t> </w:t>
            </w:r>
            <w:r>
              <w:rPr>
                <w:rFonts w:ascii="宋体" w:hAnsi="宋体" w:cs="宋体" w:eastAsia="宋体" w:hint="default"/>
                <w:sz w:val="15"/>
                <w:szCs w:val="15"/>
              </w:rPr>
              <w:t>涂</w:t>
            </w:r>
            <w:r>
              <w:rPr>
                <w:rFonts w:ascii="宋体" w:hAnsi="宋体" w:cs="宋体" w:eastAsia="宋体" w:hint="default"/>
                <w:spacing w:val="-41"/>
                <w:sz w:val="15"/>
                <w:szCs w:val="15"/>
              </w:rPr>
              <w:t> </w:t>
            </w:r>
            <w:r>
              <w:rPr>
                <w:rFonts w:ascii="宋体" w:hAnsi="宋体" w:cs="宋体" w:eastAsia="宋体" w:hint="default"/>
                <w:sz w:val="15"/>
                <w:szCs w:val="15"/>
              </w:rPr>
              <w:t>料</w:t>
            </w:r>
            <w:r>
              <w:rPr>
                <w:rFonts w:ascii="宋体" w:hAnsi="宋体" w:cs="宋体" w:eastAsia="宋体" w:hint="default"/>
                <w:spacing w:val="-43"/>
                <w:sz w:val="15"/>
                <w:szCs w:val="15"/>
              </w:rPr>
              <w:t> </w:t>
            </w:r>
            <w:r>
              <w:rPr>
                <w:rFonts w:ascii="宋体" w:hAnsi="宋体" w:cs="宋体" w:eastAsia="宋体" w:hint="default"/>
                <w:sz w:val="15"/>
                <w:szCs w:val="15"/>
              </w:rPr>
              <w:t>（</w:t>
            </w:r>
            <w:r>
              <w:rPr>
                <w:rFonts w:ascii="宋体" w:hAnsi="宋体" w:cs="宋体" w:eastAsia="宋体" w:hint="default"/>
                <w:spacing w:val="-41"/>
                <w:sz w:val="15"/>
                <w:szCs w:val="15"/>
              </w:rPr>
              <w:t> </w:t>
            </w:r>
            <w:r>
              <w:rPr>
                <w:rFonts w:ascii="宋体" w:hAnsi="宋体" w:cs="宋体" w:eastAsia="宋体" w:hint="default"/>
                <w:sz w:val="15"/>
                <w:szCs w:val="15"/>
              </w:rPr>
              <w:t>包</w:t>
            </w:r>
            <w:r>
              <w:rPr>
                <w:rFonts w:ascii="宋体" w:hAnsi="宋体" w:cs="宋体" w:eastAsia="宋体" w:hint="default"/>
                <w:spacing w:val="-43"/>
                <w:sz w:val="15"/>
                <w:szCs w:val="15"/>
              </w:rPr>
              <w:t> </w:t>
            </w:r>
            <w:r>
              <w:rPr>
                <w:rFonts w:ascii="宋体" w:hAnsi="宋体" w:cs="宋体" w:eastAsia="宋体" w:hint="default"/>
                <w:sz w:val="15"/>
                <w:szCs w:val="15"/>
              </w:rPr>
              <w:t>括</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WBC</w:t>
            </w:r>
            <w:r>
              <w:rPr>
                <w:rFonts w:ascii="Times New Roman" w:hAnsi="Times New Roman" w:cs="Times New Roman" w:eastAsia="Times New Roman" w:hint="default"/>
                <w:spacing w:val="26"/>
                <w:sz w:val="15"/>
                <w:szCs w:val="15"/>
              </w:rPr>
              <w:t> </w:t>
            </w:r>
            <w:r>
              <w:rPr>
                <w:rFonts w:ascii="宋体" w:hAnsi="宋体" w:cs="宋体" w:eastAsia="宋体" w:hint="default"/>
                <w:spacing w:val="11"/>
                <w:sz w:val="15"/>
                <w:szCs w:val="15"/>
              </w:rPr>
              <w:t>水性汽车金</w:t>
            </w:r>
            <w:r>
              <w:rPr>
                <w:rFonts w:ascii="宋体" w:hAnsi="宋体" w:cs="宋体" w:eastAsia="宋体" w:hint="default"/>
                <w:w w:val="100"/>
                <w:sz w:val="15"/>
                <w:szCs w:val="15"/>
              </w:rPr>
              <w:t> </w:t>
            </w:r>
            <w:r>
              <w:rPr>
                <w:rFonts w:ascii="宋体" w:hAnsi="宋体" w:cs="宋体" w:eastAsia="宋体" w:hint="default"/>
                <w:spacing w:val="4"/>
                <w:sz w:val="15"/>
                <w:szCs w:val="15"/>
              </w:rPr>
              <w:t>属闪光涂料和高性</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能油墨，细度小于</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等于</w:t>
            </w:r>
            <w:r>
              <w:rPr>
                <w:rFonts w:ascii="宋体" w:hAnsi="宋体" w:cs="宋体" w:eastAsia="宋体" w:hint="default"/>
                <w:spacing w:val="-35"/>
                <w:sz w:val="15"/>
                <w:szCs w:val="15"/>
              </w:rPr>
              <w:t> </w:t>
            </w:r>
            <w:r>
              <w:rPr>
                <w:rFonts w:ascii="Times New Roman" w:hAnsi="Times New Roman" w:cs="Times New Roman" w:eastAsia="Times New Roman" w:hint="default"/>
                <w:spacing w:val="-3"/>
                <w:sz w:val="15"/>
                <w:szCs w:val="15"/>
              </w:rPr>
              <w:t>20UM</w:t>
            </w:r>
            <w:r>
              <w:rPr>
                <w:rFonts w:ascii="宋体" w:hAnsi="宋体" w:cs="宋体" w:eastAsia="宋体" w:hint="default"/>
                <w:spacing w:val="-3"/>
                <w:sz w:val="15"/>
                <w:szCs w:val="15"/>
              </w:rPr>
              <w:t>，耐酸</w:t>
            </w:r>
            <w:r>
              <w:rPr>
                <w:rFonts w:ascii="宋体" w:hAnsi="宋体" w:cs="宋体" w:eastAsia="宋体" w:hint="default"/>
                <w:spacing w:val="-65"/>
                <w:sz w:val="15"/>
                <w:szCs w:val="15"/>
              </w:rPr>
              <w:t> </w:t>
            </w:r>
            <w:r>
              <w:rPr>
                <w:rFonts w:ascii="宋体" w:hAnsi="宋体" w:cs="宋体" w:eastAsia="宋体" w:hint="default"/>
                <w:sz w:val="15"/>
                <w:szCs w:val="15"/>
              </w:rPr>
              <w:t>耐碱等）</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73" w:right="0"/>
              <w:jc w:val="left"/>
              <w:rPr>
                <w:rFonts w:ascii="Times New Roman" w:hAnsi="Times New Roman" w:cs="Times New Roman" w:eastAsia="Times New Roman" w:hint="default"/>
                <w:sz w:val="15"/>
                <w:szCs w:val="15"/>
              </w:rPr>
            </w:pPr>
            <w:r>
              <w:rPr>
                <w:rFonts w:ascii="Times New Roman"/>
                <w:sz w:val="15"/>
              </w:rPr>
              <w:t>35,977.05</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left="-94" w:right="0"/>
              <w:jc w:val="left"/>
              <w:rPr>
                <w:rFonts w:ascii="宋体" w:hAnsi="宋体" w:cs="宋体" w:eastAsia="宋体" w:hint="default"/>
                <w:sz w:val="15"/>
                <w:szCs w:val="15"/>
              </w:rPr>
            </w:pPr>
            <w:r>
              <w:rPr>
                <w:rFonts w:ascii="宋体" w:hAnsi="宋体" w:cs="宋体" w:eastAsia="宋体" w:hint="default"/>
                <w:spacing w:val="-3"/>
                <w:w w:val="100"/>
                <w:sz w:val="15"/>
                <w:szCs w:val="15"/>
              </w:rPr>
              <w:t>、</w:t>
            </w:r>
            <w:r>
              <w:rPr>
                <w:rFonts w:ascii="宋体" w:hAnsi="宋体" w:cs="宋体" w:eastAsia="宋体" w:hint="default"/>
                <w:w w:val="100"/>
                <w:sz w:val="15"/>
                <w:szCs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60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60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15,087.75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1263" w:hRule="exact"/>
        </w:trPr>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92" w:lineRule="exact" w:before="112"/>
              <w:ind w:left="122" w:right="99"/>
              <w:jc w:val="left"/>
              <w:rPr>
                <w:rFonts w:ascii="Times New Roman" w:hAnsi="Times New Roman" w:cs="Times New Roman" w:eastAsia="Times New Roman" w:hint="default"/>
                <w:sz w:val="15"/>
                <w:szCs w:val="15"/>
              </w:rPr>
            </w:pPr>
            <w:r>
              <w:rPr>
                <w:rFonts w:ascii="宋体" w:hAnsi="宋体" w:cs="宋体" w:eastAsia="宋体" w:hint="default"/>
                <w:sz w:val="15"/>
                <w:szCs w:val="15"/>
              </w:rPr>
              <w:t>昆明彩印有限责</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3"/>
                <w:sz w:val="15"/>
                <w:szCs w:val="15"/>
              </w:rPr>
              <w:t>任公司</w:t>
            </w:r>
            <w:r>
              <w:rPr>
                <w:rFonts w:ascii="Times New Roman" w:hAnsi="Times New Roman" w:cs="Times New Roman" w:eastAsia="Times New Roman" w:hint="default"/>
                <w:spacing w:val="-3"/>
                <w:sz w:val="15"/>
                <w:szCs w:val="15"/>
              </w:rPr>
              <w:t>*7</w:t>
            </w:r>
            <w:r>
              <w:rPr>
                <w:rFonts w:ascii="Times New Roman" w:hAnsi="Times New Roman" w:cs="Times New Roman" w:eastAsia="Times New Roman" w:hint="default"/>
                <w:sz w:val="15"/>
                <w:szCs w:val="15"/>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13"/>
              <w:jc w:val="right"/>
              <w:rPr>
                <w:rFonts w:ascii="宋体" w:hAnsi="宋体" w:cs="宋体" w:eastAsia="宋体" w:hint="default"/>
                <w:sz w:val="15"/>
                <w:szCs w:val="15"/>
              </w:rPr>
            </w:pPr>
            <w:r>
              <w:rPr>
                <w:rFonts w:ascii="宋体" w:hAnsi="宋体" w:cs="宋体" w:eastAsia="宋体" w:hint="default"/>
                <w:sz w:val="15"/>
                <w:szCs w:val="15"/>
              </w:rPr>
              <w:t>昆明市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192" w:lineRule="exact"/>
              <w:ind w:left="194" w:right="84" w:hanging="149"/>
              <w:jc w:val="left"/>
              <w:rPr>
                <w:rFonts w:ascii="宋体" w:hAnsi="宋体" w:cs="宋体" w:eastAsia="宋体" w:hint="default"/>
                <w:sz w:val="15"/>
                <w:szCs w:val="15"/>
              </w:rPr>
            </w:pPr>
            <w:r>
              <w:rPr>
                <w:rFonts w:ascii="宋体" w:hAnsi="宋体" w:cs="宋体" w:eastAsia="宋体" w:hint="default"/>
                <w:sz w:val="15"/>
                <w:szCs w:val="15"/>
              </w:rPr>
              <w:t>生产制</w:t>
            </w:r>
            <w:r>
              <w:rPr>
                <w:rFonts w:ascii="宋体" w:hAnsi="宋体" w:cs="宋体" w:eastAsia="宋体" w:hint="default"/>
                <w:spacing w:val="-72"/>
                <w:sz w:val="15"/>
                <w:szCs w:val="15"/>
              </w:rPr>
              <w:t> </w:t>
            </w:r>
            <w:r>
              <w:rPr>
                <w:rFonts w:ascii="宋体" w:hAnsi="宋体" w:cs="宋体" w:eastAsia="宋体" w:hint="default"/>
                <w:sz w:val="15"/>
                <w:szCs w:val="15"/>
              </w:rPr>
              <w:t>造</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USD750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37" w:lineRule="auto"/>
              <w:ind w:left="12" w:right="8"/>
              <w:jc w:val="both"/>
              <w:rPr>
                <w:rFonts w:ascii="宋体" w:hAnsi="宋体" w:cs="宋体" w:eastAsia="宋体" w:hint="default"/>
                <w:sz w:val="15"/>
                <w:szCs w:val="15"/>
              </w:rPr>
            </w:pPr>
            <w:r>
              <w:rPr>
                <w:rFonts w:ascii="宋体" w:hAnsi="宋体" w:cs="宋体" w:eastAsia="宋体" w:hint="default"/>
                <w:sz w:val="15"/>
                <w:szCs w:val="15"/>
              </w:rPr>
              <w:t>内</w:t>
            </w:r>
            <w:r>
              <w:rPr>
                <w:rFonts w:ascii="宋体" w:hAnsi="宋体" w:cs="宋体" w:eastAsia="宋体" w:hint="default"/>
                <w:spacing w:val="-41"/>
                <w:sz w:val="15"/>
                <w:szCs w:val="15"/>
              </w:rPr>
              <w:t> </w:t>
            </w:r>
            <w:r>
              <w:rPr>
                <w:rFonts w:ascii="宋体" w:hAnsi="宋体" w:cs="宋体" w:eastAsia="宋体" w:hint="default"/>
                <w:sz w:val="15"/>
                <w:szCs w:val="15"/>
              </w:rPr>
              <w:t>部</w:t>
            </w:r>
            <w:r>
              <w:rPr>
                <w:rFonts w:ascii="宋体" w:hAnsi="宋体" w:cs="宋体" w:eastAsia="宋体" w:hint="default"/>
                <w:spacing w:val="-43"/>
                <w:sz w:val="15"/>
                <w:szCs w:val="15"/>
              </w:rPr>
              <w:t> </w:t>
            </w:r>
            <w:r>
              <w:rPr>
                <w:rFonts w:ascii="宋体" w:hAnsi="宋体" w:cs="宋体" w:eastAsia="宋体" w:hint="default"/>
                <w:sz w:val="15"/>
                <w:szCs w:val="15"/>
              </w:rPr>
              <w:t>资</w:t>
            </w:r>
            <w:r>
              <w:rPr>
                <w:rFonts w:ascii="宋体" w:hAnsi="宋体" w:cs="宋体" w:eastAsia="宋体" w:hint="default"/>
                <w:spacing w:val="-41"/>
                <w:sz w:val="15"/>
                <w:szCs w:val="15"/>
              </w:rPr>
              <w:t> </w:t>
            </w:r>
            <w:r>
              <w:rPr>
                <w:rFonts w:ascii="宋体" w:hAnsi="宋体" w:cs="宋体" w:eastAsia="宋体" w:hint="default"/>
                <w:sz w:val="15"/>
                <w:szCs w:val="15"/>
              </w:rPr>
              <w:t>料</w:t>
            </w:r>
            <w:r>
              <w:rPr>
                <w:rFonts w:ascii="宋体" w:hAnsi="宋体" w:cs="宋体" w:eastAsia="宋体" w:hint="default"/>
                <w:spacing w:val="-43"/>
                <w:sz w:val="15"/>
                <w:szCs w:val="15"/>
              </w:rPr>
              <w:t> </w:t>
            </w:r>
            <w:r>
              <w:rPr>
                <w:rFonts w:ascii="宋体" w:hAnsi="宋体" w:cs="宋体" w:eastAsia="宋体" w:hint="default"/>
                <w:sz w:val="15"/>
                <w:szCs w:val="15"/>
              </w:rPr>
              <w:t>性</w:t>
            </w:r>
            <w:r>
              <w:rPr>
                <w:rFonts w:ascii="宋体" w:hAnsi="宋体" w:cs="宋体" w:eastAsia="宋体" w:hint="default"/>
                <w:spacing w:val="-41"/>
                <w:sz w:val="15"/>
                <w:szCs w:val="15"/>
              </w:rPr>
              <w:t> </w:t>
            </w:r>
            <w:r>
              <w:rPr>
                <w:rFonts w:ascii="宋体" w:hAnsi="宋体" w:cs="宋体" w:eastAsia="宋体" w:hint="default"/>
                <w:sz w:val="15"/>
                <w:szCs w:val="15"/>
              </w:rPr>
              <w:t>出</w:t>
            </w:r>
            <w:r>
              <w:rPr>
                <w:rFonts w:ascii="宋体" w:hAnsi="宋体" w:cs="宋体" w:eastAsia="宋体" w:hint="default"/>
                <w:spacing w:val="-43"/>
                <w:sz w:val="15"/>
                <w:szCs w:val="15"/>
              </w:rPr>
              <w:t> </w:t>
            </w:r>
            <w:r>
              <w:rPr>
                <w:rFonts w:ascii="宋体" w:hAnsi="宋体" w:cs="宋体" w:eastAsia="宋体" w:hint="default"/>
                <w:sz w:val="15"/>
                <w:szCs w:val="15"/>
              </w:rPr>
              <w:t>版</w:t>
            </w:r>
            <w:r>
              <w:rPr>
                <w:rFonts w:ascii="宋体" w:hAnsi="宋体" w:cs="宋体" w:eastAsia="宋体" w:hint="default"/>
                <w:w w:val="100"/>
                <w:sz w:val="15"/>
                <w:szCs w:val="15"/>
              </w:rPr>
              <w:t> </w:t>
            </w:r>
            <w:r>
              <w:rPr>
                <w:rFonts w:ascii="宋体" w:hAnsi="宋体" w:cs="宋体" w:eastAsia="宋体" w:hint="default"/>
                <w:spacing w:val="4"/>
                <w:sz w:val="15"/>
                <w:szCs w:val="15"/>
              </w:rPr>
              <w:t>物、包装装潢印刷</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品、纸制品商标标</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4"/>
                <w:sz w:val="15"/>
                <w:szCs w:val="15"/>
              </w:rPr>
              <w:t>识的印刷、纸盒加</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4,173.16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51.61</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51.61</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5,104.45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bl>
    <w:p>
      <w:pPr>
        <w:spacing w:line="240" w:lineRule="auto" w:before="5"/>
        <w:rPr>
          <w:rFonts w:ascii="宋体" w:hAnsi="宋体" w:cs="宋体" w:eastAsia="宋体" w:hint="default"/>
          <w:sz w:val="15"/>
          <w:szCs w:val="15"/>
        </w:rPr>
      </w:pPr>
    </w:p>
    <w:p>
      <w:pPr>
        <w:spacing w:before="44"/>
        <w:ind w:left="567"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本公司直接持有深圳嘉美</w:t>
      </w:r>
      <w:r>
        <w:rPr>
          <w:rFonts w:ascii="宋体" w:hAnsi="宋体" w:cs="宋体" w:eastAsia="宋体" w:hint="default"/>
          <w:spacing w:val="2"/>
          <w:sz w:val="18"/>
          <w:szCs w:val="18"/>
        </w:rPr>
        <w:t>达</w:t>
      </w:r>
      <w:r>
        <w:rPr>
          <w:rFonts w:ascii="宋体" w:hAnsi="宋体" w:cs="宋体" w:eastAsia="宋体" w:hint="default"/>
          <w:sz w:val="18"/>
          <w:szCs w:val="18"/>
        </w:rPr>
        <w:t>印务有限公司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75</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的股权，并通过全资子公司中华香港国际烟草集团有限公司（以下简称“中华烟草</w:t>
      </w:r>
      <w:r>
        <w:rPr>
          <w:rFonts w:ascii="宋体" w:hAnsi="宋体" w:cs="宋体" w:eastAsia="宋体" w:hint="default"/>
          <w:spacing w:val="-92"/>
          <w:sz w:val="18"/>
          <w:szCs w:val="18"/>
        </w:rPr>
        <w:t>”</w:t>
      </w:r>
      <w:r>
        <w:rPr>
          <w:rFonts w:ascii="宋体" w:hAnsi="宋体" w:cs="宋体" w:eastAsia="宋体" w:hint="default"/>
          <w:sz w:val="18"/>
          <w:szCs w:val="18"/>
        </w:rPr>
        <w:t>）间接持有其</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的股权，合计持有其</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的</w:t>
      </w:r>
    </w:p>
    <w:p>
      <w:pPr>
        <w:spacing w:after="0"/>
        <w:jc w:val="left"/>
        <w:rPr>
          <w:rFonts w:ascii="宋体" w:hAnsi="宋体" w:cs="宋体" w:eastAsia="宋体" w:hint="default"/>
          <w:sz w:val="18"/>
          <w:szCs w:val="18"/>
        </w:rPr>
        <w:sectPr>
          <w:pgSz w:w="16840" w:h="11910" w:orient="landscape"/>
          <w:pgMar w:header="920" w:footer="956" w:top="1140" w:bottom="1140" w:left="1000" w:right="0"/>
        </w:sectPr>
      </w:pPr>
    </w:p>
    <w:p>
      <w:pPr>
        <w:spacing w:line="240" w:lineRule="auto" w:before="11"/>
        <w:rPr>
          <w:rFonts w:ascii="宋体" w:hAnsi="宋体" w:cs="宋体" w:eastAsia="宋体" w:hint="default"/>
          <w:sz w:val="16"/>
          <w:szCs w:val="1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股权。</w:t>
      </w:r>
    </w:p>
    <w:p>
      <w:pPr>
        <w:spacing w:line="240" w:lineRule="auto" w:before="1"/>
        <w:rPr>
          <w:rFonts w:ascii="宋体" w:hAnsi="宋体" w:cs="宋体" w:eastAsia="宋体" w:hint="default"/>
          <w:sz w:val="21"/>
          <w:szCs w:val="21"/>
        </w:rPr>
      </w:pPr>
    </w:p>
    <w:p>
      <w:pPr>
        <w:spacing w:before="0"/>
        <w:ind w:left="54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本公司直接持有安徽安泰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w:t>
      </w:r>
      <w:r>
        <w:rPr>
          <w:rFonts w:ascii="宋体" w:hAnsi="宋体" w:cs="宋体" w:eastAsia="宋体" w:hint="default"/>
          <w:sz w:val="18"/>
          <w:szCs w:val="18"/>
        </w:rPr>
        <w:t>的股权，并通过中华烟草间接持有其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的股权，合计持有其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240" w:lineRule="auto" w:before="11"/>
        <w:rPr>
          <w:rFonts w:ascii="宋体" w:hAnsi="宋体" w:cs="宋体" w:eastAsia="宋体" w:hint="default"/>
          <w:sz w:val="19"/>
          <w:szCs w:val="19"/>
        </w:rPr>
      </w:pPr>
    </w:p>
    <w:p>
      <w:pPr>
        <w:spacing w:before="0"/>
        <w:ind w:left="54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本公司通过中华烟草间接持有其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的股权。</w:t>
      </w:r>
    </w:p>
    <w:p>
      <w:pPr>
        <w:spacing w:line="240" w:lineRule="auto" w:before="0"/>
        <w:rPr>
          <w:rFonts w:ascii="宋体" w:hAnsi="宋体" w:cs="宋体" w:eastAsia="宋体" w:hint="default"/>
          <w:sz w:val="20"/>
          <w:szCs w:val="20"/>
        </w:rPr>
      </w:pPr>
    </w:p>
    <w:p>
      <w:pPr>
        <w:spacing w:before="0"/>
        <w:ind w:left="54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本公司直接持有昆明彩印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的股权，并通过中华烟草间接持有其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41.61%</w:t>
      </w:r>
      <w:r>
        <w:rPr>
          <w:rFonts w:ascii="宋体" w:hAnsi="宋体" w:cs="宋体" w:eastAsia="宋体" w:hint="default"/>
          <w:sz w:val="18"/>
          <w:szCs w:val="18"/>
        </w:rPr>
        <w:t>的股权，合计持有其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51.61%</w:t>
      </w:r>
      <w:r>
        <w:rPr>
          <w:rFonts w:ascii="宋体" w:hAnsi="宋体" w:cs="宋体" w:eastAsia="宋体" w:hint="default"/>
          <w:sz w:val="18"/>
          <w:szCs w:val="18"/>
        </w:rPr>
        <w:t>的股权。</w:t>
      </w:r>
    </w:p>
    <w:p>
      <w:pPr>
        <w:spacing w:after="0"/>
        <w:jc w:val="left"/>
        <w:rPr>
          <w:rFonts w:ascii="宋体" w:hAnsi="宋体" w:cs="宋体" w:eastAsia="宋体" w:hint="default"/>
          <w:sz w:val="18"/>
          <w:szCs w:val="18"/>
        </w:rPr>
        <w:sectPr>
          <w:pgSz w:w="16840" w:h="11910" w:orient="landscape"/>
          <w:pgMar w:header="920" w:footer="956" w:top="1140" w:bottom="114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36"/>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、特殊目的主体或通过受托经营或承租等方式形成控制权的经营实体</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本公司未发生涉及特殊目的主体或通过受托经营或承租等方式形成控制权的经营实体的业务。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4"/>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0"/>
        <w:ind w:left="55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2"/>
          <w:sz w:val="18"/>
          <w:szCs w:val="18"/>
        </w:rPr>
        <w:t>）</w:t>
      </w:r>
      <w:r>
        <w:rPr>
          <w:rFonts w:ascii="宋体" w:hAnsi="宋体" w:cs="宋体" w:eastAsia="宋体" w:hint="default"/>
          <w:sz w:val="18"/>
          <w:szCs w:val="18"/>
        </w:rPr>
        <w:t>本公司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 </w:t>
      </w:r>
      <w:r>
        <w:rPr>
          <w:rFonts w:ascii="宋体" w:hAnsi="宋体" w:cs="宋体" w:eastAsia="宋体" w:hint="default"/>
          <w:sz w:val="18"/>
          <w:szCs w:val="18"/>
        </w:rPr>
        <w:t>日与湖州启丰投资有限公司签</w:t>
      </w:r>
      <w:r>
        <w:rPr>
          <w:rFonts w:ascii="宋体" w:hAnsi="宋体" w:cs="宋体" w:eastAsia="宋体" w:hint="default"/>
          <w:spacing w:val="-22"/>
          <w:sz w:val="18"/>
          <w:szCs w:val="18"/>
        </w:rPr>
        <w:t>订</w:t>
      </w:r>
      <w:r>
        <w:rPr>
          <w:rFonts w:ascii="宋体" w:hAnsi="宋体" w:cs="宋体" w:eastAsia="宋体" w:hint="default"/>
          <w:sz w:val="18"/>
          <w:szCs w:val="18"/>
        </w:rPr>
        <w:t>《股权转让协议</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转让原</w:t>
      </w:r>
      <w:r>
        <w:rPr>
          <w:rFonts w:ascii="宋体" w:hAnsi="宋体" w:cs="宋体" w:eastAsia="宋体" w:hint="default"/>
          <w:spacing w:val="2"/>
          <w:sz w:val="18"/>
          <w:szCs w:val="18"/>
        </w:rPr>
        <w:t>持</w:t>
      </w:r>
      <w:r>
        <w:rPr>
          <w:rFonts w:ascii="宋体" w:hAnsi="宋体" w:cs="宋体" w:eastAsia="宋体" w:hint="default"/>
          <w:sz w:val="18"/>
          <w:szCs w:val="18"/>
        </w:rPr>
        <w:t>有湖州天外绿色包装印刷有</w:t>
      </w:r>
    </w:p>
    <w:p>
      <w:pPr>
        <w:spacing w:line="240" w:lineRule="auto" w:before="8"/>
        <w:rPr>
          <w:rFonts w:ascii="宋体" w:hAnsi="宋体" w:cs="宋体" w:eastAsia="宋体" w:hint="default"/>
          <w:sz w:val="20"/>
          <w:szCs w:val="20"/>
        </w:rPr>
      </w:pPr>
    </w:p>
    <w:p>
      <w:pPr>
        <w:spacing w:before="0"/>
        <w:ind w:left="112"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限公司（以下简称“天外绿包</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05</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的股权，转让价格</w:t>
      </w:r>
      <w:r>
        <w:rPr>
          <w:rFonts w:ascii="宋体" w:hAnsi="宋体" w:cs="宋体" w:eastAsia="宋体" w:hint="default"/>
          <w:spacing w:val="-3"/>
          <w:sz w:val="18"/>
          <w:szCs w:val="18"/>
        </w:rPr>
        <w:t>人</w:t>
      </w:r>
      <w:r>
        <w:rPr>
          <w:rFonts w:ascii="宋体" w:hAnsi="宋体" w:cs="宋体" w:eastAsia="宋体" w:hint="default"/>
          <w:sz w:val="18"/>
          <w:szCs w:val="18"/>
        </w:rPr>
        <w:t>民币</w:t>
      </w:r>
      <w:r>
        <w:rPr>
          <w:rFonts w:ascii="宋体" w:hAnsi="宋体" w:cs="宋体" w:eastAsia="宋体" w:hint="default"/>
          <w:spacing w:val="-3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亿元，股权交割日为</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spacing w:line="240" w:lineRule="auto" w:before="8"/>
        <w:rPr>
          <w:rFonts w:ascii="Times New Roman" w:hAnsi="Times New Roman" w:cs="Times New Roman" w:eastAsia="Times New Roman" w:hint="default"/>
          <w:sz w:val="23"/>
          <w:szCs w:val="23"/>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日，工商变更手续已经全部完成。截至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日，公司已收到股权转让款</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亿元，湖州启丰投资有限公</w:t>
      </w:r>
    </w:p>
    <w:p>
      <w:pPr>
        <w:spacing w:line="240" w:lineRule="auto" w:before="8"/>
        <w:rPr>
          <w:rFonts w:ascii="宋体" w:hAnsi="宋体" w:cs="宋体" w:eastAsia="宋体" w:hint="default"/>
          <w:sz w:val="20"/>
          <w:szCs w:val="20"/>
        </w:rPr>
      </w:pPr>
    </w:p>
    <w:p>
      <w:pPr>
        <w:spacing w:before="0"/>
        <w:ind w:left="112"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司根据协议将于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日以前支付剩余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亿元股权转让款。因此，本报告不再将天外绿包公司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spacing w:line="240" w:lineRule="auto" w:before="7"/>
        <w:rPr>
          <w:rFonts w:ascii="Times New Roman" w:hAnsi="Times New Roman" w:cs="Times New Roman" w:eastAsia="Times New Roman" w:hint="default"/>
          <w:sz w:val="23"/>
          <w:szCs w:val="23"/>
        </w:rPr>
      </w:pPr>
    </w:p>
    <w:p>
      <w:pPr>
        <w:spacing w:line="516" w:lineRule="auto" w:before="0"/>
        <w:ind w:left="112" w:right="1131" w:firstLine="0"/>
        <w:jc w:val="both"/>
        <w:rPr>
          <w:rFonts w:ascii="宋体" w:hAnsi="宋体" w:cs="宋体" w:eastAsia="宋体" w:hint="default"/>
          <w:sz w:val="18"/>
          <w:szCs w:val="18"/>
        </w:rPr>
      </w:pPr>
      <w:r>
        <w:rPr>
          <w:rFonts w:ascii="宋体" w:hAnsi="宋体" w:cs="宋体" w:eastAsia="宋体" w:hint="default"/>
          <w:sz w:val="18"/>
          <w:szCs w:val="18"/>
        </w:rPr>
        <w:t>日资产负债表和</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月份的利润表、现金流量表和所有者权益变动表纳入合并范围。另外，由于公司通过天外</w:t>
      </w:r>
      <w:r>
        <w:rPr>
          <w:rFonts w:ascii="宋体" w:hAnsi="宋体" w:cs="宋体" w:eastAsia="宋体" w:hint="default"/>
          <w:sz w:val="18"/>
          <w:szCs w:val="18"/>
        </w:rPr>
        <w:t> </w:t>
      </w:r>
      <w:r>
        <w:rPr>
          <w:rFonts w:ascii="宋体" w:hAnsi="宋体" w:cs="宋体" w:eastAsia="宋体" w:hint="default"/>
          <w:spacing w:val="-2"/>
          <w:sz w:val="18"/>
          <w:szCs w:val="18"/>
        </w:rPr>
        <w:t>绿包间接控制浙江天外包装印刷股份有限公司（以下简称“天外股份”）和浙江湖州天外纸品有限公司（以下简称“天外纸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0"/>
          <w:sz w:val="18"/>
          <w:szCs w:val="18"/>
        </w:rPr>
        <w:t>品”），因此天外股份和天外纸品两家公司</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月份的财务报表也不再纳入合并范围。</w:t>
      </w:r>
    </w:p>
    <w:p>
      <w:pPr>
        <w:spacing w:line="537" w:lineRule="auto" w:before="83"/>
        <w:ind w:left="550" w:right="4290" w:firstLine="0"/>
        <w:jc w:val="left"/>
        <w:rPr>
          <w:rFonts w:ascii="宋体" w:hAnsi="宋体" w:cs="宋体" w:eastAsia="宋体" w:hint="default"/>
          <w:sz w:val="18"/>
          <w:szCs w:val="18"/>
        </w:rPr>
      </w:pPr>
      <w:r>
        <w:rPr>
          <w:rFonts w:ascii="宋体" w:hAnsi="宋体" w:cs="宋体" w:eastAsia="宋体" w:hint="default"/>
          <w:sz w:val="18"/>
          <w:szCs w:val="18"/>
        </w:rPr>
        <w:t>该股权转让收益为</w:t>
      </w:r>
      <w:r>
        <w:rPr>
          <w:rFonts w:ascii="Times New Roman" w:hAnsi="Times New Roman" w:cs="Times New Roman" w:eastAsia="Times New Roman" w:hint="default"/>
          <w:sz w:val="18"/>
          <w:szCs w:val="18"/>
        </w:rPr>
        <w:t>-165,044.77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元，转让收益计算明细见本报表</w:t>
      </w:r>
      <w:r>
        <w:rPr>
          <w:rFonts w:ascii="宋体" w:hAnsi="宋体" w:cs="宋体" w:eastAsia="宋体" w:hint="default"/>
          <w:b/>
          <w:bCs/>
          <w:sz w:val="18"/>
          <w:szCs w:val="18"/>
        </w:rPr>
        <w:t>附注五</w:t>
      </w:r>
      <w:r>
        <w:rPr>
          <w:rFonts w:ascii="Times New Roman" w:hAnsi="Times New Roman" w:cs="Times New Roman" w:eastAsia="Times New Roman" w:hint="default"/>
          <w:b/>
          <w:bCs/>
          <w:sz w:val="18"/>
          <w:szCs w:val="18"/>
        </w:rPr>
        <w:t>.39(4)</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t>天外绿包截止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日的财务报表见本报表</w:t>
      </w:r>
      <w:r>
        <w:rPr>
          <w:rFonts w:ascii="宋体" w:hAnsi="宋体" w:cs="宋体" w:eastAsia="宋体" w:hint="default"/>
          <w:b/>
          <w:bCs/>
          <w:sz w:val="18"/>
          <w:szCs w:val="18"/>
        </w:rPr>
        <w:t>附注十二</w:t>
      </w:r>
      <w:r>
        <w:rPr>
          <w:rFonts w:ascii="宋体" w:hAnsi="宋体" w:cs="宋体" w:eastAsia="宋体" w:hint="default"/>
          <w:sz w:val="18"/>
          <w:szCs w:val="18"/>
        </w:rPr>
        <w:t>。</w:t>
      </w:r>
    </w:p>
    <w:p>
      <w:pPr>
        <w:spacing w:line="501" w:lineRule="auto" w:before="63"/>
        <w:ind w:left="112" w:right="1122" w:firstLine="36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日，本公司投资人民币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万元设立深圳市劲嘉物业管理有限公司，该公司主要负责</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年即 将完工的劲嘉科技大厦的物业管理。截至报告期末，该公司尚未正式运营。本期将该公司纳入报表合并范围。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、本期新纳入合并范围的主体和本期不再纳入合并范围的主体</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line="245" w:lineRule="exact"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）本期新纳入合并范围的子公司情况：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0" w:right="1018" w:firstLine="0"/>
        <w:jc w:val="center"/>
        <w:rPr>
          <w:rFonts w:ascii="Times New Roman" w:hAnsi="Times New Roman" w:cs="Times New Roman" w:eastAsia="Times New Roman" w:hint="default"/>
          <w:sz w:val="18"/>
          <w:szCs w:val="18"/>
        </w:rPr>
      </w:pPr>
      <w:r>
        <w:rPr/>
        <w:pict>
          <v:shape style="position:absolute;margin-left:494.049988pt;margin-top:-2.713909pt;width:101.25pt;height:57.75pt;mso-position-horizontal-relative:page;mso-position-vertical-relative:paragraph;z-index:1312" type="#_x0000_t75" stroked="false">
            <v:imagedata r:id="rId54" o:title=""/>
          </v:shape>
        </w:pict>
      </w:r>
      <w:r>
        <w:rPr>
          <w:rFonts w:ascii="Times New Roman"/>
          <w:sz w:val="18"/>
        </w:rPr>
        <w:t>41</w:t>
      </w:r>
    </w:p>
    <w:p>
      <w:pPr>
        <w:spacing w:after="0"/>
        <w:jc w:val="center"/>
        <w:rPr>
          <w:rFonts w:ascii="Times New Roman" w:hAnsi="Times New Roman" w:cs="Times New Roman" w:eastAsia="Times New Roman" w:hint="default"/>
          <w:sz w:val="18"/>
          <w:szCs w:val="18"/>
        </w:rPr>
        <w:sectPr>
          <w:headerReference w:type="default" r:id="rId52"/>
          <w:footerReference w:type="default" r:id="rId53"/>
          <w:pgSz w:w="11910" w:h="16840"/>
          <w:pgMar w:header="920" w:footer="0" w:top="1140" w:bottom="0" w:left="1020" w:right="0"/>
        </w:sectPr>
      </w:pPr>
    </w:p>
    <w:p>
      <w:pPr>
        <w:spacing w:before="10"/>
        <w:ind w:left="0" w:right="1128" w:firstLine="0"/>
        <w:jc w:val="righ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10"/>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379"/>
        <w:gridCol w:w="1330"/>
        <w:gridCol w:w="1116"/>
        <w:gridCol w:w="905"/>
        <w:gridCol w:w="1694"/>
        <w:gridCol w:w="2374"/>
        <w:gridCol w:w="1325"/>
        <w:gridCol w:w="1997"/>
        <w:gridCol w:w="794"/>
        <w:gridCol w:w="905"/>
        <w:gridCol w:w="956"/>
      </w:tblGrid>
      <w:tr>
        <w:trPr>
          <w:trHeight w:val="850" w:hRule="exact"/>
        </w:trPr>
        <w:tc>
          <w:tcPr>
            <w:tcW w:w="1379" w:type="dxa"/>
            <w:tcBorders>
              <w:top w:val="single" w:sz="4" w:space="0" w:color="000000"/>
              <w:left w:val="nil" w:sz="6" w:space="0" w:color="auto"/>
              <w:bottom w:val="single" w:sz="4" w:space="0" w:color="000000"/>
              <w:right w:val="single" w:sz="4" w:space="0" w:color="000000"/>
            </w:tcBorders>
          </w:tcPr>
          <w:p>
            <w:pPr>
              <w:pStyle w:val="TableParagraph"/>
              <w:spacing w:line="402" w:lineRule="exact" w:before="33"/>
              <w:ind w:left="557" w:right="435"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spacing w:val="-72"/>
                <w:sz w:val="15"/>
                <w:szCs w:val="15"/>
              </w:rPr>
              <w:t> </w:t>
            </w:r>
            <w:r>
              <w:rPr>
                <w:rFonts w:ascii="宋体" w:hAnsi="宋体" w:cs="宋体" w:eastAsia="宋体" w:hint="default"/>
                <w:sz w:val="15"/>
                <w:szCs w:val="15"/>
              </w:rPr>
              <w:t>全称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33"/>
              <w:ind w:left="360" w:right="359" w:firstLine="74"/>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w w:val="100"/>
                <w:sz w:val="15"/>
                <w:szCs w:val="15"/>
              </w:rPr>
              <w:t> </w:t>
            </w:r>
            <w:r>
              <w:rPr>
                <w:rFonts w:ascii="宋体" w:hAnsi="宋体" w:cs="宋体" w:eastAsia="宋体" w:hint="default"/>
                <w:sz w:val="15"/>
                <w:szCs w:val="15"/>
              </w:rPr>
              <w:t>企业类型</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经营范围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5"/>
                <w:szCs w:val="15"/>
              </w:rPr>
            </w:pPr>
            <w:r>
              <w:rPr>
                <w:rFonts w:ascii="宋体" w:hAnsi="宋体" w:cs="宋体" w:eastAsia="宋体" w:hint="default"/>
                <w:spacing w:val="-1"/>
                <w:sz w:val="15"/>
                <w:szCs w:val="15"/>
              </w:rPr>
              <w:t>期末实际出资额</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33"/>
              <w:ind w:left="242" w:right="241" w:firstLine="74"/>
              <w:jc w:val="left"/>
              <w:rPr>
                <w:rFonts w:ascii="宋体" w:hAnsi="宋体" w:cs="宋体" w:eastAsia="宋体" w:hint="default"/>
                <w:sz w:val="15"/>
                <w:szCs w:val="15"/>
              </w:rPr>
            </w:pPr>
            <w:r>
              <w:rPr>
                <w:rFonts w:ascii="宋体" w:hAnsi="宋体" w:cs="宋体" w:eastAsia="宋体" w:hint="default"/>
                <w:sz w:val="15"/>
                <w:szCs w:val="15"/>
              </w:rPr>
              <w:t>实质上构成对子公司</w:t>
            </w:r>
            <w:r>
              <w:rPr>
                <w:rFonts w:ascii="宋体" w:hAnsi="宋体" w:cs="宋体" w:eastAsia="宋体" w:hint="default"/>
                <w:w w:val="100"/>
                <w:sz w:val="15"/>
                <w:szCs w:val="15"/>
              </w:rPr>
              <w:t> </w:t>
            </w:r>
            <w:r>
              <w:rPr>
                <w:rFonts w:ascii="宋体" w:hAnsi="宋体" w:cs="宋体" w:eastAsia="宋体" w:hint="default"/>
                <w:spacing w:val="-2"/>
                <w:sz w:val="15"/>
                <w:szCs w:val="15"/>
              </w:rPr>
              <w:t>净投资的其他项目余额</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33"/>
              <w:ind w:left="129" w:right="125" w:firstLine="112"/>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33"/>
              <w:ind w:left="184" w:right="180" w:firstLine="38"/>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956" w:type="dxa"/>
            <w:tcBorders>
              <w:top w:val="single" w:sz="4" w:space="0" w:color="000000"/>
              <w:left w:val="single" w:sz="4" w:space="0" w:color="000000"/>
              <w:bottom w:val="single" w:sz="4" w:space="0" w:color="000000"/>
              <w:right w:val="nil" w:sz="6" w:space="0" w:color="auto"/>
            </w:tcBorders>
          </w:tcPr>
          <w:p>
            <w:pPr>
              <w:pStyle w:val="TableParagraph"/>
              <w:spacing w:line="360" w:lineRule="atLeast" w:before="38"/>
              <w:ind w:left="415" w:right="80" w:hanging="300"/>
              <w:jc w:val="left"/>
              <w:rPr>
                <w:rFonts w:ascii="宋体" w:hAnsi="宋体" w:cs="宋体" w:eastAsia="宋体" w:hint="default"/>
                <w:sz w:val="15"/>
                <w:szCs w:val="15"/>
              </w:rPr>
            </w:pPr>
            <w:r>
              <w:rPr>
                <w:rFonts w:ascii="宋体" w:hAnsi="宋体" w:cs="宋体" w:eastAsia="宋体" w:hint="default"/>
                <w:sz w:val="15"/>
                <w:szCs w:val="15"/>
              </w:rPr>
              <w:t>是否合并报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表</w:t>
            </w:r>
          </w:p>
        </w:tc>
      </w:tr>
      <w:tr>
        <w:trPr>
          <w:trHeight w:val="754" w:hRule="exact"/>
        </w:trPr>
        <w:tc>
          <w:tcPr>
            <w:tcW w:w="1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192" w:lineRule="exact"/>
              <w:ind w:left="147" w:right="119"/>
              <w:jc w:val="left"/>
              <w:rPr>
                <w:rFonts w:ascii="宋体" w:hAnsi="宋体" w:cs="宋体" w:eastAsia="宋体" w:hint="default"/>
                <w:sz w:val="15"/>
                <w:szCs w:val="15"/>
              </w:rPr>
            </w:pPr>
            <w:r>
              <w:rPr>
                <w:rFonts w:ascii="宋体" w:hAnsi="宋体" w:cs="宋体" w:eastAsia="宋体" w:hint="default"/>
                <w:spacing w:val="5"/>
                <w:sz w:val="15"/>
                <w:szCs w:val="15"/>
              </w:rPr>
              <w:t>深圳市劲嘉物业</w:t>
            </w:r>
            <w:r>
              <w:rPr>
                <w:rFonts w:ascii="宋体" w:hAnsi="宋体" w:cs="宋体" w:eastAsia="宋体" w:hint="default"/>
                <w:spacing w:val="-56"/>
                <w:sz w:val="15"/>
                <w:szCs w:val="15"/>
              </w:rPr>
              <w:t> </w:t>
            </w:r>
            <w:r>
              <w:rPr>
                <w:rFonts w:ascii="宋体" w:hAnsi="宋体" w:cs="宋体" w:eastAsia="宋体" w:hint="default"/>
                <w:spacing w:val="-56"/>
                <w:sz w:val="15"/>
                <w:szCs w:val="15"/>
              </w:rPr>
            </w:r>
            <w:r>
              <w:rPr>
                <w:rFonts w:ascii="宋体" w:hAnsi="宋体" w:cs="宋体" w:eastAsia="宋体" w:hint="default"/>
                <w:sz w:val="15"/>
                <w:szCs w:val="15"/>
              </w:rPr>
              <w:t>管理有限公司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208" w:right="0"/>
              <w:jc w:val="left"/>
              <w:rPr>
                <w:rFonts w:ascii="宋体" w:hAnsi="宋体" w:cs="宋体" w:eastAsia="宋体" w:hint="default"/>
                <w:sz w:val="15"/>
                <w:szCs w:val="15"/>
              </w:rPr>
            </w:pPr>
            <w:r>
              <w:rPr>
                <w:rFonts w:ascii="宋体" w:hAnsi="宋体" w:cs="宋体" w:eastAsia="宋体" w:hint="default"/>
                <w:sz w:val="15"/>
                <w:szCs w:val="15"/>
              </w:rPr>
              <w:t>有限责任公司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4"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41"/>
              <w:jc w:val="center"/>
              <w:rPr>
                <w:rFonts w:ascii="宋体" w:hAnsi="宋体" w:cs="宋体" w:eastAsia="宋体" w:hint="default"/>
                <w:sz w:val="15"/>
                <w:szCs w:val="15"/>
              </w:rPr>
            </w:pPr>
            <w:r>
              <w:rPr>
                <w:rFonts w:ascii="宋体" w:hAnsi="宋体" w:cs="宋体" w:eastAsia="宋体" w:hint="default"/>
                <w:sz w:val="15"/>
                <w:szCs w:val="15"/>
              </w:rPr>
              <w:t>物业管理</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RMB1,000.00</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99"/>
              <w:ind w:left="12" w:right="5"/>
              <w:jc w:val="both"/>
              <w:rPr>
                <w:rFonts w:ascii="宋体" w:hAnsi="宋体" w:cs="宋体" w:eastAsia="宋体" w:hint="default"/>
                <w:sz w:val="15"/>
                <w:szCs w:val="15"/>
              </w:rPr>
            </w:pPr>
            <w:r>
              <w:rPr>
                <w:rFonts w:ascii="宋体" w:hAnsi="宋体" w:cs="宋体" w:eastAsia="宋体" w:hint="default"/>
                <w:spacing w:val="-5"/>
                <w:sz w:val="15"/>
                <w:szCs w:val="15"/>
              </w:rPr>
              <w:t>物业管理，室内外清洁服务，自有物</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5"/>
                <w:w w:val="100"/>
                <w:sz w:val="15"/>
                <w:szCs w:val="15"/>
              </w:rPr>
              <w:t>业租赁，在合法取得的土地上从事房</w:t>
            </w:r>
            <w:r>
              <w:rPr>
                <w:rFonts w:ascii="宋体" w:hAnsi="宋体" w:cs="宋体" w:eastAsia="宋体" w:hint="default"/>
                <w:w w:val="100"/>
                <w:sz w:val="15"/>
                <w:szCs w:val="15"/>
              </w:rPr>
              <w:t> </w:t>
            </w:r>
            <w:r>
              <w:rPr>
                <w:rFonts w:ascii="宋体" w:hAnsi="宋体" w:cs="宋体" w:eastAsia="宋体" w:hint="default"/>
                <w:sz w:val="15"/>
                <w:szCs w:val="15"/>
              </w:rPr>
              <w:t>地产开发经营，房地产经纪等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w:t>
            </w:r>
          </w:p>
        </w:tc>
        <w:tc>
          <w:tcPr>
            <w:tcW w:w="9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25"/>
              <w:jc w:val="center"/>
              <w:rPr>
                <w:rFonts w:ascii="宋体" w:hAnsi="宋体" w:cs="宋体" w:eastAsia="宋体" w:hint="default"/>
                <w:sz w:val="15"/>
                <w:szCs w:val="15"/>
              </w:rPr>
            </w:pPr>
            <w:r>
              <w:rPr>
                <w:rFonts w:ascii="宋体" w:hAnsi="宋体" w:cs="宋体" w:eastAsia="宋体" w:hint="default"/>
                <w:w w:val="100"/>
                <w:sz w:val="15"/>
                <w:szCs w:val="15"/>
              </w:rPr>
              <w:t>是</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252" w:right="112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）本期不再纳入合并范围的子公司、特殊目的主体、通过受托经营或承租等方式形成控制权的经营实体：</w:t>
      </w:r>
    </w:p>
    <w:p>
      <w:pPr>
        <w:spacing w:line="240" w:lineRule="auto" w:before="1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233" w:type="dxa"/>
        <w:tblLayout w:type="fixed"/>
        <w:tblCellMar>
          <w:top w:w="0" w:type="dxa"/>
          <w:left w:w="0" w:type="dxa"/>
          <w:bottom w:w="0" w:type="dxa"/>
          <w:right w:w="0" w:type="dxa"/>
        </w:tblCellMar>
        <w:tblLook w:val="01E0"/>
      </w:tblPr>
      <w:tblGrid>
        <w:gridCol w:w="1152"/>
        <w:gridCol w:w="1142"/>
        <w:gridCol w:w="816"/>
        <w:gridCol w:w="862"/>
        <w:gridCol w:w="1323"/>
        <w:gridCol w:w="2789"/>
        <w:gridCol w:w="1214"/>
        <w:gridCol w:w="874"/>
        <w:gridCol w:w="871"/>
        <w:gridCol w:w="1011"/>
        <w:gridCol w:w="1426"/>
        <w:gridCol w:w="1322"/>
      </w:tblGrid>
      <w:tr>
        <w:trPr>
          <w:trHeight w:val="850" w:hRule="exact"/>
        </w:trPr>
        <w:tc>
          <w:tcPr>
            <w:tcW w:w="11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35"/>
              <w:ind w:left="417" w:right="185" w:hanging="226"/>
              <w:jc w:val="left"/>
              <w:rPr>
                <w:rFonts w:ascii="宋体" w:hAnsi="宋体" w:cs="宋体" w:eastAsia="宋体" w:hint="default"/>
                <w:sz w:val="15"/>
                <w:szCs w:val="15"/>
              </w:rPr>
            </w:pPr>
            <w:r>
              <w:rPr>
                <w:rFonts w:ascii="宋体" w:hAnsi="宋体" w:cs="宋体" w:eastAsia="宋体" w:hint="default"/>
                <w:sz w:val="15"/>
                <w:szCs w:val="15"/>
              </w:rPr>
              <w:t>子公司企业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类型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58"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经营范围</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35"/>
              <w:ind w:left="379" w:right="371" w:firstLine="74"/>
              <w:jc w:val="left"/>
              <w:rPr>
                <w:rFonts w:ascii="宋体" w:hAnsi="宋体" w:cs="宋体" w:eastAsia="宋体" w:hint="default"/>
                <w:sz w:val="15"/>
                <w:szCs w:val="15"/>
              </w:rPr>
            </w:pPr>
            <w:r>
              <w:rPr>
                <w:rFonts w:ascii="宋体" w:hAnsi="宋体" w:cs="宋体" w:eastAsia="宋体" w:hint="default"/>
                <w:sz w:val="15"/>
                <w:szCs w:val="15"/>
              </w:rPr>
              <w:t>实际</w:t>
            </w:r>
            <w:r>
              <w:rPr>
                <w:rFonts w:ascii="宋体" w:hAnsi="宋体" w:cs="宋体" w:eastAsia="宋体" w:hint="default"/>
                <w:w w:val="100"/>
                <w:sz w:val="15"/>
                <w:szCs w:val="15"/>
              </w:rPr>
              <w:t> </w:t>
            </w:r>
            <w:r>
              <w:rPr>
                <w:rFonts w:ascii="宋体" w:hAnsi="宋体" w:cs="宋体" w:eastAsia="宋体" w:hint="default"/>
                <w:sz w:val="15"/>
                <w:szCs w:val="15"/>
              </w:rPr>
              <w:t>出资额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35"/>
              <w:ind w:left="170" w:right="163" w:firstLine="36"/>
              <w:jc w:val="left"/>
              <w:rPr>
                <w:rFonts w:ascii="Times New Roman" w:hAnsi="Times New Roman" w:cs="Times New Roman" w:eastAsia="Times New Roman" w:hint="default"/>
                <w:sz w:val="15"/>
                <w:szCs w:val="15"/>
              </w:rPr>
            </w:pPr>
            <w:r>
              <w:rPr>
                <w:rFonts w:ascii="宋体" w:hAnsi="宋体" w:cs="宋体" w:eastAsia="宋体" w:hint="default"/>
                <w:sz w:val="15"/>
                <w:szCs w:val="15"/>
              </w:rPr>
              <w:t>原持股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70" w:lineRule="atLeast" w:before="28"/>
              <w:ind w:left="168" w:right="127"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原表决权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35"/>
              <w:ind w:left="199" w:right="197" w:firstLine="151"/>
              <w:jc w:val="left"/>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w w:val="100"/>
                <w:sz w:val="15"/>
                <w:szCs w:val="15"/>
              </w:rPr>
              <w:t> </w:t>
            </w:r>
            <w:r>
              <w:rPr>
                <w:rFonts w:ascii="宋体" w:hAnsi="宋体" w:cs="宋体" w:eastAsia="宋体" w:hint="default"/>
                <w:sz w:val="15"/>
                <w:szCs w:val="15"/>
              </w:rPr>
              <w:t>合并报表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转让日净资产</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400" w:lineRule="exact" w:before="35"/>
              <w:ind w:left="206" w:right="206" w:firstLine="223"/>
              <w:jc w:val="left"/>
              <w:rPr>
                <w:rFonts w:ascii="宋体" w:hAnsi="宋体" w:cs="宋体" w:eastAsia="宋体" w:hint="default"/>
                <w:sz w:val="15"/>
                <w:szCs w:val="15"/>
              </w:rPr>
            </w:pPr>
            <w:r>
              <w:rPr>
                <w:rFonts w:ascii="宋体" w:hAnsi="宋体" w:cs="宋体" w:eastAsia="宋体" w:hint="default"/>
                <w:sz w:val="15"/>
                <w:szCs w:val="15"/>
              </w:rPr>
              <w:t>转让日</w:t>
            </w:r>
            <w:r>
              <w:rPr>
                <w:rFonts w:ascii="宋体" w:hAnsi="宋体" w:cs="宋体" w:eastAsia="宋体" w:hint="default"/>
                <w:w w:val="100"/>
                <w:sz w:val="15"/>
                <w:szCs w:val="15"/>
              </w:rPr>
              <w:t> </w:t>
            </w:r>
            <w:r>
              <w:rPr>
                <w:rFonts w:ascii="宋体" w:hAnsi="宋体" w:cs="宋体" w:eastAsia="宋体" w:hint="default"/>
                <w:sz w:val="15"/>
                <w:szCs w:val="15"/>
              </w:rPr>
              <w:t>少数股东权益</w:t>
            </w:r>
          </w:p>
        </w:tc>
      </w:tr>
      <w:tr>
        <w:trPr>
          <w:trHeight w:val="874" w:hRule="exact"/>
        </w:trPr>
        <w:tc>
          <w:tcPr>
            <w:tcW w:w="1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35" w:lineRule="auto"/>
              <w:ind w:left="122" w:right="99"/>
              <w:jc w:val="both"/>
              <w:rPr>
                <w:rFonts w:ascii="宋体" w:hAnsi="宋体" w:cs="宋体" w:eastAsia="宋体" w:hint="default"/>
                <w:sz w:val="15"/>
                <w:szCs w:val="15"/>
              </w:rPr>
            </w:pPr>
            <w:r>
              <w:rPr>
                <w:rFonts w:ascii="宋体" w:hAnsi="宋体" w:cs="宋体" w:eastAsia="宋体" w:hint="default"/>
                <w:sz w:val="15"/>
                <w:szCs w:val="15"/>
              </w:rPr>
              <w:t>湖州天外绿色</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包装印刷有限</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公司</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湖州市</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生产制造</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RMB8,000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30" w:lineRule="auto"/>
              <w:ind w:left="11" w:right="5"/>
              <w:jc w:val="both"/>
              <w:rPr>
                <w:rFonts w:ascii="宋体" w:hAnsi="宋体" w:cs="宋体" w:eastAsia="宋体" w:hint="default"/>
                <w:sz w:val="15"/>
                <w:szCs w:val="15"/>
              </w:rPr>
            </w:pPr>
            <w:r>
              <w:rPr>
                <w:rFonts w:ascii="宋体" w:hAnsi="宋体" w:cs="宋体" w:eastAsia="宋体" w:hint="default"/>
                <w:sz w:val="15"/>
                <w:szCs w:val="15"/>
              </w:rPr>
              <w:t>包装装潢、其他印刷品的印刷（有效期至</w:t>
            </w:r>
            <w:r>
              <w:rPr>
                <w:rFonts w:ascii="宋体" w:hAnsi="宋体" w:cs="宋体" w:eastAsia="宋体" w:hint="default"/>
                <w:spacing w:val="-22"/>
                <w:sz w:val="15"/>
                <w:szCs w:val="15"/>
              </w:rPr>
              <w:t> </w:t>
            </w:r>
            <w:r>
              <w:rPr>
                <w:rFonts w:ascii="宋体" w:hAnsi="宋体" w:cs="宋体" w:eastAsia="宋体" w:hint="default"/>
                <w:spacing w:val="-22"/>
                <w:sz w:val="15"/>
                <w:szCs w:val="15"/>
              </w:rPr>
            </w:r>
            <w:r>
              <w:rPr>
                <w:rFonts w:ascii="Times New Roman" w:hAnsi="Times New Roman" w:cs="Times New Roman" w:eastAsia="Times New Roman" w:hint="default"/>
                <w:spacing w:val="-1"/>
                <w:w w:val="100"/>
                <w:sz w:val="15"/>
                <w:szCs w:val="15"/>
              </w:rPr>
              <w:t>2012</w:t>
            </w:r>
            <w:r>
              <w:rPr>
                <w:rFonts w:ascii="Times New Roman" w:hAnsi="Times New Roman" w:cs="Times New Roman" w:eastAsia="Times New Roman" w:hint="default"/>
                <w:spacing w:val="-2"/>
                <w:w w:val="100"/>
                <w:sz w:val="15"/>
                <w:szCs w:val="15"/>
              </w:rPr>
              <w:t> </w:t>
            </w:r>
            <w:r>
              <w:rPr>
                <w:rFonts w:ascii="宋体" w:hAnsi="宋体" w:cs="宋体" w:eastAsia="宋体" w:hint="default"/>
                <w:spacing w:val="-9"/>
                <w:w w:val="100"/>
                <w:sz w:val="15"/>
                <w:szCs w:val="15"/>
              </w:rPr>
              <w:t>年底止）。货物和技术的进出口（外商</w:t>
            </w:r>
            <w:r>
              <w:rPr>
                <w:rFonts w:ascii="宋体" w:hAnsi="宋体" w:cs="宋体" w:eastAsia="宋体" w:hint="default"/>
                <w:w w:val="100"/>
                <w:sz w:val="15"/>
                <w:szCs w:val="15"/>
              </w:rPr>
              <w:t> </w:t>
            </w:r>
            <w:r>
              <w:rPr>
                <w:rFonts w:ascii="宋体" w:hAnsi="宋体" w:cs="宋体" w:eastAsia="宋体" w:hint="default"/>
                <w:spacing w:val="-3"/>
                <w:sz w:val="15"/>
                <w:szCs w:val="15"/>
              </w:rPr>
              <w:t>投资产业指导目录限制、禁止的项目除外</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167" w:lineRule="exact"/>
              <w:ind w:left="504" w:right="0"/>
              <w:jc w:val="left"/>
              <w:rPr>
                <w:rFonts w:ascii="Times New Roman" w:hAnsi="Times New Roman" w:cs="Times New Roman" w:eastAsia="Times New Roman" w:hint="default"/>
                <w:sz w:val="15"/>
                <w:szCs w:val="15"/>
              </w:rPr>
            </w:pPr>
            <w:r>
              <w:rPr>
                <w:rFonts w:ascii="Times New Roman"/>
                <w:sz w:val="15"/>
              </w:rPr>
              <w:t>22,129.96</w:t>
            </w:r>
          </w:p>
          <w:p>
            <w:pPr>
              <w:pStyle w:val="TableParagraph"/>
              <w:spacing w:line="191" w:lineRule="exact"/>
              <w:ind w:left="-97" w:right="0"/>
              <w:jc w:val="left"/>
              <w:rPr>
                <w:rFonts w:ascii="宋体" w:hAnsi="宋体" w:cs="宋体" w:eastAsia="宋体" w:hint="default"/>
                <w:sz w:val="15"/>
                <w:szCs w:val="15"/>
              </w:rPr>
            </w:pPr>
            <w:r>
              <w:rPr>
                <w:rFonts w:ascii="宋体" w:hAnsi="宋体" w:cs="宋体" w:eastAsia="宋体" w:hint="default"/>
                <w:w w:val="100"/>
                <w:sz w:val="15"/>
                <w:szCs w:val="15"/>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53.05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53.05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199" w:right="121" w:hanging="75"/>
              <w:jc w:val="left"/>
              <w:rPr>
                <w:rFonts w:ascii="宋体" w:hAnsi="宋体" w:cs="宋体" w:eastAsia="宋体" w:hint="default"/>
                <w:sz w:val="15"/>
                <w:szCs w:val="15"/>
              </w:rPr>
            </w:pPr>
            <w:r>
              <w:rPr>
                <w:rFonts w:ascii="宋体" w:hAnsi="宋体" w:cs="宋体" w:eastAsia="宋体" w:hint="default"/>
                <w:sz w:val="15"/>
                <w:szCs w:val="15"/>
              </w:rPr>
              <w:t>转让日以后</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不再合并</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22,408.98</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16,525.50</w:t>
            </w:r>
          </w:p>
        </w:tc>
      </w:tr>
      <w:tr>
        <w:trPr>
          <w:trHeight w:val="874" w:hRule="exact"/>
        </w:trPr>
        <w:tc>
          <w:tcPr>
            <w:tcW w:w="1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7" w:lineRule="auto"/>
              <w:ind w:left="122" w:right="99"/>
              <w:jc w:val="both"/>
              <w:rPr>
                <w:rFonts w:ascii="宋体" w:hAnsi="宋体" w:cs="宋体" w:eastAsia="宋体" w:hint="default"/>
                <w:sz w:val="15"/>
                <w:szCs w:val="15"/>
              </w:rPr>
            </w:pPr>
            <w:r>
              <w:rPr>
                <w:rFonts w:ascii="宋体" w:hAnsi="宋体" w:cs="宋体" w:eastAsia="宋体" w:hint="default"/>
                <w:sz w:val="15"/>
                <w:szCs w:val="15"/>
              </w:rPr>
              <w:t>浙江天外包装</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印刷股份有限</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公司</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股份有限公司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湖州市</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生产制造</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RMB9,088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5"/>
                <w:szCs w:val="15"/>
              </w:rPr>
            </w:pPr>
            <w:r>
              <w:rPr>
                <w:rFonts w:ascii="宋体" w:hAnsi="宋体" w:cs="宋体" w:eastAsia="宋体" w:hint="default"/>
                <w:sz w:val="15"/>
                <w:szCs w:val="15"/>
              </w:rPr>
              <w:t>彩色包装印刷制品的生产、加工及销售</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4,680.32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27.32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51.5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199" w:right="121" w:hanging="75"/>
              <w:jc w:val="left"/>
              <w:rPr>
                <w:rFonts w:ascii="宋体" w:hAnsi="宋体" w:cs="宋体" w:eastAsia="宋体" w:hint="default"/>
                <w:sz w:val="15"/>
                <w:szCs w:val="15"/>
              </w:rPr>
            </w:pPr>
            <w:r>
              <w:rPr>
                <w:rFonts w:ascii="宋体" w:hAnsi="宋体" w:cs="宋体" w:eastAsia="宋体" w:hint="default"/>
                <w:sz w:val="15"/>
                <w:szCs w:val="15"/>
              </w:rPr>
              <w:t>转让日以后</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不再合并</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34,192.55</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16,583.39</w:t>
            </w:r>
          </w:p>
        </w:tc>
      </w:tr>
      <w:tr>
        <w:trPr>
          <w:trHeight w:val="679" w:hRule="exact"/>
        </w:trPr>
        <w:tc>
          <w:tcPr>
            <w:tcW w:w="1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122" w:right="99"/>
              <w:jc w:val="left"/>
              <w:rPr>
                <w:rFonts w:ascii="宋体" w:hAnsi="宋体" w:cs="宋体" w:eastAsia="宋体" w:hint="default"/>
                <w:sz w:val="15"/>
                <w:szCs w:val="15"/>
              </w:rPr>
            </w:pPr>
            <w:r>
              <w:rPr>
                <w:rFonts w:ascii="宋体" w:hAnsi="宋体" w:cs="宋体" w:eastAsia="宋体" w:hint="default"/>
                <w:sz w:val="15"/>
                <w:szCs w:val="15"/>
              </w:rPr>
              <w:t>浙江湖州天外</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纸品有限公司</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湖州市</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生产制造</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USD1,750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1" w:right="0"/>
              <w:jc w:val="left"/>
              <w:rPr>
                <w:rFonts w:ascii="宋体" w:hAnsi="宋体" w:cs="宋体" w:eastAsia="宋体" w:hint="default"/>
                <w:sz w:val="15"/>
                <w:szCs w:val="15"/>
              </w:rPr>
            </w:pPr>
            <w:r>
              <w:rPr>
                <w:rFonts w:ascii="宋体" w:hAnsi="宋体" w:cs="宋体" w:eastAsia="宋体" w:hint="default"/>
                <w:sz w:val="15"/>
                <w:szCs w:val="15"/>
              </w:rPr>
              <w:t>彩色包装等纸制品的生产、加工及销售</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8,791.87</w:t>
            </w:r>
            <w:r>
              <w:rPr>
                <w:rFonts w:ascii="Times New Roman"/>
                <w:sz w:val="15"/>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26.76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65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199" w:right="121" w:hanging="75"/>
              <w:jc w:val="left"/>
              <w:rPr>
                <w:rFonts w:ascii="宋体" w:hAnsi="宋体" w:cs="宋体" w:eastAsia="宋体" w:hint="default"/>
                <w:sz w:val="15"/>
                <w:szCs w:val="15"/>
              </w:rPr>
            </w:pPr>
            <w:r>
              <w:rPr>
                <w:rFonts w:ascii="宋体" w:hAnsi="宋体" w:cs="宋体" w:eastAsia="宋体" w:hint="default"/>
                <w:sz w:val="15"/>
                <w:szCs w:val="15"/>
              </w:rPr>
              <w:t>转让日以后</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不再合并</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13,150.01</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4,617.63</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3"/>
        <w:ind w:left="7430" w:right="8307" w:firstLine="0"/>
        <w:jc w:val="center"/>
        <w:rPr>
          <w:rFonts w:ascii="Times New Roman" w:hAnsi="Times New Roman" w:cs="Times New Roman" w:eastAsia="Times New Roman" w:hint="default"/>
          <w:sz w:val="18"/>
          <w:szCs w:val="18"/>
        </w:rPr>
      </w:pPr>
      <w:r>
        <w:rPr/>
        <w:pict>
          <v:shape style="position:absolute;margin-left:740.650024pt;margin-top:3.436091pt;width:101.25pt;height:57.75pt;mso-position-horizontal-relative:page;mso-position-vertical-relative:paragraph;z-index:1336" type="#_x0000_t75" stroked="false">
            <v:imagedata r:id="rId54" o:title=""/>
          </v:shape>
        </w:pict>
      </w:r>
      <w:r>
        <w:rPr>
          <w:rFonts w:ascii="Times New Roman"/>
          <w:sz w:val="18"/>
        </w:rPr>
        <w:t>42</w:t>
      </w:r>
    </w:p>
    <w:p>
      <w:pPr>
        <w:spacing w:after="0"/>
        <w:jc w:val="center"/>
        <w:rPr>
          <w:rFonts w:ascii="Times New Roman" w:hAnsi="Times New Roman" w:cs="Times New Roman" w:eastAsia="Times New Roman" w:hint="default"/>
          <w:sz w:val="18"/>
          <w:szCs w:val="18"/>
        </w:rPr>
        <w:sectPr>
          <w:headerReference w:type="default" r:id="rId55"/>
          <w:footerReference w:type="default" r:id="rId56"/>
          <w:pgSz w:w="16840" w:h="11910" w:orient="landscape"/>
          <w:pgMar w:header="0" w:footer="0" w:top="840" w:bottom="0" w:left="880" w:right="0"/>
        </w:sectPr>
      </w:pPr>
    </w:p>
    <w:p>
      <w:pPr>
        <w:spacing w:line="240" w:lineRule="auto" w:before="10"/>
        <w:rPr>
          <w:rFonts w:ascii="Times New Roman" w:hAnsi="Times New Roman" w:cs="Times New Roman" w:eastAsia="Times New Roman" w:hint="default"/>
          <w:sz w:val="18"/>
          <w:szCs w:val="18"/>
        </w:rPr>
      </w:pPr>
    </w:p>
    <w:p>
      <w:pPr>
        <w:spacing w:before="36"/>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11"/>
        <w:rPr>
          <w:rFonts w:ascii="宋体" w:hAnsi="宋体" w:cs="宋体" w:eastAsia="宋体" w:hint="default"/>
          <w:b/>
          <w:bCs/>
          <w:sz w:val="20"/>
          <w:szCs w:val="20"/>
        </w:rPr>
      </w:pPr>
    </w:p>
    <w:p>
      <w:pPr>
        <w:spacing w:before="0"/>
        <w:ind w:left="593" w:right="1133"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本报告期内，本公司未发生同一控制下的企业合并事项。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593" w:right="1133"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本报告期内，本公司未发生非同一控制下的企业合并事项。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、本期出售丧失控制权的股权而减少子公司</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595" w:right="1133"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本报告期内，本公司未发生出售丧失控制权的股权而减少子公司事项。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9"/>
          <w:szCs w:val="19"/>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、本期发生的反向购买</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593" w:right="1133"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本报告期内，本公司未发生反向购买事项。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、本期发生的吸收合并</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232" w:right="1133" w:firstLine="362"/>
        <w:jc w:val="left"/>
        <w:rPr>
          <w:rFonts w:ascii="宋体" w:hAnsi="宋体" w:cs="宋体" w:eastAsia="宋体" w:hint="default"/>
          <w:sz w:val="18"/>
          <w:szCs w:val="18"/>
        </w:rPr>
      </w:pPr>
      <w:r>
        <w:rPr>
          <w:rFonts w:ascii="宋体" w:hAnsi="宋体" w:cs="宋体" w:eastAsia="宋体" w:hint="default"/>
          <w:sz w:val="18"/>
          <w:szCs w:val="18"/>
        </w:rPr>
        <w:t>本报告期内，本公司未发生吸收合并事项。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、境外经营实体主要报表项目的折算汇率</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line="489" w:lineRule="auto" w:before="0"/>
        <w:ind w:left="232" w:right="1133" w:firstLine="396"/>
        <w:jc w:val="left"/>
        <w:rPr>
          <w:rFonts w:ascii="宋体" w:hAnsi="宋体" w:cs="宋体" w:eastAsia="宋体" w:hint="default"/>
          <w:sz w:val="18"/>
          <w:szCs w:val="18"/>
        </w:rPr>
      </w:pPr>
      <w:r>
        <w:rPr>
          <w:rFonts w:ascii="宋体" w:hAnsi="宋体" w:cs="宋体" w:eastAsia="宋体" w:hint="default"/>
          <w:sz w:val="18"/>
          <w:szCs w:val="18"/>
        </w:rPr>
        <w:t>本公司之全资子公司中华烟草及东方英莎特以港币为记账本位币，本公司对其财务报表进行折算时，资产负债表、利 润表主要项目于本报告期采用的折算汇率分别为：</w:t>
      </w:r>
      <w:r>
        <w:rPr>
          <w:rFonts w:ascii="Times New Roman" w:hAnsi="Times New Roman" w:cs="Times New Roman" w:eastAsia="Times New Roman" w:hint="default"/>
          <w:sz w:val="18"/>
          <w:szCs w:val="18"/>
        </w:rPr>
        <w:t>0.8107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0.8308</w:t>
      </w:r>
      <w:r>
        <w:rPr>
          <w:rFonts w:ascii="宋体" w:hAnsi="宋体" w:cs="宋体" w:eastAsia="宋体" w:hint="default"/>
          <w:sz w:val="18"/>
          <w:szCs w:val="18"/>
        </w:rPr>
        <w:t>；上报告期采用的折算汇率分别为：</w:t>
      </w:r>
      <w:r>
        <w:rPr>
          <w:rFonts w:ascii="Times New Roman" w:hAnsi="Times New Roman" w:cs="Times New Roman" w:eastAsia="Times New Roman" w:hint="default"/>
          <w:sz w:val="18"/>
          <w:szCs w:val="18"/>
        </w:rPr>
        <w:t>0.8509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0.8657</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spacing w:before="0"/>
        <w:ind w:left="232" w:right="1133" w:firstLine="0"/>
        <w:jc w:val="left"/>
        <w:rPr>
          <w:rFonts w:ascii="宋体" w:hAnsi="宋体" w:cs="宋体" w:eastAsia="宋体" w:hint="default"/>
          <w:sz w:val="21"/>
          <w:szCs w:val="21"/>
        </w:rPr>
      </w:pPr>
      <w:r>
        <w:rPr>
          <w:rFonts w:ascii="宋体" w:hAnsi="宋体" w:cs="宋体" w:eastAsia="宋体" w:hint="default"/>
          <w:b/>
          <w:bCs/>
          <w:sz w:val="21"/>
          <w:szCs w:val="21"/>
        </w:rPr>
        <w:t>五、合并财务报表项目注释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1"/>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817"/>
        <w:gridCol w:w="1426"/>
        <w:gridCol w:w="986"/>
        <w:gridCol w:w="1563"/>
        <w:gridCol w:w="1423"/>
        <w:gridCol w:w="985"/>
        <w:gridCol w:w="1531"/>
      </w:tblGrid>
      <w:tr>
        <w:trPr>
          <w:trHeight w:val="569" w:hRule="exact"/>
        </w:trPr>
        <w:tc>
          <w:tcPr>
            <w:tcW w:w="18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3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71" w:hRule="exact"/>
        </w:trPr>
        <w:tc>
          <w:tcPr>
            <w:tcW w:w="1817" w:type="dxa"/>
            <w:vMerge/>
            <w:tcBorders>
              <w:left w:val="nil" w:sz="6" w:space="0" w:color="auto"/>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69"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440,052.38</w:t>
            </w:r>
          </w:p>
        </w:tc>
        <w:tc>
          <w:tcPr>
            <w:tcW w:w="142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459,279.04</w:t>
            </w:r>
          </w:p>
        </w:tc>
      </w:tr>
      <w:tr>
        <w:trPr>
          <w:trHeight w:val="57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421,491.48</w:t>
            </w:r>
          </w:p>
        </w:tc>
        <w:tc>
          <w:tcPr>
            <w:tcW w:w="142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445,516.04</w:t>
            </w:r>
          </w:p>
        </w:tc>
      </w:tr>
    </w:tbl>
    <w:p>
      <w:pPr>
        <w:spacing w:after="0" w:line="240" w:lineRule="auto"/>
        <w:jc w:val="right"/>
        <w:rPr>
          <w:rFonts w:ascii="Times New Roman" w:hAnsi="Times New Roman" w:cs="Times New Roman" w:eastAsia="Times New Roman" w:hint="default"/>
          <w:sz w:val="18"/>
          <w:szCs w:val="18"/>
        </w:rPr>
        <w:sectPr>
          <w:footerReference w:type="default" r:id="rId57"/>
          <w:pgSz w:w="11910" w:h="16840"/>
          <w:pgMar w:footer="956" w:header="0" w:top="1140" w:bottom="1140" w:left="900" w:right="0"/>
          <w:pgNumType w:start="43"/>
        </w:sectPr>
      </w:pPr>
    </w:p>
    <w:p>
      <w:pPr>
        <w:spacing w:line="240" w:lineRule="auto" w:before="7"/>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817"/>
        <w:gridCol w:w="1426"/>
        <w:gridCol w:w="986"/>
        <w:gridCol w:w="1563"/>
        <w:gridCol w:w="1423"/>
        <w:gridCol w:w="985"/>
        <w:gridCol w:w="1531"/>
      </w:tblGrid>
      <w:tr>
        <w:trPr>
          <w:trHeight w:val="571" w:hRule="exact"/>
        </w:trPr>
        <w:tc>
          <w:tcPr>
            <w:tcW w:w="18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3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69" w:hRule="exact"/>
        </w:trPr>
        <w:tc>
          <w:tcPr>
            <w:tcW w:w="1817" w:type="dxa"/>
            <w:vMerge/>
            <w:tcBorders>
              <w:left w:val="nil" w:sz="6" w:space="0" w:color="auto"/>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7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22,894.90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0.8107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18,560.90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15,895.00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0.85</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13,525.00</w:t>
            </w:r>
          </w:p>
        </w:tc>
      </w:tr>
      <w:tr>
        <w:trPr>
          <w:trHeight w:val="569"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6.6227</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238.00</w:t>
            </w:r>
          </w:p>
        </w:tc>
      </w:tr>
      <w:tr>
        <w:trPr>
          <w:trHeight w:val="612"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845,977,603.03</w:t>
            </w:r>
          </w:p>
        </w:tc>
        <w:tc>
          <w:tcPr>
            <w:tcW w:w="142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720,234,094.32</w:t>
            </w:r>
          </w:p>
        </w:tc>
      </w:tr>
      <w:tr>
        <w:trPr>
          <w:trHeight w:val="61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808,432,063.84</w:t>
            </w:r>
          </w:p>
        </w:tc>
        <w:tc>
          <w:tcPr>
            <w:tcW w:w="142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691,001,507.63</w:t>
            </w:r>
          </w:p>
        </w:tc>
      </w:tr>
      <w:tr>
        <w:trPr>
          <w:trHeight w:val="61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18,949,239.13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0.8107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15,362,148.15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12,764,303.45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0.85</w:t>
            </w:r>
            <w:r>
              <w:rPr>
                <w:rFonts w:ascii="Times New Roman"/>
                <w:sz w:val="18"/>
              </w:rPr>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10,861,528.74</w:t>
            </w:r>
          </w:p>
        </w:tc>
      </w:tr>
      <w:tr>
        <w:trPr>
          <w:trHeight w:val="61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3,520,650.31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6.3009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22,183,265.66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2,773,839.62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6.6227</w:t>
            </w:r>
            <w:r>
              <w:rPr>
                <w:rFonts w:ascii="Times New Roman"/>
                <w:sz w:val="18"/>
              </w:rPr>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18,370,922.63</w:t>
            </w:r>
          </w:p>
        </w:tc>
      </w:tr>
      <w:tr>
        <w:trPr>
          <w:trHeight w:val="61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15.36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8.1625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125.38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15.36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8.810</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135.32</w:t>
            </w:r>
          </w:p>
        </w:tc>
      </w:tr>
      <w:tr>
        <w:trPr>
          <w:trHeight w:val="61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62,803,094.48</w:t>
            </w:r>
          </w:p>
        </w:tc>
        <w:tc>
          <w:tcPr>
            <w:tcW w:w="142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56,119,622.27</w:t>
            </w:r>
          </w:p>
        </w:tc>
      </w:tr>
      <w:tr>
        <w:trPr>
          <w:trHeight w:val="612"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62,803,094.48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56,119,622.27</w:t>
            </w:r>
          </w:p>
        </w:tc>
      </w:tr>
      <w:tr>
        <w:trPr>
          <w:trHeight w:val="61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909,220,749.89</w:t>
            </w:r>
          </w:p>
        </w:tc>
        <w:tc>
          <w:tcPr>
            <w:tcW w:w="142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776,812,995.63</w:t>
            </w:r>
          </w:p>
        </w:tc>
      </w:tr>
    </w:tbl>
    <w:p>
      <w:pPr>
        <w:spacing w:line="240" w:lineRule="auto" w:before="3"/>
        <w:rPr>
          <w:rFonts w:ascii="宋体" w:hAnsi="宋体" w:cs="宋体" w:eastAsia="宋体" w:hint="default"/>
          <w:sz w:val="19"/>
          <w:szCs w:val="19"/>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）其他货币资金期末余额主要为银行承兑汇票保证金存款。</w:t>
      </w:r>
    </w:p>
    <w:p>
      <w:pPr>
        <w:spacing w:line="240" w:lineRule="auto" w:before="9"/>
        <w:rPr>
          <w:rFonts w:ascii="宋体" w:hAnsi="宋体" w:cs="宋体" w:eastAsia="宋体" w:hint="default"/>
          <w:sz w:val="23"/>
          <w:szCs w:val="23"/>
        </w:rPr>
      </w:pPr>
    </w:p>
    <w:p>
      <w:pPr>
        <w:spacing w:before="0"/>
        <w:ind w:left="2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货币资金期末余额中包含注册地在境外的全资子公司中华烟草及东方英莎特的货币资金折合人民币为</w:t>
      </w:r>
      <w:r>
        <w:rPr>
          <w:rFonts w:ascii="宋体" w:hAnsi="宋体" w:cs="宋体" w:eastAsia="宋体" w:hint="default"/>
          <w:spacing w:val="-63"/>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2"/>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w:t>
      </w:r>
    </w:p>
    <w:p>
      <w:pPr>
        <w:spacing w:line="240" w:lineRule="auto" w:before="9"/>
        <w:rPr>
          <w:rFonts w:ascii="宋体" w:hAnsi="宋体" w:cs="宋体" w:eastAsia="宋体" w:hint="default"/>
          <w:sz w:val="23"/>
          <w:szCs w:val="23"/>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3229"/>
        <w:gridCol w:w="3214"/>
        <w:gridCol w:w="3212"/>
      </w:tblGrid>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种类</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201,367,895.95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pacing w:val="-1"/>
                <w:sz w:val="18"/>
              </w:rPr>
              <w:t>317,063,500.31</w:t>
            </w:r>
          </w:p>
        </w:tc>
      </w:tr>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201,367,895.95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pacing w:val="-1"/>
                <w:sz w:val="18"/>
              </w:rPr>
              <w:t>317,063,500.31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）期末公司无已贴现未到期的应收票据金。</w:t>
      </w:r>
    </w:p>
    <w:p>
      <w:pPr>
        <w:spacing w:after="0"/>
        <w:jc w:val="left"/>
        <w:rPr>
          <w:rFonts w:ascii="宋体" w:hAnsi="宋体" w:cs="宋体" w:eastAsia="宋体" w:hint="default"/>
          <w:sz w:val="18"/>
          <w:szCs w:val="18"/>
        </w:rPr>
        <w:sectPr>
          <w:pgSz w:w="11910" w:h="16840"/>
          <w:pgMar w:header="0" w:footer="956" w:top="1140" w:bottom="114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）期末已经背书给他方但尚未到期的票据金额为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96,755,218.22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元，其中金额最大的前五名票据明细如下：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843"/>
        <w:gridCol w:w="1750"/>
        <w:gridCol w:w="2030"/>
        <w:gridCol w:w="2031"/>
      </w:tblGrid>
      <w:tr>
        <w:trPr>
          <w:trHeight w:val="59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出票日</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20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9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2011/8/1</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2012/6/25</w:t>
            </w:r>
          </w:p>
        </w:tc>
        <w:tc>
          <w:tcPr>
            <w:tcW w:w="20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29,430,000.00</w:t>
            </w:r>
          </w:p>
        </w:tc>
      </w:tr>
      <w:tr>
        <w:trPr>
          <w:trHeight w:val="59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青岛顺信投资有限公司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2011/8/25</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2012/5/27</w:t>
            </w:r>
          </w:p>
        </w:tc>
        <w:tc>
          <w:tcPr>
            <w:tcW w:w="20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58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深圳市深赛尔实业有限公司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2011/7/26</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2012/3/6</w:t>
            </w:r>
          </w:p>
        </w:tc>
        <w:tc>
          <w:tcPr>
            <w:tcW w:w="20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8,080,000.00</w:t>
            </w:r>
          </w:p>
        </w:tc>
      </w:tr>
      <w:tr>
        <w:trPr>
          <w:trHeight w:val="59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上海绿新包装材料科技股份有限公司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2011/8/25</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2012/2/28</w:t>
            </w:r>
          </w:p>
        </w:tc>
        <w:tc>
          <w:tcPr>
            <w:tcW w:w="20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59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山东青岛嘉泽包装有限公司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2011/8/25</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2012/2/23</w:t>
            </w:r>
          </w:p>
        </w:tc>
        <w:tc>
          <w:tcPr>
            <w:tcW w:w="20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59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汕头强宇包装有限公司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2011/11/29</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2012/5/27</w:t>
            </w:r>
          </w:p>
        </w:tc>
        <w:tc>
          <w:tcPr>
            <w:tcW w:w="20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59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tabs>
                <w:tab w:pos="474" w:val="left" w:leader="none"/>
              </w:tabs>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5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74,510,000.00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）本期未发生因出票人无力履约而将票据转为应收账款的事项。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）期末控股子公司中丰田质押应收票据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11,754,761.75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元，用于开具银行承兑汇票。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）应收账款按种类披露</w:t>
      </w:r>
    </w:p>
    <w:p>
      <w:pPr>
        <w:spacing w:line="240" w:lineRule="auto" w:before="0"/>
        <w:rPr>
          <w:rFonts w:ascii="宋体" w:hAnsi="宋体" w:cs="宋体" w:eastAsia="宋体" w:hint="default"/>
          <w:sz w:val="19"/>
          <w:szCs w:val="19"/>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88" w:hRule="exact"/>
        </w:trPr>
        <w:tc>
          <w:tcPr>
            <w:tcW w:w="43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90" w:hRule="exact"/>
        </w:trPr>
        <w:tc>
          <w:tcPr>
            <w:tcW w:w="4395"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0" w:hRule="exact"/>
        </w:trPr>
        <w:tc>
          <w:tcPr>
            <w:tcW w:w="4395"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90"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17"/>
          <w:szCs w:val="17"/>
        </w:rPr>
      </w:pPr>
    </w:p>
    <w:p>
      <w:pPr>
        <w:spacing w:before="44"/>
        <w:ind w:left="240" w:right="1119"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5"/>
        <w:rPr>
          <w:rFonts w:ascii="宋体" w:hAnsi="宋体" w:cs="宋体" w:eastAsia="宋体" w:hint="default"/>
          <w:sz w:val="5"/>
          <w:szCs w:val="5"/>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483.25pt;height:.5pt;mso-position-horizontal-relative:char;mso-position-vertical-relative:line" coordorigin="0,0" coordsize="9665,10">
            <v:group style="position:absolute;left:5;top:5;width:9655;height:2" coordorigin="5,5" coordsize="9655,2">
              <v:shape style="position:absolute;left:5;top:5;width:9655;height:2" coordorigin="5,5" coordsize="9655,0" path="m5,5l9660,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56" w:top="1140" w:bottom="1140" w:left="1000" w:right="0"/>
        </w:sectPr>
      </w:pPr>
    </w:p>
    <w:p>
      <w:pPr>
        <w:spacing w:line="240" w:lineRule="auto" w:before="7"/>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91" w:hRule="exact"/>
        </w:trPr>
        <w:tc>
          <w:tcPr>
            <w:tcW w:w="441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90" w:hRule="exact"/>
        </w:trPr>
        <w:tc>
          <w:tcPr>
            <w:tcW w:w="4410"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0" w:hRule="exact"/>
        </w:trPr>
        <w:tc>
          <w:tcPr>
            <w:tcW w:w="4410"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9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252,918,060.07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76.49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12,645,903.02</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68,924,398.09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3,446,219.88</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88"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321,842,458.16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97.34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16,092,122.90</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8,793,949.35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8,793,949.35</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r>
      <w:tr>
        <w:trPr>
          <w:trHeight w:val="59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330,636,407.51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24,886,072.25</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90" w:hRule="exact"/>
        </w:trPr>
        <w:tc>
          <w:tcPr>
            <w:tcW w:w="43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4395"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88" w:hRule="exact"/>
        </w:trPr>
        <w:tc>
          <w:tcPr>
            <w:tcW w:w="4395"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71"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6"/>
          <w:szCs w:val="16"/>
        </w:rPr>
      </w:pPr>
    </w:p>
    <w:p>
      <w:pPr>
        <w:spacing w:before="44"/>
        <w:ind w:left="240" w:right="1119"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7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218,261,412.48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65.52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10,841,473.86</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6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102,950,462.20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5,147,523.11</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7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321,211,874.68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96.43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15,988,996.97</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6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11,889,877.01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11,889,877.01</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r>
      <w:tr>
        <w:trPr>
          <w:trHeight w:val="57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333,101,751.69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27,878,873.98</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8.37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571" w:lineRule="auto" w:before="44"/>
        <w:ind w:left="601" w:right="2091" w:hanging="469"/>
        <w:jc w:val="left"/>
        <w:rPr>
          <w:rFonts w:ascii="宋体" w:hAnsi="宋体" w:cs="宋体" w:eastAsia="宋体" w:hint="default"/>
          <w:sz w:val="18"/>
          <w:szCs w:val="18"/>
        </w:rPr>
      </w:pPr>
      <w:r>
        <w:rPr>
          <w:rFonts w:ascii="宋体" w:hAnsi="宋体" w:cs="宋体" w:eastAsia="宋体" w:hint="default"/>
          <w:sz w:val="18"/>
          <w:szCs w:val="18"/>
        </w:rPr>
        <w:t>应收账款种类的说明： 本公司根据公司经营规模、业务性质及客户结算状况等确定单项金额重大的应收账款标准为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line="460" w:lineRule="auto" w:before="0"/>
        <w:ind w:left="240" w:right="1117" w:firstLine="36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单项金额重大并单项计提坏账准备的应收账款是指期末余额在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万元以上，经减值测试后如存在减值迹象，按其 未来现金流量现值低于账面价值的差额，确认减值损失，计提坏账准备；</w:t>
      </w:r>
    </w:p>
    <w:p>
      <w:pPr>
        <w:spacing w:before="119"/>
        <w:ind w:left="601" w:right="1119" w:firstLine="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单项金额重大未出现减值迹象的应收账款是指期末余额在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万元以上，经减值测试后不存在减值迹象；</w:t>
      </w:r>
    </w:p>
    <w:p>
      <w:pPr>
        <w:spacing w:after="0"/>
        <w:jc w:val="left"/>
        <w:rPr>
          <w:rFonts w:ascii="宋体" w:hAnsi="宋体" w:cs="宋体" w:eastAsia="宋体" w:hint="default"/>
          <w:sz w:val="18"/>
          <w:szCs w:val="18"/>
        </w:rPr>
        <w:sectPr>
          <w:pgSz w:w="11910" w:h="16840"/>
          <w:pgMar w:header="0" w:footer="956" w:top="1140" w:bottom="1140" w:left="1000" w:right="0"/>
        </w:sectPr>
      </w:pPr>
    </w:p>
    <w:p>
      <w:pPr>
        <w:spacing w:line="240" w:lineRule="auto" w:before="10"/>
        <w:rPr>
          <w:rFonts w:ascii="宋体" w:hAnsi="宋体" w:cs="宋体" w:eastAsia="宋体" w:hint="default"/>
          <w:sz w:val="17"/>
          <w:szCs w:val="17"/>
        </w:rPr>
      </w:pPr>
    </w:p>
    <w:p>
      <w:pPr>
        <w:spacing w:line="487" w:lineRule="auto" w:before="44"/>
        <w:ind w:left="240" w:right="1119" w:firstLine="360"/>
        <w:jc w:val="left"/>
        <w:rPr>
          <w:rFonts w:ascii="宋体" w:hAnsi="宋体" w:cs="宋体" w:eastAsia="宋体" w:hint="default"/>
          <w:sz w:val="18"/>
          <w:szCs w:val="18"/>
        </w:rPr>
      </w:pPr>
      <w:r>
        <w:rPr>
          <w:rFonts w:ascii="宋体" w:hAnsi="宋体" w:cs="宋体" w:eastAsia="宋体" w:hint="default"/>
          <w:spacing w:val="-1"/>
          <w:sz w:val="18"/>
          <w:szCs w:val="18"/>
        </w:rPr>
        <w:t>单项金额不重大未出现减值迹象的应收账款是指账龄较短（一般是指三年以内），可以取得债务人确认并预计可以收</w:t>
      </w:r>
      <w:r>
        <w:rPr>
          <w:rFonts w:ascii="宋体" w:hAnsi="宋体" w:cs="宋体" w:eastAsia="宋体" w:hint="default"/>
          <w:sz w:val="18"/>
          <w:szCs w:val="18"/>
        </w:rPr>
        <w:t> 回的应收账款；</w:t>
      </w:r>
    </w:p>
    <w:p>
      <w:pPr>
        <w:spacing w:line="460" w:lineRule="auto" w:before="102"/>
        <w:ind w:left="240" w:right="1117" w:firstLine="36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单项金额虽不重大但单项计提坏账准备的应收账款是指单笔金额在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万元以下，且有明显特征表明该等款项难以 收回的应收账款。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240" w:lineRule="auto" w:before="10"/>
        <w:rPr>
          <w:rFonts w:ascii="宋体" w:hAnsi="宋体" w:cs="宋体" w:eastAsia="宋体" w:hint="default"/>
          <w:sz w:val="21"/>
          <w:szCs w:val="21"/>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843"/>
        <w:gridCol w:w="1937"/>
        <w:gridCol w:w="1937"/>
        <w:gridCol w:w="1937"/>
      </w:tblGrid>
      <w:tr>
        <w:trPr>
          <w:trHeight w:val="572"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6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252,918,060.07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5.00</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12,645,903.02</w:t>
            </w:r>
          </w:p>
        </w:tc>
      </w:tr>
      <w:tr>
        <w:trPr>
          <w:trHeight w:val="57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68,924,398.09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5.00</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3,446,219.88</w:t>
            </w:r>
          </w:p>
        </w:tc>
      </w:tr>
      <w:tr>
        <w:trPr>
          <w:trHeight w:val="57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321,842,458.16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5.00</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16,092,122.90</w:t>
            </w:r>
          </w:p>
        </w:tc>
      </w:tr>
    </w:tbl>
    <w:p>
      <w:pPr>
        <w:spacing w:line="240" w:lineRule="auto" w:before="8"/>
        <w:rPr>
          <w:rFonts w:ascii="宋体" w:hAnsi="宋体" w:cs="宋体" w:eastAsia="宋体" w:hint="default"/>
          <w:sz w:val="17"/>
          <w:szCs w:val="17"/>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本报告期末单项金额虽不重大但单项计提坏账准备的应收账款明细情况：</w:t>
      </w:r>
    </w:p>
    <w:p>
      <w:pPr>
        <w:spacing w:line="240" w:lineRule="auto" w:before="11"/>
        <w:rPr>
          <w:rFonts w:ascii="宋体" w:hAnsi="宋体" w:cs="宋体" w:eastAsia="宋体" w:hint="default"/>
          <w:sz w:val="19"/>
          <w:szCs w:val="19"/>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996"/>
        <w:gridCol w:w="1699"/>
        <w:gridCol w:w="1421"/>
        <w:gridCol w:w="1599"/>
        <w:gridCol w:w="1939"/>
      </w:tblGrid>
      <w:tr>
        <w:trPr>
          <w:trHeight w:val="590"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965"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91"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中山东溢新材料有限公司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1,673,983.00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1,673,983.00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艾利和电子</w:t>
            </w:r>
            <w:r>
              <w:rPr>
                <w:rFonts w:ascii="Times New Roman" w:hAnsi="Times New Roman" w:cs="Times New Roman" w:eastAsia="Times New Roman" w:hint="default"/>
                <w:sz w:val="18"/>
                <w:szCs w:val="18"/>
              </w:rPr>
              <w:t>(</w:t>
            </w:r>
            <w:r>
              <w:rPr>
                <w:rFonts w:ascii="宋体" w:hAnsi="宋体" w:cs="宋体" w:eastAsia="宋体" w:hint="default"/>
                <w:sz w:val="18"/>
                <w:szCs w:val="18"/>
              </w:rPr>
              <w:t>东莞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1,538,993.12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1,538,993.12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9"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东莞黄江荣大彩印厂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447,237.35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447,237.35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88"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深圳市金龙泰纸制品有限公司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365,843.40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365,843.40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舒尔物德包装（广州）有限公司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354,474.86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354,474.86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徐州卷烟厂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350,080.00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350,080.00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1"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重庆烟草工业有限责任公司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299,889.14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299,889.14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吴坤勃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晟山工艺制品厂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236,242.80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236,242.80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88"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柏风企业</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228,379.11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228,379.11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5,735,122.78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5,735,122.78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bl>
    <w:p>
      <w:pPr>
        <w:spacing w:after="0" w:line="240" w:lineRule="auto"/>
        <w:jc w:val="center"/>
        <w:rPr>
          <w:rFonts w:ascii="宋体" w:hAnsi="宋体" w:cs="宋体" w:eastAsia="宋体" w:hint="default"/>
          <w:sz w:val="18"/>
          <w:szCs w:val="18"/>
        </w:rPr>
        <w:sectPr>
          <w:pgSz w:w="11910" w:h="16840"/>
          <w:pgMar w:header="0" w:footer="956" w:top="1140" w:bottom="1140" w:left="1000" w:right="0"/>
        </w:sectPr>
      </w:pPr>
    </w:p>
    <w:p>
      <w:pPr>
        <w:spacing w:line="240" w:lineRule="auto" w:before="7"/>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2996"/>
        <w:gridCol w:w="1699"/>
        <w:gridCol w:w="1421"/>
        <w:gridCol w:w="1599"/>
        <w:gridCol w:w="1939"/>
      </w:tblGrid>
      <w:tr>
        <w:trPr>
          <w:trHeight w:val="591"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965"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90"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其余小计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3,058,826.57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3,058,826.57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8,793,949.35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8,793,949.35</w:t>
            </w:r>
          </w:p>
        </w:tc>
        <w:tc>
          <w:tcPr>
            <w:tcW w:w="159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）本报告期无转回的应收账款。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）本报告期未销应收账款。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）本报告期末应收账款余额中无应收持有本公司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以上表决权股份的股东单位及其他关联方单位的款项。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）本报告期末应收账款金额前五名单位情况</w:t>
      </w:r>
    </w:p>
    <w:p>
      <w:pPr>
        <w:spacing w:line="240" w:lineRule="auto" w:before="3"/>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419"/>
        <w:gridCol w:w="1697"/>
        <w:gridCol w:w="1563"/>
        <w:gridCol w:w="1277"/>
        <w:gridCol w:w="1699"/>
      </w:tblGrid>
      <w:tr>
        <w:trPr>
          <w:trHeight w:val="85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398" w:lineRule="exact" w:before="27"/>
              <w:ind w:left="259" w:right="264" w:firstLine="134"/>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 总额的比例</w:t>
            </w:r>
            <w:r>
              <w:rPr>
                <w:rFonts w:ascii="Times New Roman" w:hAnsi="Times New Roman" w:cs="Times New Roman" w:eastAsia="Times New Roman" w:hint="default"/>
                <w:sz w:val="18"/>
                <w:szCs w:val="18"/>
              </w:rPr>
              <w:t>(%)</w:t>
            </w:r>
          </w:p>
        </w:tc>
      </w:tr>
      <w:tr>
        <w:trPr>
          <w:trHeight w:val="59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安徽中烟工业有限责任公司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90,563,758.80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645"/>
              <w:jc w:val="right"/>
              <w:rPr>
                <w:rFonts w:ascii="Times New Roman" w:hAnsi="Times New Roman" w:cs="Times New Roman" w:eastAsia="Times New Roman" w:hint="default"/>
                <w:sz w:val="18"/>
                <w:szCs w:val="18"/>
              </w:rPr>
            </w:pPr>
            <w:r>
              <w:rPr>
                <w:rFonts w:ascii="Times New Roman"/>
                <w:sz w:val="18"/>
              </w:rPr>
              <w:t>27.39</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山东中烟工业有限责任公司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54,285,129.66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645"/>
              <w:jc w:val="right"/>
              <w:rPr>
                <w:rFonts w:ascii="Times New Roman" w:hAnsi="Times New Roman" w:cs="Times New Roman" w:eastAsia="Times New Roman" w:hint="default"/>
                <w:sz w:val="18"/>
                <w:szCs w:val="18"/>
              </w:rPr>
            </w:pPr>
            <w:r>
              <w:rPr>
                <w:rFonts w:ascii="Times New Roman"/>
                <w:sz w:val="18"/>
              </w:rPr>
              <w:t>16.42</w:t>
            </w:r>
          </w:p>
        </w:tc>
      </w:tr>
      <w:tr>
        <w:trPr>
          <w:trHeight w:val="588"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云南中烟物资有限责任公司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37,794,307.17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647"/>
              <w:jc w:val="right"/>
              <w:rPr>
                <w:rFonts w:ascii="Times New Roman" w:hAnsi="Times New Roman" w:cs="Times New Roman" w:eastAsia="Times New Roman" w:hint="default"/>
                <w:sz w:val="18"/>
                <w:szCs w:val="18"/>
              </w:rPr>
            </w:pPr>
            <w:r>
              <w:rPr>
                <w:rFonts w:ascii="Times New Roman"/>
                <w:spacing w:val="-2"/>
                <w:sz w:val="18"/>
              </w:rPr>
              <w:t>11.43</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江苏中烟工业有限责任公司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17,598,060.00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690"/>
              <w:jc w:val="right"/>
              <w:rPr>
                <w:rFonts w:ascii="Times New Roman" w:hAnsi="Times New Roman" w:cs="Times New Roman" w:eastAsia="Times New Roman" w:hint="default"/>
                <w:sz w:val="18"/>
                <w:szCs w:val="18"/>
              </w:rPr>
            </w:pPr>
            <w:r>
              <w:rPr>
                <w:rFonts w:ascii="Times New Roman"/>
                <w:spacing w:val="-1"/>
                <w:sz w:val="18"/>
              </w:rPr>
              <w:t>5.32</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江西中烟工业有限责任公司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15,996,273.50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690"/>
              <w:jc w:val="right"/>
              <w:rPr>
                <w:rFonts w:ascii="Times New Roman" w:hAnsi="Times New Roman" w:cs="Times New Roman" w:eastAsia="Times New Roman" w:hint="default"/>
                <w:sz w:val="18"/>
                <w:szCs w:val="18"/>
              </w:rPr>
            </w:pPr>
            <w:r>
              <w:rPr>
                <w:rFonts w:ascii="Times New Roman"/>
                <w:spacing w:val="-1"/>
                <w:sz w:val="18"/>
              </w:rPr>
              <w:t>4.84</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216,237,529.13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645"/>
              <w:jc w:val="right"/>
              <w:rPr>
                <w:rFonts w:ascii="Times New Roman" w:hAnsi="Times New Roman" w:cs="Times New Roman" w:eastAsia="Times New Roman" w:hint="default"/>
                <w:sz w:val="18"/>
                <w:szCs w:val="18"/>
              </w:rPr>
            </w:pPr>
            <w:r>
              <w:rPr>
                <w:rFonts w:ascii="Times New Roman"/>
                <w:sz w:val="18"/>
              </w:rPr>
              <w:t>65.40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）本公司本期无应收关联方账款情况。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）本公司本期无终止确认的应收款项情况。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）本报告期内，本公司未发生以应收账款为标的进行证券化的业务。</w:t>
      </w:r>
    </w:p>
    <w:p>
      <w:pPr>
        <w:spacing w:after="0"/>
        <w:jc w:val="left"/>
        <w:rPr>
          <w:rFonts w:ascii="宋体" w:hAnsi="宋体" w:cs="宋体" w:eastAsia="宋体" w:hint="default"/>
          <w:sz w:val="18"/>
          <w:szCs w:val="18"/>
        </w:rPr>
        <w:sectPr>
          <w:pgSz w:w="11910" w:h="16840"/>
          <w:pgMar w:header="0" w:footer="956" w:top="1140" w:bottom="114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）预付款项按账龄列示</w:t>
      </w:r>
    </w:p>
    <w:p>
      <w:pPr>
        <w:spacing w:line="240" w:lineRule="auto" w:before="1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255" w:type="dxa"/>
        <w:tblLayout w:type="fixed"/>
        <w:tblCellMar>
          <w:top w:w="0" w:type="dxa"/>
          <w:left w:w="0" w:type="dxa"/>
          <w:bottom w:w="0" w:type="dxa"/>
          <w:right w:w="0" w:type="dxa"/>
        </w:tblCellMar>
        <w:tblLook w:val="01E0"/>
      </w:tblPr>
      <w:tblGrid>
        <w:gridCol w:w="1735"/>
        <w:gridCol w:w="1971"/>
        <w:gridCol w:w="1971"/>
        <w:gridCol w:w="1971"/>
        <w:gridCol w:w="1865"/>
      </w:tblGrid>
      <w:tr>
        <w:trPr>
          <w:trHeight w:val="590" w:hRule="exact"/>
        </w:trPr>
        <w:tc>
          <w:tcPr>
            <w:tcW w:w="17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3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1735" w:type="dxa"/>
            <w:vMerge/>
            <w:tcBorders>
              <w:left w:val="nil" w:sz="6" w:space="0" w:color="auto"/>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90"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50,603,153.67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99.41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23,310,232.29</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90.16</w:t>
            </w:r>
          </w:p>
        </w:tc>
      </w:tr>
      <w:tr>
        <w:trPr>
          <w:trHeight w:val="591"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217,900.00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0.43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891,673.46</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3.45</w:t>
            </w:r>
          </w:p>
        </w:tc>
      </w:tr>
      <w:tr>
        <w:trPr>
          <w:trHeight w:val="590"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35,000.00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340,774.31</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1.32</w:t>
            </w:r>
          </w:p>
        </w:tc>
      </w:tr>
      <w:tr>
        <w:trPr>
          <w:trHeight w:val="588"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45,664.48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1,312,269.01</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5.07</w:t>
            </w:r>
          </w:p>
        </w:tc>
      </w:tr>
      <w:tr>
        <w:trPr>
          <w:trHeight w:val="590"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50,901,718.15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25,854,949.07</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）本报告期末预付款项金额前五名单位情况</w:t>
      </w:r>
    </w:p>
    <w:p>
      <w:pPr>
        <w:spacing w:line="240" w:lineRule="auto" w:before="1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332"/>
        <w:gridCol w:w="1584"/>
        <w:gridCol w:w="1728"/>
        <w:gridCol w:w="1311"/>
        <w:gridCol w:w="1853"/>
      </w:tblGrid>
      <w:tr>
        <w:trPr>
          <w:trHeight w:val="590"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90"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亚先（香港）国际有限公司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预付股权收购款</w:t>
            </w:r>
          </w:p>
        </w:tc>
      </w:tr>
      <w:tr>
        <w:trPr>
          <w:trHeight w:val="590"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广东太阳纸业有限公司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14,858,378.13</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88"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宁波舜塑科技实业有限公司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3,629,975.74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90"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3,200,000.00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591"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富维薄膜（山东）有限公司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2,613,648.90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90"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39,302,002.77</w:t>
            </w:r>
          </w:p>
        </w:tc>
        <w:tc>
          <w:tcPr>
            <w:tcW w:w="131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）本报告期末预付款项余额中无预付持有本公司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以上表决权股份的股东单位款项。</w:t>
      </w:r>
    </w:p>
    <w:p>
      <w:pPr>
        <w:spacing w:after="0"/>
        <w:jc w:val="left"/>
        <w:rPr>
          <w:rFonts w:ascii="宋体" w:hAnsi="宋体" w:cs="宋体" w:eastAsia="宋体" w:hint="default"/>
          <w:sz w:val="18"/>
          <w:szCs w:val="18"/>
        </w:rPr>
        <w:sectPr>
          <w:pgSz w:w="11910" w:h="16840"/>
          <w:pgMar w:header="0" w:footer="956" w:top="1140" w:bottom="1140" w:left="1000" w:right="0"/>
        </w:sectPr>
      </w:pPr>
    </w:p>
    <w:p>
      <w:pPr>
        <w:spacing w:line="240" w:lineRule="auto" w:before="3"/>
        <w:rPr>
          <w:rFonts w:ascii="宋体" w:hAnsi="宋体" w:cs="宋体" w:eastAsia="宋体" w:hint="default"/>
          <w:sz w:val="14"/>
          <w:szCs w:val="14"/>
        </w:rPr>
      </w:pPr>
    </w:p>
    <w:p>
      <w:pPr>
        <w:spacing w:before="36"/>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）其他应收款按种类披露</w:t>
      </w:r>
    </w:p>
    <w:p>
      <w:pPr>
        <w:spacing w:line="240" w:lineRule="auto" w:before="6"/>
        <w:rPr>
          <w:rFonts w:ascii="宋体" w:hAnsi="宋体" w:cs="宋体" w:eastAsia="宋体" w:hint="default"/>
          <w:sz w:val="16"/>
          <w:szCs w:val="16"/>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59" w:hRule="exact"/>
        </w:trPr>
        <w:tc>
          <w:tcPr>
            <w:tcW w:w="43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62" w:hRule="exact"/>
        </w:trPr>
        <w:tc>
          <w:tcPr>
            <w:tcW w:w="4395"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9" w:hRule="exact"/>
        </w:trPr>
        <w:tc>
          <w:tcPr>
            <w:tcW w:w="4395"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59"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787" w:right="0"/>
              <w:jc w:val="left"/>
              <w:rPr>
                <w:rFonts w:ascii="Times New Roman" w:hAnsi="Times New Roman" w:cs="Times New Roman" w:eastAsia="Times New Roman" w:hint="default"/>
                <w:sz w:val="18"/>
                <w:szCs w:val="18"/>
              </w:rPr>
            </w:pPr>
            <w:r>
              <w:rPr>
                <w:rFonts w:ascii="Times New Roman"/>
                <w:sz w:val="18"/>
              </w:rPr>
              <w:t>2,713,957.63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646" w:right="0"/>
              <w:jc w:val="left"/>
              <w:rPr>
                <w:rFonts w:ascii="Times New Roman" w:hAnsi="Times New Roman" w:cs="Times New Roman" w:eastAsia="Times New Roman" w:hint="default"/>
                <w:sz w:val="18"/>
                <w:szCs w:val="18"/>
              </w:rPr>
            </w:pPr>
            <w:r>
              <w:rPr>
                <w:rFonts w:ascii="Times New Roman"/>
                <w:sz w:val="18"/>
              </w:rPr>
              <w:t>2,713,957.63</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6"/>
        <w:rPr>
          <w:rFonts w:ascii="宋体" w:hAnsi="宋体" w:cs="宋体" w:eastAsia="宋体" w:hint="default"/>
          <w:sz w:val="15"/>
          <w:szCs w:val="15"/>
        </w:rPr>
      </w:pPr>
    </w:p>
    <w:p>
      <w:pPr>
        <w:spacing w:before="44"/>
        <w:ind w:left="240" w:right="1119"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5"/>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5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单项金额重大未出现减值迹象的其他应收账款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99,320,357.00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84.41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4,966,017.85</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w:t>
            </w:r>
          </w:p>
        </w:tc>
      </w:tr>
      <w:tr>
        <w:trPr>
          <w:trHeight w:val="55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单项金额不重大未出现减值迹象的其他应收账款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13,086,882.88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11.12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654,344.17</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w:t>
            </w:r>
          </w:p>
        </w:tc>
      </w:tr>
      <w:tr>
        <w:trPr>
          <w:trHeight w:val="562"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112,407,239.88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95.53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5,620,362.02</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w:t>
            </w:r>
          </w:p>
        </w:tc>
      </w:tr>
      <w:tr>
        <w:trPr>
          <w:trHeight w:val="55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2,549,600.03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2,549,600.03</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r>
      <w:tr>
        <w:trPr>
          <w:trHeight w:val="55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117,670,797.54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10,883,919.68</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9.25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tbl>
      <w:tblPr>
        <w:tblW w:w="0" w:type="auto"/>
        <w:jc w:val="left"/>
        <w:tblInd w:w="13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60" w:hRule="exact"/>
        </w:trPr>
        <w:tc>
          <w:tcPr>
            <w:tcW w:w="43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4395"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62" w:hRule="exact"/>
        </w:trPr>
        <w:tc>
          <w:tcPr>
            <w:tcW w:w="4395"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59"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787" w:right="0"/>
              <w:jc w:val="left"/>
              <w:rPr>
                <w:rFonts w:ascii="Times New Roman" w:hAnsi="Times New Roman" w:cs="Times New Roman" w:eastAsia="Times New Roman" w:hint="default"/>
                <w:sz w:val="18"/>
                <w:szCs w:val="18"/>
              </w:rPr>
            </w:pPr>
            <w:r>
              <w:rPr>
                <w:rFonts w:ascii="Times New Roman"/>
                <w:sz w:val="18"/>
              </w:rPr>
              <w:t>2,713,957.63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646" w:right="0"/>
              <w:jc w:val="left"/>
              <w:rPr>
                <w:rFonts w:ascii="Times New Roman" w:hAnsi="Times New Roman" w:cs="Times New Roman" w:eastAsia="Times New Roman" w:hint="default"/>
                <w:sz w:val="18"/>
                <w:szCs w:val="18"/>
              </w:rPr>
            </w:pPr>
            <w:r>
              <w:rPr>
                <w:rFonts w:ascii="Times New Roman"/>
                <w:sz w:val="18"/>
              </w:rPr>
              <w:t>2,713,957.63</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8"/>
        <w:rPr>
          <w:rFonts w:ascii="宋体" w:hAnsi="宋体" w:cs="宋体" w:eastAsia="宋体" w:hint="default"/>
          <w:sz w:val="17"/>
          <w:szCs w:val="17"/>
        </w:rPr>
      </w:pPr>
    </w:p>
    <w:p>
      <w:pPr>
        <w:spacing w:before="44"/>
        <w:ind w:left="240" w:right="1119"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5"/>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9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单项金额重大未出现减值迹象的其他应收账款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68.43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1,300,000.00</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61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单项金额不重大未出现减值迹象的其他应收账款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7,222,808.07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19,02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373,313.89</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61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33,222,808.07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87.45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1,673,313.89</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61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2,056,666.91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2,056,666.91</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1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37,993,432.61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6,443,938.43</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16.96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140" w:bottom="1140" w:left="1000" w:right="0"/>
        </w:sectPr>
      </w:pPr>
    </w:p>
    <w:p>
      <w:pPr>
        <w:spacing w:line="240" w:lineRule="auto" w:before="9"/>
        <w:rPr>
          <w:rFonts w:ascii="宋体" w:hAnsi="宋体" w:cs="宋体" w:eastAsia="宋体" w:hint="default"/>
          <w:sz w:val="20"/>
          <w:szCs w:val="20"/>
        </w:rPr>
      </w:pPr>
    </w:p>
    <w:p>
      <w:pPr>
        <w:spacing w:line="614" w:lineRule="auto" w:before="44"/>
        <w:ind w:left="601" w:right="2004" w:hanging="469"/>
        <w:jc w:val="left"/>
        <w:rPr>
          <w:rFonts w:ascii="宋体" w:hAnsi="宋体" w:cs="宋体" w:eastAsia="宋体" w:hint="default"/>
          <w:sz w:val="18"/>
          <w:szCs w:val="18"/>
        </w:rPr>
      </w:pPr>
      <w:r>
        <w:rPr>
          <w:rFonts w:ascii="宋体" w:hAnsi="宋体" w:cs="宋体" w:eastAsia="宋体" w:hint="default"/>
          <w:sz w:val="18"/>
          <w:szCs w:val="18"/>
        </w:rPr>
        <w:t>其他应收款种类的说明： 本公司根据公司经营规模、业务性质及客户结算状况等确定单项金额重大的其他应收款标准为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p>
      <w:pPr>
        <w:spacing w:line="499" w:lineRule="auto" w:before="0"/>
        <w:ind w:left="240" w:right="1118" w:firstLine="36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单项金额重大并单项计提坏账准备的其他应收款是指期末余额在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万元以上，经减值测试后如存在减值迹象，按其 未来现金流量现值低于账面价值的差额，确认减值损失，计提坏账准备；</w:t>
      </w:r>
    </w:p>
    <w:p>
      <w:pPr>
        <w:spacing w:line="537" w:lineRule="auto" w:before="131"/>
        <w:ind w:left="601" w:right="1119" w:firstLine="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单项金额重大未出现减值迹象的其他应收款是指期末余额在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万元以上，经减值测试后不存在减值迹象； </w:t>
      </w:r>
      <w:r>
        <w:rPr>
          <w:rFonts w:ascii="宋体" w:hAnsi="宋体" w:cs="宋体" w:eastAsia="宋体" w:hint="default"/>
          <w:spacing w:val="-1"/>
          <w:sz w:val="18"/>
          <w:szCs w:val="18"/>
        </w:rPr>
        <w:t>单项金额不重大未出现减值迹象的其他应收款是指账龄较短（一般是指三年以内），可以取得债务人确认并预计可以</w:t>
      </w:r>
    </w:p>
    <w:p>
      <w:pPr>
        <w:spacing w:before="62"/>
        <w:ind w:left="240" w:right="1119" w:firstLine="0"/>
        <w:jc w:val="left"/>
        <w:rPr>
          <w:rFonts w:ascii="宋体" w:hAnsi="宋体" w:cs="宋体" w:eastAsia="宋体" w:hint="default"/>
          <w:sz w:val="18"/>
          <w:szCs w:val="18"/>
        </w:rPr>
      </w:pPr>
      <w:r>
        <w:rPr>
          <w:rFonts w:ascii="宋体" w:hAnsi="宋体" w:cs="宋体" w:eastAsia="宋体" w:hint="default"/>
          <w:sz w:val="18"/>
          <w:szCs w:val="18"/>
        </w:rPr>
        <w:t>收回的其他应收款；</w:t>
      </w:r>
    </w:p>
    <w:p>
      <w:pPr>
        <w:spacing w:line="240" w:lineRule="auto" w:before="10"/>
        <w:rPr>
          <w:rFonts w:ascii="宋体" w:hAnsi="宋体" w:cs="宋体" w:eastAsia="宋体" w:hint="default"/>
          <w:sz w:val="24"/>
          <w:szCs w:val="24"/>
        </w:rPr>
      </w:pPr>
    </w:p>
    <w:p>
      <w:pPr>
        <w:spacing w:line="501" w:lineRule="auto" w:before="0"/>
        <w:ind w:left="240" w:right="1118" w:firstLine="36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单项金额虽不重大但单项计提坏账准备的其他应收款是指单笔金额在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万元以下，且有明显特征表明该等款项难以 收回的其他应收款。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240" w:lineRule="auto" w:before="10"/>
        <w:rPr>
          <w:rFonts w:ascii="宋体" w:hAnsi="宋体" w:cs="宋体" w:eastAsia="宋体" w:hint="default"/>
          <w:sz w:val="24"/>
          <w:szCs w:val="24"/>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693"/>
        <w:gridCol w:w="1702"/>
        <w:gridCol w:w="1561"/>
        <w:gridCol w:w="1699"/>
      </w:tblGrid>
      <w:tr>
        <w:trPr>
          <w:trHeight w:val="610" w:hRule="exact"/>
        </w:trPr>
        <w:tc>
          <w:tcPr>
            <w:tcW w:w="4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10" w:hRule="exact"/>
        </w:trPr>
        <w:tc>
          <w:tcPr>
            <w:tcW w:w="4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单项金额重大未出现减值迹象的其他应收账款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99,320,357.00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4,966,017.85</w:t>
            </w:r>
          </w:p>
        </w:tc>
      </w:tr>
      <w:tr>
        <w:trPr>
          <w:trHeight w:val="610" w:hRule="exact"/>
        </w:trPr>
        <w:tc>
          <w:tcPr>
            <w:tcW w:w="4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单项金额不重大未出现减值迹象的其他应收账款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13,086,882.88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654,344.17</w:t>
            </w:r>
          </w:p>
        </w:tc>
      </w:tr>
      <w:tr>
        <w:trPr>
          <w:trHeight w:val="612" w:hRule="exact"/>
        </w:trPr>
        <w:tc>
          <w:tcPr>
            <w:tcW w:w="4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112,407,239.88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5,620,362.02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期末单项金额重大或虽不重大但单独进行减值测试的其他应收款坏账准备计提情况</w:t>
      </w:r>
    </w:p>
    <w:p>
      <w:pPr>
        <w:spacing w:line="240" w:lineRule="auto" w:before="11"/>
        <w:rPr>
          <w:rFonts w:ascii="宋体" w:hAnsi="宋体" w:cs="宋体" w:eastAsia="宋体" w:hint="default"/>
          <w:sz w:val="19"/>
          <w:szCs w:val="19"/>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135"/>
        <w:gridCol w:w="1627"/>
        <w:gridCol w:w="1632"/>
        <w:gridCol w:w="1633"/>
        <w:gridCol w:w="1627"/>
      </w:tblGrid>
      <w:tr>
        <w:trPr>
          <w:trHeight w:val="56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6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深圳市宜美特科技有限公司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1,713,957.63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1,713,957.63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5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深圳市泛彩溢实业有限公司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5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广宁利源包装装璜材料有限公司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573,166.67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573,166.67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6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中宝拍卖有限公司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385,000.00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385,000.00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5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曲靖市珠江印刷厂</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bl>
    <w:p>
      <w:pPr>
        <w:spacing w:after="0" w:line="240" w:lineRule="auto"/>
        <w:jc w:val="center"/>
        <w:rPr>
          <w:rFonts w:ascii="宋体" w:hAnsi="宋体" w:cs="宋体" w:eastAsia="宋体" w:hint="default"/>
          <w:sz w:val="18"/>
          <w:szCs w:val="18"/>
        </w:rPr>
        <w:sectPr>
          <w:headerReference w:type="default" r:id="rId58"/>
          <w:pgSz w:w="11910" w:h="16840"/>
          <w:pgMar w:header="920" w:footer="956" w:top="1140" w:bottom="1140" w:left="1000" w:right="0"/>
        </w:sectPr>
      </w:pPr>
    </w:p>
    <w:p>
      <w:pPr>
        <w:spacing w:line="240" w:lineRule="auto" w:before="7"/>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3135"/>
        <w:gridCol w:w="1627"/>
        <w:gridCol w:w="1632"/>
        <w:gridCol w:w="1633"/>
        <w:gridCol w:w="1627"/>
      </w:tblGrid>
      <w:tr>
        <w:trPr>
          <w:trHeight w:val="56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名小计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3,972,124.30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3,972,124.30</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其余小计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1,291,433.36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1,291,433.36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6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5,263,557.66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5,263,557.66</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）本期无转回或收回前期已单项计提坏账准备的其他应收款情况。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）本报告期无核销的其他应收款情况。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）本报告期末其他应收款余额中无应收持有本公司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以上表决权股份的股东单位及其他关联方单位款项款项。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）金额较大的其他应收款的性质或内容</w:t>
      </w:r>
    </w:p>
    <w:p>
      <w:pPr>
        <w:spacing w:line="240" w:lineRule="auto" w:before="11"/>
        <w:rPr>
          <w:rFonts w:ascii="宋体" w:hAnsi="宋体" w:cs="宋体" w:eastAsia="宋体" w:hint="default"/>
          <w:sz w:val="19"/>
          <w:szCs w:val="19"/>
        </w:rPr>
      </w:pPr>
    </w:p>
    <w:p>
      <w:pPr>
        <w:spacing w:before="0"/>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765"/>
        <w:gridCol w:w="4751"/>
      </w:tblGrid>
      <w:tr>
        <w:trPr>
          <w:trHeight w:val="559" w:hRule="exact"/>
        </w:trPr>
        <w:tc>
          <w:tcPr>
            <w:tcW w:w="4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款项性质或内容</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59" w:hRule="exact"/>
        </w:trPr>
        <w:tc>
          <w:tcPr>
            <w:tcW w:w="4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88,000,000.00</w:t>
            </w:r>
          </w:p>
        </w:tc>
      </w:tr>
      <w:tr>
        <w:trPr>
          <w:trHeight w:val="562" w:hRule="exact"/>
        </w:trPr>
        <w:tc>
          <w:tcPr>
            <w:tcW w:w="4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8,600,000.00</w:t>
            </w:r>
          </w:p>
        </w:tc>
      </w:tr>
      <w:tr>
        <w:trPr>
          <w:trHeight w:val="559" w:hRule="exact"/>
        </w:trPr>
        <w:tc>
          <w:tcPr>
            <w:tcW w:w="4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应收往来款</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5,499,132.90</w:t>
            </w:r>
          </w:p>
        </w:tc>
      </w:tr>
      <w:tr>
        <w:trPr>
          <w:trHeight w:val="559" w:hRule="exact"/>
        </w:trPr>
        <w:tc>
          <w:tcPr>
            <w:tcW w:w="4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6,880,809.79</w:t>
            </w:r>
          </w:p>
        </w:tc>
      </w:tr>
      <w:tr>
        <w:trPr>
          <w:trHeight w:val="562" w:hRule="exact"/>
        </w:trPr>
        <w:tc>
          <w:tcPr>
            <w:tcW w:w="4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2,702,830.04</w:t>
            </w:r>
          </w:p>
        </w:tc>
      </w:tr>
      <w:tr>
        <w:trPr>
          <w:trHeight w:val="559" w:hRule="exact"/>
        </w:trPr>
        <w:tc>
          <w:tcPr>
            <w:tcW w:w="4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工程监督保证金</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1,020,357.00</w:t>
            </w:r>
          </w:p>
        </w:tc>
      </w:tr>
      <w:tr>
        <w:trPr>
          <w:trHeight w:val="559" w:hRule="exact"/>
        </w:trPr>
        <w:tc>
          <w:tcPr>
            <w:tcW w:w="4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1,013,319.02</w:t>
            </w:r>
          </w:p>
        </w:tc>
      </w:tr>
      <w:tr>
        <w:trPr>
          <w:trHeight w:val="562" w:hRule="exact"/>
        </w:trPr>
        <w:tc>
          <w:tcPr>
            <w:tcW w:w="4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贷款保证金</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559" w:hRule="exact"/>
        </w:trPr>
        <w:tc>
          <w:tcPr>
            <w:tcW w:w="4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114,716,448.75</w:t>
            </w:r>
          </w:p>
        </w:tc>
      </w:tr>
    </w:tbl>
    <w:p>
      <w:pPr>
        <w:spacing w:line="240" w:lineRule="auto" w:before="8"/>
        <w:rPr>
          <w:rFonts w:ascii="宋体" w:hAnsi="宋体" w:cs="宋体" w:eastAsia="宋体" w:hint="default"/>
          <w:sz w:val="17"/>
          <w:szCs w:val="17"/>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）本报告期末其他应收款前五名欠款单位情况</w:t>
      </w:r>
    </w:p>
    <w:p>
      <w:pPr>
        <w:spacing w:line="240" w:lineRule="auto" w:before="0"/>
        <w:rPr>
          <w:rFonts w:ascii="宋体" w:hAnsi="宋体" w:cs="宋体" w:eastAsia="宋体" w:hint="default"/>
          <w:sz w:val="19"/>
          <w:szCs w:val="19"/>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419"/>
        <w:gridCol w:w="1558"/>
        <w:gridCol w:w="1560"/>
        <w:gridCol w:w="1561"/>
        <w:gridCol w:w="1558"/>
      </w:tblGrid>
      <w:tr>
        <w:trPr>
          <w:trHeight w:val="93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440" w:lineRule="exact" w:before="34"/>
              <w:ind w:left="192" w:right="190"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r>
    </w:tbl>
    <w:p>
      <w:pPr>
        <w:spacing w:after="0" w:line="440" w:lineRule="exact"/>
        <w:jc w:val="left"/>
        <w:rPr>
          <w:rFonts w:ascii="Times New Roman" w:hAnsi="Times New Roman" w:cs="Times New Roman" w:eastAsia="Times New Roman" w:hint="default"/>
          <w:sz w:val="18"/>
          <w:szCs w:val="18"/>
        </w:rPr>
        <w:sectPr>
          <w:pgSz w:w="11910" w:h="16840"/>
          <w:pgMar w:header="920" w:footer="956" w:top="1140" w:bottom="1140" w:left="1000" w:right="0"/>
        </w:sectPr>
      </w:pPr>
    </w:p>
    <w:p>
      <w:pPr>
        <w:spacing w:line="240" w:lineRule="auto" w:before="7"/>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3419"/>
        <w:gridCol w:w="1558"/>
        <w:gridCol w:w="1560"/>
        <w:gridCol w:w="1561"/>
        <w:gridCol w:w="1558"/>
      </w:tblGrid>
      <w:tr>
        <w:trPr>
          <w:trHeight w:val="59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湖州启丰投资有限公司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88,000,000.00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74.78</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安徽中烟工业有限责任公司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5.52</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深圳市宜美特科技有限公司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2,702,830.04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2.30</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1.53</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深圳市宝安区财政局</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1,020,357.00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0.87</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tabs>
                <w:tab w:pos="563" w:val="left" w:leader="none"/>
              </w:tabs>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100,023,187.04</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）本报告期末其他应收款余额中无应收持有本公司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以上表决权股份的股东单位及其他关联方单位的款项。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）本报告期无终止确认的其他应收款项情况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）本报告期无以其他应收款项为标的进行证券化的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before="0"/>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）存货分类</w:t>
      </w:r>
    </w:p>
    <w:p>
      <w:pPr>
        <w:spacing w:line="240" w:lineRule="auto" w:before="3"/>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323"/>
        <w:gridCol w:w="1393"/>
        <w:gridCol w:w="1394"/>
        <w:gridCol w:w="1395"/>
        <w:gridCol w:w="1394"/>
        <w:gridCol w:w="1395"/>
        <w:gridCol w:w="1394"/>
      </w:tblGrid>
      <w:tr>
        <w:trPr>
          <w:trHeight w:val="590" w:hRule="exact"/>
        </w:trPr>
        <w:tc>
          <w:tcPr>
            <w:tcW w:w="132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8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1323" w:type="dxa"/>
            <w:vMerge/>
            <w:tcBorders>
              <w:left w:val="nil" w:sz="6" w:space="0" w:color="auto"/>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90"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71,447,323.00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2,994,582.18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68,452,740.82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95,627,196.51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1,880,314.59</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93,746,881.92</w:t>
            </w:r>
            <w:r>
              <w:rPr>
                <w:rFonts w:ascii="Times New Roman"/>
                <w:sz w:val="18"/>
              </w:rPr>
            </w:r>
          </w:p>
        </w:tc>
      </w:tr>
      <w:tr>
        <w:trPr>
          <w:trHeight w:val="610"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6,369,435.86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6,369,435.86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4,590,424.80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4,590,424.80</w:t>
            </w:r>
          </w:p>
        </w:tc>
      </w:tr>
      <w:tr>
        <w:trPr>
          <w:trHeight w:val="610"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27,760,152.79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27,760,152.79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36,559,627.65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36,559,627.65</w:t>
            </w:r>
          </w:p>
        </w:tc>
      </w:tr>
      <w:tr>
        <w:trPr>
          <w:trHeight w:val="610"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164,274,130.83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3,544,944.31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160,729,186.52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172,721,723.37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2,966,766.22</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169,754,957.15</w:t>
            </w:r>
          </w:p>
        </w:tc>
      </w:tr>
      <w:tr>
        <w:trPr>
          <w:trHeight w:val="610"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244,173,953.09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6,266,264.40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237,907,688.69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209,218,784.37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5,547,039.92</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203,671,744.45</w:t>
            </w:r>
          </w:p>
        </w:tc>
      </w:tr>
      <w:tr>
        <w:trPr>
          <w:trHeight w:val="612"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514,024,995.57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12,805,790.89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501,219,204.68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518,717,756.70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10,394,120.73</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508,323,635.97</w:t>
            </w:r>
          </w:p>
        </w:tc>
      </w:tr>
    </w:tbl>
    <w:p>
      <w:pPr>
        <w:spacing w:after="0" w:line="240" w:lineRule="auto"/>
        <w:jc w:val="right"/>
        <w:rPr>
          <w:rFonts w:ascii="Times New Roman" w:hAnsi="Times New Roman" w:cs="Times New Roman" w:eastAsia="Times New Roman" w:hint="default"/>
          <w:sz w:val="18"/>
          <w:szCs w:val="18"/>
        </w:rPr>
        <w:sectPr>
          <w:pgSz w:w="11910" w:h="16840"/>
          <w:pgMar w:header="920" w:footer="956" w:top="1140" w:bottom="1140" w:left="980" w:right="0"/>
        </w:sectPr>
      </w:pPr>
    </w:p>
    <w:p>
      <w:pPr>
        <w:spacing w:line="240" w:lineRule="auto" w:before="9"/>
        <w:rPr>
          <w:rFonts w:ascii="宋体" w:hAnsi="宋体" w:cs="宋体" w:eastAsia="宋体" w:hint="default"/>
          <w:sz w:val="20"/>
          <w:szCs w:val="20"/>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）存货跌价准备</w:t>
      </w:r>
    </w:p>
    <w:p>
      <w:pPr>
        <w:spacing w:line="240" w:lineRule="auto" w:before="7"/>
        <w:rPr>
          <w:rFonts w:ascii="宋体" w:hAnsi="宋体" w:cs="宋体" w:eastAsia="宋体" w:hint="default"/>
          <w:sz w:val="20"/>
          <w:szCs w:val="20"/>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141"/>
        <w:gridCol w:w="1561"/>
        <w:gridCol w:w="1416"/>
        <w:gridCol w:w="1419"/>
        <w:gridCol w:w="1419"/>
        <w:gridCol w:w="1699"/>
      </w:tblGrid>
      <w:tr>
        <w:trPr>
          <w:trHeight w:val="610" w:hRule="exact"/>
        </w:trPr>
        <w:tc>
          <w:tcPr>
            <w:tcW w:w="21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718"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4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9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610" w:hRule="exact"/>
        </w:trPr>
        <w:tc>
          <w:tcPr>
            <w:tcW w:w="2141" w:type="dxa"/>
            <w:vMerge/>
            <w:tcBorders>
              <w:left w:val="nil" w:sz="6" w:space="0" w:color="auto"/>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699" w:type="dxa"/>
            <w:vMerge/>
            <w:tcBorders>
              <w:left w:val="single" w:sz="4" w:space="0" w:color="000000"/>
              <w:bottom w:val="single" w:sz="4" w:space="0" w:color="000000"/>
              <w:right w:val="nil" w:sz="6" w:space="0" w:color="auto"/>
            </w:tcBorders>
          </w:tcPr>
          <w:p>
            <w:pPr/>
          </w:p>
        </w:tc>
      </w:tr>
      <w:tr>
        <w:trPr>
          <w:trHeight w:val="612"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1,880,314.59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2,525,983.88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1,027,976.82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383,739.47</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2,994,582.18</w:t>
            </w:r>
          </w:p>
        </w:tc>
      </w:tr>
      <w:tr>
        <w:trPr>
          <w:trHeight w:val="61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2,966,766.22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1,514,096.24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813,936.36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121,981.79</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3,544,944.31</w:t>
            </w:r>
          </w:p>
        </w:tc>
      </w:tr>
      <w:tr>
        <w:trPr>
          <w:trHeight w:val="61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5,547,039.92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3,196,056.82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2,476,832.34</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6,266,264.40</w:t>
            </w:r>
          </w:p>
        </w:tc>
      </w:tr>
      <w:tr>
        <w:trPr>
          <w:trHeight w:val="61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10,394,120.73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7,236,136.94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1,841,913.18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2,982,553.60</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12,805,790.89</w:t>
            </w:r>
          </w:p>
        </w:tc>
      </w:tr>
    </w:tbl>
    <w:p>
      <w:pPr>
        <w:spacing w:line="240" w:lineRule="auto" w:before="3"/>
        <w:rPr>
          <w:rFonts w:ascii="宋体" w:hAnsi="宋体" w:cs="宋体" w:eastAsia="宋体" w:hint="default"/>
          <w:sz w:val="19"/>
          <w:szCs w:val="19"/>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本期其他减少系原控股子公司天外绿包股权转让日的存货跌价准备账面余额。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）存货跌价准备情况</w:t>
      </w:r>
    </w:p>
    <w:p>
      <w:pPr>
        <w:spacing w:line="240" w:lineRule="auto" w:before="2"/>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1181"/>
        <w:gridCol w:w="2410"/>
        <w:gridCol w:w="2662"/>
        <w:gridCol w:w="3464"/>
      </w:tblGrid>
      <w:tr>
        <w:trPr>
          <w:trHeight w:val="1169"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560" w:lineRule="exact" w:before="58"/>
              <w:ind w:left="1144" w:right="334" w:hanging="809"/>
              <w:jc w:val="left"/>
              <w:rPr>
                <w:rFonts w:ascii="宋体" w:hAnsi="宋体" w:cs="宋体" w:eastAsia="宋体" w:hint="default"/>
                <w:sz w:val="18"/>
                <w:szCs w:val="18"/>
              </w:rPr>
            </w:pPr>
            <w:r>
              <w:rPr>
                <w:rFonts w:ascii="宋体" w:hAnsi="宋体" w:cs="宋体" w:eastAsia="宋体" w:hint="default"/>
                <w:sz w:val="18"/>
                <w:szCs w:val="18"/>
              </w:rPr>
              <w:t>本期转回存货跌价准备的 原因</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本期转回金额占该项存货期末余额的比例</w:t>
            </w:r>
          </w:p>
        </w:tc>
      </w:tr>
      <w:tr>
        <w:trPr>
          <w:trHeight w:val="612"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未转回</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未转回</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未转回</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）存货期末余额中无借款费用资本化金额。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3"/>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、委托贷款</w:t>
      </w:r>
      <w:r>
        <w:rPr>
          <w:rFonts w:ascii="宋体" w:hAnsi="宋体" w:cs="宋体" w:eastAsia="宋体" w:hint="default"/>
          <w:sz w:val="21"/>
          <w:szCs w:val="21"/>
        </w:rPr>
      </w:r>
    </w:p>
    <w:p>
      <w:pPr>
        <w:spacing w:line="240" w:lineRule="auto" w:before="5"/>
        <w:rPr>
          <w:rFonts w:ascii="宋体" w:hAnsi="宋体" w:cs="宋体" w:eastAsia="宋体" w:hint="default"/>
          <w:b/>
          <w:bCs/>
          <w:sz w:val="20"/>
          <w:szCs w:val="20"/>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985"/>
        <w:gridCol w:w="2458"/>
        <w:gridCol w:w="3212"/>
      </w:tblGrid>
      <w:tr>
        <w:trPr>
          <w:trHeight w:val="612"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贷款单位名称</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1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连云港香溢置业有限公司</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61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20" w:footer="956" w:top="1140" w:bottom="1140" w:left="980" w:right="0"/>
        </w:sectPr>
      </w:pPr>
    </w:p>
    <w:p>
      <w:pPr>
        <w:spacing w:line="240" w:lineRule="auto" w:before="11"/>
        <w:rPr>
          <w:rFonts w:ascii="宋体" w:hAnsi="宋体" w:cs="宋体" w:eastAsia="宋体" w:hint="default"/>
          <w:sz w:val="20"/>
          <w:szCs w:val="20"/>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期初委托贷款本期已到期收回。</w:t>
      </w:r>
    </w:p>
    <w:p>
      <w:pPr>
        <w:spacing w:line="240" w:lineRule="auto" w:before="1"/>
        <w:rPr>
          <w:rFonts w:ascii="宋体" w:hAnsi="宋体" w:cs="宋体" w:eastAsia="宋体" w:hint="default"/>
          <w:sz w:val="20"/>
          <w:szCs w:val="20"/>
        </w:rPr>
      </w:pPr>
    </w:p>
    <w:p>
      <w:pPr>
        <w:spacing w:before="0"/>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、对联营企业投资</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716"/>
        <w:gridCol w:w="1419"/>
        <w:gridCol w:w="1308"/>
        <w:gridCol w:w="1136"/>
        <w:gridCol w:w="1274"/>
        <w:gridCol w:w="901"/>
        <w:gridCol w:w="898"/>
        <w:gridCol w:w="1003"/>
      </w:tblGrid>
      <w:tr>
        <w:trPr>
          <w:trHeight w:val="1174"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405" w:lineRule="auto"/>
              <w:ind w:left="386" w:right="250"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369" w:lineRule="auto" w:before="135"/>
              <w:ind w:left="16" w:right="14"/>
              <w:jc w:val="center"/>
              <w:rPr>
                <w:rFonts w:ascii="宋体" w:hAnsi="宋体" w:cs="宋体" w:eastAsia="宋体" w:hint="default"/>
                <w:sz w:val="18"/>
                <w:szCs w:val="18"/>
              </w:rPr>
            </w:pPr>
            <w:r>
              <w:rPr>
                <w:rFonts w:ascii="宋体" w:hAnsi="宋体" w:cs="宋体" w:eastAsia="宋体" w:hint="default"/>
                <w:sz w:val="18"/>
                <w:szCs w:val="18"/>
              </w:rPr>
              <w:t>本企业在被投资 单位表决权比例</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期末资产总额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期末负债总额</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67" w:lineRule="auto"/>
              <w:ind w:left="175" w:right="80" w:hanging="92"/>
              <w:jc w:val="left"/>
              <w:rPr>
                <w:rFonts w:ascii="宋体" w:hAnsi="宋体" w:cs="宋体" w:eastAsia="宋体" w:hint="default"/>
                <w:sz w:val="18"/>
                <w:szCs w:val="18"/>
              </w:rPr>
            </w:pPr>
            <w:r>
              <w:rPr>
                <w:rFonts w:ascii="宋体" w:hAnsi="宋体" w:cs="宋体" w:eastAsia="宋体" w:hint="default"/>
                <w:sz w:val="18"/>
                <w:szCs w:val="18"/>
              </w:rPr>
              <w:t>期末净资 产总额</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67" w:lineRule="auto"/>
              <w:ind w:left="83" w:right="77"/>
              <w:jc w:val="left"/>
              <w:rPr>
                <w:rFonts w:ascii="宋体" w:hAnsi="宋体" w:cs="宋体" w:eastAsia="宋体" w:hint="default"/>
                <w:sz w:val="18"/>
                <w:szCs w:val="18"/>
              </w:rPr>
            </w:pPr>
            <w:r>
              <w:rPr>
                <w:rFonts w:ascii="宋体" w:hAnsi="宋体" w:cs="宋体" w:eastAsia="宋体" w:hint="default"/>
                <w:sz w:val="18"/>
                <w:szCs w:val="18"/>
              </w:rPr>
              <w:t>本期营业 收入总额</w:t>
            </w:r>
          </w:p>
        </w:tc>
        <w:tc>
          <w:tcPr>
            <w:tcW w:w="100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763"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0" w:lineRule="exact"/>
              <w:ind w:left="14" w:right="-12"/>
              <w:jc w:val="left"/>
              <w:rPr>
                <w:rFonts w:ascii="宋体" w:hAnsi="宋体" w:cs="宋体" w:eastAsia="宋体" w:hint="default"/>
                <w:sz w:val="18"/>
                <w:szCs w:val="18"/>
              </w:rPr>
            </w:pPr>
            <w:r>
              <w:rPr>
                <w:rFonts w:ascii="宋体" w:hAnsi="宋体" w:cs="宋体" w:eastAsia="宋体" w:hint="default"/>
                <w:spacing w:val="9"/>
                <w:sz w:val="18"/>
                <w:szCs w:val="18"/>
              </w:rPr>
              <w:t>武汉欣亚欣纸业有限 </w:t>
            </w:r>
            <w:r>
              <w:rPr>
                <w:rFonts w:ascii="宋体" w:hAnsi="宋体" w:cs="宋体" w:eastAsia="宋体" w:hint="default"/>
                <w:sz w:val="18"/>
                <w:szCs w:val="18"/>
              </w:rPr>
              <w:t>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35.00</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35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184.88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208.21</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1" w:right="0"/>
              <w:jc w:val="left"/>
              <w:rPr>
                <w:rFonts w:ascii="Times New Roman" w:hAnsi="Times New Roman" w:cs="Times New Roman" w:eastAsia="Times New Roman" w:hint="default"/>
                <w:sz w:val="18"/>
                <w:szCs w:val="18"/>
              </w:rPr>
            </w:pPr>
            <w:r>
              <w:rPr>
                <w:rFonts w:ascii="Times New Roman"/>
                <w:sz w:val="18"/>
              </w:rPr>
              <w:t>-23.34</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6" w:right="0"/>
              <w:jc w:val="left"/>
              <w:rPr>
                <w:rFonts w:ascii="Times New Roman" w:hAnsi="Times New Roman" w:cs="Times New Roman" w:eastAsia="Times New Roman" w:hint="default"/>
                <w:sz w:val="18"/>
                <w:szCs w:val="18"/>
              </w:rPr>
            </w:pPr>
            <w:r>
              <w:rPr>
                <w:rFonts w:ascii="Times New Roman"/>
                <w:sz w:val="18"/>
              </w:rPr>
              <w:t>324.67</w:t>
            </w:r>
          </w:p>
        </w:tc>
        <w:tc>
          <w:tcPr>
            <w:tcW w:w="100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-56.74</w:t>
            </w:r>
          </w:p>
        </w:tc>
      </w:tr>
    </w:tbl>
    <w:p>
      <w:pPr>
        <w:spacing w:line="240" w:lineRule="auto" w:before="8"/>
        <w:rPr>
          <w:rFonts w:ascii="宋体" w:hAnsi="宋体" w:cs="宋体" w:eastAsia="宋体" w:hint="default"/>
          <w:sz w:val="17"/>
          <w:szCs w:val="17"/>
        </w:rPr>
      </w:pPr>
    </w:p>
    <w:p>
      <w:pPr>
        <w:spacing w:line="554" w:lineRule="auto" w:before="44"/>
        <w:ind w:left="452" w:right="1131" w:firstLine="40"/>
        <w:jc w:val="left"/>
        <w:rPr>
          <w:rFonts w:ascii="宋体" w:hAnsi="宋体" w:cs="宋体" w:eastAsia="宋体" w:hint="default"/>
          <w:sz w:val="18"/>
          <w:szCs w:val="18"/>
        </w:rPr>
      </w:pPr>
      <w:r>
        <w:rPr>
          <w:rFonts w:ascii="宋体" w:hAnsi="宋体" w:cs="宋体" w:eastAsia="宋体" w:hint="default"/>
          <w:sz w:val="18"/>
          <w:szCs w:val="18"/>
        </w:rPr>
        <w:t>联营企业的重要会计政策、会计估计与公司的会计政策、会计估计不存在重大差异。 武汉欣亚欣纸业有限公司因经营不善导致连年亏损，期末账面净资产</w:t>
      </w:r>
      <w:r>
        <w:rPr>
          <w:rFonts w:ascii="Times New Roman" w:hAnsi="Times New Roman" w:cs="Times New Roman" w:eastAsia="Times New Roman" w:hint="default"/>
          <w:sz w:val="18"/>
          <w:szCs w:val="18"/>
        </w:rPr>
        <w:t>-23.34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万元，根据该公司章程，本公司不承担超过</w:t>
      </w:r>
    </w:p>
    <w:p>
      <w:pPr>
        <w:spacing w:line="238" w:lineRule="exact"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投资成本的亏损部分，故本期只确认投资损失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万元投资损失未确认。</w:t>
      </w:r>
    </w:p>
    <w:p>
      <w:pPr>
        <w:spacing w:after="0" w:line="238" w:lineRule="exact"/>
        <w:jc w:val="left"/>
        <w:rPr>
          <w:rFonts w:ascii="宋体" w:hAnsi="宋体" w:cs="宋体" w:eastAsia="宋体" w:hint="default"/>
          <w:sz w:val="18"/>
          <w:szCs w:val="18"/>
        </w:rPr>
        <w:sectPr>
          <w:headerReference w:type="default" r:id="rId59"/>
          <w:pgSz w:w="11910" w:h="16840"/>
          <w:pgMar w:header="920" w:footer="956" w:top="1140" w:bottom="1140" w:left="1000" w:right="0"/>
        </w:sectPr>
      </w:pPr>
    </w:p>
    <w:p>
      <w:pPr>
        <w:spacing w:before="10"/>
        <w:ind w:left="0" w:right="1128" w:firstLine="0"/>
        <w:jc w:val="righ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36"/>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长期股权投资明细情况：</w:t>
      </w:r>
    </w:p>
    <w:p>
      <w:pPr>
        <w:spacing w:line="240" w:lineRule="auto" w:before="11"/>
        <w:rPr>
          <w:rFonts w:ascii="宋体" w:hAnsi="宋体" w:cs="宋体" w:eastAsia="宋体" w:hint="default"/>
          <w:sz w:val="19"/>
          <w:szCs w:val="19"/>
        </w:rPr>
      </w:pPr>
    </w:p>
    <w:p>
      <w:pPr>
        <w:spacing w:before="44"/>
        <w:ind w:left="0" w:right="987"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433"/>
        <w:gridCol w:w="991"/>
        <w:gridCol w:w="1135"/>
        <w:gridCol w:w="1133"/>
        <w:gridCol w:w="1135"/>
        <w:gridCol w:w="1133"/>
        <w:gridCol w:w="1419"/>
        <w:gridCol w:w="1416"/>
        <w:gridCol w:w="1702"/>
        <w:gridCol w:w="710"/>
        <w:gridCol w:w="991"/>
        <w:gridCol w:w="1416"/>
      </w:tblGrid>
      <w:tr>
        <w:trPr>
          <w:trHeight w:val="1171"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64" w:lineRule="auto"/>
              <w:ind w:left="211" w:right="161"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在被投资单位 持股比例</w:t>
            </w:r>
            <w:r>
              <w:rPr>
                <w:rFonts w:ascii="Times New Roman" w:hAnsi="Times New Roman" w:cs="Times New Roman" w:eastAsia="Times New Roman"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64" w:lineRule="auto"/>
              <w:ind w:left="117" w:right="118"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在被投资单位 表决权比例</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137"/>
              <w:ind w:left="124" w:right="125"/>
              <w:jc w:val="center"/>
              <w:rPr>
                <w:rFonts w:ascii="宋体" w:hAnsi="宋体" w:cs="宋体" w:eastAsia="宋体" w:hint="default"/>
                <w:sz w:val="18"/>
                <w:szCs w:val="18"/>
              </w:rPr>
            </w:pPr>
            <w:r>
              <w:rPr>
                <w:rFonts w:ascii="宋体" w:hAnsi="宋体" w:cs="宋体" w:eastAsia="宋体" w:hint="default"/>
                <w:sz w:val="18"/>
                <w:szCs w:val="18"/>
              </w:rPr>
              <w:t>在被投资单位持股 比例与表决权比例 不一致的说明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64" w:lineRule="auto"/>
              <w:ind w:left="170" w:right="16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64" w:lineRule="auto"/>
              <w:ind w:left="129" w:right="131"/>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75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122" w:right="81"/>
              <w:jc w:val="left"/>
              <w:rPr>
                <w:rFonts w:ascii="宋体" w:hAnsi="宋体" w:cs="宋体" w:eastAsia="宋体" w:hint="default"/>
                <w:sz w:val="18"/>
                <w:szCs w:val="18"/>
              </w:rPr>
            </w:pPr>
            <w:r>
              <w:rPr>
                <w:rFonts w:ascii="宋体" w:hAnsi="宋体" w:cs="宋体" w:eastAsia="宋体" w:hint="default"/>
                <w:spacing w:val="20"/>
                <w:sz w:val="18"/>
                <w:szCs w:val="18"/>
              </w:rPr>
              <w:t>安徽万捷防伪</w:t>
            </w:r>
            <w:r>
              <w:rPr>
                <w:rFonts w:ascii="宋体" w:hAnsi="宋体" w:cs="宋体" w:eastAsia="宋体" w:hint="default"/>
                <w:spacing w:val="-66"/>
                <w:sz w:val="18"/>
                <w:szCs w:val="18"/>
              </w:rPr>
              <w:t> </w:t>
            </w:r>
            <w:r>
              <w:rPr>
                <w:rFonts w:ascii="宋体" w:hAnsi="宋体" w:cs="宋体" w:eastAsia="宋体" w:hint="default"/>
                <w:sz w:val="18"/>
                <w:szCs w:val="18"/>
              </w:rPr>
              <w:t>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150,000.00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150,000.00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505,199.98</w:t>
            </w:r>
          </w:p>
        </w:tc>
      </w:tr>
      <w:tr>
        <w:trPr>
          <w:trHeight w:val="75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81"/>
              <w:jc w:val="left"/>
              <w:rPr>
                <w:rFonts w:ascii="宋体" w:hAnsi="宋体" w:cs="宋体" w:eastAsia="宋体" w:hint="default"/>
                <w:sz w:val="18"/>
                <w:szCs w:val="18"/>
              </w:rPr>
            </w:pPr>
            <w:r>
              <w:rPr>
                <w:rFonts w:ascii="宋体" w:hAnsi="宋体" w:cs="宋体" w:eastAsia="宋体" w:hint="default"/>
                <w:spacing w:val="20"/>
                <w:sz w:val="18"/>
                <w:szCs w:val="18"/>
              </w:rPr>
              <w:t>湖州华光电力</w:t>
            </w:r>
            <w:r>
              <w:rPr>
                <w:rFonts w:ascii="宋体" w:hAnsi="宋体" w:cs="宋体" w:eastAsia="宋体" w:hint="default"/>
                <w:spacing w:val="-66"/>
                <w:sz w:val="18"/>
                <w:szCs w:val="18"/>
              </w:rPr>
              <w:t> </w:t>
            </w:r>
            <w:r>
              <w:rPr>
                <w:rFonts w:ascii="宋体" w:hAnsi="宋体" w:cs="宋体" w:eastAsia="宋体" w:hint="default"/>
                <w:sz w:val="18"/>
                <w:szCs w:val="18"/>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569,297.34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
              <w:jc w:val="right"/>
              <w:rPr>
                <w:rFonts w:ascii="Times New Roman" w:hAnsi="Times New Roman" w:cs="Times New Roman" w:eastAsia="Times New Roman" w:hint="default"/>
                <w:sz w:val="18"/>
                <w:szCs w:val="18"/>
              </w:rPr>
            </w:pPr>
            <w:r>
              <w:rPr>
                <w:rFonts w:ascii="Times New Roman"/>
                <w:spacing w:val="-1"/>
                <w:sz w:val="18"/>
              </w:rPr>
              <w:t>569,297.34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
              <w:jc w:val="right"/>
              <w:rPr>
                <w:rFonts w:ascii="Times New Roman" w:hAnsi="Times New Roman" w:cs="Times New Roman" w:eastAsia="Times New Roman" w:hint="default"/>
                <w:sz w:val="18"/>
                <w:szCs w:val="18"/>
              </w:rPr>
            </w:pPr>
            <w:r>
              <w:rPr>
                <w:rFonts w:ascii="Times New Roman"/>
                <w:spacing w:val="-1"/>
                <w:sz w:val="18"/>
              </w:rPr>
              <w:t>-569,297.34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5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122" w:right="81"/>
              <w:jc w:val="left"/>
              <w:rPr>
                <w:rFonts w:ascii="宋体" w:hAnsi="宋体" w:cs="宋体" w:eastAsia="宋体" w:hint="default"/>
                <w:sz w:val="18"/>
                <w:szCs w:val="18"/>
              </w:rPr>
            </w:pPr>
            <w:r>
              <w:rPr>
                <w:rFonts w:ascii="宋体" w:hAnsi="宋体" w:cs="宋体" w:eastAsia="宋体" w:hint="default"/>
                <w:spacing w:val="20"/>
                <w:sz w:val="18"/>
                <w:szCs w:val="18"/>
              </w:rPr>
              <w:t>武汉欣亚欣纸</w:t>
            </w:r>
            <w:r>
              <w:rPr>
                <w:rFonts w:ascii="宋体" w:hAnsi="宋体" w:cs="宋体" w:eastAsia="宋体" w:hint="default"/>
                <w:spacing w:val="-66"/>
                <w:sz w:val="18"/>
                <w:szCs w:val="18"/>
              </w:rPr>
              <w:t> </w:t>
            </w:r>
            <w:r>
              <w:rPr>
                <w:rFonts w:ascii="宋体" w:hAnsi="宋体" w:cs="宋体" w:eastAsia="宋体" w:hint="default"/>
                <w:sz w:val="18"/>
                <w:szCs w:val="18"/>
              </w:rPr>
              <w:t>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700,000.00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103,404.57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-103,404.57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35.00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35.00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1,419,297.34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822,701.91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-672,701.91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150,000.00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505,199.98</w:t>
            </w:r>
          </w:p>
        </w:tc>
      </w:tr>
    </w:tbl>
    <w:p>
      <w:pPr>
        <w:spacing w:line="240" w:lineRule="auto" w:before="1"/>
        <w:rPr>
          <w:rFonts w:ascii="宋体" w:hAnsi="宋体" w:cs="宋体" w:eastAsia="宋体" w:hint="default"/>
          <w:sz w:val="12"/>
          <w:szCs w:val="12"/>
        </w:rPr>
      </w:pPr>
    </w:p>
    <w:p>
      <w:pPr>
        <w:spacing w:before="36"/>
        <w:ind w:left="557" w:right="0" w:firstLine="0"/>
        <w:jc w:val="left"/>
        <w:rPr>
          <w:rFonts w:ascii="宋体" w:hAnsi="宋体" w:cs="宋体" w:eastAsia="宋体" w:hint="default"/>
          <w:sz w:val="21"/>
          <w:szCs w:val="21"/>
        </w:rPr>
      </w:pPr>
      <w:r>
        <w:rPr>
          <w:rFonts w:ascii="宋体" w:hAnsi="宋体" w:cs="宋体" w:eastAsia="宋体" w:hint="default"/>
          <w:sz w:val="21"/>
          <w:szCs w:val="21"/>
        </w:rPr>
        <w:t>湖州华光电力有限公司本期按照地方政府的有关规定予以清算，该股权投资通过本公司原控股子公司天外绿包持有。根据清算报告，本期收回全部投资成</w:t>
      </w:r>
    </w:p>
    <w:p>
      <w:pPr>
        <w:spacing w:line="240" w:lineRule="auto" w:before="2"/>
        <w:rPr>
          <w:rFonts w:ascii="宋体" w:hAnsi="宋体" w:cs="宋体" w:eastAsia="宋体" w:hint="default"/>
          <w:sz w:val="17"/>
          <w:szCs w:val="17"/>
        </w:rPr>
      </w:pPr>
    </w:p>
    <w:p>
      <w:pPr>
        <w:spacing w:line="287" w:lineRule="exact"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569,297.34 </w:t>
      </w:r>
      <w:r>
        <w:rPr>
          <w:rFonts w:ascii="宋体" w:hAnsi="宋体" w:cs="宋体" w:eastAsia="宋体" w:hint="default"/>
          <w:sz w:val="21"/>
          <w:szCs w:val="21"/>
        </w:rPr>
        <w:t>元，收回清算收益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1,012,301.64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6308" w:right="7305" w:firstLine="0"/>
        <w:jc w:val="center"/>
        <w:rPr>
          <w:rFonts w:ascii="Times New Roman" w:hAnsi="Times New Roman" w:cs="Times New Roman" w:eastAsia="Times New Roman" w:hint="default"/>
          <w:sz w:val="18"/>
          <w:szCs w:val="18"/>
        </w:rPr>
      </w:pPr>
      <w:r>
        <w:rPr/>
        <w:pict>
          <v:shape style="position:absolute;margin-left:740.650024pt;margin-top:5.336092pt;width:101.25pt;height:57.75pt;mso-position-horizontal-relative:page;mso-position-vertical-relative:paragraph;z-index:1384" type="#_x0000_t75" stroked="false">
            <v:imagedata r:id="rId54" o:title=""/>
          </v:shape>
        </w:pict>
      </w:r>
      <w:r>
        <w:rPr>
          <w:rFonts w:ascii="Times New Roman"/>
          <w:sz w:val="18"/>
        </w:rPr>
        <w:t>56</w:t>
      </w:r>
    </w:p>
    <w:p>
      <w:pPr>
        <w:spacing w:after="0"/>
        <w:jc w:val="center"/>
        <w:rPr>
          <w:rFonts w:ascii="Times New Roman" w:hAnsi="Times New Roman" w:cs="Times New Roman" w:eastAsia="Times New Roman" w:hint="default"/>
          <w:sz w:val="18"/>
          <w:szCs w:val="18"/>
        </w:rPr>
        <w:sectPr>
          <w:headerReference w:type="default" r:id="rId60"/>
          <w:footerReference w:type="default" r:id="rId61"/>
          <w:pgSz w:w="16840" w:h="11910" w:orient="landscape"/>
          <w:pgMar w:header="0" w:footer="0" w:top="840" w:bottom="0" w:left="1000" w:right="0"/>
        </w:sectPr>
      </w:pPr>
    </w:p>
    <w:p>
      <w:pPr>
        <w:spacing w:line="240" w:lineRule="auto" w:before="10"/>
        <w:rPr>
          <w:rFonts w:ascii="Times New Roman" w:hAnsi="Times New Roman" w:cs="Times New Roman" w:eastAsia="Times New Roman" w:hint="default"/>
          <w:sz w:val="18"/>
          <w:szCs w:val="18"/>
        </w:rPr>
      </w:pPr>
    </w:p>
    <w:p>
      <w:pPr>
        <w:spacing w:before="36"/>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）固定资产明细情况：</w:t>
      </w:r>
    </w:p>
    <w:p>
      <w:pPr>
        <w:spacing w:line="240" w:lineRule="auto" w:before="6"/>
        <w:rPr>
          <w:rFonts w:ascii="宋体" w:hAnsi="宋体" w:cs="宋体" w:eastAsia="宋体" w:hint="default"/>
          <w:sz w:val="16"/>
          <w:szCs w:val="16"/>
        </w:rPr>
      </w:pPr>
    </w:p>
    <w:p>
      <w:pPr>
        <w:spacing w:before="44"/>
        <w:ind w:left="6345" w:right="1119"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566"/>
        <w:gridCol w:w="1561"/>
        <w:gridCol w:w="1133"/>
        <w:gridCol w:w="1418"/>
        <w:gridCol w:w="1419"/>
        <w:gridCol w:w="1558"/>
      </w:tblGrid>
      <w:tr>
        <w:trPr>
          <w:trHeight w:val="562"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2"/>
                <w:sz w:val="18"/>
                <w:szCs w:val="18"/>
              </w:rPr>
              <w:t> </w:t>
            </w:r>
            <w:r>
              <w:rPr>
                <w:rFonts w:ascii="宋体" w:hAnsi="宋体" w:cs="宋体" w:eastAsia="宋体" w:hint="default"/>
                <w:sz w:val="18"/>
                <w:szCs w:val="18"/>
              </w:rPr>
              <w:t>别</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5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2,012,269,140.16</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401" w:right="0"/>
              <w:jc w:val="left"/>
              <w:rPr>
                <w:rFonts w:ascii="Times New Roman" w:hAnsi="Times New Roman" w:cs="Times New Roman" w:eastAsia="Times New Roman" w:hint="default"/>
                <w:sz w:val="18"/>
                <w:szCs w:val="18"/>
              </w:rPr>
            </w:pPr>
            <w:r>
              <w:rPr>
                <w:rFonts w:ascii="Times New Roman"/>
                <w:sz w:val="18"/>
              </w:rPr>
              <w:t>95,756,350.46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520,588,312.38</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1,587,437,178.24</w:t>
            </w:r>
          </w:p>
        </w:tc>
      </w:tr>
      <w:tr>
        <w:trPr>
          <w:trHeight w:val="55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559,507,441.89</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627" w:right="0"/>
              <w:jc w:val="left"/>
              <w:rPr>
                <w:rFonts w:ascii="Times New Roman" w:hAnsi="Times New Roman" w:cs="Times New Roman" w:eastAsia="Times New Roman" w:hint="default"/>
                <w:sz w:val="18"/>
                <w:szCs w:val="18"/>
              </w:rPr>
            </w:pPr>
            <w:r>
              <w:rPr>
                <w:rFonts w:ascii="Times New Roman"/>
                <w:sz w:val="18"/>
              </w:rPr>
              <w:t>346,637.00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177,881,174.01</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381,972,904.88</w:t>
            </w:r>
          </w:p>
        </w:tc>
      </w:tr>
      <w:tr>
        <w:trPr>
          <w:trHeight w:val="562"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1,306,142,541.07</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401" w:right="0"/>
              <w:jc w:val="left"/>
              <w:rPr>
                <w:rFonts w:ascii="Times New Roman" w:hAnsi="Times New Roman" w:cs="Times New Roman" w:eastAsia="Times New Roman" w:hint="default"/>
                <w:sz w:val="18"/>
                <w:szCs w:val="18"/>
              </w:rPr>
            </w:pPr>
            <w:r>
              <w:rPr>
                <w:rFonts w:ascii="Times New Roman"/>
                <w:sz w:val="18"/>
              </w:rPr>
              <w:t>75,183,158.87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322,117,199.86</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1,059,208,500.08</w:t>
            </w:r>
          </w:p>
        </w:tc>
      </w:tr>
      <w:tr>
        <w:trPr>
          <w:trHeight w:val="56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57,549,781.52</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493" w:right="0"/>
              <w:jc w:val="left"/>
              <w:rPr>
                <w:rFonts w:ascii="Times New Roman" w:hAnsi="Times New Roman" w:cs="Times New Roman" w:eastAsia="Times New Roman" w:hint="default"/>
                <w:sz w:val="18"/>
                <w:szCs w:val="18"/>
              </w:rPr>
            </w:pPr>
            <w:r>
              <w:rPr>
                <w:rFonts w:ascii="Times New Roman"/>
                <w:sz w:val="18"/>
              </w:rPr>
              <w:t>5,530,493.14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5,943,480.11</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57,136,794.55</w:t>
            </w:r>
          </w:p>
        </w:tc>
      </w:tr>
      <w:tr>
        <w:trPr>
          <w:trHeight w:val="55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89,069,375.68</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404" w:right="0"/>
              <w:jc w:val="left"/>
              <w:rPr>
                <w:rFonts w:ascii="Times New Roman" w:hAnsi="Times New Roman" w:cs="Times New Roman" w:eastAsia="Times New Roman" w:hint="default"/>
                <w:sz w:val="18"/>
                <w:szCs w:val="18"/>
              </w:rPr>
            </w:pPr>
            <w:r>
              <w:rPr>
                <w:rFonts w:ascii="Times New Roman"/>
                <w:sz w:val="18"/>
              </w:rPr>
              <w:t>14,696,061.45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14,646,458.40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89,118,978.73</w:t>
            </w:r>
          </w:p>
        </w:tc>
      </w:tr>
      <w:tr>
        <w:trPr>
          <w:trHeight w:val="562" w:hRule="exact"/>
        </w:trPr>
        <w:tc>
          <w:tcPr>
            <w:tcW w:w="2566" w:type="dxa"/>
            <w:tcBorders>
              <w:top w:val="single" w:sz="4" w:space="0" w:color="000000"/>
              <w:left w:val="nil" w:sz="6" w:space="0" w:color="auto"/>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833,844,247.30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145,245,566.26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243,224,784.71</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735,865,028.85</w:t>
            </w:r>
          </w:p>
        </w:tc>
      </w:tr>
      <w:tr>
        <w:trPr>
          <w:trHeight w:val="55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87,581,923.84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19,742,570.55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32,094,213.67</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75,230,280.72</w:t>
            </w:r>
          </w:p>
        </w:tc>
      </w:tr>
      <w:tr>
        <w:trPr>
          <w:trHeight w:val="562"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653,791,924.27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112,620,918.15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199,676,363.86</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566,736,478.56</w:t>
            </w:r>
          </w:p>
        </w:tc>
      </w:tr>
      <w:tr>
        <w:trPr>
          <w:trHeight w:val="56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31,045,741.86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5,880,117.89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2,768,824.86</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34,157,034.89</w:t>
            </w:r>
          </w:p>
        </w:tc>
      </w:tr>
      <w:tr>
        <w:trPr>
          <w:trHeight w:val="55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61,424,657.33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7,001,959.67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8,685,382.32</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59,741,234.68</w:t>
            </w:r>
          </w:p>
        </w:tc>
      </w:tr>
      <w:tr>
        <w:trPr>
          <w:trHeight w:val="562"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1,178,424,892.86</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851,572,149.39</w:t>
            </w:r>
          </w:p>
        </w:tc>
      </w:tr>
      <w:tr>
        <w:trPr>
          <w:trHeight w:val="55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471,925,518.05</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306,742,624.16</w:t>
            </w:r>
          </w:p>
        </w:tc>
      </w:tr>
      <w:tr>
        <w:trPr>
          <w:trHeight w:val="55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65,235,0616.8</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492,472,021.52</w:t>
            </w:r>
          </w:p>
        </w:tc>
      </w:tr>
      <w:tr>
        <w:trPr>
          <w:trHeight w:val="562"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26,504,039.66</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22,979,759.66</w:t>
            </w:r>
          </w:p>
        </w:tc>
      </w:tr>
      <w:tr>
        <w:trPr>
          <w:trHeight w:val="55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27,644,718.35</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29,377,744.05</w:t>
            </w:r>
          </w:p>
        </w:tc>
      </w:tr>
      <w:tr>
        <w:trPr>
          <w:trHeight w:val="56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4,730,501.37</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44,620.00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4,685,881.37</w:t>
            </w:r>
          </w:p>
        </w:tc>
      </w:tr>
      <w:tr>
        <w:trPr>
          <w:trHeight w:val="562"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4,099,341.58</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4,099,341.58</w:t>
            </w:r>
          </w:p>
        </w:tc>
      </w:tr>
      <w:tr>
        <w:trPr>
          <w:trHeight w:val="55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158,120.00</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158,120.00</w:t>
            </w:r>
          </w:p>
        </w:tc>
      </w:tr>
      <w:tr>
        <w:trPr>
          <w:trHeight w:val="562"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473,039.79</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44,620.00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428,419.79</w:t>
            </w:r>
          </w:p>
        </w:tc>
      </w:tr>
      <w:tr>
        <w:trPr>
          <w:trHeight w:val="55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1,173,694,391.49</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846,886,268.02</w:t>
            </w:r>
          </w:p>
        </w:tc>
      </w:tr>
    </w:tbl>
    <w:p>
      <w:pPr>
        <w:spacing w:after="0" w:line="240" w:lineRule="auto"/>
        <w:jc w:val="right"/>
        <w:rPr>
          <w:rFonts w:ascii="Times New Roman" w:hAnsi="Times New Roman" w:cs="Times New Roman" w:eastAsia="Times New Roman" w:hint="default"/>
          <w:sz w:val="18"/>
          <w:szCs w:val="18"/>
        </w:rPr>
        <w:sectPr>
          <w:footerReference w:type="default" r:id="rId62"/>
          <w:pgSz w:w="11910" w:h="16840"/>
          <w:pgMar w:footer="956" w:header="0" w:top="1140" w:bottom="1180" w:left="1000" w:right="0"/>
          <w:pgNumType w:start="57"/>
        </w:sectPr>
      </w:pPr>
    </w:p>
    <w:p>
      <w:pPr>
        <w:spacing w:line="240" w:lineRule="auto" w:before="7"/>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2566"/>
        <w:gridCol w:w="1561"/>
        <w:gridCol w:w="2552"/>
        <w:gridCol w:w="1419"/>
        <w:gridCol w:w="1558"/>
      </w:tblGrid>
      <w:tr>
        <w:trPr>
          <w:trHeight w:val="562"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2"/>
                <w:sz w:val="18"/>
                <w:szCs w:val="18"/>
              </w:rPr>
              <w:t> </w:t>
            </w:r>
            <w:r>
              <w:rPr>
                <w:rFonts w:ascii="宋体" w:hAnsi="宋体" w:cs="宋体" w:eastAsia="宋体" w:hint="default"/>
                <w:sz w:val="18"/>
                <w:szCs w:val="18"/>
              </w:rPr>
              <w:t>别</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6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471,925,518.05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30,6742,624.16</w:t>
            </w:r>
          </w:p>
        </w:tc>
      </w:tr>
      <w:tr>
        <w:trPr>
          <w:trHeight w:val="55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648,251,275.22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488,372,679.94</w:t>
            </w:r>
          </w:p>
        </w:tc>
      </w:tr>
      <w:tr>
        <w:trPr>
          <w:trHeight w:val="562"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26,345,919.66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2,2821,639.66</w:t>
            </w:r>
          </w:p>
        </w:tc>
      </w:tr>
      <w:tr>
        <w:trPr>
          <w:trHeight w:val="55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27,171,678.56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28,949,324.26</w:t>
            </w:r>
          </w:p>
        </w:tc>
      </w:tr>
    </w:tbl>
    <w:p>
      <w:pPr>
        <w:spacing w:line="240" w:lineRule="auto" w:before="8"/>
        <w:rPr>
          <w:rFonts w:ascii="宋体" w:hAnsi="宋体" w:cs="宋体" w:eastAsia="宋体" w:hint="default"/>
          <w:sz w:val="17"/>
          <w:szCs w:val="17"/>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8"/>
          <w:sz w:val="18"/>
          <w:szCs w:val="18"/>
        </w:rPr>
        <w:t> </w:t>
      </w:r>
      <w:r>
        <w:rPr>
          <w:rFonts w:ascii="Times New Roman" w:hAnsi="Times New Roman" w:cs="Times New Roman" w:eastAsia="Times New Roman" w:hint="default"/>
          <w:spacing w:val="-48"/>
          <w:sz w:val="18"/>
          <w:szCs w:val="18"/>
        </w:rPr>
      </w:r>
      <w:r>
        <w:rPr>
          <w:rFonts w:ascii="Times New Roman" w:hAnsi="Times New Roman" w:cs="Times New Roman" w:eastAsia="Times New Roman" w:hint="default"/>
          <w:sz w:val="18"/>
          <w:szCs w:val="18"/>
          <w:u w:val="single" w:color="000000"/>
        </w:rPr>
        <w:t>145,245,566.26</w:t>
      </w:r>
      <w:r>
        <w:rPr>
          <w:rFonts w:ascii="Times New Roman" w:hAnsi="Times New Roman" w:cs="Times New Roman" w:eastAsia="Times New Roman" w:hint="default"/>
          <w:spacing w:val="-1"/>
          <w:sz w:val="18"/>
          <w:szCs w:val="18"/>
          <w:u w:val="single" w:color="000000"/>
        </w:rPr>
        <w:t> </w:t>
      </w:r>
      <w:r>
        <w:rPr>
          <w:rFonts w:ascii="Times New Roman" w:hAnsi="Times New Roman" w:cs="Times New Roman" w:eastAsia="Times New Roman" w:hint="default"/>
          <w:spacing w:val="-1"/>
          <w:sz w:val="18"/>
          <w:szCs w:val="18"/>
        </w:rPr>
      </w:r>
      <w:r>
        <w:rPr>
          <w:rFonts w:ascii="宋体" w:hAnsi="宋体" w:cs="宋体" w:eastAsia="宋体" w:hint="default"/>
          <w:spacing w:val="-3"/>
          <w:sz w:val="18"/>
          <w:szCs w:val="18"/>
        </w:rPr>
        <w:t>元。</w:t>
      </w:r>
      <w:r>
        <w:rPr>
          <w:rFonts w:ascii="宋体" w:hAnsi="宋体" w:cs="宋体" w:eastAsia="宋体" w:hint="default"/>
          <w:sz w:val="18"/>
          <w:szCs w:val="18"/>
        </w:rPr>
      </w:r>
    </w:p>
    <w:p>
      <w:pPr>
        <w:spacing w:line="240" w:lineRule="auto" w:before="5"/>
        <w:rPr>
          <w:rFonts w:ascii="宋体" w:hAnsi="宋体" w:cs="宋体" w:eastAsia="宋体" w:hint="default"/>
          <w:sz w:val="22"/>
          <w:szCs w:val="22"/>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本期由在建工程转入固定资产原价为</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rFonts w:ascii="Times New Roman" w:hAnsi="Times New Roman" w:cs="Times New Roman" w:eastAsia="Times New Roman" w:hint="default"/>
          <w:sz w:val="18"/>
          <w:szCs w:val="18"/>
          <w:u w:val="single" w:color="000000"/>
        </w:rPr>
        <w:t>43,653,339.12</w:t>
      </w:r>
      <w:r>
        <w:rPr>
          <w:rFonts w:ascii="Times New Roman" w:hAnsi="Times New Roman" w:cs="Times New Roman" w:eastAsia="Times New Roman" w:hint="default"/>
          <w:spacing w:val="-1"/>
          <w:sz w:val="18"/>
          <w:szCs w:val="18"/>
          <w:u w:val="single" w:color="000000"/>
        </w:rPr>
        <w:t> </w:t>
      </w:r>
      <w:r>
        <w:rPr>
          <w:rFonts w:ascii="Times New Roman" w:hAnsi="Times New Roman" w:cs="Times New Roman" w:eastAsia="Times New Roman" w:hint="default"/>
          <w:spacing w:val="-1"/>
          <w:sz w:val="18"/>
          <w:szCs w:val="18"/>
        </w:rPr>
      </w:r>
      <w:r>
        <w:rPr>
          <w:rFonts w:ascii="宋体" w:hAnsi="宋体" w:cs="宋体" w:eastAsia="宋体" w:hint="default"/>
          <w:sz w:val="18"/>
          <w:szCs w:val="18"/>
        </w:rPr>
        <w:t>元。</w:t>
      </w:r>
    </w:p>
    <w:p>
      <w:pPr>
        <w:spacing w:line="240" w:lineRule="auto" w:before="4"/>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本期减少的固定资产，包括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日转让原控股子公司天外绿包股权时该公司账面固定资产</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266,9347,75.38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元，其中</w:t>
      </w:r>
    </w:p>
    <w:p>
      <w:pPr>
        <w:spacing w:line="240" w:lineRule="auto" w:before="1"/>
        <w:rPr>
          <w:rFonts w:ascii="宋体" w:hAnsi="宋体" w:cs="宋体" w:eastAsia="宋体" w:hint="default"/>
          <w:sz w:val="19"/>
          <w:szCs w:val="19"/>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固定资产原值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497,550,698.15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元，累计折旧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231,515,922.77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）暂时闲置的固定资产减值情况</w:t>
      </w:r>
    </w:p>
    <w:p>
      <w:pPr>
        <w:spacing w:line="240" w:lineRule="auto" w:before="3"/>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000"/>
        <w:gridCol w:w="2127"/>
        <w:gridCol w:w="1702"/>
        <w:gridCol w:w="1843"/>
        <w:gridCol w:w="1983"/>
      </w:tblGrid>
      <w:tr>
        <w:trPr>
          <w:trHeight w:val="590"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99"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591"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9,714,860.50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4,132,056.96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4,099,341.58</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1,483,461.96</w:t>
            </w:r>
          </w:p>
        </w:tc>
      </w:tr>
      <w:tr>
        <w:trPr>
          <w:trHeight w:val="590"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241,500.00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19,671.00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158,120.00</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63,709.00</w:t>
            </w:r>
          </w:p>
        </w:tc>
      </w:tr>
      <w:tr>
        <w:trPr>
          <w:trHeight w:val="590"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3,555,574.81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2,667,658.93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428,419.79</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459,496.09</w:t>
            </w:r>
          </w:p>
        </w:tc>
      </w:tr>
      <w:tr>
        <w:trPr>
          <w:trHeight w:val="590"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13,511,935.31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6,819,386.89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4,685,881.37</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2,006,667.05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）截至本报告期末，本公司无通过融资租赁租入的固定资产。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）截至本报告期末，本公司无通过经营租赁租出的固定资产。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）截至本报告期末，本公司无持有待售的固定资产。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）截至本报告期末，未办妥产权证书的固定资产情况</w:t>
      </w:r>
    </w:p>
    <w:p>
      <w:pPr>
        <w:spacing w:after="0"/>
        <w:jc w:val="left"/>
        <w:rPr>
          <w:rFonts w:ascii="宋体" w:hAnsi="宋体" w:cs="宋体" w:eastAsia="宋体" w:hint="default"/>
          <w:sz w:val="18"/>
          <w:szCs w:val="18"/>
        </w:rPr>
        <w:sectPr>
          <w:pgSz w:w="11910" w:h="16840"/>
          <w:pgMar w:header="0" w:footer="956" w:top="1140" w:bottom="1140" w:left="1000" w:right="0"/>
        </w:sectPr>
      </w:pPr>
    </w:p>
    <w:p>
      <w:pPr>
        <w:spacing w:line="240" w:lineRule="auto" w:before="7"/>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3560"/>
        <w:gridCol w:w="2835"/>
        <w:gridCol w:w="3260"/>
      </w:tblGrid>
      <w:tr>
        <w:trPr>
          <w:trHeight w:val="591"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00"/>
              <w:jc w:val="righ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590"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本公司福永厂房</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在集体所有土地上兴建</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政策限制，无法办理</w:t>
            </w:r>
          </w:p>
        </w:tc>
      </w:tr>
      <w:tr>
        <w:trPr>
          <w:trHeight w:val="590"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贵州劲嘉办公楼、生活楼及厂房</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600"/>
              <w:jc w:val="right"/>
              <w:rPr>
                <w:rFonts w:ascii="宋体" w:hAnsi="宋体" w:cs="宋体" w:eastAsia="宋体" w:hint="default"/>
                <w:sz w:val="18"/>
                <w:szCs w:val="18"/>
              </w:rPr>
            </w:pPr>
            <w:r>
              <w:rPr>
                <w:rFonts w:ascii="宋体" w:hAnsi="宋体" w:cs="宋体" w:eastAsia="宋体" w:hint="default"/>
                <w:sz w:val="18"/>
                <w:szCs w:val="18"/>
              </w:rPr>
              <w:t>新厂房，申请办理中</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）截至本报告期末，本公司所有权受限制的固定资产情况</w:t>
      </w:r>
    </w:p>
    <w:p>
      <w:pPr>
        <w:spacing w:line="240" w:lineRule="auto" w:before="1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141"/>
        <w:gridCol w:w="1556"/>
        <w:gridCol w:w="1318"/>
        <w:gridCol w:w="1457"/>
        <w:gridCol w:w="3183"/>
      </w:tblGrid>
      <w:tr>
        <w:trPr>
          <w:trHeight w:val="59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资产项目</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3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受限制原因</w:t>
            </w:r>
          </w:p>
        </w:tc>
      </w:tr>
      <w:tr>
        <w:trPr>
          <w:trHeight w:val="591"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昆明彩印办公楼及厂房</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14,705,265.07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1,904,515.14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12,800,749.93</w:t>
            </w:r>
          </w:p>
        </w:tc>
        <w:tc>
          <w:tcPr>
            <w:tcW w:w="3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t>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万元银行授信</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）在建工程明细情况</w:t>
      </w:r>
    </w:p>
    <w:p>
      <w:pPr>
        <w:spacing w:line="240" w:lineRule="auto" w:before="4"/>
        <w:rPr>
          <w:rFonts w:ascii="宋体" w:hAnsi="宋体" w:cs="宋体" w:eastAsia="宋体" w:hint="default"/>
          <w:sz w:val="20"/>
          <w:szCs w:val="20"/>
        </w:rPr>
      </w:pPr>
    </w:p>
    <w:p>
      <w:pPr>
        <w:spacing w:before="44"/>
        <w:ind w:left="7236" w:right="1114" w:firstLine="0"/>
        <w:jc w:val="lef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172"/>
        <w:gridCol w:w="1277"/>
        <w:gridCol w:w="1277"/>
        <w:gridCol w:w="1277"/>
        <w:gridCol w:w="1277"/>
        <w:gridCol w:w="1138"/>
        <w:gridCol w:w="1298"/>
      </w:tblGrid>
      <w:tr>
        <w:trPr>
          <w:trHeight w:val="610" w:hRule="exact"/>
        </w:trPr>
        <w:tc>
          <w:tcPr>
            <w:tcW w:w="217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12" w:hRule="exact"/>
        </w:trPr>
        <w:tc>
          <w:tcPr>
            <w:tcW w:w="2172" w:type="dxa"/>
            <w:vMerge/>
            <w:tcBorders>
              <w:left w:val="nil" w:sz="6" w:space="0" w:color="auto"/>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61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劲嘉集团包装印刷工业园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112,835,292.26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112,835,292.26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76,924,819.99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76,924,819.99</w:t>
            </w:r>
          </w:p>
        </w:tc>
      </w:tr>
      <w:tr>
        <w:trPr>
          <w:trHeight w:val="61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劲嘉科技大厦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126,547,608.69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126,547,608.69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98,467,838.89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98,467,838.89</w:t>
            </w:r>
          </w:p>
        </w:tc>
      </w:tr>
      <w:tr>
        <w:trPr>
          <w:trHeight w:val="61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4,172,392.94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4,172,392.94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6,219,915.20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6,219,915.20</w:t>
            </w:r>
          </w:p>
        </w:tc>
      </w:tr>
      <w:tr>
        <w:trPr>
          <w:trHeight w:val="61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16,097,947.49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16,097,947.49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16,639,698.47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16,639,698.47</w:t>
            </w:r>
          </w:p>
        </w:tc>
      </w:tr>
      <w:tr>
        <w:trPr>
          <w:trHeight w:val="612"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259,653,241.38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259,653,241.38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198,252,272.55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198,252,272.55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）重大在建工程项目变动情况</w:t>
      </w:r>
    </w:p>
    <w:p>
      <w:pPr>
        <w:spacing w:line="240" w:lineRule="auto" w:before="4"/>
        <w:rPr>
          <w:rFonts w:ascii="宋体" w:hAnsi="宋体" w:cs="宋体" w:eastAsia="宋体" w:hint="default"/>
          <w:sz w:val="20"/>
          <w:szCs w:val="2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150"/>
        <w:gridCol w:w="708"/>
        <w:gridCol w:w="992"/>
        <w:gridCol w:w="994"/>
        <w:gridCol w:w="566"/>
        <w:gridCol w:w="425"/>
        <w:gridCol w:w="708"/>
        <w:gridCol w:w="852"/>
        <w:gridCol w:w="850"/>
        <w:gridCol w:w="569"/>
        <w:gridCol w:w="850"/>
        <w:gridCol w:w="1133"/>
      </w:tblGrid>
      <w:tr>
        <w:trPr>
          <w:trHeight w:val="1452"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81"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预算数</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0"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66"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537" w:lineRule="auto"/>
              <w:ind w:left="52" w:right="48"/>
              <w:jc w:val="left"/>
              <w:rPr>
                <w:rFonts w:ascii="宋体" w:hAnsi="宋体" w:cs="宋体" w:eastAsia="宋体" w:hint="default"/>
                <w:sz w:val="15"/>
                <w:szCs w:val="15"/>
              </w:rPr>
            </w:pPr>
            <w:r>
              <w:rPr>
                <w:rFonts w:ascii="宋体" w:hAnsi="宋体" w:cs="宋体" w:eastAsia="宋体" w:hint="default"/>
                <w:sz w:val="15"/>
                <w:szCs w:val="15"/>
              </w:rPr>
              <w:t>转入固</w:t>
            </w:r>
            <w:r>
              <w:rPr>
                <w:rFonts w:ascii="宋体" w:hAnsi="宋体" w:cs="宋体" w:eastAsia="宋体" w:hint="default"/>
                <w:spacing w:val="-72"/>
                <w:sz w:val="15"/>
                <w:szCs w:val="15"/>
              </w:rPr>
              <w:t> </w:t>
            </w:r>
            <w:r>
              <w:rPr>
                <w:rFonts w:ascii="宋体" w:hAnsi="宋体" w:cs="宋体" w:eastAsia="宋体" w:hint="default"/>
                <w:sz w:val="15"/>
                <w:szCs w:val="15"/>
              </w:rPr>
              <w:t>定资产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537" w:lineRule="auto"/>
              <w:ind w:left="57" w:right="53"/>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减少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537" w:lineRule="auto"/>
              <w:ind w:left="88" w:right="44" w:hanging="39"/>
              <w:jc w:val="left"/>
              <w:rPr>
                <w:rFonts w:ascii="宋体" w:hAnsi="宋体" w:cs="宋体" w:eastAsia="宋体" w:hint="default"/>
                <w:sz w:val="15"/>
                <w:szCs w:val="15"/>
              </w:rPr>
            </w:pPr>
            <w:r>
              <w:rPr>
                <w:rFonts w:ascii="宋体" w:hAnsi="宋体" w:cs="宋体" w:eastAsia="宋体" w:hint="default"/>
                <w:sz w:val="15"/>
                <w:szCs w:val="15"/>
              </w:rPr>
              <w:t>工程投入</w:t>
            </w:r>
            <w:r>
              <w:rPr>
                <w:rFonts w:ascii="宋体" w:hAnsi="宋体" w:cs="宋体" w:eastAsia="宋体" w:hint="default"/>
                <w:w w:val="100"/>
                <w:sz w:val="15"/>
                <w:szCs w:val="15"/>
              </w:rPr>
              <w:t> </w:t>
            </w:r>
            <w:r>
              <w:rPr>
                <w:rFonts w:ascii="宋体" w:hAnsi="宋体" w:cs="宋体" w:eastAsia="宋体" w:hint="default"/>
                <w:sz w:val="15"/>
                <w:szCs w:val="15"/>
              </w:rPr>
              <w:t>占预算</w:t>
            </w:r>
          </w:p>
          <w:p>
            <w:pPr>
              <w:pStyle w:val="TableParagraph"/>
              <w:spacing w:line="240" w:lineRule="auto" w:before="97"/>
              <w:ind w:left="8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537" w:lineRule="auto"/>
              <w:ind w:left="122" w:right="38" w:hanging="75"/>
              <w:jc w:val="left"/>
              <w:rPr>
                <w:rFonts w:ascii="宋体" w:hAnsi="宋体" w:cs="宋体" w:eastAsia="宋体" w:hint="default"/>
                <w:sz w:val="15"/>
                <w:szCs w:val="15"/>
              </w:rPr>
            </w:pPr>
            <w:r>
              <w:rPr>
                <w:rFonts w:ascii="宋体" w:hAnsi="宋体" w:cs="宋体" w:eastAsia="宋体" w:hint="default"/>
                <w:sz w:val="15"/>
                <w:szCs w:val="15"/>
              </w:rPr>
              <w:t>利息资本化</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累计金额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440" w:lineRule="atLeast" w:before="39"/>
              <w:ind w:left="43" w:right="41"/>
              <w:jc w:val="center"/>
              <w:rPr>
                <w:rFonts w:ascii="宋体" w:hAnsi="宋体" w:cs="宋体" w:eastAsia="宋体" w:hint="default"/>
                <w:sz w:val="15"/>
                <w:szCs w:val="15"/>
              </w:rPr>
            </w:pPr>
            <w:r>
              <w:rPr>
                <w:rFonts w:ascii="宋体" w:hAnsi="宋体" w:cs="宋体" w:eastAsia="宋体" w:hint="default"/>
                <w:sz w:val="15"/>
                <w:szCs w:val="15"/>
              </w:rPr>
              <w:t>其中：本期</w:t>
            </w:r>
            <w:r>
              <w:rPr>
                <w:rFonts w:ascii="宋体" w:hAnsi="宋体" w:cs="宋体" w:eastAsia="宋体" w:hint="default"/>
                <w:w w:val="100"/>
                <w:sz w:val="15"/>
                <w:szCs w:val="15"/>
              </w:rPr>
              <w:t> </w:t>
            </w:r>
            <w:r>
              <w:rPr>
                <w:rFonts w:ascii="宋体" w:hAnsi="宋体" w:cs="宋体" w:eastAsia="宋体" w:hint="default"/>
                <w:sz w:val="15"/>
                <w:szCs w:val="15"/>
              </w:rPr>
              <w:t>利息资本化</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440" w:lineRule="atLeast" w:before="39"/>
              <w:ind w:left="52" w:right="51"/>
              <w:jc w:val="both"/>
              <w:rPr>
                <w:rFonts w:ascii="宋体" w:hAnsi="宋体" w:cs="宋体" w:eastAsia="宋体" w:hint="default"/>
                <w:sz w:val="15"/>
                <w:szCs w:val="15"/>
              </w:rPr>
            </w:pPr>
            <w:r>
              <w:rPr>
                <w:rFonts w:ascii="宋体" w:hAnsi="宋体" w:cs="宋体" w:eastAsia="宋体" w:hint="default"/>
                <w:sz w:val="15"/>
                <w:szCs w:val="15"/>
              </w:rPr>
              <w:t>本期利</w:t>
            </w:r>
            <w:r>
              <w:rPr>
                <w:rFonts w:ascii="宋体" w:hAnsi="宋体" w:cs="宋体" w:eastAsia="宋体" w:hint="default"/>
                <w:spacing w:val="-72"/>
                <w:sz w:val="15"/>
                <w:szCs w:val="15"/>
              </w:rPr>
              <w:t> </w:t>
            </w:r>
            <w:r>
              <w:rPr>
                <w:rFonts w:ascii="宋体" w:hAnsi="宋体" w:cs="宋体" w:eastAsia="宋体" w:hint="default"/>
                <w:sz w:val="15"/>
                <w:szCs w:val="15"/>
              </w:rPr>
              <w:t>息资本</w:t>
            </w:r>
            <w:r>
              <w:rPr>
                <w:rFonts w:ascii="宋体" w:hAnsi="宋体" w:cs="宋体" w:eastAsia="宋体" w:hint="default"/>
                <w:spacing w:val="-72"/>
                <w:sz w:val="15"/>
                <w:szCs w:val="15"/>
              </w:rPr>
              <w:t> </w:t>
            </w:r>
            <w:r>
              <w:rPr>
                <w:rFonts w:ascii="宋体" w:hAnsi="宋体" w:cs="宋体" w:eastAsia="宋体" w:hint="default"/>
                <w:sz w:val="15"/>
                <w:szCs w:val="15"/>
              </w:rPr>
              <w:t>化率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19" w:right="0"/>
              <w:jc w:val="left"/>
              <w:rPr>
                <w:rFonts w:ascii="宋体" w:hAnsi="宋体" w:cs="宋体" w:eastAsia="宋体" w:hint="default"/>
                <w:sz w:val="15"/>
                <w:szCs w:val="15"/>
              </w:rPr>
            </w:pPr>
            <w:r>
              <w:rPr>
                <w:rFonts w:ascii="宋体" w:hAnsi="宋体" w:cs="宋体" w:eastAsia="宋体" w:hint="default"/>
                <w:sz w:val="15"/>
                <w:szCs w:val="15"/>
              </w:rPr>
              <w:t>资金来源</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36" w:right="0"/>
              <w:jc w:val="left"/>
              <w:rPr>
                <w:rFonts w:ascii="宋体" w:hAnsi="宋体" w:cs="宋体" w:eastAsia="宋体" w:hint="default"/>
                <w:sz w:val="15"/>
                <w:szCs w:val="15"/>
              </w:rPr>
            </w:pPr>
            <w:r>
              <w:rPr>
                <w:rFonts w:ascii="宋体" w:hAnsi="宋体" w:cs="宋体" w:eastAsia="宋体" w:hint="default"/>
                <w:sz w:val="15"/>
                <w:szCs w:val="15"/>
              </w:rPr>
              <w:t>期末数</w:t>
            </w:r>
          </w:p>
        </w:tc>
      </w:tr>
    </w:tbl>
    <w:p>
      <w:pPr>
        <w:spacing w:after="0" w:line="240" w:lineRule="auto"/>
        <w:jc w:val="left"/>
        <w:rPr>
          <w:rFonts w:ascii="宋体" w:hAnsi="宋体" w:cs="宋体" w:eastAsia="宋体" w:hint="default"/>
          <w:sz w:val="15"/>
          <w:szCs w:val="15"/>
        </w:rPr>
        <w:sectPr>
          <w:pgSz w:w="11910" w:h="16840"/>
          <w:pgMar w:header="0" w:footer="956" w:top="1140" w:bottom="1140" w:left="980" w:right="0"/>
        </w:sectPr>
      </w:pPr>
    </w:p>
    <w:p>
      <w:pPr>
        <w:spacing w:line="240" w:lineRule="auto" w:before="7"/>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1150"/>
        <w:gridCol w:w="708"/>
        <w:gridCol w:w="992"/>
        <w:gridCol w:w="994"/>
        <w:gridCol w:w="566"/>
        <w:gridCol w:w="425"/>
        <w:gridCol w:w="708"/>
        <w:gridCol w:w="852"/>
        <w:gridCol w:w="850"/>
        <w:gridCol w:w="569"/>
        <w:gridCol w:w="850"/>
        <w:gridCol w:w="1133"/>
      </w:tblGrid>
      <w:tr>
        <w:trPr>
          <w:trHeight w:val="754"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00"/>
              <w:ind w:left="45" w:right="43"/>
              <w:jc w:val="both"/>
              <w:rPr>
                <w:rFonts w:ascii="宋体" w:hAnsi="宋体" w:cs="宋体" w:eastAsia="宋体" w:hint="default"/>
                <w:sz w:val="15"/>
                <w:szCs w:val="15"/>
              </w:rPr>
            </w:pPr>
            <w:r>
              <w:rPr>
                <w:rFonts w:ascii="宋体" w:hAnsi="宋体" w:cs="宋体" w:eastAsia="宋体" w:hint="default"/>
                <w:sz w:val="15"/>
                <w:szCs w:val="15"/>
              </w:rPr>
              <w:t>劲嘉集团包装印</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刷及材料加工项</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36,537.00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76,924,819.99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35,910,472.27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w w:val="100"/>
                <w:sz w:val="15"/>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30.88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right="115"/>
              <w:jc w:val="right"/>
              <w:rPr>
                <w:rFonts w:ascii="宋体" w:hAnsi="宋体" w:cs="宋体" w:eastAsia="宋体" w:hint="default"/>
                <w:sz w:val="15"/>
                <w:szCs w:val="15"/>
              </w:rPr>
            </w:pPr>
            <w:r>
              <w:rPr>
                <w:rFonts w:ascii="宋体" w:hAnsi="宋体" w:cs="宋体" w:eastAsia="宋体" w:hint="default"/>
                <w:spacing w:val="-1"/>
                <w:sz w:val="15"/>
                <w:szCs w:val="15"/>
              </w:rPr>
              <w:t>募集资金</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2"/>
                <w:sz w:val="15"/>
              </w:rPr>
              <w:t>112,835,292.26</w:t>
            </w:r>
          </w:p>
        </w:tc>
      </w:tr>
      <w:tr>
        <w:trPr>
          <w:trHeight w:val="612"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劲嘉科技大厦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18,793.05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98,467,838.89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28,079,769.80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w w:val="100"/>
                <w:sz w:val="15"/>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67.34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4,261,409.07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2,778,721.84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center"/>
              <w:rPr>
                <w:rFonts w:ascii="Times New Roman" w:hAnsi="Times New Roman" w:cs="Times New Roman" w:eastAsia="Times New Roman" w:hint="default"/>
                <w:sz w:val="15"/>
                <w:szCs w:val="15"/>
              </w:rPr>
            </w:pPr>
            <w:r>
              <w:rPr>
                <w:rFonts w:ascii="Times New Roman"/>
                <w:sz w:val="15"/>
              </w:rPr>
              <w:t>5.65%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right="59"/>
              <w:jc w:val="right"/>
              <w:rPr>
                <w:rFonts w:ascii="宋体" w:hAnsi="宋体" w:cs="宋体" w:eastAsia="宋体" w:hint="default"/>
                <w:sz w:val="15"/>
                <w:szCs w:val="15"/>
              </w:rPr>
            </w:pPr>
            <w:r>
              <w:rPr>
                <w:rFonts w:ascii="宋体" w:hAnsi="宋体" w:cs="宋体" w:eastAsia="宋体" w:hint="default"/>
                <w:spacing w:val="-1"/>
                <w:sz w:val="15"/>
                <w:szCs w:val="15"/>
              </w:rPr>
              <w:t>自筹</w:t>
            </w:r>
            <w:r>
              <w:rPr>
                <w:rFonts w:ascii="Times New Roman" w:hAnsi="Times New Roman" w:cs="Times New Roman" w:eastAsia="Times New Roman" w:hint="default"/>
                <w:spacing w:val="-1"/>
                <w:sz w:val="15"/>
                <w:szCs w:val="15"/>
              </w:rPr>
              <w:t>&amp;</w:t>
            </w:r>
            <w:r>
              <w:rPr>
                <w:rFonts w:ascii="宋体" w:hAnsi="宋体" w:cs="宋体" w:eastAsia="宋体" w:hint="default"/>
                <w:spacing w:val="-1"/>
                <w:sz w:val="15"/>
                <w:szCs w:val="15"/>
              </w:rPr>
              <w:t>借款</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126,547,608.69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）截至本报告期末，以上在建工程不存在减值的情形，故未计提在建工程减值准备。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）重大在建工程的工程进度情况</w:t>
      </w:r>
    </w:p>
    <w:p>
      <w:pPr>
        <w:spacing w:line="240" w:lineRule="auto" w:before="5"/>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3843"/>
        <w:gridCol w:w="2268"/>
        <w:gridCol w:w="3543"/>
      </w:tblGrid>
      <w:tr>
        <w:trPr>
          <w:trHeight w:val="61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1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劲嘉集团包装印刷及材料加工项目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完成桩基础</w:t>
            </w:r>
          </w:p>
        </w:tc>
        <w:tc>
          <w:tcPr>
            <w:tcW w:w="3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年完工</w:t>
            </w:r>
          </w:p>
        </w:tc>
      </w:tr>
      <w:tr>
        <w:trPr>
          <w:trHeight w:val="61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劲嘉科技大厦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室内装修阶段</w:t>
            </w:r>
          </w:p>
        </w:tc>
        <w:tc>
          <w:tcPr>
            <w:tcW w:w="3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年上半年完工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36"/>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7"/>
        <w:rPr>
          <w:rFonts w:ascii="宋体" w:hAnsi="宋体" w:cs="宋体" w:eastAsia="宋体" w:hint="default"/>
          <w:b/>
          <w:bCs/>
          <w:sz w:val="20"/>
          <w:szCs w:val="20"/>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434"/>
        <w:gridCol w:w="2417"/>
        <w:gridCol w:w="2417"/>
        <w:gridCol w:w="2417"/>
      </w:tblGrid>
      <w:tr>
        <w:trPr>
          <w:trHeight w:val="610"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2"/>
              <w:jc w:val="right"/>
              <w:rPr>
                <w:rFonts w:ascii="宋体" w:hAnsi="宋体" w:cs="宋体" w:eastAsia="宋体" w:hint="default"/>
                <w:sz w:val="18"/>
                <w:szCs w:val="18"/>
              </w:rPr>
            </w:pPr>
            <w:r>
              <w:rPr>
                <w:rFonts w:ascii="宋体" w:hAnsi="宋体" w:cs="宋体" w:eastAsia="宋体" w:hint="default"/>
                <w:sz w:val="18"/>
                <w:szCs w:val="18"/>
              </w:rPr>
              <w:t>项目</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610"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旧厂房拆迁</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9,572,768.32</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城市规划拆迁</w:t>
            </w:r>
          </w:p>
        </w:tc>
      </w:tr>
      <w:tr>
        <w:trPr>
          <w:trHeight w:val="612"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22"/>
              <w:jc w:val="right"/>
              <w:rPr>
                <w:rFonts w:ascii="宋体" w:hAnsi="宋体" w:cs="宋体" w:eastAsia="宋体" w:hint="default"/>
                <w:sz w:val="18"/>
                <w:szCs w:val="18"/>
              </w:rPr>
            </w:pPr>
            <w:r>
              <w:rPr>
                <w:rFonts w:ascii="宋体" w:hAnsi="宋体" w:cs="宋体" w:eastAsia="宋体" w:hint="default"/>
                <w:sz w:val="18"/>
                <w:szCs w:val="18"/>
              </w:rPr>
              <w:t>合计</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9,572,768.32</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7"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期初余额是公司原控股子公司天外绿包账面的待拆迁资产。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spacing w:before="0"/>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）无形资产明细情况</w:t>
      </w:r>
    </w:p>
    <w:p>
      <w:pPr>
        <w:spacing w:line="240" w:lineRule="auto" w:before="4"/>
        <w:rPr>
          <w:rFonts w:ascii="宋体" w:hAnsi="宋体" w:cs="宋体" w:eastAsia="宋体" w:hint="default"/>
          <w:sz w:val="20"/>
          <w:szCs w:val="20"/>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708"/>
        <w:gridCol w:w="1846"/>
        <w:gridCol w:w="1700"/>
        <w:gridCol w:w="1575"/>
        <w:gridCol w:w="1826"/>
      </w:tblGrid>
      <w:tr>
        <w:trPr>
          <w:trHeight w:val="612"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160"/>
              <w:jc w:val="right"/>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61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140"/>
              <w:jc w:val="righ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290,850,254.06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141,111.12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44,164,366.59</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246,826,998.59</w:t>
            </w:r>
          </w:p>
        </w:tc>
      </w:tr>
      <w:tr>
        <w:trPr>
          <w:trHeight w:val="61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286,332,788.32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44,101,066.59</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242,231,721.73</w:t>
            </w:r>
          </w:p>
        </w:tc>
      </w:tr>
      <w:tr>
        <w:trPr>
          <w:trHeight w:val="61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2,347,764.20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2,347,764.2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140" w:bottom="1140" w:left="980" w:right="0"/>
        </w:sectPr>
      </w:pPr>
    </w:p>
    <w:p>
      <w:pPr>
        <w:spacing w:line="240" w:lineRule="auto" w:before="7"/>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2708"/>
        <w:gridCol w:w="1846"/>
        <w:gridCol w:w="1700"/>
        <w:gridCol w:w="1575"/>
        <w:gridCol w:w="1826"/>
      </w:tblGrid>
      <w:tr>
        <w:trPr>
          <w:trHeight w:val="612"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61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1,039,701.54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141,111.12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63,300.00</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1,117,512.66</w:t>
            </w:r>
          </w:p>
        </w:tc>
      </w:tr>
      <w:tr>
        <w:trPr>
          <w:trHeight w:val="61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1,130,000.00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1,130,000.00</w:t>
            </w:r>
          </w:p>
        </w:tc>
      </w:tr>
      <w:tr>
        <w:trPr>
          <w:trHeight w:val="61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20,579,929.05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6,155,047.63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3,602,937.10</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23,132,039.58</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19,781,492.84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5,792,014.54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3,539,637.10</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22,033,870.28</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469,552.57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234,776.28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704,328.85</w:t>
            </w:r>
          </w:p>
        </w:tc>
      </w:tr>
      <w:tr>
        <w:trPr>
          <w:trHeight w:val="591"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313,730.39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102,279.81</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63,300.00</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352,710.2</w:t>
            </w:r>
          </w:p>
        </w:tc>
      </w:tr>
      <w:tr>
        <w:trPr>
          <w:trHeight w:val="58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15,153.25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25,977.00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41,130.25</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270,270,325.01</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223,694,959.01</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266,551,295.48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220,197,851.45</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1,878,211.63</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1,643,435.35</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725,971.15</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764,802.46</w:t>
            </w:r>
          </w:p>
        </w:tc>
      </w:tr>
      <w:tr>
        <w:trPr>
          <w:trHeight w:val="591"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1,114,846.75</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1,088,869.75</w:t>
            </w:r>
          </w:p>
        </w:tc>
      </w:tr>
      <w:tr>
        <w:trPr>
          <w:trHeight w:val="58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2"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270,270,325.01</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223,694,959.01</w:t>
            </w:r>
          </w:p>
        </w:tc>
      </w:tr>
      <w:tr>
        <w:trPr>
          <w:trHeight w:val="5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266,551,295.48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22,0197,851.45</w:t>
            </w:r>
          </w:p>
        </w:tc>
      </w:tr>
      <w:tr>
        <w:trPr>
          <w:trHeight w:val="5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1,878,211.63</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1,643,435.35</w:t>
            </w:r>
          </w:p>
        </w:tc>
      </w:tr>
      <w:tr>
        <w:trPr>
          <w:trHeight w:val="5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725,971.15</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764,802.46</w:t>
            </w:r>
          </w:p>
        </w:tc>
      </w:tr>
      <w:tr>
        <w:trPr>
          <w:trHeight w:val="552"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1,114,846.75</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1,088,869.75</w:t>
            </w:r>
          </w:p>
        </w:tc>
      </w:tr>
    </w:tbl>
    <w:p>
      <w:pPr>
        <w:spacing w:line="240" w:lineRule="auto" w:before="8"/>
        <w:rPr>
          <w:rFonts w:ascii="宋体" w:hAnsi="宋体" w:cs="宋体" w:eastAsia="宋体" w:hint="default"/>
          <w:sz w:val="14"/>
          <w:szCs w:val="14"/>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7"/>
          <w:sz w:val="18"/>
          <w:szCs w:val="18"/>
        </w:rPr>
        <w:t> </w:t>
      </w:r>
      <w:r>
        <w:rPr>
          <w:rFonts w:ascii="Times New Roman" w:hAnsi="Times New Roman" w:cs="Times New Roman" w:eastAsia="Times New Roman" w:hint="default"/>
          <w:spacing w:val="-47"/>
          <w:sz w:val="18"/>
          <w:szCs w:val="18"/>
        </w:rPr>
      </w:r>
      <w:r>
        <w:rPr>
          <w:rFonts w:ascii="Times New Roman" w:hAnsi="Times New Roman" w:cs="Times New Roman" w:eastAsia="Times New Roman" w:hint="default"/>
          <w:sz w:val="18"/>
          <w:szCs w:val="18"/>
          <w:u w:val="single" w:color="000000"/>
        </w:rPr>
        <w:t>6,155,047.63</w:t>
      </w:r>
      <w:r>
        <w:rPr>
          <w:rFonts w:ascii="Times New Roman" w:hAnsi="Times New Roman" w:cs="Times New Roman" w:eastAsia="Times New Roman" w:hint="default"/>
          <w:spacing w:val="-1"/>
          <w:sz w:val="18"/>
          <w:szCs w:val="18"/>
          <w:u w:val="single" w:color="000000"/>
        </w:rPr>
        <w:t> </w:t>
      </w:r>
      <w:r>
        <w:rPr>
          <w:rFonts w:ascii="Times New Roman" w:hAnsi="Times New Roman" w:cs="Times New Roman" w:eastAsia="Times New Roman" w:hint="default"/>
          <w:spacing w:val="-1"/>
          <w:sz w:val="18"/>
          <w:szCs w:val="18"/>
        </w:rPr>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0" w:footer="956" w:top="1140" w:bottom="1140" w:left="1000" w:right="0"/>
        </w:sectPr>
      </w:pPr>
    </w:p>
    <w:p>
      <w:pPr>
        <w:spacing w:line="240" w:lineRule="auto" w:before="1"/>
        <w:rPr>
          <w:rFonts w:ascii="宋体" w:hAnsi="宋体" w:cs="宋体" w:eastAsia="宋体" w:hint="default"/>
          <w:sz w:val="16"/>
          <w:szCs w:val="16"/>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无形资产减少的说明：</w:t>
      </w:r>
    </w:p>
    <w:p>
      <w:pPr>
        <w:spacing w:line="240" w:lineRule="auto" w:before="5"/>
        <w:rPr>
          <w:rFonts w:ascii="宋体" w:hAnsi="宋体" w:cs="宋体" w:eastAsia="宋体" w:hint="default"/>
          <w:sz w:val="20"/>
          <w:szCs w:val="20"/>
        </w:rPr>
      </w:pPr>
    </w:p>
    <w:p>
      <w:pPr>
        <w:spacing w:before="0"/>
        <w:ind w:left="0" w:right="1131" w:firstLine="0"/>
        <w:jc w:val="right"/>
        <w:rPr>
          <w:rFonts w:ascii="Times New Roman" w:hAnsi="Times New Roman" w:cs="Times New Roman" w:eastAsia="Times New Roman" w:hint="default"/>
          <w:sz w:val="18"/>
          <w:szCs w:val="18"/>
        </w:rPr>
      </w:pPr>
      <w:r>
        <w:rPr>
          <w:rFonts w:ascii="宋体" w:hAnsi="宋体" w:cs="宋体" w:eastAsia="宋体" w:hint="default"/>
          <w:sz w:val="18"/>
          <w:szCs w:val="18"/>
        </w:rPr>
        <w:t>本期减少无形资产包括股权股权转让日原控股子公司天外绿包账面无形资产 </w:t>
      </w:r>
      <w:r>
        <w:rPr>
          <w:rFonts w:ascii="Times New Roman" w:hAnsi="Times New Roman" w:cs="Times New Roman" w:eastAsia="Times New Roman" w:hint="default"/>
          <w:sz w:val="18"/>
          <w:szCs w:val="18"/>
        </w:rPr>
        <w:t>40,440,598.97 </w:t>
      </w:r>
      <w:r>
        <w:rPr>
          <w:rFonts w:ascii="宋体" w:hAnsi="宋体" w:cs="宋体" w:eastAsia="宋体" w:hint="default"/>
          <w:sz w:val="18"/>
          <w:szCs w:val="18"/>
        </w:rPr>
        <w:t>元，其中原值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44,046,500.00</w:t>
      </w:r>
    </w:p>
    <w:p>
      <w:pPr>
        <w:spacing w:line="240" w:lineRule="auto" w:before="2"/>
        <w:rPr>
          <w:rFonts w:ascii="Times New Roman" w:hAnsi="Times New Roman" w:cs="Times New Roman" w:eastAsia="Times New Roman" w:hint="default"/>
          <w:sz w:val="18"/>
          <w:szCs w:val="18"/>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元，累计摊销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3,602,937.10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）开发项目支出情况</w:t>
      </w:r>
    </w:p>
    <w:p>
      <w:pPr>
        <w:spacing w:line="240" w:lineRule="auto" w:before="1"/>
        <w:rPr>
          <w:rFonts w:ascii="宋体" w:hAnsi="宋体" w:cs="宋体" w:eastAsia="宋体" w:hint="default"/>
          <w:sz w:val="19"/>
          <w:szCs w:val="19"/>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424"/>
        <w:gridCol w:w="1419"/>
        <w:gridCol w:w="1274"/>
        <w:gridCol w:w="1560"/>
        <w:gridCol w:w="1561"/>
        <w:gridCol w:w="1416"/>
      </w:tblGrid>
      <w:tr>
        <w:trPr>
          <w:trHeight w:val="550"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18"/>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1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0" w:hRule="exact"/>
        </w:trPr>
        <w:tc>
          <w:tcPr>
            <w:tcW w:w="2424" w:type="dxa"/>
            <w:vMerge/>
            <w:tcBorders>
              <w:left w:val="nil" w:sz="6" w:space="0" w:color="auto"/>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416" w:type="dxa"/>
            <w:vMerge/>
            <w:tcBorders>
              <w:left w:val="single" w:sz="4" w:space="0" w:color="000000"/>
              <w:bottom w:val="single" w:sz="4" w:space="0" w:color="000000"/>
              <w:right w:val="nil" w:sz="6" w:space="0" w:color="auto"/>
            </w:tcBorders>
          </w:tcPr>
          <w:p>
            <w:pPr/>
          </w:p>
        </w:tc>
      </w:tr>
      <w:tr>
        <w:trPr>
          <w:trHeight w:val="55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共挤压金属效果全面转移膜</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556,932.76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52,730.89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609,663.65</w:t>
            </w:r>
          </w:p>
        </w:tc>
      </w:tr>
    </w:tbl>
    <w:p>
      <w:pPr>
        <w:spacing w:line="240" w:lineRule="auto" w:before="9"/>
        <w:rPr>
          <w:rFonts w:ascii="宋体" w:hAnsi="宋体" w:cs="宋体" w:eastAsia="宋体" w:hint="default"/>
          <w:sz w:val="14"/>
          <w:szCs w:val="14"/>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通过公司内部研发形成的无形资产占无形资产期末账面价值的比例</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rFonts w:ascii="Times New Roman" w:hAnsi="Times New Roman" w:cs="Times New Roman" w:eastAsia="Times New Roman" w:hint="default"/>
          <w:sz w:val="18"/>
          <w:szCs w:val="18"/>
          <w:u w:val="single" w:color="000000"/>
        </w:rPr>
        <w:t>0.27%</w:t>
      </w:r>
      <w:r>
        <w:rPr>
          <w:rFonts w:ascii="Times New Roman" w:hAnsi="Times New Roman" w:cs="Times New Roman" w:eastAsia="Times New Roman" w:hint="default"/>
          <w:sz w:val="18"/>
          <w:szCs w:val="18"/>
        </w:rPr>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）截至本报告期末，本公司所有权受限制的无形资产情况</w:t>
      </w:r>
    </w:p>
    <w:p>
      <w:pPr>
        <w:spacing w:line="240" w:lineRule="auto" w:before="9"/>
        <w:rPr>
          <w:rFonts w:ascii="宋体" w:hAnsi="宋体" w:cs="宋体" w:eastAsia="宋体" w:hint="default"/>
          <w:sz w:val="15"/>
          <w:szCs w:val="15"/>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141"/>
        <w:gridCol w:w="1419"/>
        <w:gridCol w:w="1558"/>
        <w:gridCol w:w="1560"/>
        <w:gridCol w:w="2976"/>
      </w:tblGrid>
      <w:tr>
        <w:trPr>
          <w:trHeight w:val="552"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受限制原因</w:t>
            </w:r>
          </w:p>
        </w:tc>
      </w:tr>
      <w:tr>
        <w:trPr>
          <w:trHeight w:val="55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昆明彩印土地使用权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1" w:right="0"/>
              <w:jc w:val="left"/>
              <w:rPr>
                <w:rFonts w:ascii="Times New Roman" w:hAnsi="Times New Roman" w:cs="Times New Roman" w:eastAsia="Times New Roman" w:hint="default"/>
                <w:sz w:val="21"/>
                <w:szCs w:val="21"/>
              </w:rPr>
            </w:pPr>
            <w:r>
              <w:rPr>
                <w:rFonts w:ascii="Times New Roman"/>
                <w:sz w:val="21"/>
              </w:rPr>
              <w:t>15,558,608.99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501" w:right="0"/>
              <w:jc w:val="left"/>
              <w:rPr>
                <w:rFonts w:ascii="Times New Roman" w:hAnsi="Times New Roman" w:cs="Times New Roman" w:eastAsia="Times New Roman" w:hint="default"/>
                <w:sz w:val="18"/>
                <w:szCs w:val="18"/>
              </w:rPr>
            </w:pPr>
            <w:r>
              <w:rPr>
                <w:rFonts w:ascii="Times New Roman"/>
                <w:sz w:val="18"/>
              </w:rPr>
              <w:t>2,687,395.44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12,871,213.55</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88"/>
              <w:jc w:val="center"/>
              <w:rPr>
                <w:rFonts w:ascii="宋体" w:hAnsi="宋体" w:cs="宋体" w:eastAsia="宋体" w:hint="default"/>
                <w:sz w:val="21"/>
                <w:szCs w:val="21"/>
              </w:rPr>
            </w:pPr>
            <w:r>
              <w:rPr>
                <w:rFonts w:ascii="宋体" w:hAnsi="宋体" w:cs="宋体" w:eastAsia="宋体" w:hint="default"/>
                <w:sz w:val="21"/>
                <w:szCs w:val="21"/>
              </w:rPr>
              <w:t>用于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万元银行授信</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387"/>
        <w:gridCol w:w="1447"/>
        <w:gridCol w:w="1136"/>
        <w:gridCol w:w="1133"/>
        <w:gridCol w:w="1136"/>
        <w:gridCol w:w="1416"/>
      </w:tblGrid>
      <w:tr>
        <w:trPr>
          <w:trHeight w:val="550" w:hRule="exact"/>
        </w:trPr>
        <w:tc>
          <w:tcPr>
            <w:tcW w:w="33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574" w:right="0"/>
              <w:jc w:val="left"/>
              <w:rPr>
                <w:rFonts w:ascii="宋体" w:hAnsi="宋体" w:cs="宋体" w:eastAsia="宋体" w:hint="default"/>
                <w:sz w:val="15"/>
                <w:szCs w:val="15"/>
              </w:rPr>
            </w:pPr>
            <w:r>
              <w:rPr>
                <w:rFonts w:ascii="宋体" w:hAnsi="宋体" w:cs="宋体" w:eastAsia="宋体" w:hint="default"/>
                <w:sz w:val="15"/>
                <w:szCs w:val="15"/>
              </w:rPr>
              <w:t>被投资单位名称或形成商誉的事项</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19"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63"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61"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6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51" w:right="0"/>
              <w:jc w:val="left"/>
              <w:rPr>
                <w:rFonts w:ascii="宋体" w:hAnsi="宋体" w:cs="宋体" w:eastAsia="宋体" w:hint="default"/>
                <w:sz w:val="15"/>
                <w:szCs w:val="15"/>
              </w:rPr>
            </w:pPr>
            <w:r>
              <w:rPr>
                <w:rFonts w:ascii="宋体" w:hAnsi="宋体" w:cs="宋体" w:eastAsia="宋体" w:hint="default"/>
                <w:sz w:val="15"/>
                <w:szCs w:val="15"/>
              </w:rPr>
              <w:t>期末减值准备</w:t>
            </w:r>
          </w:p>
        </w:tc>
      </w:tr>
      <w:tr>
        <w:trPr>
          <w:trHeight w:val="550" w:hRule="exact"/>
        </w:trPr>
        <w:tc>
          <w:tcPr>
            <w:tcW w:w="33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合并深圳市劲嘉科技有限公司</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641,549.76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641,549.76</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590" w:hRule="exact"/>
        </w:trPr>
        <w:tc>
          <w:tcPr>
            <w:tcW w:w="33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合并中丰田光电科技（珠海）有限公司</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79,712,372.22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79,712,372.22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2"/>
                <w:sz w:val="15"/>
              </w:rPr>
              <w:t>30,839,115.86</w:t>
            </w:r>
          </w:p>
        </w:tc>
      </w:tr>
      <w:tr>
        <w:trPr>
          <w:trHeight w:val="591" w:hRule="exact"/>
        </w:trPr>
        <w:tc>
          <w:tcPr>
            <w:tcW w:w="33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合并湖州天外绿色包装印刷有限公司</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33,433,792.04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33,433,792.04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590" w:hRule="exact"/>
        </w:trPr>
        <w:tc>
          <w:tcPr>
            <w:tcW w:w="33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113,787,714.02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33,433,792.04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80,353,921.98</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2"/>
                <w:sz w:val="15"/>
              </w:rPr>
              <w:t>30,839,115.86</w:t>
            </w:r>
          </w:p>
        </w:tc>
      </w:tr>
    </w:tbl>
    <w:p>
      <w:pPr>
        <w:spacing w:line="240" w:lineRule="auto" w:before="8"/>
        <w:rPr>
          <w:rFonts w:ascii="宋体" w:hAnsi="宋体" w:cs="宋体" w:eastAsia="宋体" w:hint="default"/>
          <w:sz w:val="17"/>
          <w:szCs w:val="17"/>
        </w:rPr>
      </w:pPr>
    </w:p>
    <w:p>
      <w:pPr>
        <w:spacing w:line="520" w:lineRule="auto" w:before="44"/>
        <w:ind w:left="493"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）商誉的减值测试方法和减值准备计提方法： </w:t>
      </w:r>
      <w:r>
        <w:rPr>
          <w:rFonts w:ascii="宋体" w:hAnsi="宋体" w:cs="宋体" w:eastAsia="宋体" w:hint="default"/>
          <w:spacing w:val="-2"/>
          <w:sz w:val="18"/>
          <w:szCs w:val="18"/>
        </w:rPr>
        <w:t>商誉结合与其相关的资产组或者资产组组合进行减值测试，将商誉的账面价值按照合理的方法分摊至相关的资产组或者</w:t>
      </w:r>
    </w:p>
    <w:p>
      <w:pPr>
        <w:spacing w:line="508" w:lineRule="auto" w:before="55"/>
        <w:ind w:left="132" w:right="1034" w:firstLine="0"/>
        <w:jc w:val="left"/>
        <w:rPr>
          <w:rFonts w:ascii="宋体" w:hAnsi="宋体" w:cs="宋体" w:eastAsia="宋体" w:hint="default"/>
          <w:sz w:val="18"/>
          <w:szCs w:val="18"/>
        </w:rPr>
      </w:pPr>
      <w:r>
        <w:rPr>
          <w:rFonts w:ascii="宋体" w:hAnsi="宋体" w:cs="宋体" w:eastAsia="宋体" w:hint="default"/>
          <w:spacing w:val="-2"/>
          <w:sz w:val="18"/>
          <w:szCs w:val="18"/>
        </w:rPr>
        <w:t>资产组组合。在每年年末对包含商誉的相关资产组或者资产组组合进行减值测试时，如与商誉相关的资产组或者资产组组合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存在减值迹象的，比较这些相关资产组或者资产组组合的账面价值（包括所分摊的商誉的账面价值部分）与其可收回金额，</w:t>
      </w:r>
    </w:p>
    <w:p>
      <w:pPr>
        <w:spacing w:after="0" w:line="508" w:lineRule="auto"/>
        <w:jc w:val="left"/>
        <w:rPr>
          <w:rFonts w:ascii="宋体" w:hAnsi="宋体" w:cs="宋体" w:eastAsia="宋体" w:hint="default"/>
          <w:sz w:val="18"/>
          <w:szCs w:val="18"/>
        </w:rPr>
        <w:sectPr>
          <w:footerReference w:type="default" r:id="rId63"/>
          <w:pgSz w:w="11910" w:h="16840"/>
          <w:pgMar w:footer="956" w:header="0" w:top="1140" w:bottom="1140" w:left="1000" w:right="0"/>
          <w:pgNumType w:start="62"/>
        </w:sectPr>
      </w:pPr>
    </w:p>
    <w:p>
      <w:pPr>
        <w:spacing w:line="240" w:lineRule="auto" w:before="3"/>
        <w:rPr>
          <w:rFonts w:ascii="宋体" w:hAnsi="宋体" w:cs="宋体" w:eastAsia="宋体" w:hint="default"/>
          <w:sz w:val="19"/>
          <w:szCs w:val="19"/>
        </w:rPr>
      </w:pPr>
    </w:p>
    <w:p>
      <w:pPr>
        <w:spacing w:line="511" w:lineRule="auto" w:before="44"/>
        <w:ind w:left="152" w:right="1133" w:firstLine="0"/>
        <w:jc w:val="both"/>
        <w:rPr>
          <w:rFonts w:ascii="宋体" w:hAnsi="宋体" w:cs="宋体" w:eastAsia="宋体" w:hint="default"/>
          <w:sz w:val="18"/>
          <w:szCs w:val="18"/>
        </w:rPr>
      </w:pPr>
      <w:r>
        <w:rPr>
          <w:rFonts w:ascii="宋体" w:hAnsi="宋体" w:cs="宋体" w:eastAsia="宋体" w:hint="default"/>
          <w:spacing w:val="-2"/>
          <w:sz w:val="18"/>
          <w:szCs w:val="18"/>
        </w:rPr>
        <w:t>如相关资产组或者资产组组合的可收回金额低于其账面价值的，就其差额确认减值损失，减值损失金额首先抵减分摊至资产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组或者资产组组合中商誉的账面价值；再根据资产组或者资产组组合中除商誉之外的其他各项资产的账面价值所占比重，按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比例抵减其他各项资产的账面价值。商誉减值损失一经确认，在以后会计期间不再转回。</w:t>
      </w:r>
    </w:p>
    <w:p>
      <w:pPr>
        <w:spacing w:before="101"/>
        <w:ind w:left="513"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）本期末其他商誉不存在减值的情形，未计提减值准备。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625"/>
        <w:gridCol w:w="1613"/>
        <w:gridCol w:w="1613"/>
        <w:gridCol w:w="1613"/>
        <w:gridCol w:w="1611"/>
        <w:gridCol w:w="1610"/>
      </w:tblGrid>
      <w:tr>
        <w:trPr>
          <w:trHeight w:val="591"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sz w:val="18"/>
                <w:szCs w:val="18"/>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90"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景观绿化费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1,385,018.69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561,474.16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823,544.53</w:t>
            </w:r>
          </w:p>
        </w:tc>
      </w:tr>
      <w:tr>
        <w:trPr>
          <w:trHeight w:val="590"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蒸汽管道费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226,666.59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146,666.55</w:t>
            </w:r>
          </w:p>
        </w:tc>
      </w:tr>
      <w:tr>
        <w:trPr>
          <w:trHeight w:val="588"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房屋修缮费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393,279.03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380,925.80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12,353.23</w:t>
            </w:r>
          </w:p>
        </w:tc>
      </w:tr>
      <w:tr>
        <w:trPr>
          <w:trHeight w:val="590"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2,004,964.31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1,022,400.00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982,564.31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）已确认的递延所得税资产和递延所得税负债</w:t>
      </w:r>
    </w:p>
    <w:p>
      <w:pPr>
        <w:spacing w:line="240" w:lineRule="auto" w:before="0"/>
        <w:rPr>
          <w:rFonts w:ascii="宋体" w:hAnsi="宋体" w:cs="宋体" w:eastAsia="宋体" w:hint="default"/>
          <w:sz w:val="19"/>
          <w:szCs w:val="19"/>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4835"/>
        <w:gridCol w:w="2410"/>
        <w:gridCol w:w="2410"/>
      </w:tblGrid>
      <w:tr>
        <w:trPr>
          <w:trHeight w:val="5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8"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应收账款账面价值低于其计税基础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3,716,166.17</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5,466,370.44</w:t>
            </w:r>
          </w:p>
        </w:tc>
      </w:tr>
      <w:tr>
        <w:trPr>
          <w:trHeight w:val="5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其他应收款账面价值低于其计税基础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1,802,807.90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1,001,258.95</w:t>
            </w:r>
          </w:p>
        </w:tc>
      </w:tr>
      <w:tr>
        <w:trPr>
          <w:trHeight w:val="59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存货账面价值低于其计税基础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1,920,868.64</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2,204,116.82</w:t>
            </w:r>
          </w:p>
        </w:tc>
      </w:tr>
      <w:tr>
        <w:trPr>
          <w:trHeight w:val="5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固定资产账面价值低于计税基础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447,230.94</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709,945.76</w:t>
            </w:r>
          </w:p>
        </w:tc>
      </w:tr>
      <w:tr>
        <w:trPr>
          <w:trHeight w:val="5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内部交易未实现利润产生的暂时性时间差异</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668,591.58</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1,025,591.04</w:t>
            </w:r>
          </w:p>
        </w:tc>
      </w:tr>
      <w:tr>
        <w:trPr>
          <w:trHeight w:val="588"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8,555,665.23</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10,407,283.01</w:t>
            </w:r>
          </w:p>
        </w:tc>
      </w:tr>
      <w:tr>
        <w:trPr>
          <w:trHeight w:val="5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64"/>
          <w:pgSz w:w="11910" w:h="16840"/>
          <w:pgMar w:header="920" w:footer="956" w:top="1140" w:bottom="1140" w:left="980" w:right="0"/>
        </w:sectPr>
      </w:pPr>
    </w:p>
    <w:p>
      <w:pPr>
        <w:spacing w:line="240" w:lineRule="auto" w:before="7"/>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4835"/>
        <w:gridCol w:w="2410"/>
        <w:gridCol w:w="2410"/>
      </w:tblGrid>
      <w:tr>
        <w:trPr>
          <w:trHeight w:val="59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58"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2"/>
              <w:jc w:val="left"/>
              <w:rPr>
                <w:rFonts w:ascii="宋体" w:hAnsi="宋体" w:cs="宋体" w:eastAsia="宋体" w:hint="default"/>
                <w:sz w:val="18"/>
                <w:szCs w:val="18"/>
              </w:rPr>
            </w:pPr>
            <w:r>
              <w:rPr>
                <w:rFonts w:ascii="宋体" w:hAnsi="宋体" w:cs="宋体" w:eastAsia="宋体" w:hint="default"/>
                <w:spacing w:val="3"/>
                <w:sz w:val="18"/>
                <w:szCs w:val="18"/>
              </w:rPr>
              <w:t>非同一控制下的企业合并取得的可辨认资产公允价值高于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其计税基础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265" w:right="0"/>
              <w:jc w:val="left"/>
              <w:rPr>
                <w:rFonts w:ascii="Times New Roman" w:hAnsi="Times New Roman" w:cs="Times New Roman" w:eastAsia="Times New Roman" w:hint="default"/>
                <w:sz w:val="18"/>
                <w:szCs w:val="18"/>
              </w:rPr>
            </w:pPr>
            <w:r>
              <w:rPr>
                <w:rFonts w:ascii="Times New Roman"/>
                <w:sz w:val="18"/>
              </w:rPr>
              <w:t>12,519,059.56</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265" w:right="0"/>
              <w:jc w:val="left"/>
              <w:rPr>
                <w:rFonts w:ascii="Times New Roman" w:hAnsi="Times New Roman" w:cs="Times New Roman" w:eastAsia="Times New Roman" w:hint="default"/>
                <w:sz w:val="18"/>
                <w:szCs w:val="18"/>
              </w:rPr>
            </w:pPr>
            <w:r>
              <w:rPr>
                <w:rFonts w:ascii="Times New Roman"/>
                <w:sz w:val="18"/>
              </w:rPr>
              <w:t>20,994,125.88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）截至本报告期末，未确认递延所得税资产明细</w:t>
      </w:r>
    </w:p>
    <w:p>
      <w:pPr>
        <w:spacing w:line="240" w:lineRule="auto" w:before="1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2,246.50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276,533.56</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48,389.94</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1,375,659.25</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50,636.44</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1,652,192.81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）未确认递延所得税资产的可抵扣亏损将于以下年度到期</w:t>
      </w:r>
    </w:p>
    <w:p>
      <w:pPr>
        <w:spacing w:line="240" w:lineRule="auto" w:before="1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424"/>
        <w:gridCol w:w="2410"/>
        <w:gridCol w:w="2410"/>
        <w:gridCol w:w="2410"/>
      </w:tblGrid>
      <w:tr>
        <w:trPr>
          <w:trHeight w:val="58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9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2012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216,876.94</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2013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657,390.81</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2014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102,713.21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5,457,995.36</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2015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68,400.28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4,983,956.39</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2016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22,446.28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193,559.77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11,316,219.50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17"/>
          <w:szCs w:val="17"/>
        </w:rPr>
      </w:pPr>
    </w:p>
    <w:p>
      <w:pPr>
        <w:spacing w:before="44"/>
        <w:ind w:left="498" w:right="1119" w:firstLine="0"/>
        <w:jc w:val="left"/>
        <w:rPr>
          <w:rFonts w:ascii="宋体" w:hAnsi="宋体" w:cs="宋体" w:eastAsia="宋体" w:hint="default"/>
          <w:sz w:val="18"/>
          <w:szCs w:val="18"/>
        </w:rPr>
      </w:pPr>
      <w:r>
        <w:rPr>
          <w:rFonts w:ascii="宋体" w:hAnsi="宋体" w:cs="宋体" w:eastAsia="宋体" w:hint="default"/>
          <w:sz w:val="18"/>
          <w:szCs w:val="18"/>
        </w:rPr>
        <w:t>期初未确认递延所得税资产的可抵扣亏损主要是原控股子公司天外绿包之子公司天外纸品的账面累计亏损。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8"/>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）引起暂时性差异的资产或负债项目对应的暂时性差异</w:t>
      </w:r>
    </w:p>
    <w:p>
      <w:pPr>
        <w:spacing w:line="240" w:lineRule="auto" w:before="4"/>
        <w:rPr>
          <w:rFonts w:ascii="宋体" w:hAnsi="宋体" w:cs="宋体" w:eastAsia="宋体" w:hint="default"/>
          <w:sz w:val="21"/>
          <w:szCs w:val="21"/>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6820"/>
        <w:gridCol w:w="2835"/>
      </w:tblGrid>
      <w:tr>
        <w:trPr>
          <w:trHeight w:val="581"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暂时性差异金额</w:t>
            </w:r>
          </w:p>
        </w:tc>
      </w:tr>
    </w:tbl>
    <w:p>
      <w:pPr>
        <w:spacing w:after="0" w:line="240" w:lineRule="auto"/>
        <w:jc w:val="left"/>
        <w:rPr>
          <w:rFonts w:ascii="宋体" w:hAnsi="宋体" w:cs="宋体" w:eastAsia="宋体" w:hint="default"/>
          <w:sz w:val="18"/>
          <w:szCs w:val="18"/>
        </w:rPr>
        <w:sectPr>
          <w:pgSz w:w="11910" w:h="16840"/>
          <w:pgMar w:header="920" w:footer="956" w:top="1140" w:bottom="1140" w:left="1000" w:right="0"/>
        </w:sectPr>
      </w:pPr>
    </w:p>
    <w:p>
      <w:pPr>
        <w:spacing w:line="240" w:lineRule="auto" w:before="7"/>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6820"/>
        <w:gridCol w:w="2835"/>
      </w:tblGrid>
      <w:tr>
        <w:trPr>
          <w:trHeight w:val="581"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581"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应收账款账面价值低于计税基础</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24,847,201.04</w:t>
            </w:r>
          </w:p>
        </w:tc>
      </w:tr>
      <w:tr>
        <w:trPr>
          <w:trHeight w:val="578"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其他应收款账面价值低于计税基础</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10,858,805.45</w:t>
            </w:r>
          </w:p>
        </w:tc>
      </w:tr>
      <w:tr>
        <w:trPr>
          <w:trHeight w:val="581"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存货账面价值低于计税基础</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12,805,790.89</w:t>
            </w:r>
          </w:p>
        </w:tc>
      </w:tr>
      <w:tr>
        <w:trPr>
          <w:trHeight w:val="581"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固定资产账面价值低于计税基础</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2,224,599.15</w:t>
            </w:r>
          </w:p>
        </w:tc>
      </w:tr>
      <w:tr>
        <w:trPr>
          <w:trHeight w:val="578"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内部交易未实现利润产生的暂时性时间差异</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4,457,277.23</w:t>
            </w:r>
          </w:p>
        </w:tc>
      </w:tr>
      <w:tr>
        <w:trPr>
          <w:trHeight w:val="581"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非同一控制下的企业合并取得的可辨认资产公允价值高于其计税基础</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51,577,989.11</w:t>
            </w:r>
          </w:p>
        </w:tc>
      </w:tr>
      <w:tr>
        <w:trPr>
          <w:trHeight w:val="581" w:hRule="exact"/>
        </w:trPr>
        <w:tc>
          <w:tcPr>
            <w:tcW w:w="6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106,771,662.87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13"/>
        <w:rPr>
          <w:rFonts w:ascii="宋体" w:hAnsi="宋体" w:cs="宋体" w:eastAsia="宋体" w:hint="default"/>
          <w:b/>
          <w:bCs/>
          <w:sz w:val="17"/>
          <w:szCs w:val="17"/>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283"/>
        <w:gridCol w:w="1419"/>
        <w:gridCol w:w="1558"/>
        <w:gridCol w:w="1418"/>
        <w:gridCol w:w="1419"/>
        <w:gridCol w:w="1558"/>
      </w:tblGrid>
      <w:tr>
        <w:trPr>
          <w:trHeight w:val="578" w:hRule="exact"/>
        </w:trPr>
        <w:tc>
          <w:tcPr>
            <w:tcW w:w="228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81" w:hRule="exact"/>
        </w:trPr>
        <w:tc>
          <w:tcPr>
            <w:tcW w:w="2283" w:type="dxa"/>
            <w:vMerge/>
            <w:tcBorders>
              <w:left w:val="nil" w:sz="6" w:space="0" w:color="auto"/>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558" w:type="dxa"/>
            <w:vMerge/>
            <w:tcBorders>
              <w:left w:val="single" w:sz="4" w:space="0" w:color="000000"/>
              <w:bottom w:val="single" w:sz="4" w:space="0" w:color="000000"/>
              <w:right w:val="nil" w:sz="6" w:space="0" w:color="auto"/>
            </w:tcBorders>
          </w:tcPr>
          <w:p>
            <w:pPr/>
          </w:p>
        </w:tc>
      </w:tr>
      <w:tr>
        <w:trPr>
          <w:trHeight w:val="581"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34,322,812.41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10,273,046.01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8,825,866.49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35,769,991.93</w:t>
            </w:r>
          </w:p>
        </w:tc>
      </w:tr>
      <w:tr>
        <w:trPr>
          <w:trHeight w:val="57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10,394,120.73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7,236,136.94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1,841,913.18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2,982,553.60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12,805,790.89</w:t>
            </w:r>
          </w:p>
        </w:tc>
      </w:tr>
      <w:tr>
        <w:trPr>
          <w:trHeight w:val="581"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三、固定资产减值准备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4,730,501.37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44,620.00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4,685,881.37</w:t>
            </w:r>
          </w:p>
        </w:tc>
      </w:tr>
      <w:tr>
        <w:trPr>
          <w:trHeight w:val="581"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四、商誉减值准备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30,839,115.86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30,839,115.86</w:t>
            </w:r>
          </w:p>
        </w:tc>
      </w:tr>
      <w:tr>
        <w:trPr>
          <w:trHeight w:val="581"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80,286,550.37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17,509,182.95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10,667,779.67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3,027,173.60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84,100,780.05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36"/>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、所有权受到限制的资产</w:t>
      </w:r>
      <w:r>
        <w:rPr>
          <w:rFonts w:ascii="宋体" w:hAnsi="宋体" w:cs="宋体" w:eastAsia="宋体" w:hint="default"/>
          <w:sz w:val="21"/>
          <w:szCs w:val="21"/>
        </w:rPr>
      </w:r>
    </w:p>
    <w:p>
      <w:pPr>
        <w:spacing w:line="240" w:lineRule="auto" w:before="5"/>
        <w:rPr>
          <w:rFonts w:ascii="宋体" w:hAnsi="宋体" w:cs="宋体" w:eastAsia="宋体" w:hint="default"/>
          <w:b/>
          <w:bCs/>
          <w:sz w:val="21"/>
          <w:szCs w:val="21"/>
        </w:rPr>
      </w:pPr>
    </w:p>
    <w:p>
      <w:pPr>
        <w:spacing w:line="549" w:lineRule="auto" w:before="0"/>
        <w:ind w:left="495" w:right="2651" w:hanging="36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）资产所有权受到限制的原因 部分银行存款及应收票据用于银行承兑汇票保证金；固定资产和无形资产用于银行贷款授信抵押。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）所有权受到限制的资产</w:t>
      </w:r>
    </w:p>
    <w:p>
      <w:pPr>
        <w:spacing w:line="240" w:lineRule="auto" w:before="6"/>
        <w:rPr>
          <w:rFonts w:ascii="宋体" w:hAnsi="宋体" w:cs="宋体" w:eastAsia="宋体" w:hint="default"/>
          <w:sz w:val="21"/>
          <w:szCs w:val="21"/>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after="0"/>
        <w:jc w:val="right"/>
        <w:rPr>
          <w:rFonts w:ascii="宋体" w:hAnsi="宋体" w:cs="宋体" w:eastAsia="宋体" w:hint="default"/>
          <w:sz w:val="18"/>
          <w:szCs w:val="18"/>
        </w:rPr>
        <w:sectPr>
          <w:pgSz w:w="11910" w:h="16840"/>
          <w:pgMar w:header="920" w:footer="956" w:top="1140" w:bottom="1140" w:left="1000" w:right="0"/>
        </w:sectPr>
      </w:pPr>
    </w:p>
    <w:p>
      <w:pPr>
        <w:spacing w:line="240" w:lineRule="auto" w:before="7"/>
        <w:rPr>
          <w:rFonts w:ascii="宋体" w:hAnsi="宋体" w:cs="宋体" w:eastAsia="宋体" w:hint="default"/>
          <w:sz w:val="4"/>
          <w:szCs w:val="4"/>
        </w:rPr>
      </w:pPr>
    </w:p>
    <w:tbl>
      <w:tblPr>
        <w:tblW w:w="0" w:type="auto"/>
        <w:jc w:val="left"/>
        <w:tblInd w:w="213" w:type="dxa"/>
        <w:tblLayout w:type="fixed"/>
        <w:tblCellMar>
          <w:top w:w="0" w:type="dxa"/>
          <w:left w:w="0" w:type="dxa"/>
          <w:bottom w:w="0" w:type="dxa"/>
          <w:right w:w="0" w:type="dxa"/>
        </w:tblCellMar>
        <w:tblLook w:val="01E0"/>
      </w:tblPr>
      <w:tblGrid>
        <w:gridCol w:w="3277"/>
        <w:gridCol w:w="1702"/>
        <w:gridCol w:w="1618"/>
        <w:gridCol w:w="1529"/>
        <w:gridCol w:w="1529"/>
      </w:tblGrid>
      <w:tr>
        <w:trPr>
          <w:trHeight w:val="581"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所有权受到限制的资产类别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581"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银行存款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56,119,622.27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284,667,170.52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277,983,698.31</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62,803,094.48</w:t>
            </w:r>
          </w:p>
        </w:tc>
      </w:tr>
      <w:tr>
        <w:trPr>
          <w:trHeight w:val="61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13,083,090.97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282,341.04</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12,800,749.93</w:t>
            </w:r>
          </w:p>
        </w:tc>
      </w:tr>
      <w:tr>
        <w:trPr>
          <w:trHeight w:val="61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土地使用权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13,200,540.95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329,327.40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12,871,213.55</w:t>
            </w:r>
          </w:p>
        </w:tc>
      </w:tr>
      <w:tr>
        <w:trPr>
          <w:trHeight w:val="61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质押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11,754,761.75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11,754,761.75</w:t>
            </w:r>
          </w:p>
        </w:tc>
      </w:tr>
      <w:tr>
        <w:trPr>
          <w:trHeight w:val="612"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tabs>
                <w:tab w:pos="561"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82,403,254.19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296,421,932.27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278,595,366.75</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100,229,819.71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36"/>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）短期借款分类</w:t>
      </w:r>
    </w:p>
    <w:p>
      <w:pPr>
        <w:spacing w:line="240" w:lineRule="auto" w:before="4"/>
        <w:rPr>
          <w:rFonts w:ascii="宋体" w:hAnsi="宋体" w:cs="宋体" w:eastAsia="宋体" w:hint="default"/>
          <w:sz w:val="20"/>
          <w:szCs w:val="20"/>
        </w:rPr>
      </w:pPr>
    </w:p>
    <w:p>
      <w:pPr>
        <w:spacing w:before="44"/>
        <w:ind w:left="0" w:right="1272"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3248"/>
        <w:gridCol w:w="3233"/>
        <w:gridCol w:w="3233"/>
      </w:tblGrid>
      <w:tr>
        <w:trPr>
          <w:trHeight w:val="61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430"/>
              <w:jc w:val="right"/>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1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color w:val="800080"/>
                <w:w w:val="99"/>
                <w:sz w:val="18"/>
              </w:rPr>
              <w:t>-</w:t>
            </w:r>
            <w:r>
              <w:rPr>
                <w:rFonts w:ascii="Times New Roman"/>
                <w:sz w:val="18"/>
              </w:rPr>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134,500,000.00</w:t>
            </w:r>
          </w:p>
        </w:tc>
      </w:tr>
      <w:tr>
        <w:trPr>
          <w:trHeight w:val="61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color w:val="800080"/>
                <w:w w:val="99"/>
                <w:sz w:val="18"/>
              </w:rPr>
              <w:t>-</w:t>
            </w:r>
            <w:r>
              <w:rPr>
                <w:rFonts w:ascii="Times New Roman"/>
                <w:sz w:val="18"/>
              </w:rPr>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61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602,000,000.00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411,000,000.00</w:t>
            </w:r>
          </w:p>
        </w:tc>
      </w:tr>
      <w:tr>
        <w:trPr>
          <w:trHeight w:val="61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430"/>
              <w:jc w:val="righ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602,000,000.00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549,500,000.00</w:t>
            </w:r>
          </w:p>
        </w:tc>
      </w:tr>
    </w:tbl>
    <w:p>
      <w:pPr>
        <w:spacing w:line="240" w:lineRule="auto" w:before="3"/>
        <w:rPr>
          <w:rFonts w:ascii="宋体" w:hAnsi="宋体" w:cs="宋体" w:eastAsia="宋体" w:hint="default"/>
          <w:sz w:val="19"/>
          <w:szCs w:val="19"/>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）截至本报告期末，本公司无已到期未偿还的短期借款。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7"/>
        <w:rPr>
          <w:rFonts w:ascii="宋体" w:hAnsi="宋体" w:cs="宋体" w:eastAsia="宋体" w:hint="default"/>
          <w:b/>
          <w:bCs/>
          <w:sz w:val="20"/>
          <w:szCs w:val="20"/>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265"/>
        <w:gridCol w:w="3250"/>
        <w:gridCol w:w="3248"/>
      </w:tblGrid>
      <w:tr>
        <w:trPr>
          <w:trHeight w:val="61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1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021" w:right="0"/>
              <w:jc w:val="left"/>
              <w:rPr>
                <w:rFonts w:ascii="Times New Roman" w:hAnsi="Times New Roman" w:cs="Times New Roman" w:eastAsia="Times New Roman" w:hint="default"/>
                <w:sz w:val="18"/>
                <w:szCs w:val="18"/>
              </w:rPr>
            </w:pPr>
            <w:r>
              <w:rPr>
                <w:rFonts w:ascii="Times New Roman"/>
                <w:sz w:val="18"/>
              </w:rPr>
              <w:t>155,716,276.11</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sz w:val="18"/>
              </w:rPr>
              <w:t>158,312,281.62</w:t>
            </w:r>
          </w:p>
        </w:tc>
      </w:tr>
    </w:tbl>
    <w:p>
      <w:pPr>
        <w:spacing w:line="240" w:lineRule="auto" w:before="3"/>
        <w:rPr>
          <w:rFonts w:ascii="宋体" w:hAnsi="宋体" w:cs="宋体" w:eastAsia="宋体" w:hint="default"/>
          <w:sz w:val="19"/>
          <w:szCs w:val="19"/>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应付票据的说明：</w:t>
      </w:r>
    </w:p>
    <w:p>
      <w:pPr>
        <w:spacing w:line="240" w:lineRule="auto" w:before="10"/>
        <w:rPr>
          <w:rFonts w:ascii="宋体" w:hAnsi="宋体" w:cs="宋体" w:eastAsia="宋体" w:hint="default"/>
          <w:sz w:val="24"/>
          <w:szCs w:val="24"/>
        </w:rPr>
      </w:pPr>
    </w:p>
    <w:p>
      <w:pPr>
        <w:spacing w:before="0"/>
        <w:ind w:left="59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本报告期末应付票据全部系银行承兑汇票</w:t>
      </w:r>
      <w:r>
        <w:rPr>
          <w:rFonts w:ascii="宋体" w:hAnsi="宋体" w:cs="宋体" w:eastAsia="宋体" w:hint="default"/>
          <w:spacing w:val="-56"/>
          <w:sz w:val="18"/>
          <w:szCs w:val="18"/>
        </w:rPr>
        <w:t>，</w:t>
      </w:r>
      <w:r>
        <w:rPr>
          <w:rFonts w:ascii="宋体" w:hAnsi="宋体" w:cs="宋体" w:eastAsia="宋体" w:hint="default"/>
          <w:sz w:val="18"/>
          <w:szCs w:val="18"/>
        </w:rPr>
        <w:t>主要用于支付原材料采购款</w:t>
      </w:r>
      <w:r>
        <w:rPr>
          <w:rFonts w:ascii="宋体" w:hAnsi="宋体" w:cs="宋体" w:eastAsia="宋体" w:hint="default"/>
          <w:spacing w:val="-56"/>
          <w:sz w:val="18"/>
          <w:szCs w:val="18"/>
        </w:rPr>
        <w:t>，</w:t>
      </w:r>
      <w:r>
        <w:rPr>
          <w:rFonts w:ascii="宋体" w:hAnsi="宋体" w:cs="宋体" w:eastAsia="宋体" w:hint="default"/>
          <w:sz w:val="18"/>
          <w:szCs w:val="18"/>
        </w:rPr>
        <w:t>期限均在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3"/>
          <w:sz w:val="18"/>
          <w:szCs w:val="18"/>
        </w:rPr>
        <w:t>月</w:t>
      </w:r>
      <w:r>
        <w:rPr>
          <w:rFonts w:ascii="宋体" w:hAnsi="宋体" w:cs="宋体" w:eastAsia="宋体" w:hint="default"/>
          <w:sz w:val="18"/>
          <w:szCs w:val="18"/>
        </w:rPr>
        <w:t>以</w:t>
      </w:r>
      <w:r>
        <w:rPr>
          <w:rFonts w:ascii="宋体" w:hAnsi="宋体" w:cs="宋体" w:eastAsia="宋体" w:hint="default"/>
          <w:spacing w:val="-56"/>
          <w:sz w:val="18"/>
          <w:szCs w:val="18"/>
        </w:rPr>
        <w:t>内</w:t>
      </w:r>
      <w:r>
        <w:rPr>
          <w:rFonts w:ascii="宋体" w:hAnsi="宋体" w:cs="宋体" w:eastAsia="宋体" w:hint="default"/>
          <w:sz w:val="18"/>
          <w:szCs w:val="18"/>
        </w:rPr>
        <w:t>（包含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92"/>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将在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p>
    <w:p>
      <w:pPr>
        <w:spacing w:line="240" w:lineRule="auto" w:before="7"/>
        <w:rPr>
          <w:rFonts w:ascii="Times New Roman" w:hAnsi="Times New Roman" w:cs="Times New Roman" w:eastAsia="Times New Roman" w:hint="default"/>
          <w:sz w:val="23"/>
          <w:szCs w:val="23"/>
        </w:rPr>
      </w:pPr>
    </w:p>
    <w:p>
      <w:pPr>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日前全部到期；无已到期未承兑的应付票据，期末承兑汇票保证金合计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28,931,061.43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920" w:footer="956" w:top="1140" w:bottom="114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before="36"/>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）应付账款按账龄列示：</w:t>
      </w:r>
    </w:p>
    <w:p>
      <w:pPr>
        <w:spacing w:line="240" w:lineRule="auto" w:before="4"/>
        <w:rPr>
          <w:rFonts w:ascii="宋体" w:hAnsi="宋体" w:cs="宋体" w:eastAsia="宋体" w:hint="default"/>
          <w:sz w:val="20"/>
          <w:szCs w:val="2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208,867,834.79</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251,500,402.55</w:t>
            </w:r>
          </w:p>
        </w:tc>
      </w:tr>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14,946,333.89</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7,137,345.59</w:t>
            </w:r>
          </w:p>
        </w:tc>
      </w:tr>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215,674.26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1,260,691.47</w:t>
            </w:r>
          </w:p>
        </w:tc>
      </w:tr>
      <w:tr>
        <w:trPr>
          <w:trHeight w:val="61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1,879,904.66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834,887.45</w:t>
            </w:r>
          </w:p>
        </w:tc>
      </w:tr>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225,909,747.60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260,733,327.06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）本报告期应付账款中应付持有本公司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以上表决权股份的股东单位或关联方的款项情况：</w:t>
      </w:r>
    </w:p>
    <w:p>
      <w:pPr>
        <w:spacing w:line="240" w:lineRule="auto" w:before="9"/>
        <w:rPr>
          <w:rFonts w:ascii="宋体" w:hAnsi="宋体" w:cs="宋体" w:eastAsia="宋体" w:hint="default"/>
          <w:sz w:val="23"/>
          <w:szCs w:val="23"/>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6"/>
      </w:tblGrid>
      <w:tr>
        <w:trPr>
          <w:trHeight w:val="61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1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深圳永丰田科技有限公司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615,019.77</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615,019.77</w:t>
            </w:r>
          </w:p>
        </w:tc>
      </w:tr>
      <w:tr>
        <w:trPr>
          <w:trHeight w:val="61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深圳市贤俊龙彩印有限公司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28,744.82</w:t>
            </w:r>
            <w:r>
              <w:rPr>
                <w:rFonts w:ascii="Times New Roman"/>
                <w:sz w:val="18"/>
              </w:rPr>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28,744.82</w:t>
            </w:r>
          </w:p>
        </w:tc>
      </w:tr>
      <w:tr>
        <w:trPr>
          <w:trHeight w:val="61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643,764.59</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643,764.59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36"/>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）预收款项按账龄列示：</w:t>
      </w:r>
    </w:p>
    <w:p>
      <w:pPr>
        <w:spacing w:line="240" w:lineRule="auto" w:before="4"/>
        <w:rPr>
          <w:rFonts w:ascii="宋体" w:hAnsi="宋体" w:cs="宋体" w:eastAsia="宋体" w:hint="default"/>
          <w:sz w:val="20"/>
          <w:szCs w:val="2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6"/>
      </w:tblGrid>
      <w:tr>
        <w:trPr>
          <w:trHeight w:val="61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1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746,412.63</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4,599,467.22</w:t>
            </w:r>
          </w:p>
        </w:tc>
      </w:tr>
      <w:tr>
        <w:trPr>
          <w:trHeight w:val="61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181,017.15</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593,717.25</w:t>
            </w:r>
          </w:p>
        </w:tc>
      </w:tr>
    </w:tbl>
    <w:p>
      <w:pPr>
        <w:spacing w:after="0" w:line="240" w:lineRule="auto"/>
        <w:jc w:val="right"/>
        <w:rPr>
          <w:rFonts w:ascii="Times New Roman" w:hAnsi="Times New Roman" w:cs="Times New Roman" w:eastAsia="Times New Roman" w:hint="default"/>
          <w:sz w:val="18"/>
          <w:szCs w:val="18"/>
        </w:rPr>
        <w:sectPr>
          <w:pgSz w:w="11910" w:h="16840"/>
          <w:pgMar w:header="920" w:footer="956" w:top="1140" w:bottom="1140" w:left="980" w:right="0"/>
        </w:sectPr>
      </w:pPr>
    </w:p>
    <w:p>
      <w:pPr>
        <w:spacing w:line="240" w:lineRule="auto" w:before="7"/>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6"/>
      </w:tblGrid>
      <w:tr>
        <w:trPr>
          <w:trHeight w:val="61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37,901.87</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965,331.65</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5,193,184.47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）本报告期末预收款项期末余额中无预收持本公司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以上股份的股东单位及其他关联方单位的款项。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313"/>
        <w:gridCol w:w="1584"/>
        <w:gridCol w:w="1587"/>
        <w:gridCol w:w="1585"/>
        <w:gridCol w:w="1586"/>
      </w:tblGrid>
      <w:tr>
        <w:trPr>
          <w:trHeight w:val="591"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90"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14,088,894.14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150,993,238.85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151,760,208.96</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13,321,924.03</w:t>
            </w:r>
          </w:p>
        </w:tc>
      </w:tr>
      <w:tr>
        <w:trPr>
          <w:trHeight w:val="590"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17,147,401.77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17,147,401.77</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556,209.95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15,951,830.55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16,498,091.86</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9,948.64</w:t>
            </w:r>
          </w:p>
        </w:tc>
      </w:tr>
      <w:tr>
        <w:trPr>
          <w:trHeight w:val="588"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54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181,066.91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4,099,926.65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4,277,023.37</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3,970.19</w:t>
            </w:r>
          </w:p>
        </w:tc>
      </w:tr>
      <w:tr>
        <w:trPr>
          <w:trHeight w:val="590"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1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基本养老保险费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305,068.35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10,056,043.22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10,355,775.39</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5,336.18</w:t>
            </w:r>
          </w:p>
        </w:tc>
      </w:tr>
      <w:tr>
        <w:trPr>
          <w:trHeight w:val="591"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0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劳动保险费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28,303.80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28,303.80</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4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失业保险</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39,066.53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813,986.02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852,410.28</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642.27</w:t>
            </w:r>
          </w:p>
        </w:tc>
      </w:tr>
      <w:tr>
        <w:trPr>
          <w:trHeight w:val="590"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3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工伤保险</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19,380.11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608,732.44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628,112.55</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3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生育保险</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11,628.05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344,838.42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356,466.47</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8"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108,437.00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5,355,784.92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5,464,221.92</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3,404,547.46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2,300,871.61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4,386,389.69</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1,319,029.38</w:t>
            </w:r>
          </w:p>
        </w:tc>
      </w:tr>
      <w:tr>
        <w:trPr>
          <w:trHeight w:val="591"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六、离退休人员费用</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23,007,576.50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174,247.34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3,767,196.29</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19,414,627.55</w:t>
            </w:r>
          </w:p>
        </w:tc>
      </w:tr>
      <w:tr>
        <w:trPr>
          <w:trHeight w:val="590"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41,165,665.05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191,923,375.04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199,023,510.49</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34,065,529.60</w:t>
            </w:r>
          </w:p>
        </w:tc>
      </w:tr>
    </w:tbl>
    <w:p>
      <w:pPr>
        <w:spacing w:line="240" w:lineRule="auto" w:before="10"/>
        <w:rPr>
          <w:rFonts w:ascii="宋体" w:hAnsi="宋体" w:cs="宋体" w:eastAsia="宋体" w:hint="default"/>
          <w:sz w:val="17"/>
          <w:szCs w:val="17"/>
        </w:rPr>
      </w:pPr>
    </w:p>
    <w:p>
      <w:pPr>
        <w:spacing w:before="44"/>
        <w:ind w:left="513" w:right="1114" w:firstLine="0"/>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）本报告期末离退休人员费用余额包含本公司之控股子公司昆明彩印应支付的内退人员、退休人员的费用</w:t>
      </w:r>
    </w:p>
    <w:p>
      <w:pPr>
        <w:spacing w:line="240" w:lineRule="auto" w:before="1"/>
        <w:rPr>
          <w:rFonts w:ascii="宋体" w:hAnsi="宋体" w:cs="宋体" w:eastAsia="宋体" w:hint="default"/>
          <w:sz w:val="19"/>
          <w:szCs w:val="19"/>
        </w:rPr>
      </w:pPr>
    </w:p>
    <w:p>
      <w:pPr>
        <w:spacing w:before="0"/>
        <w:ind w:left="152" w:right="111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19,414,627.55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spacing w:line="240" w:lineRule="auto" w:before="3"/>
        <w:rPr>
          <w:rFonts w:ascii="Times New Roman" w:hAnsi="Times New Roman" w:cs="Times New Roman" w:eastAsia="Times New Roman" w:hint="default"/>
          <w:sz w:val="25"/>
          <w:szCs w:val="25"/>
        </w:rPr>
      </w:pPr>
    </w:p>
    <w:p>
      <w:pPr>
        <w:spacing w:before="0"/>
        <w:ind w:left="513"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）本报告期末应付职工薪酬中无属于拖欠性质的款项，无因解除劳动关系而应给予补偿的款项。</w:t>
      </w:r>
    </w:p>
    <w:p>
      <w:pPr>
        <w:spacing w:line="240" w:lineRule="auto" w:before="3"/>
        <w:rPr>
          <w:rFonts w:ascii="宋体" w:hAnsi="宋体" w:cs="宋体" w:eastAsia="宋体" w:hint="default"/>
          <w:sz w:val="22"/>
          <w:szCs w:val="22"/>
        </w:rPr>
      </w:pPr>
    </w:p>
    <w:p>
      <w:pPr>
        <w:spacing w:before="0"/>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）应付职工薪酬预计发放时间、金额等安排：期末计提的工资已于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年元月份发放，计提的奖金已于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w:t>
      </w:r>
    </w:p>
    <w:p>
      <w:pPr>
        <w:spacing w:after="0"/>
        <w:jc w:val="left"/>
        <w:rPr>
          <w:rFonts w:ascii="Times New Roman" w:hAnsi="Times New Roman" w:cs="Times New Roman" w:eastAsia="Times New Roman" w:hint="default"/>
          <w:sz w:val="18"/>
          <w:szCs w:val="18"/>
        </w:rPr>
        <w:sectPr>
          <w:pgSz w:w="11910" w:h="16840"/>
          <w:pgMar w:header="920" w:footer="956" w:top="1140" w:bottom="1140" w:left="980" w:right="0"/>
        </w:sectPr>
      </w:pPr>
    </w:p>
    <w:p>
      <w:pPr>
        <w:spacing w:line="240" w:lineRule="auto" w:before="10"/>
        <w:rPr>
          <w:rFonts w:ascii="Times New Roman" w:hAnsi="Times New Roman" w:cs="Times New Roman" w:eastAsia="Times New Roman" w:hint="default"/>
          <w:sz w:val="21"/>
          <w:szCs w:val="21"/>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月份以前发放完毕。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spacing w:before="0"/>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6"/>
      </w:tblGrid>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31"/>
              <w:jc w:val="right"/>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5,911.25</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9,107.91</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13,914,246.02</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1,313,115.93</w:t>
            </w:r>
          </w:p>
        </w:tc>
      </w:tr>
      <w:tr>
        <w:trPr>
          <w:trHeight w:val="59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25,706,767.97</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16,689,187.29</w:t>
            </w:r>
          </w:p>
        </w:tc>
      </w:tr>
      <w:tr>
        <w:trPr>
          <w:trHeight w:val="55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194,980.43</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245,417.31</w:t>
            </w:r>
          </w:p>
        </w:tc>
      </w:tr>
      <w:tr>
        <w:trPr>
          <w:trHeight w:val="55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222,031.80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86,949.00</w:t>
            </w:r>
          </w:p>
        </w:tc>
      </w:tr>
      <w:tr>
        <w:trPr>
          <w:trHeight w:val="56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130,556.86</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350,826.42</w:t>
            </w:r>
          </w:p>
        </w:tc>
      </w:tr>
      <w:tr>
        <w:trPr>
          <w:trHeight w:val="55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1,208,955.36</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263,578.69</w:t>
            </w:r>
          </w:p>
        </w:tc>
      </w:tr>
      <w:tr>
        <w:trPr>
          <w:trHeight w:val="55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492,483.22</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87,155.01</w:t>
            </w:r>
          </w:p>
        </w:tc>
      </w:tr>
      <w:tr>
        <w:trPr>
          <w:trHeight w:val="56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370,319.72</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27,627.73</w:t>
            </w:r>
          </w:p>
        </w:tc>
      </w:tr>
      <w:tr>
        <w:trPr>
          <w:trHeight w:val="55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316,056.99</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308,131.81</w:t>
            </w:r>
          </w:p>
        </w:tc>
      </w:tr>
      <w:tr>
        <w:trPr>
          <w:trHeight w:val="55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8,327.98</w:t>
            </w:r>
          </w:p>
        </w:tc>
      </w:tr>
      <w:tr>
        <w:trPr>
          <w:trHeight w:val="56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防洪基金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7,225.80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2,988.43</w:t>
            </w:r>
          </w:p>
        </w:tc>
      </w:tr>
      <w:tr>
        <w:trPr>
          <w:trHeight w:val="55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24,262.96</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46,037.29</w:t>
            </w:r>
          </w:p>
        </w:tc>
      </w:tr>
      <w:tr>
        <w:trPr>
          <w:trHeight w:val="56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31"/>
              <w:jc w:val="righ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42,593,798.38</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19,438,450.80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9"/>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9"/>
        <w:rPr>
          <w:rFonts w:ascii="宋体" w:hAnsi="宋体" w:cs="宋体" w:eastAsia="宋体" w:hint="default"/>
          <w:b/>
          <w:bCs/>
          <w:sz w:val="16"/>
          <w:szCs w:val="16"/>
        </w:rPr>
      </w:pPr>
    </w:p>
    <w:p>
      <w:pPr>
        <w:spacing w:before="44"/>
        <w:ind w:left="0" w:right="1272"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133"/>
        <w:gridCol w:w="1987"/>
        <w:gridCol w:w="1985"/>
        <w:gridCol w:w="2549"/>
      </w:tblGrid>
      <w:tr>
        <w:trPr>
          <w:trHeight w:val="559"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未支付原因</w:t>
            </w:r>
          </w:p>
        </w:tc>
      </w:tr>
      <w:tr>
        <w:trPr>
          <w:trHeight w:val="562"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BETTER </w:t>
            </w:r>
            <w:r>
              <w:rPr>
                <w:rFonts w:ascii="Times New Roman"/>
                <w:spacing w:val="-5"/>
                <w:sz w:val="18"/>
              </w:rPr>
              <w:t>VALUE </w:t>
            </w:r>
            <w:r>
              <w:rPr>
                <w:rFonts w:ascii="Times New Roman"/>
                <w:spacing w:val="-3"/>
                <w:sz w:val="18"/>
              </w:rPr>
              <w:t>LTMITED</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20,000,000.00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纳税申报手续正在办理</w:t>
            </w:r>
          </w:p>
        </w:tc>
      </w:tr>
    </w:tbl>
    <w:p>
      <w:pPr>
        <w:spacing w:line="240" w:lineRule="auto" w:before="5"/>
        <w:rPr>
          <w:rFonts w:ascii="宋体" w:hAnsi="宋体" w:cs="宋体" w:eastAsia="宋体" w:hint="default"/>
          <w:sz w:val="15"/>
          <w:szCs w:val="15"/>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期末余额为本公司之控股子公司中丰田应支付少数股东股利。</w:t>
      </w:r>
    </w:p>
    <w:p>
      <w:pPr>
        <w:spacing w:after="0"/>
        <w:jc w:val="left"/>
        <w:rPr>
          <w:rFonts w:ascii="宋体" w:hAnsi="宋体" w:cs="宋体" w:eastAsia="宋体" w:hint="default"/>
          <w:sz w:val="18"/>
          <w:szCs w:val="18"/>
        </w:rPr>
        <w:sectPr>
          <w:footerReference w:type="default" r:id="rId65"/>
          <w:pgSz w:w="11910" w:h="16840"/>
          <w:pgMar w:footer="947" w:header="920" w:top="1140" w:bottom="1140" w:left="980" w:right="0"/>
          <w:pgNumType w:start="69"/>
        </w:sectPr>
      </w:pPr>
    </w:p>
    <w:p>
      <w:pPr>
        <w:spacing w:line="240" w:lineRule="auto" w:before="11"/>
        <w:rPr>
          <w:rFonts w:ascii="宋体" w:hAnsi="宋体" w:cs="宋体" w:eastAsia="宋体" w:hint="default"/>
          <w:sz w:val="16"/>
          <w:szCs w:val="16"/>
        </w:rPr>
      </w:pPr>
    </w:p>
    <w:p>
      <w:pPr>
        <w:spacing w:before="44"/>
        <w:ind w:left="232" w:right="11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26</w:t>
      </w:r>
      <w:r>
        <w:rPr>
          <w:rFonts w:ascii="宋体" w:hAnsi="宋体" w:cs="宋体" w:eastAsia="宋体" w:hint="default"/>
          <w:b/>
          <w:bCs/>
          <w:sz w:val="18"/>
          <w:szCs w:val="18"/>
        </w:rPr>
        <w:t>、其他应付款</w:t>
      </w:r>
      <w:r>
        <w:rPr>
          <w:rFonts w:ascii="宋体" w:hAnsi="宋体" w:cs="宋体" w:eastAsia="宋体" w:hint="default"/>
          <w:sz w:val="18"/>
          <w:szCs w:val="18"/>
        </w:rPr>
      </w:r>
    </w:p>
    <w:p>
      <w:pPr>
        <w:spacing w:line="240" w:lineRule="auto" w:before="1"/>
        <w:rPr>
          <w:rFonts w:ascii="宋体" w:hAnsi="宋体" w:cs="宋体" w:eastAsia="宋体" w:hint="default"/>
          <w:b/>
          <w:bCs/>
          <w:sz w:val="20"/>
          <w:szCs w:val="20"/>
        </w:rPr>
      </w:pPr>
    </w:p>
    <w:p>
      <w:pPr>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）其他应付款按账龄列示</w:t>
      </w:r>
    </w:p>
    <w:p>
      <w:pPr>
        <w:spacing w:line="240" w:lineRule="auto" w:before="6"/>
        <w:rPr>
          <w:rFonts w:ascii="宋体" w:hAnsi="宋体" w:cs="宋体" w:eastAsia="宋体" w:hint="default"/>
          <w:sz w:val="16"/>
          <w:szCs w:val="16"/>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227"/>
        <w:gridCol w:w="3214"/>
        <w:gridCol w:w="3214"/>
      </w:tblGrid>
      <w:tr>
        <w:trPr>
          <w:trHeight w:val="559"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19"/>
              <w:jc w:val="right"/>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62"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11,282,378.84</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17,381,750.36</w:t>
            </w:r>
          </w:p>
        </w:tc>
      </w:tr>
      <w:tr>
        <w:trPr>
          <w:trHeight w:val="559"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865,334.16</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21,627,362.99</w:t>
            </w:r>
          </w:p>
        </w:tc>
      </w:tr>
      <w:tr>
        <w:trPr>
          <w:trHeight w:val="559"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2,982,368.71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2,506,443.60</w:t>
            </w:r>
          </w:p>
        </w:tc>
      </w:tr>
      <w:tr>
        <w:trPr>
          <w:trHeight w:val="562"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6,382,145.68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4,104,853.00</w:t>
            </w:r>
          </w:p>
        </w:tc>
      </w:tr>
      <w:tr>
        <w:trPr>
          <w:trHeight w:val="559"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19"/>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21,512,227.39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45,620,409.95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）本报告期末无应付持有本公司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以上表决权股份的股东单位或关联方款项。</w:t>
      </w:r>
    </w:p>
    <w:p>
      <w:pPr>
        <w:spacing w:line="240" w:lineRule="auto" w:before="2"/>
        <w:rPr>
          <w:rFonts w:ascii="宋体" w:hAnsi="宋体" w:cs="宋体" w:eastAsia="宋体" w:hint="default"/>
          <w:sz w:val="19"/>
          <w:szCs w:val="19"/>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12"/>
        <w:rPr>
          <w:rFonts w:ascii="宋体" w:hAnsi="宋体" w:cs="宋体" w:eastAsia="宋体" w:hint="default"/>
          <w:b/>
          <w:bCs/>
          <w:sz w:val="19"/>
          <w:szCs w:val="19"/>
        </w:rPr>
      </w:pPr>
    </w:p>
    <w:p>
      <w:pPr>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）一年内到期的非流动负债明细情况</w:t>
      </w:r>
    </w:p>
    <w:p>
      <w:pPr>
        <w:spacing w:line="240" w:lineRule="auto" w:before="6"/>
        <w:rPr>
          <w:rFonts w:ascii="宋体" w:hAnsi="宋体" w:cs="宋体" w:eastAsia="宋体" w:hint="default"/>
          <w:sz w:val="16"/>
          <w:szCs w:val="16"/>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3239"/>
        <w:gridCol w:w="3226"/>
        <w:gridCol w:w="3224"/>
      </w:tblGrid>
      <w:tr>
        <w:trPr>
          <w:trHeight w:val="56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562"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）一年内到期的长期借款</w:t>
      </w:r>
    </w:p>
    <w:p>
      <w:pPr>
        <w:spacing w:line="240" w:lineRule="auto" w:before="8"/>
        <w:rPr>
          <w:rFonts w:ascii="宋体" w:hAnsi="宋体" w:cs="宋体" w:eastAsia="宋体" w:hint="default"/>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3248"/>
        <w:gridCol w:w="3233"/>
        <w:gridCol w:w="3233"/>
      </w:tblGrid>
      <w:tr>
        <w:trPr>
          <w:trHeight w:val="56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9"/>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9"/>
        <w:rPr>
          <w:rFonts w:ascii="宋体" w:hAnsi="宋体" w:cs="宋体" w:eastAsia="宋体" w:hint="default"/>
          <w:b/>
          <w:bCs/>
          <w:sz w:val="16"/>
          <w:szCs w:val="16"/>
        </w:rPr>
      </w:pPr>
    </w:p>
    <w:p>
      <w:pPr>
        <w:spacing w:before="44"/>
        <w:ind w:left="0" w:right="1272"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after="0"/>
        <w:jc w:val="right"/>
        <w:rPr>
          <w:rFonts w:ascii="宋体" w:hAnsi="宋体" w:cs="宋体" w:eastAsia="宋体" w:hint="default"/>
          <w:sz w:val="18"/>
          <w:szCs w:val="18"/>
        </w:rPr>
        <w:sectPr>
          <w:headerReference w:type="default" r:id="rId66"/>
          <w:pgSz w:w="11910" w:h="16840"/>
          <w:pgMar w:header="920" w:footer="947" w:top="1140" w:bottom="1140" w:left="900" w:right="0"/>
        </w:sectPr>
      </w:pPr>
    </w:p>
    <w:p>
      <w:pPr>
        <w:spacing w:line="240" w:lineRule="auto" w:before="7"/>
        <w:rPr>
          <w:rFonts w:ascii="宋体" w:hAnsi="宋体" w:cs="宋体" w:eastAsia="宋体" w:hint="default"/>
          <w:sz w:val="4"/>
          <w:szCs w:val="4"/>
        </w:rPr>
      </w:pPr>
    </w:p>
    <w:tbl>
      <w:tblPr>
        <w:tblW w:w="0" w:type="auto"/>
        <w:jc w:val="left"/>
        <w:tblInd w:w="182" w:type="dxa"/>
        <w:tblLayout w:type="fixed"/>
        <w:tblCellMar>
          <w:top w:w="0" w:type="dxa"/>
          <w:left w:w="0" w:type="dxa"/>
          <w:bottom w:w="0" w:type="dxa"/>
          <w:right w:w="0" w:type="dxa"/>
        </w:tblCellMar>
        <w:tblLook w:val="01E0"/>
      </w:tblPr>
      <w:tblGrid>
        <w:gridCol w:w="1937"/>
        <w:gridCol w:w="1921"/>
        <w:gridCol w:w="1923"/>
        <w:gridCol w:w="1922"/>
        <w:gridCol w:w="1923"/>
      </w:tblGrid>
      <w:tr>
        <w:trPr>
          <w:trHeight w:val="562" w:hRule="exact"/>
        </w:trPr>
        <w:tc>
          <w:tcPr>
            <w:tcW w:w="19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60" w:hRule="exact"/>
        </w:trPr>
        <w:tc>
          <w:tcPr>
            <w:tcW w:w="19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拆迁补偿金</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852" w:right="0"/>
              <w:jc w:val="left"/>
              <w:rPr>
                <w:rFonts w:ascii="Times New Roman" w:hAnsi="Times New Roman" w:cs="Times New Roman" w:eastAsia="Times New Roman" w:hint="default"/>
                <w:sz w:val="18"/>
                <w:szCs w:val="18"/>
              </w:rPr>
            </w:pPr>
            <w:r>
              <w:rPr>
                <w:rFonts w:ascii="Times New Roman"/>
                <w:sz w:val="18"/>
              </w:rPr>
              <w:t>14,855,995.78</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852" w:right="0"/>
              <w:jc w:val="left"/>
              <w:rPr>
                <w:rFonts w:ascii="Times New Roman" w:hAnsi="Times New Roman" w:cs="Times New Roman" w:eastAsia="Times New Roman" w:hint="default"/>
                <w:sz w:val="18"/>
                <w:szCs w:val="18"/>
              </w:rPr>
            </w:pPr>
            <w:r>
              <w:rPr>
                <w:rFonts w:ascii="Times New Roman"/>
                <w:sz w:val="18"/>
              </w:rPr>
              <w:t>14,855,995.78</w:t>
            </w:r>
          </w:p>
        </w:tc>
      </w:tr>
    </w:tbl>
    <w:p>
      <w:pPr>
        <w:spacing w:line="240" w:lineRule="auto" w:before="5"/>
        <w:rPr>
          <w:rFonts w:ascii="宋体" w:hAnsi="宋体" w:cs="宋体" w:eastAsia="宋体" w:hint="default"/>
          <w:sz w:val="15"/>
          <w:szCs w:val="15"/>
        </w:rPr>
      </w:pPr>
    </w:p>
    <w:p>
      <w:pPr>
        <w:spacing w:before="44"/>
        <w:ind w:left="593" w:right="1133" w:firstLine="0"/>
        <w:jc w:val="left"/>
        <w:rPr>
          <w:rFonts w:ascii="宋体" w:hAnsi="宋体" w:cs="宋体" w:eastAsia="宋体" w:hint="default"/>
          <w:sz w:val="18"/>
          <w:szCs w:val="18"/>
        </w:rPr>
      </w:pPr>
      <w:r>
        <w:rPr>
          <w:rFonts w:ascii="宋体" w:hAnsi="宋体" w:cs="宋体" w:eastAsia="宋体" w:hint="default"/>
          <w:sz w:val="18"/>
          <w:szCs w:val="18"/>
        </w:rPr>
        <w:t>本报告期末，本公司控股子公司昆明彩印关于拆迁补偿的税费的申报手续尚未结束，故本期未结转拆迁损益。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071"/>
        <w:gridCol w:w="1954"/>
        <w:gridCol w:w="1063"/>
        <w:gridCol w:w="886"/>
        <w:gridCol w:w="1275"/>
        <w:gridCol w:w="900"/>
        <w:gridCol w:w="896"/>
        <w:gridCol w:w="1800"/>
      </w:tblGrid>
      <w:tr>
        <w:trPr>
          <w:trHeight w:val="559" w:hRule="exact"/>
        </w:trPr>
        <w:tc>
          <w:tcPr>
            <w:tcW w:w="1071" w:type="dxa"/>
            <w:vMerge w:val="restart"/>
            <w:tcBorders>
              <w:top w:val="single" w:sz="4" w:space="0" w:color="000000"/>
              <w:left w:val="nil" w:sz="6" w:space="0" w:color="auto"/>
              <w:right w:val="single" w:sz="4" w:space="0" w:color="000000"/>
            </w:tcBorders>
          </w:tcPr>
          <w:p>
            <w:pPr/>
          </w:p>
        </w:tc>
        <w:tc>
          <w:tcPr>
            <w:tcW w:w="19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50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52"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p>
        </w:tc>
        <w:tc>
          <w:tcPr>
            <w:tcW w:w="180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62" w:hRule="exact"/>
        </w:trPr>
        <w:tc>
          <w:tcPr>
            <w:tcW w:w="1071" w:type="dxa"/>
            <w:vMerge/>
            <w:tcBorders>
              <w:left w:val="nil" w:sz="6" w:space="0" w:color="auto"/>
              <w:bottom w:val="single" w:sz="4" w:space="0" w:color="000000"/>
              <w:right w:val="single" w:sz="4" w:space="0" w:color="000000"/>
            </w:tcBorders>
          </w:tcPr>
          <w:p>
            <w:pPr/>
          </w:p>
        </w:tc>
        <w:tc>
          <w:tcPr>
            <w:tcW w:w="1954" w:type="dxa"/>
            <w:vMerge/>
            <w:tcBorders>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00" w:type="dxa"/>
            <w:vMerge/>
            <w:tcBorders>
              <w:left w:val="single" w:sz="4" w:space="0" w:color="000000"/>
              <w:bottom w:val="single" w:sz="4" w:space="0" w:color="000000"/>
              <w:right w:val="nil" w:sz="6" w:space="0" w:color="auto"/>
            </w:tcBorders>
          </w:tcPr>
          <w:p>
            <w:pPr/>
          </w:p>
        </w:tc>
      </w:tr>
      <w:tr>
        <w:trPr>
          <w:trHeight w:val="559" w:hRule="exact"/>
        </w:trPr>
        <w:tc>
          <w:tcPr>
            <w:tcW w:w="1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715" w:right="0"/>
              <w:jc w:val="left"/>
              <w:rPr>
                <w:rFonts w:ascii="Times New Roman" w:hAnsi="Times New Roman" w:cs="Times New Roman" w:eastAsia="Times New Roman" w:hint="default"/>
                <w:sz w:val="18"/>
                <w:szCs w:val="18"/>
              </w:rPr>
            </w:pPr>
            <w:r>
              <w:rPr>
                <w:rFonts w:ascii="Times New Roman"/>
                <w:sz w:val="18"/>
              </w:rPr>
              <w:t>642,000,000.00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642,000,000.00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9"/>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9"/>
        <w:rPr>
          <w:rFonts w:ascii="宋体" w:hAnsi="宋体" w:cs="宋体" w:eastAsia="宋体"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1954"/>
        <w:gridCol w:w="1940"/>
        <w:gridCol w:w="1942"/>
        <w:gridCol w:w="1940"/>
        <w:gridCol w:w="1939"/>
      </w:tblGrid>
      <w:tr>
        <w:trPr>
          <w:trHeight w:val="562"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82"/>
              <w:jc w:val="right"/>
              <w:rPr>
                <w:rFonts w:ascii="宋体" w:hAnsi="宋体" w:cs="宋体" w:eastAsia="宋体" w:hint="default"/>
                <w:sz w:val="18"/>
                <w:szCs w:val="18"/>
              </w:rPr>
            </w:pPr>
            <w:r>
              <w:rPr>
                <w:rFonts w:ascii="宋体" w:hAnsi="宋体" w:cs="宋体" w:eastAsia="宋体" w:hint="default"/>
                <w:sz w:val="18"/>
                <w:szCs w:val="18"/>
              </w:rPr>
              <w:t>项目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451,562,582.74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451,562,582.74</w:t>
            </w:r>
          </w:p>
        </w:tc>
      </w:tr>
      <w:tr>
        <w:trPr>
          <w:trHeight w:val="59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10,200,510.04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4,332.93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10,204,842.97</w:t>
            </w:r>
          </w:p>
        </w:tc>
      </w:tr>
      <w:tr>
        <w:trPr>
          <w:trHeight w:val="59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82"/>
              <w:jc w:val="right"/>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461,763,092.78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4,332.93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461,767,425.71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9"/>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9"/>
        <w:rPr>
          <w:rFonts w:ascii="宋体" w:hAnsi="宋体" w:cs="宋体" w:eastAsia="宋体"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1954"/>
        <w:gridCol w:w="1940"/>
        <w:gridCol w:w="1942"/>
        <w:gridCol w:w="1940"/>
        <w:gridCol w:w="1939"/>
      </w:tblGrid>
      <w:tr>
        <w:trPr>
          <w:trHeight w:val="559"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82"/>
              <w:jc w:val="right"/>
              <w:rPr>
                <w:rFonts w:ascii="宋体" w:hAnsi="宋体" w:cs="宋体" w:eastAsia="宋体" w:hint="default"/>
                <w:sz w:val="18"/>
                <w:szCs w:val="18"/>
              </w:rPr>
            </w:pPr>
            <w:r>
              <w:rPr>
                <w:rFonts w:ascii="宋体" w:hAnsi="宋体" w:cs="宋体" w:eastAsia="宋体" w:hint="default"/>
                <w:sz w:val="18"/>
                <w:szCs w:val="18"/>
              </w:rPr>
              <w:t>项目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62"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821"/>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124,080,076.90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25,494,958.39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149,575,035.29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9"/>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9"/>
        <w:rPr>
          <w:rFonts w:ascii="宋体" w:hAnsi="宋体" w:cs="宋体" w:eastAsia="宋体"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4724"/>
        <w:gridCol w:w="2268"/>
        <w:gridCol w:w="2724"/>
      </w:tblGrid>
      <w:tr>
        <w:trPr>
          <w:trHeight w:val="559"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62"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期初未分配利润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106" w:right="0"/>
              <w:jc w:val="left"/>
              <w:rPr>
                <w:rFonts w:ascii="Times New Roman" w:hAnsi="Times New Roman" w:cs="Times New Roman" w:eastAsia="Times New Roman" w:hint="default"/>
                <w:sz w:val="18"/>
                <w:szCs w:val="18"/>
              </w:rPr>
            </w:pPr>
            <w:r>
              <w:rPr>
                <w:rFonts w:ascii="Times New Roman"/>
                <w:sz w:val="18"/>
              </w:rPr>
              <w:t>733,050,101.97</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20" w:footer="947" w:top="1140" w:bottom="1140" w:left="900" w:right="0"/>
        </w:sectPr>
      </w:pPr>
    </w:p>
    <w:p>
      <w:pPr>
        <w:spacing w:line="240" w:lineRule="auto" w:before="7"/>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4724"/>
        <w:gridCol w:w="2268"/>
        <w:gridCol w:w="2724"/>
      </w:tblGrid>
      <w:tr>
        <w:trPr>
          <w:trHeight w:val="562"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加：本期实现归属于母公司股东的净利润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388,993,128.37</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25,494,958.39</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母公司净利润的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p>
        </w:tc>
      </w:tr>
      <w:tr>
        <w:trPr>
          <w:trHeight w:val="559"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288,900,000.00</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2"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9"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807,648,271.95</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2"/>
        <w:rPr>
          <w:rFonts w:ascii="宋体" w:hAnsi="宋体" w:cs="宋体" w:eastAsia="宋体" w:hint="default"/>
          <w:b/>
          <w:bCs/>
          <w:sz w:val="20"/>
          <w:szCs w:val="20"/>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）营业收入、营业成本分类</w:t>
      </w:r>
    </w:p>
    <w:p>
      <w:pPr>
        <w:spacing w:line="240" w:lineRule="auto" w:before="6"/>
        <w:rPr>
          <w:rFonts w:ascii="宋体" w:hAnsi="宋体" w:cs="宋体" w:eastAsia="宋体" w:hint="default"/>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5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2,300,272,282.13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2,023,743,788.39</w:t>
            </w:r>
          </w:p>
        </w:tc>
      </w:tr>
      <w:tr>
        <w:trPr>
          <w:trHeight w:val="56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2,280,324,805.87</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2,007,766,379.35</w:t>
            </w:r>
          </w:p>
        </w:tc>
      </w:tr>
      <w:tr>
        <w:trPr>
          <w:trHeight w:val="55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79"/>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19,947,476.26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15,977,409.04</w:t>
            </w:r>
          </w:p>
        </w:tc>
      </w:tr>
      <w:tr>
        <w:trPr>
          <w:trHeight w:val="55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1,416,475,294.50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1,240,298,338.46</w:t>
            </w:r>
          </w:p>
        </w:tc>
      </w:tr>
      <w:tr>
        <w:trPr>
          <w:trHeight w:val="56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1,405,992,310.53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1,236,653,568.43</w:t>
            </w:r>
          </w:p>
        </w:tc>
      </w:tr>
      <w:tr>
        <w:trPr>
          <w:trHeight w:val="55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79"/>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10,482,983.97</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3,644,770.03</w:t>
            </w:r>
          </w:p>
        </w:tc>
      </w:tr>
      <w:tr>
        <w:trPr>
          <w:trHeight w:val="55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883,796,987.63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783,445,449.93</w:t>
            </w:r>
          </w:p>
        </w:tc>
      </w:tr>
    </w:tbl>
    <w:p>
      <w:pPr>
        <w:spacing w:line="240" w:lineRule="auto" w:before="8"/>
        <w:rPr>
          <w:rFonts w:ascii="宋体" w:hAnsi="宋体" w:cs="宋体" w:eastAsia="宋体" w:hint="default"/>
          <w:sz w:val="17"/>
          <w:szCs w:val="17"/>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）主营业务（分行业）</w:t>
      </w:r>
    </w:p>
    <w:p>
      <w:pPr>
        <w:spacing w:line="240" w:lineRule="auto" w:before="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954"/>
        <w:gridCol w:w="1942"/>
        <w:gridCol w:w="1940"/>
        <w:gridCol w:w="1940"/>
        <w:gridCol w:w="1942"/>
      </w:tblGrid>
      <w:tr>
        <w:trPr>
          <w:trHeight w:val="581" w:hRule="exact"/>
        </w:trPr>
        <w:tc>
          <w:tcPr>
            <w:tcW w:w="19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行业类别</w:t>
            </w:r>
          </w:p>
        </w:tc>
        <w:tc>
          <w:tcPr>
            <w:tcW w:w="3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79" w:hRule="exact"/>
        </w:trPr>
        <w:tc>
          <w:tcPr>
            <w:tcW w:w="1954" w:type="dxa"/>
            <w:vMerge/>
            <w:tcBorders>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58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2,121,762,827.68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1,288,856,957.45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1,869,284,649.72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1,138,439,083.60</w:t>
            </w:r>
          </w:p>
        </w:tc>
      </w:tr>
      <w:tr>
        <w:trPr>
          <w:trHeight w:val="58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234,399,848.12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193,719,609.53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232,427,794.00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197,992,307.84</w:t>
            </w:r>
          </w:p>
        </w:tc>
      </w:tr>
      <w:tr>
        <w:trPr>
          <w:trHeight w:val="578"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539,225.76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660,043.99</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行业之间抵消</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76,377,095.69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76,584,256.45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94,606,108.36</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99,777,823.01</w:t>
            </w:r>
          </w:p>
        </w:tc>
      </w:tr>
      <w:tr>
        <w:trPr>
          <w:trHeight w:val="58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2,280,324,805.87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1,405,992,310.53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2,007,766,379.35</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1,236,653,568.43</w:t>
            </w:r>
          </w:p>
        </w:tc>
      </w:tr>
    </w:tbl>
    <w:p>
      <w:pPr>
        <w:spacing w:after="0" w:line="240" w:lineRule="auto"/>
        <w:jc w:val="right"/>
        <w:rPr>
          <w:rFonts w:ascii="Times New Roman" w:hAnsi="Times New Roman" w:cs="Times New Roman" w:eastAsia="Times New Roman" w:hint="default"/>
          <w:sz w:val="18"/>
          <w:szCs w:val="18"/>
        </w:rPr>
        <w:sectPr>
          <w:pgSz w:w="11910" w:h="16840"/>
          <w:pgMar w:header="920" w:footer="947" w:top="114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）主营业务（分产品）</w:t>
      </w:r>
    </w:p>
    <w:p>
      <w:pPr>
        <w:spacing w:line="240" w:lineRule="auto" w:before="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954"/>
        <w:gridCol w:w="1942"/>
        <w:gridCol w:w="1940"/>
        <w:gridCol w:w="1940"/>
        <w:gridCol w:w="1942"/>
      </w:tblGrid>
      <w:tr>
        <w:trPr>
          <w:trHeight w:val="581" w:hRule="exact"/>
        </w:trPr>
        <w:tc>
          <w:tcPr>
            <w:tcW w:w="19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产品类别</w:t>
            </w:r>
          </w:p>
        </w:tc>
        <w:tc>
          <w:tcPr>
            <w:tcW w:w="3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78" w:hRule="exact"/>
        </w:trPr>
        <w:tc>
          <w:tcPr>
            <w:tcW w:w="1954" w:type="dxa"/>
            <w:vMerge/>
            <w:tcBorders>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58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2,044,986,138.74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1,214,910,057.76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1,813,317,983.36</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1,086,021,686.51</w:t>
            </w:r>
          </w:p>
        </w:tc>
      </w:tr>
      <w:tr>
        <w:trPr>
          <w:trHeight w:val="58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234,399,848.12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193,719,609.53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232,427,794.00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197,992,307.84</w:t>
            </w:r>
          </w:p>
        </w:tc>
      </w:tr>
      <w:tr>
        <w:trPr>
          <w:trHeight w:val="579"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77,587,930.70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73,946,899.69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56,966,730.35</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52,417,397.09</w:t>
            </w:r>
          </w:p>
        </w:tc>
      </w:tr>
      <w:tr>
        <w:trPr>
          <w:trHeight w:val="58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产品之间抵消</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76,649,111.69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76,584,256.45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94,946,128.36</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99,777,823.01</w:t>
            </w:r>
          </w:p>
        </w:tc>
      </w:tr>
      <w:tr>
        <w:trPr>
          <w:trHeight w:val="58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2,280,324,805.87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1,405,992,310.53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2,007,766,379.35</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1,236,653,568.43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）主营业务（分地区）</w:t>
      </w:r>
    </w:p>
    <w:p>
      <w:pPr>
        <w:spacing w:line="240" w:lineRule="auto" w:before="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973"/>
        <w:gridCol w:w="1957"/>
        <w:gridCol w:w="1959"/>
        <w:gridCol w:w="1959"/>
        <w:gridCol w:w="1958"/>
      </w:tblGrid>
      <w:tr>
        <w:trPr>
          <w:trHeight w:val="581" w:hRule="exact"/>
        </w:trPr>
        <w:tc>
          <w:tcPr>
            <w:tcW w:w="197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地区类别</w:t>
            </w:r>
          </w:p>
        </w:tc>
        <w:tc>
          <w:tcPr>
            <w:tcW w:w="3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91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78" w:hRule="exact"/>
        </w:trPr>
        <w:tc>
          <w:tcPr>
            <w:tcW w:w="1973" w:type="dxa"/>
            <w:vMerge/>
            <w:tcBorders>
              <w:left w:val="nil" w:sz="6" w:space="0" w:color="auto"/>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581"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1,294,500,179.35</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786,080,449.82</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1,012,642,216.76</w:t>
            </w:r>
          </w:p>
        </w:tc>
        <w:tc>
          <w:tcPr>
            <w:tcW w:w="1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609,683,296.41</w:t>
            </w:r>
          </w:p>
        </w:tc>
      </w:tr>
      <w:tr>
        <w:trPr>
          <w:trHeight w:val="581"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191,746,446.39</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130,910,097.22</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169,243,625.33</w:t>
            </w:r>
          </w:p>
        </w:tc>
        <w:tc>
          <w:tcPr>
            <w:tcW w:w="1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124,391,441.91</w:t>
            </w:r>
          </w:p>
        </w:tc>
      </w:tr>
      <w:tr>
        <w:trPr>
          <w:trHeight w:val="5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西南地区</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660,312,119.36</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403,148,324.39</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630,054,056.11</w:t>
            </w:r>
          </w:p>
        </w:tc>
        <w:tc>
          <w:tcPr>
            <w:tcW w:w="1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370,420,392.90</w:t>
            </w:r>
          </w:p>
        </w:tc>
      </w:tr>
      <w:tr>
        <w:trPr>
          <w:trHeight w:val="581"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其他地区</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133,766,060.77</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85,853,439.10</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195,826,481.15</w:t>
            </w:r>
          </w:p>
        </w:tc>
        <w:tc>
          <w:tcPr>
            <w:tcW w:w="1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132,158,437.21</w:t>
            </w:r>
          </w:p>
        </w:tc>
      </w:tr>
      <w:tr>
        <w:trPr>
          <w:trHeight w:val="581"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2,280,324,805.87</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1,405,992,310.53</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2,007,766,379.35</w:t>
            </w:r>
          </w:p>
        </w:tc>
        <w:tc>
          <w:tcPr>
            <w:tcW w:w="1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1,236,653,568.43</w:t>
            </w:r>
          </w:p>
        </w:tc>
      </w:tr>
    </w:tbl>
    <w:p>
      <w:pPr>
        <w:spacing w:line="240" w:lineRule="auto" w:before="8"/>
        <w:rPr>
          <w:rFonts w:ascii="宋体" w:hAnsi="宋体" w:cs="宋体" w:eastAsia="宋体" w:hint="default"/>
          <w:sz w:val="17"/>
          <w:szCs w:val="17"/>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）前五名客户的营业收入情况</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702"/>
        <w:gridCol w:w="3029"/>
        <w:gridCol w:w="2924"/>
      </w:tblGrid>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占全部营业收入的比例</w:t>
            </w:r>
            <w:r>
              <w:rPr>
                <w:rFonts w:ascii="Times New Roman" w:hAnsi="Times New Roman" w:cs="Times New Roman" w:eastAsia="Times New Roman" w:hint="default"/>
                <w:sz w:val="18"/>
                <w:szCs w:val="18"/>
              </w:rPr>
              <w:t>(%)</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安徽中烟工业有限公司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518,468,161.86</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22.54</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云南中烟物资（集团）有限责任公司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305,341,414.43</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13.27</w:t>
            </w:r>
          </w:p>
        </w:tc>
      </w:tr>
    </w:tbl>
    <w:p>
      <w:pPr>
        <w:spacing w:after="0" w:line="240" w:lineRule="auto"/>
        <w:jc w:val="center"/>
        <w:rPr>
          <w:rFonts w:ascii="Times New Roman" w:hAnsi="Times New Roman" w:cs="Times New Roman" w:eastAsia="Times New Roman" w:hint="default"/>
          <w:sz w:val="18"/>
          <w:szCs w:val="18"/>
        </w:rPr>
        <w:sectPr>
          <w:pgSz w:w="11910" w:h="16840"/>
          <w:pgMar w:header="920" w:footer="947" w:top="1140" w:bottom="1140" w:left="980" w:right="0"/>
        </w:sectPr>
      </w:pPr>
    </w:p>
    <w:p>
      <w:pPr>
        <w:spacing w:line="240" w:lineRule="auto" w:before="7"/>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3702"/>
        <w:gridCol w:w="3029"/>
        <w:gridCol w:w="2924"/>
      </w:tblGrid>
      <w:tr>
        <w:trPr>
          <w:trHeight w:val="591"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浙江中烟工业有限责任公司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248,851,057.91</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255" w:right="0"/>
              <w:jc w:val="left"/>
              <w:rPr>
                <w:rFonts w:ascii="Times New Roman" w:hAnsi="Times New Roman" w:cs="Times New Roman" w:eastAsia="Times New Roman" w:hint="default"/>
                <w:sz w:val="18"/>
                <w:szCs w:val="18"/>
              </w:rPr>
            </w:pPr>
            <w:r>
              <w:rPr>
                <w:rFonts w:ascii="Times New Roman"/>
                <w:sz w:val="18"/>
              </w:rPr>
              <w:t>10.82</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226,909,147.86</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01" w:right="0"/>
              <w:jc w:val="left"/>
              <w:rPr>
                <w:rFonts w:ascii="Times New Roman" w:hAnsi="Times New Roman" w:cs="Times New Roman" w:eastAsia="Times New Roman" w:hint="default"/>
                <w:sz w:val="18"/>
                <w:szCs w:val="18"/>
              </w:rPr>
            </w:pPr>
            <w:r>
              <w:rPr>
                <w:rFonts w:ascii="Times New Roman"/>
                <w:sz w:val="18"/>
              </w:rPr>
              <w:t>9.86</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江苏中烟工业公司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143,251,530.40</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01" w:right="0"/>
              <w:jc w:val="left"/>
              <w:rPr>
                <w:rFonts w:ascii="Times New Roman" w:hAnsi="Times New Roman" w:cs="Times New Roman" w:eastAsia="Times New Roman" w:hint="default"/>
                <w:sz w:val="18"/>
                <w:szCs w:val="18"/>
              </w:rPr>
            </w:pPr>
            <w:r>
              <w:rPr>
                <w:rFonts w:ascii="Times New Roman"/>
                <w:sz w:val="18"/>
              </w:rPr>
              <w:t>6.23</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1,442,821,312.46</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55" w:right="0"/>
              <w:jc w:val="left"/>
              <w:rPr>
                <w:rFonts w:ascii="Times New Roman" w:hAnsi="Times New Roman" w:cs="Times New Roman" w:eastAsia="Times New Roman" w:hint="default"/>
                <w:sz w:val="18"/>
                <w:szCs w:val="18"/>
              </w:rPr>
            </w:pPr>
            <w:r>
              <w:rPr>
                <w:rFonts w:ascii="Times New Roman"/>
                <w:sz w:val="18"/>
              </w:rPr>
              <w:t>62.72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600"/>
        <w:gridCol w:w="1913"/>
        <w:gridCol w:w="1913"/>
        <w:gridCol w:w="3260"/>
      </w:tblGrid>
      <w:tr>
        <w:trPr>
          <w:trHeight w:val="589"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106"/>
              <w:jc w:val="right"/>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590"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11,367,998.24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1,249,841.56</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应缴增值税及营业税额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p>
        </w:tc>
      </w:tr>
      <w:tr>
        <w:trPr>
          <w:trHeight w:val="590"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5,085,664.89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440,746.3</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应缴增值税及营业税额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p>
        </w:tc>
      </w:tr>
      <w:tr>
        <w:trPr>
          <w:trHeight w:val="590"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75,621.62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81,107.29</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营业额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tc>
      </w:tr>
      <w:tr>
        <w:trPr>
          <w:trHeight w:val="590"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487,380.83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297,597.62</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长江流域企业营业收入的万分之一</w:t>
            </w:r>
          </w:p>
        </w:tc>
      </w:tr>
      <w:tr>
        <w:trPr>
          <w:trHeight w:val="590"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245,087.45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212,223.08</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8"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2,991,964.69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650,865.82</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应缴增值税及营业税额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tc>
      </w:tr>
      <w:tr>
        <w:trPr>
          <w:trHeight w:val="590"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114,567.40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143,303.37</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106"/>
              <w:jc w:val="righ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20,368,285.12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3,075,685.04</w:t>
            </w:r>
          </w:p>
        </w:tc>
        <w:tc>
          <w:tcPr>
            <w:tcW w:w="32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8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工资薪酬项目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9,751,627.09</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11,465,480.80</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仓储运输费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25,287,596.87</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23,480,400.75</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19,247,104.72</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11,530,716.60</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13,338,590.95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14,440,080.49</w:t>
            </w:r>
          </w:p>
        </w:tc>
      </w:tr>
      <w:tr>
        <w:trPr>
          <w:trHeight w:val="578"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6,380,799.76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6,860,378.41</w:t>
            </w:r>
          </w:p>
        </w:tc>
      </w:tr>
    </w:tbl>
    <w:p>
      <w:pPr>
        <w:spacing w:after="0" w:line="240" w:lineRule="auto"/>
        <w:jc w:val="right"/>
        <w:rPr>
          <w:rFonts w:ascii="Times New Roman" w:hAnsi="Times New Roman" w:cs="Times New Roman" w:eastAsia="Times New Roman" w:hint="default"/>
          <w:sz w:val="18"/>
          <w:szCs w:val="18"/>
        </w:rPr>
        <w:sectPr>
          <w:pgSz w:w="11910" w:h="16840"/>
          <w:pgMar w:header="920" w:footer="947" w:top="1140" w:bottom="1140" w:left="980" w:right="0"/>
        </w:sectPr>
      </w:pPr>
    </w:p>
    <w:p>
      <w:pPr>
        <w:spacing w:line="240" w:lineRule="auto" w:before="7"/>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9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1,174,311.33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2,031,133.68</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831,031.00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1,263,430.00</w:t>
            </w:r>
          </w:p>
        </w:tc>
      </w:tr>
      <w:tr>
        <w:trPr>
          <w:trHeight w:val="578"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1,821,237.14</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2,341,874.58</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打样费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2,162,463.20</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4,146,925.14</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3,336,500.89</w:t>
            </w:r>
          </w:p>
        </w:tc>
      </w:tr>
      <w:tr>
        <w:trPr>
          <w:trHeight w:val="578"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81,979,224.00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78,912,459.40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36"/>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3"/>
        <w:rPr>
          <w:rFonts w:ascii="宋体" w:hAnsi="宋体" w:cs="宋体" w:eastAsia="宋体" w:hint="default"/>
          <w:b/>
          <w:bCs/>
          <w:sz w:val="17"/>
          <w:szCs w:val="17"/>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78"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工资薪酬项目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68,642,218.67</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72,017,050.07</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46,089,993.33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32,784,339.80</w:t>
            </w:r>
          </w:p>
        </w:tc>
      </w:tr>
      <w:tr>
        <w:trPr>
          <w:trHeight w:val="57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18,948,752.38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14,795,505.06</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6,002,569.42</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8,229,730.26</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19,357,465.30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16,794,827.16</w:t>
            </w:r>
          </w:p>
        </w:tc>
      </w:tr>
      <w:tr>
        <w:trPr>
          <w:trHeight w:val="578"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土地管理费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2,997,691.20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2,997,691.20</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5,106,631.57</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4,582,115.17</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3,536,644.13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4,424,283.82</w:t>
            </w:r>
          </w:p>
        </w:tc>
      </w:tr>
      <w:tr>
        <w:trPr>
          <w:trHeight w:val="57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4,933,069.98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5,861,487.96</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5,985,441.42</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3,655,160.72</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6,559,414.35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7,488,510.79</w:t>
            </w:r>
          </w:p>
        </w:tc>
      </w:tr>
      <w:tr>
        <w:trPr>
          <w:trHeight w:val="578"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2,036,205.25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2,351,147.78</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3,282,158.07</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4,885,951.36</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燃料水电费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2,212,858.27</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2,238,372.65</w:t>
            </w:r>
          </w:p>
        </w:tc>
      </w:tr>
    </w:tbl>
    <w:p>
      <w:pPr>
        <w:spacing w:after="0" w:line="240" w:lineRule="auto"/>
        <w:jc w:val="right"/>
        <w:rPr>
          <w:rFonts w:ascii="Times New Roman" w:hAnsi="Times New Roman" w:cs="Times New Roman" w:eastAsia="Times New Roman" w:hint="default"/>
          <w:sz w:val="18"/>
          <w:szCs w:val="18"/>
        </w:rPr>
        <w:sectPr>
          <w:pgSz w:w="11910" w:h="16840"/>
          <w:pgMar w:header="920" w:footer="947" w:top="1140" w:bottom="1200" w:left="1000" w:right="0"/>
        </w:sectPr>
      </w:pPr>
    </w:p>
    <w:p>
      <w:pPr>
        <w:spacing w:line="240" w:lineRule="auto" w:before="7"/>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15,413,733.34</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18,361,922.93</w:t>
            </w:r>
          </w:p>
        </w:tc>
      </w:tr>
      <w:tr>
        <w:trPr>
          <w:trHeight w:val="58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211,104,846.68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201,468,096.73</w:t>
            </w:r>
          </w:p>
        </w:tc>
      </w:tr>
    </w:tbl>
    <w:p>
      <w:pPr>
        <w:spacing w:line="240" w:lineRule="auto" w:before="1"/>
        <w:rPr>
          <w:rFonts w:ascii="宋体" w:hAnsi="宋体" w:cs="宋体" w:eastAsia="宋体" w:hint="default"/>
          <w:sz w:val="12"/>
          <w:szCs w:val="12"/>
        </w:rPr>
      </w:pPr>
    </w:p>
    <w:p>
      <w:pPr>
        <w:spacing w:before="36"/>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0"/>
        <w:rPr>
          <w:rFonts w:ascii="宋体" w:hAnsi="宋体" w:cs="宋体" w:eastAsia="宋体" w:hint="default"/>
          <w:b/>
          <w:bCs/>
          <w:sz w:val="15"/>
          <w:szCs w:val="15"/>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27,532,481.36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24,020,820.84</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13,790,773.09</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11,712,076.18</w:t>
            </w:r>
          </w:p>
        </w:tc>
      </w:tr>
      <w:tr>
        <w:trPr>
          <w:trHeight w:val="55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1,182,366.68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187,471.03</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1,451,195.23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675,595.66</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16,375,270.18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13,171,811.35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10,273,046.01</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-438,333.86</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7,236,136.94</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3,835,347.53</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三、固定资产减值损失</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四、商誉减值损失</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30,839,115.86</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17,509,182.95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34,236,129.53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36"/>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2"/>
        <w:rPr>
          <w:rFonts w:ascii="宋体" w:hAnsi="宋体" w:cs="宋体" w:eastAsia="宋体" w:hint="default"/>
          <w:b/>
          <w:bCs/>
          <w:sz w:val="19"/>
          <w:szCs w:val="19"/>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）投资收益明细情况</w:t>
      </w:r>
    </w:p>
    <w:p>
      <w:pPr>
        <w:spacing w:line="240" w:lineRule="auto" w:before="9"/>
        <w:rPr>
          <w:rFonts w:ascii="宋体" w:hAnsi="宋体" w:cs="宋体" w:eastAsia="宋体" w:hint="default"/>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702"/>
        <w:gridCol w:w="3029"/>
        <w:gridCol w:w="2924"/>
      </w:tblGrid>
      <w:tr>
        <w:trPr>
          <w:trHeight w:val="55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505,199.98</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470,340.20</w:t>
            </w:r>
          </w:p>
        </w:tc>
      </w:tr>
    </w:tbl>
    <w:p>
      <w:pPr>
        <w:spacing w:after="0" w:line="240" w:lineRule="auto"/>
        <w:jc w:val="right"/>
        <w:rPr>
          <w:rFonts w:ascii="Times New Roman" w:hAnsi="Times New Roman" w:cs="Times New Roman" w:eastAsia="Times New Roman" w:hint="default"/>
          <w:sz w:val="18"/>
          <w:szCs w:val="18"/>
        </w:rPr>
        <w:sectPr>
          <w:pgSz w:w="11910" w:h="16840"/>
          <w:pgMar w:header="920" w:footer="947" w:top="1140" w:bottom="1140" w:left="1000" w:right="0"/>
        </w:sectPr>
      </w:pPr>
    </w:p>
    <w:p>
      <w:pPr>
        <w:spacing w:line="240" w:lineRule="auto" w:before="7"/>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3702"/>
        <w:gridCol w:w="3029"/>
        <w:gridCol w:w="2924"/>
      </w:tblGrid>
      <w:tr>
        <w:trPr>
          <w:trHeight w:val="552"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-103,404.57</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-117,976.40</w:t>
            </w:r>
          </w:p>
        </w:tc>
      </w:tr>
      <w:tr>
        <w:trPr>
          <w:trHeight w:val="55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847,256.87</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1,249,052.28</w:t>
            </w:r>
          </w:p>
        </w:tc>
        <w:tc>
          <w:tcPr>
            <w:tcW w:w="292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352,363.80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）按成本法核算的长期股权投资收益情况</w:t>
      </w:r>
    </w:p>
    <w:p>
      <w:pPr>
        <w:spacing w:line="240" w:lineRule="auto" w:before="9"/>
        <w:rPr>
          <w:rFonts w:ascii="宋体" w:hAnsi="宋体" w:cs="宋体" w:eastAsia="宋体" w:hint="default"/>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991"/>
        <w:gridCol w:w="1915"/>
        <w:gridCol w:w="1913"/>
        <w:gridCol w:w="2835"/>
      </w:tblGrid>
      <w:tr>
        <w:trPr>
          <w:trHeight w:val="5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5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安徽万捷防伪科技有限公司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736" w:right="0"/>
              <w:jc w:val="left"/>
              <w:rPr>
                <w:rFonts w:ascii="Times New Roman" w:hAnsi="Times New Roman" w:cs="Times New Roman" w:eastAsia="Times New Roman" w:hint="default"/>
                <w:sz w:val="18"/>
                <w:szCs w:val="18"/>
              </w:rPr>
            </w:pPr>
            <w:r>
              <w:rPr>
                <w:rFonts w:ascii="Times New Roman"/>
                <w:sz w:val="18"/>
              </w:rPr>
              <w:t>505,199.98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89" w:right="0"/>
              <w:jc w:val="left"/>
              <w:rPr>
                <w:rFonts w:ascii="Times New Roman" w:hAnsi="Times New Roman" w:cs="Times New Roman" w:eastAsia="Times New Roman" w:hint="default"/>
                <w:sz w:val="18"/>
                <w:szCs w:val="18"/>
              </w:rPr>
            </w:pPr>
            <w:r>
              <w:rPr>
                <w:rFonts w:ascii="Times New Roman"/>
                <w:sz w:val="18"/>
              </w:rPr>
              <w:t>470,340.20</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67" w:right="0"/>
              <w:jc w:val="left"/>
              <w:rPr>
                <w:rFonts w:ascii="宋体" w:hAnsi="宋体" w:cs="宋体" w:eastAsia="宋体" w:hint="default"/>
                <w:sz w:val="18"/>
                <w:szCs w:val="18"/>
              </w:rPr>
            </w:pPr>
            <w:r>
              <w:rPr>
                <w:rFonts w:ascii="宋体" w:hAnsi="宋体" w:cs="宋体" w:eastAsia="宋体" w:hint="default"/>
                <w:sz w:val="18"/>
                <w:szCs w:val="18"/>
              </w:rPr>
              <w:t>本期分红增加</w:t>
            </w:r>
          </w:p>
        </w:tc>
      </w:tr>
    </w:tbl>
    <w:p>
      <w:pPr>
        <w:spacing w:line="240" w:lineRule="auto" w:before="8"/>
        <w:rPr>
          <w:rFonts w:ascii="宋体" w:hAnsi="宋体" w:cs="宋体" w:eastAsia="宋体" w:hint="default"/>
          <w:sz w:val="17"/>
          <w:szCs w:val="17"/>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）按权益法核算的长期股权投资收益情况</w:t>
      </w:r>
    </w:p>
    <w:p>
      <w:pPr>
        <w:spacing w:line="240" w:lineRule="auto" w:before="0"/>
        <w:rPr>
          <w:rFonts w:ascii="宋体" w:hAnsi="宋体" w:cs="宋体" w:eastAsia="宋体" w:hint="default"/>
          <w:sz w:val="19"/>
          <w:szCs w:val="1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991"/>
        <w:gridCol w:w="1704"/>
        <w:gridCol w:w="1704"/>
        <w:gridCol w:w="3255"/>
      </w:tblGrid>
      <w:tr>
        <w:trPr>
          <w:trHeight w:val="59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2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59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武汉欣亚欣纸业有限公司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-103,404.57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7" w:right="0"/>
              <w:jc w:val="left"/>
              <w:rPr>
                <w:rFonts w:ascii="Times New Roman" w:hAnsi="Times New Roman" w:cs="Times New Roman" w:eastAsia="Times New Roman" w:hint="default"/>
                <w:sz w:val="18"/>
                <w:szCs w:val="18"/>
              </w:rPr>
            </w:pPr>
            <w:r>
              <w:rPr>
                <w:rFonts w:ascii="Times New Roman"/>
                <w:sz w:val="18"/>
              </w:rPr>
              <w:t>-117,976.40</w:t>
            </w:r>
          </w:p>
        </w:tc>
        <w:tc>
          <w:tcPr>
            <w:tcW w:w="32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联营单位本期经营亏损减少</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line="520" w:lineRule="auto" w:before="44"/>
        <w:ind w:left="132" w:right="7244" w:firstLine="0"/>
        <w:jc w:val="left"/>
        <w:rPr>
          <w:rFonts w:ascii="宋体" w:hAnsi="宋体" w:cs="宋体" w:eastAsia="宋体" w:hint="default"/>
          <w:sz w:val="18"/>
          <w:szCs w:val="18"/>
        </w:rPr>
      </w:pPr>
      <w:r>
        <w:rPr/>
        <w:pict>
          <v:shape style="position:absolute;margin-left:55.680012pt;margin-top:44.411732pt;width:483.45pt;height:118.6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01"/>
                    <w:gridCol w:w="4253"/>
                  </w:tblGrid>
                  <w:tr>
                    <w:trPr>
                      <w:trHeight w:val="59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59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湖州华光电力有限公司</w:t>
                        </w:r>
                        <w:r>
                          <w:rPr>
                            <w:rFonts w:ascii="Times New Roman" w:hAnsi="Times New Roman" w:cs="Times New Roman" w:eastAsia="Times New Roman" w:hint="default"/>
                            <w:sz w:val="18"/>
                            <w:szCs w:val="18"/>
                          </w:rPr>
                          <w:t>*A</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1,012,301.64</w:t>
                        </w:r>
                      </w:p>
                    </w:tc>
                  </w:tr>
                  <w:tr>
                    <w:trPr>
                      <w:trHeight w:val="59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湖州天外绿色包装印刷有限公司</w:t>
                        </w:r>
                        <w:r>
                          <w:rPr>
                            <w:rFonts w:ascii="Times New Roman" w:hAnsi="Times New Roman" w:cs="Times New Roman" w:eastAsia="Times New Roman" w:hint="default"/>
                            <w:sz w:val="18"/>
                            <w:szCs w:val="18"/>
                          </w:rPr>
                          <w:t>*B</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-165,044.77</w:t>
                        </w:r>
                      </w:p>
                    </w:tc>
                  </w:tr>
                  <w:tr>
                    <w:trPr>
                      <w:trHeight w:val="59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847,256.87</w:t>
                        </w:r>
                      </w:p>
                    </w:tc>
                  </w:tr>
                </w:tbl>
                <w:p>
                  <w:pPr/>
                </w:p>
              </w:txbxContent>
            </v:textbox>
            <w10:wrap type="none"/>
          </v:shape>
        </w:pic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）处置长期股权投资产生的投资收益情况 本期股权处置损益明细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line="482" w:lineRule="auto" w:before="44"/>
        <w:ind w:left="132" w:right="1030" w:firstLine="365"/>
        <w:jc w:val="left"/>
        <w:rPr>
          <w:rFonts w:ascii="宋体" w:hAnsi="宋体" w:cs="宋体" w:eastAsia="宋体" w:hint="default"/>
          <w:sz w:val="18"/>
          <w:szCs w:val="18"/>
        </w:rPr>
      </w:pPr>
      <w:r>
        <w:rPr>
          <w:rFonts w:ascii="Times New Roman" w:hAnsi="Times New Roman" w:cs="Times New Roman" w:eastAsia="Times New Roman" w:hint="default"/>
          <w:spacing w:val="-2"/>
          <w:w w:val="99"/>
          <w:sz w:val="18"/>
          <w:szCs w:val="18"/>
        </w:rPr>
        <w:t>*A</w:t>
      </w:r>
      <w:r>
        <w:rPr>
          <w:rFonts w:ascii="Times New Roman" w:hAnsi="Times New Roman" w:cs="Times New Roman" w:eastAsia="Times New Roman" w:hint="default"/>
          <w:spacing w:val="20"/>
          <w:w w:val="99"/>
          <w:sz w:val="18"/>
          <w:szCs w:val="18"/>
        </w:rPr>
        <w:t> </w:t>
      </w:r>
      <w:r>
        <w:rPr>
          <w:rFonts w:ascii="宋体" w:hAnsi="宋体" w:cs="宋体" w:eastAsia="宋体" w:hint="default"/>
          <w:spacing w:val="-2"/>
          <w:sz w:val="18"/>
          <w:szCs w:val="18"/>
        </w:rPr>
        <w:t>湖州华光电力有限公司本期按照地方政府的有关规定予以清算，该股权投资通过本公司原控股子公司天外绿包持有。</w:t>
      </w:r>
      <w:r>
        <w:rPr>
          <w:rFonts w:ascii="宋体" w:hAnsi="宋体" w:cs="宋体" w:eastAsia="宋体" w:hint="default"/>
          <w:sz w:val="18"/>
          <w:szCs w:val="18"/>
        </w:rPr>
        <w:t> 根据清算报告，本期收回全部投资成本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569,297.34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元，收回清算收益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1,012,301.64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before="89"/>
        <w:ind w:left="498" w:right="1119"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B </w:t>
      </w:r>
      <w:r>
        <w:rPr>
          <w:rFonts w:ascii="宋体" w:hAnsi="宋体" w:cs="宋体" w:eastAsia="宋体" w:hint="default"/>
          <w:sz w:val="18"/>
          <w:szCs w:val="18"/>
        </w:rPr>
        <w:t>本期本公司转让对天外绿</w:t>
      </w:r>
      <w:r>
        <w:rPr>
          <w:rFonts w:ascii="宋体" w:hAnsi="宋体" w:cs="宋体" w:eastAsia="宋体" w:hint="default"/>
          <w:spacing w:val="2"/>
          <w:sz w:val="18"/>
          <w:szCs w:val="18"/>
        </w:rPr>
        <w:t>包</w:t>
      </w:r>
      <w:r>
        <w:rPr>
          <w:rFonts w:ascii="宋体" w:hAnsi="宋体" w:cs="宋体" w:eastAsia="宋体" w:hint="default"/>
          <w:sz w:val="18"/>
          <w:szCs w:val="18"/>
        </w:rPr>
        <w:t>的说明见本报表</w:t>
      </w:r>
      <w:r>
        <w:rPr>
          <w:rFonts w:ascii="宋体" w:hAnsi="宋体" w:cs="宋体" w:eastAsia="宋体" w:hint="default"/>
          <w:b/>
          <w:bCs/>
          <w:spacing w:val="2"/>
          <w:w w:val="99"/>
          <w:sz w:val="18"/>
          <w:szCs w:val="18"/>
        </w:rPr>
        <w:t>附</w:t>
      </w:r>
      <w:r>
        <w:rPr>
          <w:rFonts w:ascii="宋体" w:hAnsi="宋体" w:cs="宋体" w:eastAsia="宋体" w:hint="default"/>
          <w:b/>
          <w:bCs/>
          <w:w w:val="99"/>
          <w:sz w:val="18"/>
          <w:szCs w:val="18"/>
        </w:rPr>
        <w:t>注四</w:t>
      </w:r>
      <w:r>
        <w:rPr>
          <w:rFonts w:ascii="宋体" w:hAnsi="宋体" w:cs="宋体" w:eastAsia="宋体" w:hint="default"/>
          <w:b/>
          <w:bCs/>
          <w:spacing w:val="2"/>
          <w:w w:val="99"/>
          <w:sz w:val="18"/>
          <w:szCs w:val="18"/>
        </w:rPr>
        <w:t>、</w:t>
      </w:r>
      <w:r>
        <w:rPr>
          <w:rFonts w:ascii="Times New Roman" w:hAnsi="Times New Roman" w:cs="Times New Roman" w:eastAsia="Times New Roman" w:hint="default"/>
          <w:b/>
          <w:bCs/>
          <w:spacing w:val="-2"/>
          <w:sz w:val="18"/>
          <w:szCs w:val="18"/>
        </w:rPr>
        <w:t>1</w:t>
      </w:r>
      <w:r>
        <w:rPr>
          <w:rFonts w:ascii="宋体" w:hAnsi="宋体" w:cs="宋体" w:eastAsia="宋体" w:hint="default"/>
          <w:b/>
          <w:bCs/>
          <w:spacing w:val="2"/>
          <w:w w:val="99"/>
          <w:sz w:val="18"/>
          <w:szCs w:val="18"/>
        </w:rPr>
        <w:t>（</w:t>
      </w:r>
      <w:r>
        <w:rPr>
          <w:rFonts w:ascii="Times New Roman" w:hAnsi="Times New Roman" w:cs="Times New Roman" w:eastAsia="Times New Roman" w:hint="default"/>
          <w:b/>
          <w:bCs/>
          <w:spacing w:val="-2"/>
          <w:sz w:val="18"/>
          <w:szCs w:val="18"/>
        </w:rPr>
        <w:t>4</w:t>
      </w:r>
      <w:r>
        <w:rPr>
          <w:rFonts w:ascii="宋体" w:hAnsi="宋体" w:cs="宋体" w:eastAsia="宋体" w:hint="default"/>
          <w:b/>
          <w:bCs/>
          <w:spacing w:val="-91"/>
          <w:w w:val="99"/>
          <w:sz w:val="18"/>
          <w:szCs w:val="18"/>
        </w:rPr>
        <w:t>）</w:t>
      </w:r>
      <w:r>
        <w:rPr>
          <w:rFonts w:ascii="宋体" w:hAnsi="宋体" w:cs="宋体" w:eastAsia="宋体" w:hint="default"/>
          <w:sz w:val="18"/>
          <w:szCs w:val="18"/>
        </w:rPr>
        <w:t>，处置损益计算明细见下表：</w:t>
      </w:r>
    </w:p>
    <w:p>
      <w:pPr>
        <w:spacing w:line="240" w:lineRule="auto" w:before="3"/>
        <w:rPr>
          <w:rFonts w:ascii="宋体" w:hAnsi="宋体" w:cs="宋体" w:eastAsia="宋体" w:hint="default"/>
          <w:sz w:val="22"/>
          <w:szCs w:val="22"/>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11"/>
        <w:rPr>
          <w:rFonts w:ascii="宋体" w:hAnsi="宋体" w:cs="宋体" w:eastAsia="宋体" w:hint="default"/>
          <w:sz w:val="4"/>
          <w:szCs w:val="4"/>
        </w:rPr>
      </w:pPr>
    </w:p>
    <w:p>
      <w:pPr>
        <w:spacing w:line="1199" w:lineRule="exact"/>
        <w:ind w:left="113"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76.15pt;height:60pt;mso-position-horizontal-relative:char;mso-position-vertical-relative:line" coordorigin="0,0" coordsize="9523,1200">
            <v:group style="position:absolute;left:19;top:10;width:5241;height:2" coordorigin="19,10" coordsize="5241,2">
              <v:shape style="position:absolute;left:19;top:10;width:5241;height:2" coordorigin="19,10" coordsize="5241,0" path="m19,10l5260,10e" filled="false" stroked="true" strokeweight=".47998pt" strokecolor="#000000">
                <v:path arrowok="t"/>
              </v:shape>
            </v:group>
            <v:group style="position:absolute;left:5269;top:10;width:4249;height:2" coordorigin="5269,10" coordsize="4249,2">
              <v:shape style="position:absolute;left:5269;top:10;width:4249;height:2" coordorigin="5269,10" coordsize="4249,0" path="m5269,10l9518,10e" filled="false" stroked="true" strokeweight=".47998pt" strokecolor="#000000">
                <v:path arrowok="t"/>
              </v:shape>
            </v:group>
            <v:group style="position:absolute;left:19;top:600;width:5241;height:2" coordorigin="19,600" coordsize="5241,2">
              <v:shape style="position:absolute;left:19;top:600;width:5241;height:2" coordorigin="19,600" coordsize="5241,0" path="m19,600l5260,600e" filled="false" stroked="true" strokeweight=".47998pt" strokecolor="#000000">
                <v:path arrowok="t"/>
              </v:shape>
            </v:group>
            <v:group style="position:absolute;left:5269;top:600;width:4249;height:2" coordorigin="5269,600" coordsize="4249,2">
              <v:shape style="position:absolute;left:5269;top:600;width:4249;height:2" coordorigin="5269,600" coordsize="4249,0" path="m5269,600l9518,600e" filled="false" stroked="true" strokeweight=".47998pt" strokecolor="#000000">
                <v:path arrowok="t"/>
              </v:shape>
            </v:group>
            <v:group style="position:absolute;left:5;top:1190;width:5255;height:2" coordorigin="5,1190" coordsize="5255,2">
              <v:shape style="position:absolute;left:5;top:1190;width:5255;height:2" coordorigin="5,1190" coordsize="5255,0" path="m5,1190l5260,1190e" filled="false" stroked="true" strokeweight=".48004pt" strokecolor="#000000">
                <v:path arrowok="t"/>
              </v:shape>
            </v:group>
            <v:group style="position:absolute;left:5265;top:5;width:2;height:1191" coordorigin="5265,5" coordsize="2,1191">
              <v:shape style="position:absolute;left:5265;top:5;width:2;height:1191" coordorigin="5265,5" coordsize="0,1191" path="m5265,5l5265,1195e" filled="false" stroked="true" strokeweight=".48001pt" strokecolor="#000000">
                <v:path arrowok="t"/>
              </v:shape>
            </v:group>
            <v:group style="position:absolute;left:5269;top:1190;width:4249;height:2" coordorigin="5269,1190" coordsize="4249,2">
              <v:shape style="position:absolute;left:5269;top:1190;width:4249;height:2" coordorigin="5269,1190" coordsize="4249,0" path="m5269,1190l9518,1190e" filled="false" stroked="true" strokeweight=".48004pt" strokecolor="#000000">
                <v:path arrowok="t"/>
              </v:shape>
              <v:shape style="position:absolute;left:2446;top:34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194;top:34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127;top:93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转让价</w:t>
                      </w:r>
                    </w:p>
                  </w:txbxContent>
                </v:textbox>
                <w10:wrap type="none"/>
              </v:shape>
              <v:shape style="position:absolute;left:8284;top:954;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220,000,000.00</w:t>
                      </w:r>
                    </w:p>
                  </w:txbxContent>
                </v:textbox>
                <w10:wrap type="none"/>
              </v:shape>
            </v:group>
          </v:group>
        </w:pict>
      </w:r>
      <w:r>
        <w:rPr>
          <w:rFonts w:ascii="宋体" w:hAnsi="宋体" w:cs="宋体" w:eastAsia="宋体" w:hint="default"/>
          <w:position w:val="-23"/>
          <w:sz w:val="20"/>
          <w:szCs w:val="20"/>
        </w:rPr>
      </w:r>
    </w:p>
    <w:p>
      <w:pPr>
        <w:spacing w:after="0" w:line="1199" w:lineRule="exact"/>
        <w:rPr>
          <w:rFonts w:ascii="宋体" w:hAnsi="宋体" w:cs="宋体" w:eastAsia="宋体" w:hint="default"/>
          <w:sz w:val="20"/>
          <w:szCs w:val="20"/>
        </w:rPr>
        <w:sectPr>
          <w:pgSz w:w="11910" w:h="16840"/>
          <w:pgMar w:header="920" w:footer="947" w:top="1140" w:bottom="1140" w:left="1000" w:right="0"/>
        </w:sectPr>
      </w:pPr>
    </w:p>
    <w:p>
      <w:pPr>
        <w:spacing w:line="240" w:lineRule="auto" w:before="7"/>
        <w:rPr>
          <w:rFonts w:ascii="宋体" w:hAnsi="宋体" w:cs="宋体" w:eastAsia="宋体" w:hint="default"/>
          <w:sz w:val="4"/>
          <w:szCs w:val="4"/>
        </w:rPr>
      </w:pPr>
    </w:p>
    <w:tbl>
      <w:tblPr>
        <w:tblW w:w="0" w:type="auto"/>
        <w:jc w:val="left"/>
        <w:tblInd w:w="213" w:type="dxa"/>
        <w:tblLayout w:type="fixed"/>
        <w:tblCellMar>
          <w:top w:w="0" w:type="dxa"/>
          <w:left w:w="0" w:type="dxa"/>
          <w:bottom w:w="0" w:type="dxa"/>
          <w:right w:w="0" w:type="dxa"/>
        </w:tblCellMar>
        <w:tblLook w:val="01E0"/>
      </w:tblPr>
      <w:tblGrid>
        <w:gridCol w:w="5260"/>
        <w:gridCol w:w="4253"/>
      </w:tblGrid>
      <w:tr>
        <w:trPr>
          <w:trHeight w:val="591" w:hRule="exact"/>
        </w:trPr>
        <w:tc>
          <w:tcPr>
            <w:tcW w:w="5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减：原始出资成本</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221,299,558.47</w:t>
            </w:r>
          </w:p>
        </w:tc>
      </w:tr>
      <w:tr>
        <w:trPr>
          <w:trHeight w:val="590" w:hRule="exact"/>
        </w:trPr>
        <w:tc>
          <w:tcPr>
            <w:tcW w:w="5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减：购买日至股权转让日权益法调整合计</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67,857,826.63</w:t>
            </w:r>
          </w:p>
        </w:tc>
      </w:tr>
      <w:tr>
        <w:trPr>
          <w:trHeight w:val="590" w:hRule="exact"/>
        </w:trPr>
        <w:tc>
          <w:tcPr>
            <w:tcW w:w="5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加：购买日至股权转让日收到分红款合计</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35,704,957.35</w:t>
            </w:r>
          </w:p>
        </w:tc>
      </w:tr>
      <w:tr>
        <w:trPr>
          <w:trHeight w:val="590" w:hRule="exact"/>
        </w:trPr>
        <w:tc>
          <w:tcPr>
            <w:tcW w:w="5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加：调整资本公积的非综合性收益</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33,287,382.98</w:t>
            </w:r>
          </w:p>
        </w:tc>
      </w:tr>
      <w:tr>
        <w:trPr>
          <w:trHeight w:val="590" w:hRule="exact"/>
        </w:trPr>
        <w:tc>
          <w:tcPr>
            <w:tcW w:w="5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股权处置收益</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-165,044.77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6"/>
        <w:ind w:left="186" w:right="9041"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214" w:right="9041"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）营业外收入明细</w:t>
      </w:r>
    </w:p>
    <w:p>
      <w:pPr>
        <w:spacing w:line="240" w:lineRule="auto" w:before="1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676"/>
        <w:gridCol w:w="1930"/>
        <w:gridCol w:w="1930"/>
        <w:gridCol w:w="3228"/>
      </w:tblGrid>
      <w:tr>
        <w:trPr>
          <w:trHeight w:val="590"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0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590"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1,897,659.64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294,739.39</w:t>
            </w:r>
          </w:p>
        </w:tc>
        <w:tc>
          <w:tcPr>
            <w:tcW w:w="3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1,897,659.64</w:t>
            </w:r>
          </w:p>
        </w:tc>
      </w:tr>
      <w:tr>
        <w:trPr>
          <w:trHeight w:val="590"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1,897,659.64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294,739.39</w:t>
            </w:r>
          </w:p>
        </w:tc>
        <w:tc>
          <w:tcPr>
            <w:tcW w:w="3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1,897,659.64</w:t>
            </w:r>
          </w:p>
        </w:tc>
      </w:tr>
      <w:tr>
        <w:trPr>
          <w:trHeight w:val="590"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14,590,426.73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9,822,258.24</w:t>
            </w:r>
          </w:p>
        </w:tc>
        <w:tc>
          <w:tcPr>
            <w:tcW w:w="3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14,590,426.73</w:t>
            </w:r>
          </w:p>
        </w:tc>
      </w:tr>
      <w:tr>
        <w:trPr>
          <w:trHeight w:val="591"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760,415.56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459,479.58</w:t>
            </w:r>
          </w:p>
        </w:tc>
        <w:tc>
          <w:tcPr>
            <w:tcW w:w="3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760,415.56</w:t>
            </w:r>
          </w:p>
        </w:tc>
      </w:tr>
      <w:tr>
        <w:trPr>
          <w:trHeight w:val="590"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17,248,501.93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10,576,477.21</w:t>
            </w:r>
            <w:r>
              <w:rPr>
                <w:rFonts w:ascii="Times New Roman"/>
                <w:sz w:val="18"/>
              </w:rPr>
            </w:r>
          </w:p>
        </w:tc>
        <w:tc>
          <w:tcPr>
            <w:tcW w:w="3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17,248,501.93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）政府补助明细情况</w:t>
      </w:r>
    </w:p>
    <w:p>
      <w:pPr>
        <w:spacing w:line="240" w:lineRule="auto" w:before="1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2566"/>
        <w:gridCol w:w="2365"/>
        <w:gridCol w:w="2362"/>
        <w:gridCol w:w="2364"/>
      </w:tblGrid>
      <w:tr>
        <w:trPr>
          <w:trHeight w:val="59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2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91"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科技研发资金</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6,653,111.00</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1,710,000.00</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本公司、贵州劲嘉</w:t>
            </w:r>
          </w:p>
        </w:tc>
      </w:tr>
      <w:tr>
        <w:trPr>
          <w:trHeight w:val="59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传统产业技术资金</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1,000,000.00</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59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4,818,180.82</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本公司、贵州劲嘉</w:t>
            </w:r>
          </w:p>
        </w:tc>
      </w:tr>
      <w:tr>
        <w:trPr>
          <w:trHeight w:val="58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990,000.00</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59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工业发展专项资金</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3,000,000.00</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贵州劲嘉</w:t>
            </w:r>
          </w:p>
        </w:tc>
      </w:tr>
    </w:tbl>
    <w:p>
      <w:pPr>
        <w:spacing w:after="0" w:line="240" w:lineRule="auto"/>
        <w:jc w:val="center"/>
        <w:rPr>
          <w:rFonts w:ascii="宋体" w:hAnsi="宋体" w:cs="宋体" w:eastAsia="宋体" w:hint="default"/>
          <w:sz w:val="18"/>
          <w:szCs w:val="18"/>
        </w:rPr>
        <w:sectPr>
          <w:pgSz w:w="11910" w:h="16840"/>
          <w:pgMar w:header="920" w:footer="947" w:top="1140" w:bottom="1140" w:left="900" w:right="0"/>
        </w:sectPr>
      </w:pPr>
    </w:p>
    <w:p>
      <w:pPr>
        <w:spacing w:line="240" w:lineRule="auto" w:before="7"/>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2566"/>
        <w:gridCol w:w="2365"/>
        <w:gridCol w:w="2362"/>
        <w:gridCol w:w="2364"/>
      </w:tblGrid>
      <w:tr>
        <w:trPr>
          <w:trHeight w:val="591"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72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7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9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财政局人力资源岗位补贴</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289,520.00</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中丰田</w:t>
            </w:r>
          </w:p>
        </w:tc>
      </w:tr>
      <w:tr>
        <w:trPr>
          <w:trHeight w:val="59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886,238.91</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59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1,232,896.00</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3,832,738.24</w:t>
            </w:r>
          </w:p>
        </w:tc>
        <w:tc>
          <w:tcPr>
            <w:tcW w:w="2364"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14,590,426.73</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9,822,258.24</w:t>
            </w:r>
          </w:p>
        </w:tc>
        <w:tc>
          <w:tcPr>
            <w:tcW w:w="236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6"/>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852"/>
        <w:gridCol w:w="1846"/>
        <w:gridCol w:w="1983"/>
        <w:gridCol w:w="2974"/>
      </w:tblGrid>
      <w:tr>
        <w:trPr>
          <w:trHeight w:val="59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59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563,449.69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pacing w:val="-1"/>
                <w:sz w:val="18"/>
              </w:rPr>
              <w:t>548,301.82</w:t>
            </w:r>
          </w:p>
        </w:tc>
        <w:tc>
          <w:tcPr>
            <w:tcW w:w="2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563,449.69</w:t>
            </w:r>
          </w:p>
        </w:tc>
      </w:tr>
      <w:tr>
        <w:trPr>
          <w:trHeight w:val="59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563,449.69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pacing w:val="-1"/>
                <w:sz w:val="18"/>
              </w:rPr>
              <w:t>548,301.82</w:t>
            </w:r>
          </w:p>
        </w:tc>
        <w:tc>
          <w:tcPr>
            <w:tcW w:w="2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563,449.69</w:t>
            </w:r>
          </w:p>
        </w:tc>
      </w:tr>
      <w:tr>
        <w:trPr>
          <w:trHeight w:val="59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捐助支出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313,000.00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pacing w:val="-1"/>
                <w:sz w:val="18"/>
              </w:rPr>
              <w:t>40,090.12</w:t>
            </w:r>
          </w:p>
        </w:tc>
        <w:tc>
          <w:tcPr>
            <w:tcW w:w="2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313,000.00</w:t>
            </w:r>
          </w:p>
        </w:tc>
      </w:tr>
      <w:tr>
        <w:trPr>
          <w:trHeight w:val="59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质量赔款及罚款支出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91,045.50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pacing w:val="-1"/>
                <w:sz w:val="18"/>
              </w:rPr>
              <w:t>259,486.11</w:t>
            </w:r>
          </w:p>
        </w:tc>
        <w:tc>
          <w:tcPr>
            <w:tcW w:w="2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91,045.50</w:t>
            </w:r>
          </w:p>
        </w:tc>
      </w:tr>
      <w:tr>
        <w:trPr>
          <w:trHeight w:val="588"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135,039.96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pacing w:val="-1"/>
                <w:sz w:val="18"/>
              </w:rPr>
              <w:t>680,908.49</w:t>
            </w:r>
          </w:p>
        </w:tc>
        <w:tc>
          <w:tcPr>
            <w:tcW w:w="2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135,039.96</w:t>
            </w:r>
          </w:p>
        </w:tc>
      </w:tr>
      <w:tr>
        <w:trPr>
          <w:trHeight w:val="59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1,102,535.15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pacing w:val="-1"/>
                <w:sz w:val="18"/>
              </w:rPr>
              <w:t>1,528,786.54</w:t>
            </w:r>
          </w:p>
        </w:tc>
        <w:tc>
          <w:tcPr>
            <w:tcW w:w="2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1,102,535.15</w:t>
            </w:r>
          </w:p>
        </w:tc>
      </w:tr>
    </w:tbl>
    <w:p>
      <w:pPr>
        <w:spacing w:line="240" w:lineRule="auto" w:before="1"/>
        <w:rPr>
          <w:rFonts w:ascii="宋体" w:hAnsi="宋体" w:cs="宋体" w:eastAsia="宋体" w:hint="default"/>
          <w:sz w:val="12"/>
          <w:szCs w:val="12"/>
        </w:rPr>
      </w:pPr>
    </w:p>
    <w:p>
      <w:pPr>
        <w:spacing w:before="36"/>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877"/>
        <w:gridCol w:w="2904"/>
        <w:gridCol w:w="2907"/>
      </w:tblGrid>
      <w:tr>
        <w:trPr>
          <w:trHeight w:val="590" w:hRule="exact"/>
        </w:trPr>
        <w:tc>
          <w:tcPr>
            <w:tcW w:w="3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3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96,818,328.85</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82,374,975.24</w:t>
            </w:r>
          </w:p>
        </w:tc>
      </w:tr>
      <w:tr>
        <w:trPr>
          <w:trHeight w:val="591" w:hRule="exact"/>
        </w:trPr>
        <w:tc>
          <w:tcPr>
            <w:tcW w:w="3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-1,661,173.37</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2,886,084.81</w:t>
            </w:r>
          </w:p>
        </w:tc>
      </w:tr>
      <w:tr>
        <w:trPr>
          <w:trHeight w:val="590" w:hRule="exact"/>
        </w:trPr>
        <w:tc>
          <w:tcPr>
            <w:tcW w:w="3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95,157,155.48</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85,261,060.05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11"/>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5368"/>
        <w:gridCol w:w="1582"/>
        <w:gridCol w:w="1342"/>
        <w:gridCol w:w="1363"/>
      </w:tblGrid>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920" w:footer="947" w:top="1140" w:bottom="1140" w:left="980" w:right="0"/>
        </w:sectPr>
      </w:pPr>
    </w:p>
    <w:p>
      <w:pPr>
        <w:spacing w:line="240" w:lineRule="auto" w:before="2"/>
        <w:rPr>
          <w:rFonts w:ascii="Times New Roman" w:hAnsi="Times New Roman" w:cs="Times New Roman" w:eastAsia="Times New Roman"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368"/>
        <w:gridCol w:w="1582"/>
        <w:gridCol w:w="1342"/>
        <w:gridCol w:w="1363"/>
      </w:tblGrid>
      <w:tr>
        <w:trPr>
          <w:trHeight w:val="59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 w:right="0"/>
              <w:jc w:val="center"/>
              <w:rPr>
                <w:rFonts w:ascii="Times New Roman" w:hAnsi="Times New Roman" w:cs="Times New Roman" w:eastAsia="Times New Roman" w:hint="default"/>
                <w:sz w:val="18"/>
                <w:szCs w:val="18"/>
              </w:rPr>
            </w:pPr>
            <w:r>
              <w:rPr>
                <w:rFonts w:ascii="Times New Roman"/>
                <w:sz w:val="18"/>
              </w:rPr>
              <w:t>P0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388,993,128.37</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24" w:right="0"/>
              <w:jc w:val="left"/>
              <w:rPr>
                <w:rFonts w:ascii="Times New Roman" w:hAnsi="Times New Roman" w:cs="Times New Roman" w:eastAsia="Times New Roman" w:hint="default"/>
                <w:sz w:val="18"/>
                <w:szCs w:val="18"/>
              </w:rPr>
            </w:pPr>
            <w:r>
              <w:rPr>
                <w:rFonts w:ascii="Times New Roman"/>
                <w:sz w:val="18"/>
              </w:rPr>
              <w:t>303,336,417.17</w:t>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12,515,975.54</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304" w:right="0"/>
              <w:jc w:val="left"/>
              <w:rPr>
                <w:rFonts w:ascii="Times New Roman" w:hAnsi="Times New Roman" w:cs="Times New Roman" w:eastAsia="Times New Roman" w:hint="default"/>
                <w:sz w:val="18"/>
                <w:szCs w:val="18"/>
              </w:rPr>
            </w:pPr>
            <w:r>
              <w:rPr>
                <w:rFonts w:ascii="Times New Roman"/>
                <w:sz w:val="18"/>
              </w:rPr>
              <w:t>7,772,059.59</w:t>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48" w:right="0"/>
              <w:jc w:val="left"/>
              <w:rPr>
                <w:rFonts w:ascii="Times New Roman" w:hAnsi="Times New Roman" w:cs="Times New Roman" w:eastAsia="Times New Roman" w:hint="default"/>
                <w:sz w:val="18"/>
                <w:szCs w:val="18"/>
              </w:rPr>
            </w:pPr>
            <w:r>
              <w:rPr>
                <w:rFonts w:ascii="Times New Roman"/>
                <w:sz w:val="18"/>
              </w:rPr>
              <w:t>P0'=P0-F</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376,477,152.83</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24" w:right="0"/>
              <w:jc w:val="left"/>
              <w:rPr>
                <w:rFonts w:ascii="Times New Roman" w:hAnsi="Times New Roman" w:cs="Times New Roman" w:eastAsia="Times New Roman" w:hint="default"/>
                <w:sz w:val="18"/>
                <w:szCs w:val="18"/>
              </w:rPr>
            </w:pPr>
            <w:r>
              <w:rPr>
                <w:rFonts w:ascii="Times New Roman"/>
                <w:sz w:val="18"/>
              </w:rPr>
              <w:t>295,564,357.58</w:t>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w w:val="99"/>
                <w:sz w:val="18"/>
              </w:rPr>
              <w:t>V</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6"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30" w:lineRule="exact" w:before="116"/>
              <w:ind w:left="122" w:right="14"/>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归属于公司普通股股东的净利润，并考虑稀释性潜在普通股对其影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P1=P0+V</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388,993,128.37</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303,336,417.17</w:t>
            </w:r>
          </w:p>
        </w:tc>
      </w:tr>
      <w:tr>
        <w:trPr>
          <w:trHeight w:val="637"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30" w:lineRule="exact" w:before="116"/>
              <w:ind w:left="122" w:right="14"/>
              <w:jc w:val="left"/>
              <w:rPr>
                <w:rFonts w:ascii="宋体" w:hAnsi="宋体" w:cs="宋体" w:eastAsia="宋体" w:hint="default"/>
                <w:sz w:val="18"/>
                <w:szCs w:val="18"/>
              </w:rPr>
            </w:pPr>
            <w:r>
              <w:rPr>
                <w:rFonts w:ascii="宋体" w:hAnsi="宋体" w:cs="宋体" w:eastAsia="宋体" w:hint="default"/>
                <w:sz w:val="18"/>
                <w:szCs w:val="18"/>
              </w:rPr>
              <w:t>稀释事项对扣除非经常性损益后归属于公司普通股股东的净利润的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扣除非经常性损益后归属于公司普通股股东的净利润，并考虑稀释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性潜在普通股对其影响，按《企业会计准则》及有关规定进行调整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379"/>
              <w:jc w:val="right"/>
              <w:rPr>
                <w:rFonts w:ascii="Times New Roman" w:hAnsi="Times New Roman" w:cs="Times New Roman" w:eastAsia="Times New Roman" w:hint="default"/>
                <w:sz w:val="18"/>
                <w:szCs w:val="18"/>
              </w:rPr>
            </w:pPr>
            <w:r>
              <w:rPr>
                <w:rFonts w:ascii="Times New Roman"/>
                <w:spacing w:val="-1"/>
                <w:sz w:val="18"/>
              </w:rPr>
              <w:t>P1'=P0'+V'</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376,477,152.83</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295,564,357.58</w:t>
            </w:r>
          </w:p>
        </w:tc>
      </w:tr>
      <w:tr>
        <w:trPr>
          <w:trHeight w:val="58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 w:right="0"/>
              <w:jc w:val="center"/>
              <w:rPr>
                <w:rFonts w:ascii="Times New Roman" w:hAnsi="Times New Roman" w:cs="Times New Roman" w:eastAsia="Times New Roman" w:hint="default"/>
                <w:sz w:val="18"/>
                <w:szCs w:val="18"/>
              </w:rPr>
            </w:pPr>
            <w:r>
              <w:rPr>
                <w:rFonts w:ascii="Times New Roman"/>
                <w:sz w:val="18"/>
              </w:rPr>
              <w:t>S0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642,000,000.00</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34"/>
              <w:jc w:val="right"/>
              <w:rPr>
                <w:rFonts w:ascii="Times New Roman" w:hAnsi="Times New Roman" w:cs="Times New Roman" w:eastAsia="Times New Roman" w:hint="default"/>
                <w:sz w:val="18"/>
                <w:szCs w:val="18"/>
              </w:rPr>
            </w:pPr>
            <w:r>
              <w:rPr>
                <w:rFonts w:ascii="Times New Roman"/>
                <w:spacing w:val="-1"/>
                <w:sz w:val="18"/>
              </w:rPr>
              <w:t>642,000,000.00</w:t>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 w:right="0"/>
              <w:jc w:val="center"/>
              <w:rPr>
                <w:rFonts w:ascii="Times New Roman" w:hAnsi="Times New Roman" w:cs="Times New Roman" w:eastAsia="Times New Roman" w:hint="default"/>
                <w:sz w:val="18"/>
                <w:szCs w:val="18"/>
              </w:rPr>
            </w:pPr>
            <w:r>
              <w:rPr>
                <w:rFonts w:ascii="Times New Roman"/>
                <w:sz w:val="18"/>
              </w:rPr>
              <w:t>S1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Si</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Sj</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 w:right="0"/>
              <w:jc w:val="center"/>
              <w:rPr>
                <w:rFonts w:ascii="Times New Roman" w:hAnsi="Times New Roman" w:cs="Times New Roman" w:eastAsia="Times New Roman" w:hint="default"/>
                <w:sz w:val="18"/>
                <w:szCs w:val="18"/>
              </w:rPr>
            </w:pPr>
            <w:r>
              <w:rPr>
                <w:rFonts w:ascii="Times New Roman"/>
                <w:sz w:val="18"/>
              </w:rPr>
              <w:t>Sk</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M0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6"/>
              <w:jc w:val="right"/>
              <w:rPr>
                <w:rFonts w:ascii="Times New Roman" w:hAnsi="Times New Roman" w:cs="Times New Roman" w:eastAsia="Times New Roman" w:hint="default"/>
                <w:sz w:val="18"/>
                <w:szCs w:val="18"/>
              </w:rPr>
            </w:pPr>
            <w:r>
              <w:rPr>
                <w:rFonts w:ascii="Times New Roman"/>
                <w:sz w:val="18"/>
              </w:rPr>
              <w:t>12</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31"/>
              <w:jc w:val="right"/>
              <w:rPr>
                <w:rFonts w:ascii="Times New Roman" w:hAnsi="Times New Roman" w:cs="Times New Roman" w:eastAsia="Times New Roman" w:hint="default"/>
                <w:sz w:val="18"/>
                <w:szCs w:val="18"/>
              </w:rPr>
            </w:pPr>
            <w:r>
              <w:rPr>
                <w:rFonts w:ascii="Times New Roman"/>
                <w:sz w:val="18"/>
              </w:rPr>
              <w:t>12</w:t>
            </w:r>
          </w:p>
        </w:tc>
      </w:tr>
      <w:tr>
        <w:trPr>
          <w:trHeight w:val="58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Mi</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Mj</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3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50"/>
              <w:ind w:left="3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Sj×Mj÷M0-Sk</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97"/>
              <w:jc w:val="right"/>
              <w:rPr>
                <w:rFonts w:ascii="Times New Roman" w:hAnsi="Times New Roman" w:cs="Times New Roman" w:eastAsia="Times New Roman" w:hint="default"/>
                <w:sz w:val="18"/>
                <w:szCs w:val="18"/>
              </w:rPr>
            </w:pPr>
            <w:r>
              <w:rPr>
                <w:rFonts w:ascii="Times New Roman"/>
                <w:spacing w:val="-1"/>
                <w:sz w:val="18"/>
              </w:rPr>
              <w:t>642,000,000.00</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24" w:right="0"/>
              <w:jc w:val="left"/>
              <w:rPr>
                <w:rFonts w:ascii="Times New Roman" w:hAnsi="Times New Roman" w:cs="Times New Roman" w:eastAsia="Times New Roman" w:hint="default"/>
                <w:sz w:val="18"/>
                <w:szCs w:val="18"/>
              </w:rPr>
            </w:pPr>
            <w:r>
              <w:rPr>
                <w:rFonts w:ascii="Times New Roman"/>
                <w:sz w:val="18"/>
              </w:rPr>
              <w:t>642,000,000.00</w:t>
            </w:r>
          </w:p>
        </w:tc>
      </w:tr>
      <w:tr>
        <w:trPr>
          <w:trHeight w:val="756"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30" w:lineRule="exact"/>
              <w:ind w:left="122" w:right="14"/>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加：假定稀释性潜在普通股转换为已发行普通股而增加的普通股加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X1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2"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X2=S+X1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642,000,000.00</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642,000,000.00</w:t>
            </w:r>
          </w:p>
        </w:tc>
      </w:tr>
      <w:tr>
        <w:trPr>
          <w:trHeight w:val="55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2"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3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0.61</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0.47</w:t>
            </w:r>
          </w:p>
        </w:tc>
      </w:tr>
    </w:tbl>
    <w:p>
      <w:pPr>
        <w:spacing w:after="0" w:line="240" w:lineRule="auto"/>
        <w:jc w:val="right"/>
        <w:rPr>
          <w:rFonts w:ascii="Times New Roman" w:hAnsi="Times New Roman" w:cs="Times New Roman" w:eastAsia="Times New Roman" w:hint="default"/>
          <w:sz w:val="18"/>
          <w:szCs w:val="18"/>
        </w:rPr>
        <w:sectPr>
          <w:pgSz w:w="11910" w:h="16840"/>
          <w:pgMar w:header="920" w:footer="947" w:top="1140" w:bottom="1140" w:left="1000" w:right="0"/>
        </w:sectPr>
      </w:pPr>
    </w:p>
    <w:p>
      <w:pPr>
        <w:spacing w:line="240" w:lineRule="auto" w:before="2"/>
        <w:rPr>
          <w:rFonts w:ascii="Times New Roman" w:hAnsi="Times New Roman" w:cs="Times New Roman" w:eastAsia="Times New Roman"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5368"/>
        <w:gridCol w:w="1582"/>
        <w:gridCol w:w="1342"/>
        <w:gridCol w:w="1363"/>
      </w:tblGrid>
      <w:tr>
        <w:trPr>
          <w:trHeight w:val="59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62"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0.59</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0.46</w:t>
            </w:r>
          </w:p>
        </w:tc>
      </w:tr>
      <w:tr>
        <w:trPr>
          <w:trHeight w:val="55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0.61</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0.47</w:t>
            </w:r>
          </w:p>
        </w:tc>
      </w:tr>
      <w:tr>
        <w:trPr>
          <w:trHeight w:val="55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0.59</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0.46</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73"/>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9"/>
        <w:rPr>
          <w:rFonts w:ascii="宋体" w:hAnsi="宋体" w:cs="宋体" w:eastAsia="宋体" w:hint="default"/>
          <w:b/>
          <w:bCs/>
          <w:sz w:val="16"/>
          <w:szCs w:val="16"/>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6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-1,166,863.70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-1,468,634.68</w:t>
            </w:r>
          </w:p>
        </w:tc>
      </w:tr>
      <w:tr>
        <w:trPr>
          <w:trHeight w:val="55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直接记入股东权益的利得和损失</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4,332.93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-1,162,530.77</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-1,468,634.68</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line="240" w:lineRule="auto" w:before="12"/>
        <w:rPr>
          <w:rFonts w:ascii="宋体" w:hAnsi="宋体" w:cs="宋体" w:eastAsia="宋体" w:hint="default"/>
          <w:b/>
          <w:bCs/>
          <w:sz w:val="19"/>
          <w:szCs w:val="19"/>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）收到其他与经营活动有关的现金</w:t>
      </w:r>
    </w:p>
    <w:p>
      <w:pPr>
        <w:spacing w:line="240" w:lineRule="auto" w:before="9"/>
        <w:rPr>
          <w:rFonts w:ascii="宋体" w:hAnsi="宋体" w:cs="宋体" w:eastAsia="宋体" w:hint="default"/>
          <w:sz w:val="16"/>
          <w:szCs w:val="16"/>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5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40"/>
              <w:jc w:val="right"/>
              <w:rPr>
                <w:rFonts w:ascii="宋体" w:hAnsi="宋体" w:cs="宋体" w:eastAsia="宋体" w:hint="default"/>
                <w:sz w:val="18"/>
                <w:szCs w:val="18"/>
              </w:rPr>
            </w:pPr>
            <w:r>
              <w:rPr>
                <w:rFonts w:ascii="宋体" w:hAnsi="宋体" w:cs="宋体" w:eastAsia="宋体" w:hint="default"/>
                <w:sz w:val="18"/>
                <w:szCs w:val="18"/>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62"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收到政府补贴收入</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14,446,426.73</w:t>
            </w:r>
          </w:p>
        </w:tc>
      </w:tr>
      <w:tr>
        <w:trPr>
          <w:trHeight w:val="55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收到的往来款项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14,061,193.49</w:t>
            </w:r>
          </w:p>
        </w:tc>
      </w:tr>
      <w:tr>
        <w:trPr>
          <w:trHeight w:val="55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收到退回的投标保证金</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11,741,856.50</w:t>
            </w:r>
          </w:p>
        </w:tc>
      </w:tr>
      <w:tr>
        <w:trPr>
          <w:trHeight w:val="562"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40"/>
              <w:jc w:val="right"/>
              <w:rPr>
                <w:rFonts w:ascii="宋体" w:hAnsi="宋体" w:cs="宋体" w:eastAsia="宋体" w:hint="default"/>
                <w:sz w:val="18"/>
                <w:szCs w:val="18"/>
              </w:rPr>
            </w:pPr>
            <w:r>
              <w:rPr>
                <w:rFonts w:ascii="宋体" w:hAnsi="宋体" w:cs="宋体" w:eastAsia="宋体" w:hint="default"/>
                <w:sz w:val="18"/>
                <w:szCs w:val="18"/>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40,249,476.72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）支付其他与经营活动有关的现金</w:t>
      </w:r>
    </w:p>
    <w:p>
      <w:pPr>
        <w:spacing w:line="240" w:lineRule="auto" w:before="8"/>
        <w:rPr>
          <w:rFonts w:ascii="宋体" w:hAnsi="宋体" w:cs="宋体" w:eastAsia="宋体" w:hint="default"/>
          <w:sz w:val="16"/>
          <w:szCs w:val="16"/>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897"/>
        <w:gridCol w:w="4746"/>
      </w:tblGrid>
      <w:tr>
        <w:trPr>
          <w:trHeight w:val="559"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62"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燃料水电费</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40,514,112.17</w:t>
            </w:r>
          </w:p>
        </w:tc>
      </w:tr>
      <w:tr>
        <w:trPr>
          <w:trHeight w:val="559"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市场业务费</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32,807,011.28</w:t>
            </w:r>
          </w:p>
        </w:tc>
      </w:tr>
    </w:tbl>
    <w:p>
      <w:pPr>
        <w:spacing w:after="0" w:line="240" w:lineRule="auto"/>
        <w:jc w:val="right"/>
        <w:rPr>
          <w:rFonts w:ascii="Times New Roman" w:hAnsi="Times New Roman" w:cs="Times New Roman" w:eastAsia="Times New Roman" w:hint="default"/>
          <w:sz w:val="18"/>
          <w:szCs w:val="18"/>
        </w:rPr>
        <w:sectPr>
          <w:pgSz w:w="11910" w:h="16840"/>
          <w:pgMar w:header="920" w:footer="947" w:top="1140" w:bottom="1140" w:left="980" w:right="0"/>
        </w:sectPr>
      </w:pPr>
    </w:p>
    <w:p>
      <w:pPr>
        <w:spacing w:line="240" w:lineRule="auto" w:before="7"/>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4897"/>
        <w:gridCol w:w="4746"/>
      </w:tblGrid>
      <w:tr>
        <w:trPr>
          <w:trHeight w:val="562"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60"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32,423,725.43</w:t>
            </w:r>
          </w:p>
        </w:tc>
      </w:tr>
      <w:tr>
        <w:trPr>
          <w:trHeight w:val="559"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仓储运输费</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26,550,125.68</w:t>
            </w:r>
          </w:p>
        </w:tc>
      </w:tr>
      <w:tr>
        <w:trPr>
          <w:trHeight w:val="562"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18,995,329.15</w:t>
            </w:r>
          </w:p>
        </w:tc>
      </w:tr>
      <w:tr>
        <w:trPr>
          <w:trHeight w:val="559"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偿还向子公司少数股东取得的借款</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559"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12,726,295.89</w:t>
            </w:r>
          </w:p>
        </w:tc>
      </w:tr>
      <w:tr>
        <w:trPr>
          <w:trHeight w:val="562"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10,709,579.48</w:t>
            </w:r>
          </w:p>
        </w:tc>
      </w:tr>
      <w:tr>
        <w:trPr>
          <w:trHeight w:val="560"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7,505,391.83</w:t>
            </w:r>
          </w:p>
        </w:tc>
      </w:tr>
      <w:tr>
        <w:trPr>
          <w:trHeight w:val="559"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6,937,669.07</w:t>
            </w:r>
          </w:p>
        </w:tc>
      </w:tr>
      <w:tr>
        <w:trPr>
          <w:trHeight w:val="562"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6,497,712.65</w:t>
            </w:r>
          </w:p>
        </w:tc>
      </w:tr>
      <w:tr>
        <w:trPr>
          <w:trHeight w:val="559"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5,622,926.67</w:t>
            </w:r>
          </w:p>
        </w:tc>
      </w:tr>
      <w:tr>
        <w:trPr>
          <w:trHeight w:val="559"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2,867,031.06</w:t>
            </w:r>
          </w:p>
        </w:tc>
      </w:tr>
      <w:tr>
        <w:trPr>
          <w:trHeight w:val="562"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3,444,075.39</w:t>
            </w:r>
          </w:p>
        </w:tc>
      </w:tr>
      <w:tr>
        <w:trPr>
          <w:trHeight w:val="560" w:hRule="exact"/>
        </w:trPr>
        <w:tc>
          <w:tcPr>
            <w:tcW w:w="4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225,600,985.75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）收到其他与投资活动有关的现金</w:t>
      </w:r>
    </w:p>
    <w:p>
      <w:pPr>
        <w:spacing w:line="240" w:lineRule="auto" w:before="8"/>
        <w:rPr>
          <w:rFonts w:ascii="宋体" w:hAnsi="宋体" w:cs="宋体" w:eastAsia="宋体" w:hint="default"/>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62"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40"/>
              <w:jc w:val="right"/>
              <w:rPr>
                <w:rFonts w:ascii="宋体" w:hAnsi="宋体" w:cs="宋体" w:eastAsia="宋体" w:hint="default"/>
                <w:sz w:val="18"/>
                <w:szCs w:val="18"/>
              </w:rPr>
            </w:pPr>
            <w:r>
              <w:rPr>
                <w:rFonts w:ascii="宋体" w:hAnsi="宋体" w:cs="宋体" w:eastAsia="宋体" w:hint="default"/>
                <w:sz w:val="18"/>
                <w:szCs w:val="18"/>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5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收回委托贷款本金</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55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收到基建工程招投标保证金</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562"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收到委托贷款利息收入</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262,200.00</w:t>
            </w:r>
          </w:p>
        </w:tc>
      </w:tr>
      <w:tr>
        <w:trPr>
          <w:trHeight w:val="559"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40"/>
              <w:jc w:val="right"/>
              <w:rPr>
                <w:rFonts w:ascii="宋体" w:hAnsi="宋体" w:cs="宋体" w:eastAsia="宋体" w:hint="default"/>
                <w:sz w:val="18"/>
                <w:szCs w:val="18"/>
              </w:rPr>
            </w:pPr>
            <w:r>
              <w:rPr>
                <w:rFonts w:ascii="宋体" w:hAnsi="宋体" w:cs="宋体" w:eastAsia="宋体" w:hint="default"/>
                <w:sz w:val="18"/>
                <w:szCs w:val="18"/>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22,762,200.00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）支付其他与投资活动有关的现金</w:t>
      </w:r>
    </w:p>
    <w:p>
      <w:pPr>
        <w:spacing w:line="240" w:lineRule="auto" w:before="8"/>
        <w:rPr>
          <w:rFonts w:ascii="宋体" w:hAnsi="宋体" w:cs="宋体" w:eastAsia="宋体" w:hint="default"/>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4866"/>
        <w:gridCol w:w="4849"/>
      </w:tblGrid>
      <w:tr>
        <w:trPr>
          <w:trHeight w:val="562"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920" w:footer="947" w:top="1140" w:bottom="1140" w:left="980" w:right="0"/>
        </w:sectPr>
      </w:pPr>
    </w:p>
    <w:p>
      <w:pPr>
        <w:spacing w:line="240" w:lineRule="auto" w:before="7"/>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62"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支付的股权收购定金</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56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退还基建工程招投标保证金</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562"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19,900,000.00</w:t>
            </w:r>
          </w:p>
        </w:tc>
      </w:tr>
    </w:tbl>
    <w:p>
      <w:pPr>
        <w:spacing w:line="240" w:lineRule="auto" w:before="8"/>
        <w:rPr>
          <w:rFonts w:ascii="宋体" w:hAnsi="宋体" w:cs="宋体" w:eastAsia="宋体" w:hint="default"/>
          <w:sz w:val="17"/>
          <w:szCs w:val="17"/>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）收到其他与筹资活动有关的现金</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40"/>
              <w:jc w:val="right"/>
              <w:rPr>
                <w:rFonts w:ascii="宋体" w:hAnsi="宋体" w:cs="宋体" w:eastAsia="宋体" w:hint="default"/>
                <w:sz w:val="18"/>
                <w:szCs w:val="18"/>
              </w:rPr>
            </w:pPr>
            <w:r>
              <w:rPr>
                <w:rFonts w:ascii="宋体" w:hAnsi="宋体" w:cs="宋体" w:eastAsia="宋体" w:hint="default"/>
                <w:sz w:val="18"/>
                <w:szCs w:val="18"/>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收回银行承兑汇票保证金</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26,441,278.59</w:t>
            </w:r>
          </w:p>
        </w:tc>
      </w:tr>
      <w:tr>
        <w:trPr>
          <w:trHeight w:val="591"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募集资金存款利息收入</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5,232,209.00</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8,296,364.09</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40"/>
              <w:jc w:val="right"/>
              <w:rPr>
                <w:rFonts w:ascii="宋体" w:hAnsi="宋体" w:cs="宋体" w:eastAsia="宋体" w:hint="default"/>
                <w:sz w:val="18"/>
                <w:szCs w:val="18"/>
              </w:rPr>
            </w:pPr>
            <w:r>
              <w:rPr>
                <w:rFonts w:ascii="宋体" w:hAnsi="宋体" w:cs="宋体" w:eastAsia="宋体" w:hint="default"/>
                <w:sz w:val="18"/>
                <w:szCs w:val="18"/>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39,969,851.68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）支付其他与筹资活动有关的现金</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91"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2240"/>
              <w:jc w:val="right"/>
              <w:rPr>
                <w:rFonts w:ascii="宋体" w:hAnsi="宋体" w:cs="宋体" w:eastAsia="宋体" w:hint="default"/>
                <w:sz w:val="18"/>
                <w:szCs w:val="18"/>
              </w:rPr>
            </w:pPr>
            <w:r>
              <w:rPr>
                <w:rFonts w:ascii="宋体" w:hAnsi="宋体" w:cs="宋体" w:eastAsia="宋体" w:hint="default"/>
                <w:sz w:val="18"/>
                <w:szCs w:val="18"/>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支付银行承兑汇票保证金</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34,732,859.48</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1,451,195.23</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40"/>
              <w:jc w:val="right"/>
              <w:rPr>
                <w:rFonts w:ascii="宋体" w:hAnsi="宋体" w:cs="宋体" w:eastAsia="宋体" w:hint="default"/>
                <w:sz w:val="18"/>
                <w:szCs w:val="18"/>
              </w:rPr>
            </w:pPr>
            <w:r>
              <w:rPr>
                <w:rFonts w:ascii="宋体" w:hAnsi="宋体" w:cs="宋体" w:eastAsia="宋体" w:hint="default"/>
                <w:sz w:val="18"/>
                <w:szCs w:val="18"/>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36,184,054.71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）现金流量表补充资料</w:t>
      </w:r>
    </w:p>
    <w:p>
      <w:pPr>
        <w:spacing w:line="240" w:lineRule="auto" w:before="0"/>
        <w:rPr>
          <w:rFonts w:ascii="宋体" w:hAnsi="宋体" w:cs="宋体" w:eastAsia="宋体" w:hint="default"/>
          <w:sz w:val="19"/>
          <w:szCs w:val="19"/>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5968"/>
        <w:gridCol w:w="1846"/>
        <w:gridCol w:w="1841"/>
      </w:tblGrid>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458,698,042.28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376,720,262.30</w:t>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加：资产减值损失</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17,509,182.95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34,236,129.53</w:t>
            </w:r>
          </w:p>
        </w:tc>
      </w:tr>
    </w:tbl>
    <w:p>
      <w:pPr>
        <w:spacing w:after="0" w:line="240" w:lineRule="auto"/>
        <w:jc w:val="right"/>
        <w:rPr>
          <w:rFonts w:ascii="Times New Roman" w:hAnsi="Times New Roman" w:cs="Times New Roman" w:eastAsia="Times New Roman" w:hint="default"/>
          <w:sz w:val="18"/>
          <w:szCs w:val="18"/>
        </w:rPr>
        <w:sectPr>
          <w:pgSz w:w="11910" w:h="16840"/>
          <w:pgMar w:header="920" w:footer="947" w:top="1140" w:bottom="1140" w:left="980" w:right="0"/>
        </w:sectPr>
      </w:pPr>
    </w:p>
    <w:p>
      <w:pPr>
        <w:spacing w:line="240" w:lineRule="auto" w:before="2"/>
        <w:rPr>
          <w:rFonts w:ascii="Times New Roman" w:hAnsi="Times New Roman" w:cs="Times New Roman" w:eastAsia="Times New Roman"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968"/>
        <w:gridCol w:w="1846"/>
        <w:gridCol w:w="1841"/>
      </w:tblGrid>
      <w:tr>
        <w:trPr>
          <w:trHeight w:val="591"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145,245,566.26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spacing w:val="-1"/>
                <w:sz w:val="18"/>
              </w:rPr>
              <w:t>145,073,877.61</w:t>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6,155,047.63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spacing w:val="-1"/>
                <w:sz w:val="18"/>
              </w:rPr>
              <w:t>6,426,987.27</w:t>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1,022,400.00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spacing w:val="-1"/>
                <w:sz w:val="18"/>
              </w:rPr>
              <w:t>2,320,361.15</w:t>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46"/>
                <w:sz w:val="18"/>
                <w:szCs w:val="18"/>
              </w:rPr>
              <w:t>、</w:t>
            </w:r>
            <w:r>
              <w:rPr>
                <w:rFonts w:ascii="宋体" w:hAnsi="宋体" w:cs="宋体" w:eastAsia="宋体" w:hint="default"/>
                <w:sz w:val="18"/>
                <w:szCs w:val="18"/>
              </w:rPr>
              <w:t>无形资产和其他长期资产的损</w:t>
            </w:r>
            <w:r>
              <w:rPr>
                <w:rFonts w:ascii="宋体" w:hAnsi="宋体" w:cs="宋体" w:eastAsia="宋体" w:hint="default"/>
                <w:spacing w:val="-46"/>
                <w:sz w:val="18"/>
                <w:szCs w:val="18"/>
              </w:rPr>
              <w:t>失</w:t>
            </w:r>
            <w:r>
              <w:rPr>
                <w:rFonts w:ascii="宋体" w:hAnsi="宋体" w:cs="宋体" w:eastAsia="宋体" w:hint="default"/>
                <w:sz w:val="18"/>
                <w:szCs w:val="18"/>
              </w:rPr>
              <w:t>（收益以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-294,845.57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spacing w:val="-1"/>
                <w:sz w:val="18"/>
              </w:rPr>
              <w:t>253,562.43</w:t>
            </w:r>
          </w:p>
        </w:tc>
      </w:tr>
      <w:tr>
        <w:trPr>
          <w:trHeight w:val="588"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16,375,270.18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3"/>
              <w:jc w:val="right"/>
              <w:rPr>
                <w:rFonts w:ascii="Times New Roman" w:hAnsi="Times New Roman" w:cs="Times New Roman" w:eastAsia="Times New Roman" w:hint="default"/>
                <w:sz w:val="18"/>
                <w:szCs w:val="18"/>
              </w:rPr>
            </w:pPr>
            <w:r>
              <w:rPr>
                <w:rFonts w:ascii="Times New Roman"/>
                <w:spacing w:val="-1"/>
                <w:sz w:val="18"/>
              </w:rPr>
              <w:t>13,171,811.35</w:t>
            </w:r>
          </w:p>
        </w:tc>
      </w:tr>
      <w:tr>
        <w:trPr>
          <w:trHeight w:val="591"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-1,249,052.28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-352,363.79</w:t>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-1,113,819.82</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spacing w:val="-1"/>
                <w:sz w:val="18"/>
              </w:rPr>
              <w:t>3,481,168.54</w:t>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w:t>
            </w:r>
            <w:r>
              <w:rPr>
                <w:rFonts w:ascii="宋体" w:hAnsi="宋体" w:cs="宋体" w:eastAsia="宋体" w:hint="default"/>
                <w:spacing w:val="-1"/>
                <w:sz w:val="18"/>
                <w:szCs w:val="18"/>
              </w:rPr>
              <w:t>少</w:t>
            </w:r>
            <w:r>
              <w:rPr>
                <w:rFonts w:ascii="宋体" w:hAnsi="宋体" w:cs="宋体" w:eastAsia="宋体" w:hint="default"/>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-533,601.47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spacing w:val="-1"/>
                <w:sz w:val="18"/>
              </w:rPr>
              <w:t>-595,083.73</w:t>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-39,444,743.51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spacing w:val="-1"/>
                <w:sz w:val="18"/>
              </w:rPr>
              <w:t>-57,588,920.94</w:t>
            </w:r>
          </w:p>
        </w:tc>
      </w:tr>
      <w:tr>
        <w:trPr>
          <w:trHeight w:val="588"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71,554,860.28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spacing w:val="-1"/>
                <w:sz w:val="18"/>
              </w:rPr>
              <w:t>-116,069,833.72</w:t>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99"/>
              <w:jc w:val="right"/>
              <w:rPr>
                <w:rFonts w:ascii="Times New Roman" w:hAnsi="Times New Roman" w:cs="Times New Roman" w:eastAsia="Times New Roman" w:hint="default"/>
                <w:sz w:val="18"/>
                <w:szCs w:val="18"/>
              </w:rPr>
            </w:pPr>
            <w:r>
              <w:rPr>
                <w:rFonts w:ascii="Times New Roman"/>
                <w:spacing w:val="-1"/>
                <w:sz w:val="18"/>
              </w:rPr>
              <w:t>-24,647,433.79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3"/>
              <w:jc w:val="right"/>
              <w:rPr>
                <w:rFonts w:ascii="Times New Roman" w:hAnsi="Times New Roman" w:cs="Times New Roman" w:eastAsia="Times New Roman" w:hint="default"/>
                <w:sz w:val="18"/>
                <w:szCs w:val="18"/>
              </w:rPr>
            </w:pPr>
            <w:r>
              <w:rPr>
                <w:rFonts w:ascii="Times New Roman"/>
                <w:spacing w:val="-1"/>
                <w:sz w:val="18"/>
              </w:rPr>
              <w:t>-33,863,144.71</w:t>
            </w:r>
          </w:p>
        </w:tc>
      </w:tr>
      <w:tr>
        <w:trPr>
          <w:trHeight w:val="591"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649,276,873.14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spacing w:val="-1"/>
                <w:sz w:val="18"/>
              </w:rPr>
              <w:t>373,214,813.29</w:t>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8"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
        </w:tc>
      </w:tr>
      <w:tr>
        <w:trPr>
          <w:trHeight w:val="591"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846,417,655.41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720,693,373.36</w:t>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720,693,373.36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spacing w:val="-1"/>
                <w:sz w:val="18"/>
              </w:rPr>
              <w:t>753,051,044.36</w:t>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125,724,282.05</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spacing w:val="-1"/>
                <w:sz w:val="18"/>
              </w:rPr>
              <w:t>-32,357,671.00</w:t>
            </w:r>
          </w:p>
        </w:tc>
      </w:tr>
    </w:tbl>
    <w:p>
      <w:pPr>
        <w:spacing w:after="0" w:line="240" w:lineRule="auto"/>
        <w:jc w:val="right"/>
        <w:rPr>
          <w:rFonts w:ascii="Times New Roman" w:hAnsi="Times New Roman" w:cs="Times New Roman" w:eastAsia="Times New Roman" w:hint="default"/>
          <w:sz w:val="18"/>
          <w:szCs w:val="18"/>
        </w:rPr>
        <w:sectPr>
          <w:pgSz w:w="11910" w:h="16840"/>
          <w:pgMar w:header="920" w:footer="947" w:top="1140" w:bottom="114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8"/>
          <w:szCs w:val="28"/>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）现金和现金等价物的构成</w:t>
      </w:r>
    </w:p>
    <w:p>
      <w:pPr>
        <w:spacing w:line="240" w:lineRule="auto" w:before="11"/>
        <w:rPr>
          <w:rFonts w:ascii="宋体" w:hAnsi="宋体" w:cs="宋体" w:eastAsia="宋体" w:hint="default"/>
          <w:sz w:val="18"/>
          <w:szCs w:val="18"/>
        </w:rPr>
      </w:pPr>
    </w:p>
    <w:p>
      <w:pPr>
        <w:spacing w:before="44"/>
        <w:ind w:left="6254" w:right="1119"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938"/>
        <w:gridCol w:w="2360"/>
        <w:gridCol w:w="2357"/>
      </w:tblGrid>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项目</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一、账面货币资金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909,220,749.89</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776,812,995.63</w:t>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减：其他货币资金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62,803,094.48</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56,119,622.27</w:t>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二、现金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846,417,655.41</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720,693,373.36</w:t>
            </w:r>
          </w:p>
        </w:tc>
      </w:tr>
      <w:tr>
        <w:trPr>
          <w:trHeight w:val="59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440,052.38</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459,279.04</w:t>
            </w:r>
          </w:p>
        </w:tc>
      </w:tr>
      <w:tr>
        <w:trPr>
          <w:trHeight w:val="588"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845,977,603.03</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720,234,094.32</w:t>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三、现金等价物</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四、期末现金及现金等价物余额</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846,417,655.41</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720,693,373.36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32" w:right="1119" w:firstLine="0"/>
        <w:jc w:val="left"/>
        <w:rPr>
          <w:rFonts w:ascii="宋体" w:hAnsi="宋体" w:cs="宋体" w:eastAsia="宋体" w:hint="default"/>
          <w:sz w:val="21"/>
          <w:szCs w:val="21"/>
        </w:rPr>
      </w:pPr>
      <w:r>
        <w:rPr>
          <w:rFonts w:ascii="宋体" w:hAnsi="宋体" w:cs="宋体" w:eastAsia="宋体" w:hint="default"/>
          <w:b/>
          <w:bCs/>
          <w:sz w:val="21"/>
          <w:szCs w:val="21"/>
        </w:rPr>
        <w:t>六、资产证券化业务的会计处理</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0"/>
        <w:ind w:left="601" w:right="1119"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本报告期内，本公司未发生资产证券化业务。</w:t>
      </w:r>
    </w:p>
    <w:p>
      <w:pPr>
        <w:spacing w:after="0"/>
        <w:jc w:val="left"/>
        <w:rPr>
          <w:rFonts w:ascii="宋体" w:hAnsi="宋体" w:cs="宋体" w:eastAsia="宋体" w:hint="default"/>
          <w:sz w:val="18"/>
          <w:szCs w:val="18"/>
        </w:rPr>
        <w:sectPr>
          <w:pgSz w:w="11910" w:h="16840"/>
          <w:pgMar w:header="920" w:footer="947" w:top="1140" w:bottom="1140" w:left="1000" w:right="0"/>
        </w:sectPr>
      </w:pPr>
    </w:p>
    <w:p>
      <w:pPr>
        <w:spacing w:line="240" w:lineRule="auto" w:before="8"/>
        <w:rPr>
          <w:rFonts w:ascii="宋体" w:hAnsi="宋体" w:cs="宋体" w:eastAsia="宋体" w:hint="default"/>
          <w:sz w:val="16"/>
          <w:szCs w:val="16"/>
        </w:rPr>
      </w:pPr>
    </w:p>
    <w:p>
      <w:pPr>
        <w:spacing w:before="36"/>
        <w:ind w:left="132" w:right="0" w:firstLine="0"/>
        <w:jc w:val="left"/>
        <w:rPr>
          <w:rFonts w:ascii="宋体" w:hAnsi="宋体" w:cs="宋体" w:eastAsia="宋体" w:hint="default"/>
          <w:sz w:val="21"/>
          <w:szCs w:val="21"/>
        </w:rPr>
      </w:pPr>
      <w:r>
        <w:rPr>
          <w:rFonts w:ascii="宋体" w:hAnsi="宋体" w:cs="宋体" w:eastAsia="宋体" w:hint="default"/>
          <w:b/>
          <w:bCs/>
          <w:sz w:val="21"/>
          <w:szCs w:val="21"/>
        </w:rPr>
        <w:t>七、关联方及关联交易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before="0"/>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、本公司的母公司情况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097"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1558"/>
        <w:gridCol w:w="1327"/>
        <w:gridCol w:w="1118"/>
        <w:gridCol w:w="922"/>
        <w:gridCol w:w="1061"/>
        <w:gridCol w:w="958"/>
        <w:gridCol w:w="1133"/>
        <w:gridCol w:w="1608"/>
        <w:gridCol w:w="1844"/>
        <w:gridCol w:w="1670"/>
        <w:gridCol w:w="1402"/>
      </w:tblGrid>
      <w:tr>
        <w:trPr>
          <w:trHeight w:val="1090"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企业类型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510" w:lineRule="atLeast" w:before="3"/>
              <w:ind w:left="304" w:right="77"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母公司对本公司的 持股比例</w:t>
            </w:r>
            <w:r>
              <w:rPr>
                <w:rFonts w:ascii="Times New Roman" w:hAnsi="Times New Roman" w:cs="Times New Roman" w:eastAsia="Times New Roman"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510" w:lineRule="atLeast" w:before="3"/>
              <w:ind w:left="396" w:right="134"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母公司对本公司的表 决权比例</w:t>
            </w:r>
            <w:r>
              <w:rPr>
                <w:rFonts w:ascii="Times New Roman" w:hAnsi="Times New Roman" w:cs="Times New Roman" w:eastAsia="Times New Roman" w:hint="default"/>
                <w:sz w:val="18"/>
                <w:szCs w:val="18"/>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本公司最终控制方</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090"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500" w:lineRule="atLeast" w:before="12"/>
              <w:ind w:left="107" w:right="100"/>
              <w:jc w:val="left"/>
              <w:rPr>
                <w:rFonts w:ascii="宋体" w:hAnsi="宋体" w:cs="宋体" w:eastAsia="宋体" w:hint="default"/>
                <w:sz w:val="18"/>
                <w:szCs w:val="18"/>
              </w:rPr>
            </w:pPr>
            <w:r>
              <w:rPr>
                <w:rFonts w:ascii="宋体" w:hAnsi="宋体" w:cs="宋体" w:eastAsia="宋体" w:hint="default"/>
                <w:spacing w:val="11"/>
                <w:sz w:val="18"/>
                <w:szCs w:val="18"/>
              </w:rPr>
              <w:t>深圳市劲嘉创业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投资有限公司</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500" w:lineRule="atLeast" w:before="12"/>
              <w:ind w:left="479" w:right="115" w:hanging="360"/>
              <w:jc w:val="left"/>
              <w:rPr>
                <w:rFonts w:ascii="宋体" w:hAnsi="宋体" w:cs="宋体" w:eastAsia="宋体" w:hint="default"/>
                <w:sz w:val="18"/>
                <w:szCs w:val="18"/>
              </w:rPr>
            </w:pPr>
            <w:r>
              <w:rPr>
                <w:rFonts w:ascii="宋体" w:hAnsi="宋体" w:cs="宋体" w:eastAsia="宋体" w:hint="default"/>
                <w:sz w:val="18"/>
                <w:szCs w:val="18"/>
              </w:rPr>
              <w:t>本公司之控股 股东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60"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乔鲁予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综合经营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32.52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乔鲁予</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75048240-8</w:t>
            </w:r>
          </w:p>
        </w:tc>
      </w:tr>
    </w:tbl>
    <w:p>
      <w:pPr>
        <w:spacing w:line="240" w:lineRule="auto" w:before="10"/>
        <w:rPr>
          <w:rFonts w:ascii="宋体" w:hAnsi="宋体" w:cs="宋体" w:eastAsia="宋体" w:hint="default"/>
          <w:sz w:val="17"/>
          <w:szCs w:val="17"/>
        </w:rPr>
      </w:pPr>
    </w:p>
    <w:p>
      <w:pPr>
        <w:spacing w:before="44"/>
        <w:ind w:left="6332" w:right="7305" w:firstLine="0"/>
        <w:jc w:val="center"/>
        <w:rPr>
          <w:rFonts w:ascii="宋体" w:hAnsi="宋体" w:cs="宋体" w:eastAsia="宋体" w:hint="default"/>
          <w:sz w:val="18"/>
          <w:szCs w:val="18"/>
        </w:rPr>
      </w:pPr>
      <w:r>
        <w:rPr>
          <w:rFonts w:ascii="宋体" w:hAnsi="宋体" w:cs="宋体" w:eastAsia="宋体" w:hint="default"/>
          <w:sz w:val="18"/>
          <w:szCs w:val="18"/>
        </w:rPr>
        <w:t>本公司的母公司情况的说明</w:t>
      </w:r>
    </w:p>
    <w:p>
      <w:pPr>
        <w:spacing w:line="240" w:lineRule="auto" w:before="3"/>
        <w:rPr>
          <w:rFonts w:ascii="宋体" w:hAnsi="宋体" w:cs="宋体" w:eastAsia="宋体" w:hint="default"/>
          <w:sz w:val="5"/>
          <w:szCs w:val="5"/>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730.55pt;height:.5pt;mso-position-horizontal-relative:char;mso-position-vertical-relative:line" coordorigin="0,0" coordsize="14611,10">
            <v:group style="position:absolute;left:5;top:5;width:14602;height:2" coordorigin="5,5" coordsize="14602,2">
              <v:shape style="position:absolute;left:5;top:5;width:14602;height:2" coordorigin="5,5" coordsize="14602,0" path="m5,5l14606,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7"/>
          <w:szCs w:val="17"/>
        </w:rPr>
      </w:pPr>
    </w:p>
    <w:p>
      <w:pPr>
        <w:spacing w:line="499" w:lineRule="auto" w:before="44"/>
        <w:ind w:left="240" w:right="1209" w:firstLine="391"/>
        <w:jc w:val="both"/>
        <w:rPr>
          <w:rFonts w:ascii="宋体" w:hAnsi="宋体" w:cs="宋体" w:eastAsia="宋体" w:hint="default"/>
          <w:sz w:val="18"/>
          <w:szCs w:val="18"/>
        </w:rPr>
      </w:pPr>
      <w:r>
        <w:rPr/>
        <w:pict>
          <v:group style="position:absolute;margin-left:55.919998pt;margin-top:92.631706pt;width:730.8pt;height:.1pt;mso-position-horizontal-relative:page;mso-position-vertical-relative:paragraph;z-index:-928216" coordorigin="1118,1853" coordsize="14616,2">
            <v:shape style="position:absolute;left:1118;top:1853;width:14616;height:2" coordorigin="1118,1853" coordsize="14616,0" path="m1118,1853l15734,1853e" filled="false" stroked="true" strokeweight=".48001pt" strokecolor="#000000">
              <v:path arrowok="t"/>
            </v:shape>
            <w10:wrap type="none"/>
          </v:group>
        </w:pict>
      </w:r>
      <w:r>
        <w:rPr>
          <w:rFonts w:ascii="宋体" w:hAnsi="宋体" w:cs="宋体" w:eastAsia="宋体" w:hint="default"/>
          <w:sz w:val="18"/>
          <w:szCs w:val="18"/>
        </w:rPr>
        <w:t>深圳市劲嘉创业投资有限公司成立于</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日，实收资本为人民币</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万元，注册地址为深圳市南山区高新南七道</w:t>
      </w:r>
      <w:r>
        <w:rPr>
          <w:rFonts w:ascii="Times New Roman" w:hAnsi="Times New Roman" w:cs="Times New Roman" w:eastAsia="Times New Roman" w:hint="default"/>
          <w:sz w:val="18"/>
          <w:szCs w:val="18"/>
        </w:rPr>
        <w:t>011</w:t>
      </w:r>
      <w:r>
        <w:rPr>
          <w:rFonts w:ascii="宋体" w:hAnsi="宋体" w:cs="宋体" w:eastAsia="宋体" w:hint="default"/>
          <w:sz w:val="18"/>
          <w:szCs w:val="18"/>
        </w:rPr>
        <w:t>号高新工业村</w:t>
      </w:r>
      <w:r>
        <w:rPr>
          <w:rFonts w:ascii="Times New Roman" w:hAnsi="Times New Roman" w:cs="Times New Roman" w:eastAsia="Times New Roman" w:hint="default"/>
          <w:sz w:val="18"/>
          <w:szCs w:val="18"/>
        </w:rPr>
        <w:t>13</w:t>
      </w:r>
      <w:r>
        <w:rPr>
          <w:rFonts w:ascii="宋体" w:hAnsi="宋体" w:cs="宋体" w:eastAsia="宋体" w:hint="default"/>
          <w:sz w:val="18"/>
          <w:szCs w:val="18"/>
        </w:rPr>
        <w:t>栋</w:t>
      </w:r>
      <w:r>
        <w:rPr>
          <w:rFonts w:ascii="Times New Roman" w:hAnsi="Times New Roman" w:cs="Times New Roman" w:eastAsia="Times New Roman" w:hint="default"/>
          <w:sz w:val="18"/>
          <w:szCs w:val="18"/>
        </w:rPr>
        <w:t>A3-a</w:t>
      </w:r>
      <w:r>
        <w:rPr>
          <w:rFonts w:ascii="宋体" w:hAnsi="宋体" w:cs="宋体" w:eastAsia="宋体" w:hint="default"/>
          <w:sz w:val="18"/>
          <w:szCs w:val="18"/>
        </w:rPr>
        <w:t>东区，法定代表人为乔鲁予，</w:t>
      </w:r>
      <w:r>
        <w:rPr>
          <w:rFonts w:ascii="宋体" w:hAnsi="宋体" w:cs="宋体" w:eastAsia="宋体" w:hint="default"/>
          <w:w w:val="99"/>
          <w:sz w:val="18"/>
          <w:szCs w:val="18"/>
        </w:rPr>
        <w:t> </w:t>
      </w:r>
      <w:r>
        <w:rPr>
          <w:rFonts w:ascii="宋体" w:hAnsi="宋体" w:cs="宋体" w:eastAsia="宋体" w:hint="default"/>
          <w:spacing w:val="-1"/>
          <w:sz w:val="18"/>
          <w:szCs w:val="18"/>
        </w:rPr>
        <w:t>经营范围：直接投资高新技术产业和其他技术创新产业；受托管理和经营其他创业投资公司的创业资本；投资咨询业务；直接投资或参与企业孵化器的建设；法律和行政法规允许的其</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1"/>
          <w:sz w:val="18"/>
          <w:szCs w:val="18"/>
        </w:rPr>
        <w:t>他业务；国内商业、物质供销业（不含专营、专控、专卖商品）；货物进出口、技术进出口（法律行政法规禁止的项目除外；法律、行政法规限制的项目须取得许可后方可经营）。公</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司股权结构为：乔鲁予持有</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的股份，陈零越持有</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的股份。该公司主要从事投资业务，现持有本公司股份</w:t>
      </w:r>
      <w:r>
        <w:rPr>
          <w:rFonts w:ascii="Times New Roman" w:hAnsi="Times New Roman" w:cs="Times New Roman" w:eastAsia="Times New Roman" w:hint="default"/>
          <w:sz w:val="18"/>
          <w:szCs w:val="18"/>
        </w:rPr>
        <w:t>208,784,080</w:t>
      </w:r>
      <w:r>
        <w:rPr>
          <w:rFonts w:ascii="宋体" w:hAnsi="宋体" w:cs="宋体" w:eastAsia="宋体" w:hint="default"/>
          <w:sz w:val="18"/>
          <w:szCs w:val="18"/>
        </w:rPr>
        <w:t>股，占本公司股本总额的</w:t>
      </w:r>
      <w:r>
        <w:rPr>
          <w:rFonts w:ascii="Times New Roman" w:hAnsi="Times New Roman" w:cs="Times New Roman" w:eastAsia="Times New Roman" w:hint="default"/>
          <w:sz w:val="18"/>
          <w:szCs w:val="18"/>
        </w:rPr>
        <w:t>32.52%</w: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36"/>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、本公司的子公司情况</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832"/>
        <w:gridCol w:w="1042"/>
        <w:gridCol w:w="1227"/>
        <w:gridCol w:w="1282"/>
        <w:gridCol w:w="1068"/>
        <w:gridCol w:w="1668"/>
        <w:gridCol w:w="1248"/>
        <w:gridCol w:w="1145"/>
        <w:gridCol w:w="1253"/>
        <w:gridCol w:w="1850"/>
      </w:tblGrid>
      <w:tr>
        <w:trPr>
          <w:trHeight w:val="590"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sz w:val="15"/>
                <w:szCs w:val="15"/>
              </w:rPr>
              <w:t>子公司类型</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309" w:right="0"/>
              <w:jc w:val="left"/>
              <w:rPr>
                <w:rFonts w:ascii="宋体" w:hAnsi="宋体" w:cs="宋体" w:eastAsia="宋体" w:hint="default"/>
                <w:sz w:val="15"/>
                <w:szCs w:val="15"/>
              </w:rPr>
            </w:pPr>
            <w:r>
              <w:rPr>
                <w:rFonts w:ascii="宋体" w:hAnsi="宋体" w:cs="宋体" w:eastAsia="宋体" w:hint="default"/>
                <w:sz w:val="15"/>
                <w:szCs w:val="15"/>
              </w:rPr>
              <w:t>企业类型</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12"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37" w:right="0"/>
              <w:jc w:val="left"/>
              <w:rPr>
                <w:rFonts w:ascii="宋体" w:hAnsi="宋体" w:cs="宋体" w:eastAsia="宋体" w:hint="default"/>
                <w:sz w:val="15"/>
                <w:szCs w:val="15"/>
              </w:rPr>
            </w:pPr>
            <w:r>
              <w:rPr>
                <w:rFonts w:ascii="宋体" w:hAnsi="宋体" w:cs="宋体" w:eastAsia="宋体" w:hint="default"/>
                <w:sz w:val="15"/>
                <w:szCs w:val="15"/>
              </w:rPr>
              <w:t>法人代表</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525"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321"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9"/>
              <w:ind w:left="199"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持股比例</w:t>
            </w:r>
            <w:r>
              <w:rPr>
                <w:rFonts w:ascii="Times New Roman" w:hAnsi="Times New Roman" w:cs="Times New Roman" w:eastAsia="Times New Roman" w:hint="default"/>
                <w:sz w:val="15"/>
                <w:szCs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9"/>
              <w:ind w:left="13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表决权比例</w:t>
            </w:r>
            <w:r>
              <w:rPr>
                <w:rFonts w:ascii="Times New Roman" w:hAnsi="Times New Roman" w:cs="Times New Roman" w:eastAsia="Times New Roman" w:hint="default"/>
                <w:sz w:val="15"/>
                <w:szCs w:val="15"/>
              </w:rPr>
              <w:t>(%)</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72" w:right="0"/>
              <w:jc w:val="left"/>
              <w:rPr>
                <w:rFonts w:ascii="宋体" w:hAnsi="宋体" w:cs="宋体" w:eastAsia="宋体" w:hint="default"/>
                <w:sz w:val="15"/>
                <w:szCs w:val="15"/>
              </w:rPr>
            </w:pPr>
            <w:r>
              <w:rPr>
                <w:rFonts w:ascii="宋体" w:hAnsi="宋体" w:cs="宋体" w:eastAsia="宋体" w:hint="default"/>
                <w:sz w:val="15"/>
                <w:szCs w:val="15"/>
              </w:rPr>
              <w:t>组织机构代码</w:t>
            </w:r>
          </w:p>
        </w:tc>
      </w:tr>
    </w:tbl>
    <w:p>
      <w:pPr>
        <w:spacing w:after="0" w:line="240" w:lineRule="auto"/>
        <w:jc w:val="left"/>
        <w:rPr>
          <w:rFonts w:ascii="宋体" w:hAnsi="宋体" w:cs="宋体" w:eastAsia="宋体" w:hint="default"/>
          <w:sz w:val="15"/>
          <w:szCs w:val="15"/>
        </w:rPr>
        <w:sectPr>
          <w:headerReference w:type="default" r:id="rId67"/>
          <w:footerReference w:type="default" r:id="rId68"/>
          <w:pgSz w:w="16840" w:h="11910" w:orient="landscape"/>
          <w:pgMar w:header="920" w:footer="956" w:top="1140" w:bottom="1140" w:left="1000" w:right="0"/>
          <w:pgNumType w:start="86"/>
        </w:sectPr>
      </w:pPr>
    </w:p>
    <w:p>
      <w:pPr>
        <w:spacing w:line="240" w:lineRule="auto" w:before="2"/>
        <w:rPr>
          <w:rFonts w:ascii="Times New Roman" w:hAnsi="Times New Roman" w:cs="Times New Roman" w:eastAsia="Times New Roman"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832"/>
        <w:gridCol w:w="1042"/>
        <w:gridCol w:w="1227"/>
        <w:gridCol w:w="1282"/>
        <w:gridCol w:w="1068"/>
        <w:gridCol w:w="1668"/>
        <w:gridCol w:w="1248"/>
        <w:gridCol w:w="1145"/>
        <w:gridCol w:w="1253"/>
        <w:gridCol w:w="1850"/>
      </w:tblGrid>
      <w:tr>
        <w:trPr>
          <w:trHeight w:val="591"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子公司类型</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06"/>
              <w:jc w:val="right"/>
              <w:rPr>
                <w:rFonts w:ascii="Times New Roman" w:hAnsi="Times New Roman" w:cs="Times New Roman" w:eastAsia="Times New Roman" w:hint="default"/>
                <w:sz w:val="15"/>
                <w:szCs w:val="15"/>
              </w:rPr>
            </w:pPr>
            <w:r>
              <w:rPr>
                <w:rFonts w:ascii="宋体" w:hAnsi="宋体" w:cs="宋体" w:eastAsia="宋体" w:hint="default"/>
                <w:spacing w:val="-1"/>
                <w:sz w:val="15"/>
                <w:szCs w:val="15"/>
              </w:rPr>
              <w:t>持股比例</w:t>
            </w:r>
            <w:r>
              <w:rPr>
                <w:rFonts w:ascii="Times New Roman" w:hAnsi="Times New Roman" w:cs="Times New Roman" w:eastAsia="Times New Roman" w:hint="default"/>
                <w:spacing w:val="-1"/>
                <w:sz w:val="15"/>
                <w:szCs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32"/>
              <w:jc w:val="right"/>
              <w:rPr>
                <w:rFonts w:ascii="Times New Roman" w:hAnsi="Times New Roman" w:cs="Times New Roman" w:eastAsia="Times New Roman" w:hint="default"/>
                <w:sz w:val="15"/>
                <w:szCs w:val="15"/>
              </w:rPr>
            </w:pPr>
            <w:r>
              <w:rPr>
                <w:rFonts w:ascii="宋体" w:hAnsi="宋体" w:cs="宋体" w:eastAsia="宋体" w:hint="default"/>
                <w:spacing w:val="-1"/>
                <w:sz w:val="15"/>
                <w:szCs w:val="15"/>
              </w:rPr>
              <w:t>表决权比例</w:t>
            </w:r>
            <w:r>
              <w:rPr>
                <w:rFonts w:ascii="Times New Roman" w:hAnsi="Times New Roman" w:cs="Times New Roman" w:eastAsia="Times New Roman" w:hint="default"/>
                <w:spacing w:val="-1"/>
                <w:sz w:val="15"/>
                <w:szCs w:val="15"/>
              </w:rPr>
              <w:t>(%)</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590"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中华香港国际烟草集团有限公司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香港</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w w:val="100"/>
                <w:sz w:val="15"/>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投资控股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5"/>
              <w:ind w:right="74"/>
              <w:jc w:val="right"/>
              <w:rPr>
                <w:rFonts w:ascii="宋体" w:hAnsi="宋体" w:cs="宋体" w:eastAsia="宋体" w:hint="default"/>
                <w:sz w:val="15"/>
                <w:szCs w:val="15"/>
              </w:rPr>
            </w:pPr>
            <w:r>
              <w:rPr>
                <w:rFonts w:ascii="Times New Roman" w:hAnsi="Times New Roman" w:cs="Times New Roman" w:eastAsia="Times New Roman" w:hint="default"/>
                <w:sz w:val="15"/>
                <w:szCs w:val="15"/>
              </w:rPr>
              <w:t>HKD50,200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r>
      <w:tr>
        <w:trPr>
          <w:trHeight w:val="590"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深圳市劲嘉科技有限公司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富培军</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5"/>
              <w:ind w:right="72"/>
              <w:jc w:val="right"/>
              <w:rPr>
                <w:rFonts w:ascii="宋体" w:hAnsi="宋体" w:cs="宋体" w:eastAsia="宋体" w:hint="default"/>
                <w:sz w:val="15"/>
                <w:szCs w:val="15"/>
              </w:rPr>
            </w:pPr>
            <w:r>
              <w:rPr>
                <w:rFonts w:ascii="Times New Roman" w:hAnsi="Times New Roman" w:cs="Times New Roman" w:eastAsia="Times New Roman" w:hint="default"/>
                <w:sz w:val="15"/>
                <w:szCs w:val="15"/>
              </w:rPr>
              <w:t>RMB2,000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767580768</w:t>
            </w:r>
          </w:p>
        </w:tc>
      </w:tr>
      <w:tr>
        <w:trPr>
          <w:trHeight w:val="590"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贵州劲嘉新型包装材料有限公司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贵阳市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乔鲁予</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5"/>
              <w:ind w:right="74"/>
              <w:jc w:val="right"/>
              <w:rPr>
                <w:rFonts w:ascii="宋体" w:hAnsi="宋体" w:cs="宋体" w:eastAsia="宋体" w:hint="default"/>
                <w:sz w:val="15"/>
                <w:szCs w:val="15"/>
              </w:rPr>
            </w:pPr>
            <w:r>
              <w:rPr>
                <w:rFonts w:ascii="Times New Roman" w:hAnsi="Times New Roman" w:cs="Times New Roman" w:eastAsia="Times New Roman" w:hint="default"/>
                <w:sz w:val="15"/>
                <w:szCs w:val="15"/>
              </w:rPr>
              <w:t>RMB10,000</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79526502-8</w:t>
            </w:r>
          </w:p>
        </w:tc>
      </w:tr>
      <w:tr>
        <w:trPr>
          <w:trHeight w:val="591"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深圳嘉美达印务有限公司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李德华</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6"/>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RMB2,000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728578358</w:t>
            </w:r>
          </w:p>
        </w:tc>
      </w:tr>
      <w:tr>
        <w:trPr>
          <w:trHeight w:val="588"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深圳市万商物业管理有限公司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控股子公司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李青山</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物业管理</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5"/>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RMB1,800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90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90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755691460</w:t>
            </w:r>
          </w:p>
        </w:tc>
      </w:tr>
      <w:tr>
        <w:trPr>
          <w:trHeight w:val="590"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安徽安泰新型包装材料有限公司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合肥市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侯旭东</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7"/>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RMB8,400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74485889-4</w:t>
            </w:r>
          </w:p>
        </w:tc>
      </w:tr>
      <w:tr>
        <w:trPr>
          <w:trHeight w:val="590"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昆明彩印有限责任公司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控股子公司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昆明市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温加祥</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5"/>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USD750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51.61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51.61</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70987671-2</w:t>
            </w:r>
          </w:p>
        </w:tc>
      </w:tr>
      <w:tr>
        <w:trPr>
          <w:trHeight w:val="591"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中丰田光电科技（珠海）有限公司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控股子公司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69"/>
              <w:ind w:left="160" w:right="0"/>
              <w:jc w:val="left"/>
              <w:rPr>
                <w:rFonts w:ascii="宋体" w:hAnsi="宋体" w:cs="宋体" w:eastAsia="宋体" w:hint="default"/>
                <w:sz w:val="15"/>
                <w:szCs w:val="15"/>
              </w:rPr>
            </w:pPr>
            <w:r>
              <w:rPr>
                <w:rFonts w:ascii="宋体" w:hAnsi="宋体" w:cs="宋体" w:eastAsia="宋体" w:hint="default"/>
                <w:sz w:val="15"/>
                <w:szCs w:val="15"/>
              </w:rPr>
              <w:t>有限责任公司</w:t>
            </w:r>
          </w:p>
          <w:p>
            <w:pPr>
              <w:pStyle w:val="TableParagraph"/>
              <w:spacing w:line="196" w:lineRule="exact"/>
              <w:ind w:left="160" w:right="0"/>
              <w:jc w:val="left"/>
              <w:rPr>
                <w:rFonts w:ascii="宋体" w:hAnsi="宋体" w:cs="宋体" w:eastAsia="宋体" w:hint="default"/>
                <w:sz w:val="15"/>
                <w:szCs w:val="15"/>
              </w:rPr>
            </w:pPr>
            <w:r>
              <w:rPr>
                <w:rFonts w:ascii="宋体" w:hAnsi="宋体" w:cs="宋体" w:eastAsia="宋体" w:hint="default"/>
                <w:sz w:val="15"/>
                <w:szCs w:val="15"/>
              </w:rPr>
              <w:t>（外商合资）</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珠海市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张明义</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5"/>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USD1,090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60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60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72923531-4</w:t>
            </w:r>
          </w:p>
        </w:tc>
      </w:tr>
      <w:tr>
        <w:trPr>
          <w:trHeight w:val="590"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东方英莎特有限公司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5"/>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BVI</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英属维尔京群岛</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w w:val="100"/>
                <w:sz w:val="15"/>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投资控股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5"/>
              <w:ind w:right="74"/>
              <w:jc w:val="right"/>
              <w:rPr>
                <w:rFonts w:ascii="宋体" w:hAnsi="宋体" w:cs="宋体" w:eastAsia="宋体" w:hint="default"/>
                <w:sz w:val="15"/>
                <w:szCs w:val="15"/>
              </w:rPr>
            </w:pPr>
            <w:r>
              <w:rPr>
                <w:rFonts w:ascii="Times New Roman" w:hAnsi="Times New Roman" w:cs="Times New Roman" w:eastAsia="Times New Roman" w:hint="default"/>
                <w:sz w:val="15"/>
                <w:szCs w:val="15"/>
              </w:rPr>
              <w:t>USD1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r>
      <w:tr>
        <w:trPr>
          <w:trHeight w:val="590"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淮安华丰彩印有限公司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控股子公司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淮安市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张森</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5"/>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RMB1,500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55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55</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732278913</w:t>
            </w:r>
          </w:p>
        </w:tc>
      </w:tr>
      <w:tr>
        <w:trPr>
          <w:trHeight w:val="588"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江苏劲嘉新型包装材料有限公司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控股子公司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淮安市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张森</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5"/>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RMB6,000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60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60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78991968-9</w:t>
            </w:r>
          </w:p>
        </w:tc>
      </w:tr>
      <w:tr>
        <w:trPr>
          <w:trHeight w:val="591"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淮安新劲嘉新型包装材料有限公司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控股子公司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淮安市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张森</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7"/>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RMB1,000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60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796504844</w:t>
            </w:r>
          </w:p>
        </w:tc>
      </w:tr>
      <w:tr>
        <w:trPr>
          <w:trHeight w:val="590" w:hRule="exact"/>
        </w:trPr>
        <w:tc>
          <w:tcPr>
            <w:tcW w:w="28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深圳市劲嘉物业管理有限公司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06"/>
              <w:jc w:val="right"/>
              <w:rPr>
                <w:rFonts w:ascii="宋体" w:hAnsi="宋体" w:cs="宋体" w:eastAsia="宋体" w:hint="default"/>
                <w:sz w:val="15"/>
                <w:szCs w:val="15"/>
              </w:rPr>
            </w:pPr>
            <w:r>
              <w:rPr>
                <w:rFonts w:ascii="宋体" w:hAnsi="宋体" w:cs="宋体" w:eastAsia="宋体" w:hint="default"/>
                <w:spacing w:val="-1"/>
                <w:sz w:val="15"/>
                <w:szCs w:val="15"/>
              </w:rPr>
              <w:t>全资子公司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富培军</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物业管理</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5"/>
              <w:ind w:right="77"/>
              <w:jc w:val="right"/>
              <w:rPr>
                <w:rFonts w:ascii="宋体" w:hAnsi="宋体" w:cs="宋体" w:eastAsia="宋体" w:hint="default"/>
                <w:sz w:val="15"/>
                <w:szCs w:val="15"/>
              </w:rPr>
            </w:pPr>
            <w:r>
              <w:rPr>
                <w:rFonts w:ascii="Times New Roman" w:hAnsi="Times New Roman" w:cs="Times New Roman" w:eastAsia="Times New Roman" w:hint="default"/>
                <w:sz w:val="15"/>
                <w:szCs w:val="15"/>
              </w:rPr>
              <w:t>RMB1,000</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58273712-4</w:t>
            </w:r>
          </w:p>
        </w:tc>
      </w:tr>
    </w:tbl>
    <w:p>
      <w:pPr>
        <w:spacing w:after="0" w:line="240" w:lineRule="auto"/>
        <w:jc w:val="center"/>
        <w:rPr>
          <w:rFonts w:ascii="Times New Roman" w:hAnsi="Times New Roman" w:cs="Times New Roman" w:eastAsia="Times New Roman" w:hint="default"/>
          <w:sz w:val="15"/>
          <w:szCs w:val="15"/>
        </w:rPr>
        <w:sectPr>
          <w:pgSz w:w="16840" w:h="11910" w:orient="landscape"/>
          <w:pgMar w:header="920" w:footer="956" w:top="1140" w:bottom="1140" w:left="1000" w:right="0"/>
        </w:sectPr>
      </w:pPr>
    </w:p>
    <w:p>
      <w:pPr>
        <w:spacing w:line="240" w:lineRule="auto" w:before="11"/>
        <w:rPr>
          <w:rFonts w:ascii="Times New Roman" w:hAnsi="Times New Roman" w:cs="Times New Roman" w:eastAsia="Times New Roman" w:hint="default"/>
          <w:sz w:val="18"/>
          <w:szCs w:val="18"/>
        </w:rPr>
      </w:pPr>
    </w:p>
    <w:p>
      <w:pPr>
        <w:spacing w:before="36"/>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、本公司的联营企业情况</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before="44"/>
        <w:ind w:left="0" w:right="1239"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193"/>
        <w:gridCol w:w="727"/>
        <w:gridCol w:w="593"/>
        <w:gridCol w:w="746"/>
        <w:gridCol w:w="732"/>
        <w:gridCol w:w="805"/>
        <w:gridCol w:w="881"/>
        <w:gridCol w:w="1346"/>
        <w:gridCol w:w="1162"/>
        <w:gridCol w:w="1202"/>
        <w:gridCol w:w="1253"/>
        <w:gridCol w:w="1220"/>
        <w:gridCol w:w="919"/>
        <w:gridCol w:w="787"/>
        <w:gridCol w:w="1032"/>
      </w:tblGrid>
      <w:tr>
        <w:trPr>
          <w:trHeight w:val="691"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74"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9" w:right="0"/>
              <w:jc w:val="left"/>
              <w:rPr>
                <w:rFonts w:ascii="宋体" w:hAnsi="宋体" w:cs="宋体" w:eastAsia="宋体" w:hint="default"/>
                <w:sz w:val="15"/>
                <w:szCs w:val="15"/>
              </w:rPr>
            </w:pPr>
            <w:r>
              <w:rPr>
                <w:rFonts w:ascii="宋体" w:hAnsi="宋体" w:cs="宋体" w:eastAsia="宋体" w:hint="default"/>
                <w:sz w:val="15"/>
                <w:szCs w:val="15"/>
              </w:rPr>
              <w:t>企业类型</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122"/>
              <w:ind w:left="172" w:right="55" w:hanging="113"/>
              <w:jc w:val="left"/>
              <w:rPr>
                <w:rFonts w:ascii="Times New Roman" w:hAnsi="Times New Roman" w:cs="Times New Roman" w:eastAsia="Times New Roman" w:hint="default"/>
                <w:sz w:val="15"/>
                <w:szCs w:val="15"/>
              </w:rPr>
            </w:pPr>
            <w:r>
              <w:rPr>
                <w:rFonts w:ascii="宋体" w:hAnsi="宋体" w:cs="宋体" w:eastAsia="宋体" w:hint="default"/>
                <w:sz w:val="15"/>
                <w:szCs w:val="15"/>
              </w:rPr>
              <w:t>本公司持股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122"/>
              <w:ind w:left="105" w:right="65"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本公司在被投资单</w:t>
            </w:r>
            <w:r>
              <w:rPr>
                <w:rFonts w:ascii="宋体" w:hAnsi="宋体" w:cs="宋体" w:eastAsia="宋体" w:hint="default"/>
                <w:w w:val="100"/>
                <w:sz w:val="15"/>
                <w:szCs w:val="15"/>
              </w:rPr>
              <w:t> </w:t>
            </w:r>
            <w:r>
              <w:rPr>
                <w:rFonts w:ascii="宋体" w:hAnsi="宋体" w:cs="宋体" w:eastAsia="宋体" w:hint="default"/>
                <w:sz w:val="15"/>
                <w:szCs w:val="15"/>
              </w:rPr>
              <w:t>位表决权比例</w:t>
            </w:r>
            <w:r>
              <w:rPr>
                <w:rFonts w:ascii="Times New Roman" w:hAnsi="Times New Roman" w:cs="Times New Roman" w:eastAsia="Times New Roman" w:hint="default"/>
                <w:sz w:val="15"/>
                <w:szCs w:val="15"/>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期末资产总额</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期末负债总额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期末净资产总额</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pacing w:val="-2"/>
                <w:sz w:val="15"/>
                <w:szCs w:val="15"/>
              </w:rPr>
              <w:t>本期营业收入总额</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本期净利润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88" w:right="0"/>
              <w:jc w:val="left"/>
              <w:rPr>
                <w:rFonts w:ascii="宋体" w:hAnsi="宋体" w:cs="宋体" w:eastAsia="宋体" w:hint="default"/>
                <w:sz w:val="15"/>
                <w:szCs w:val="15"/>
              </w:rPr>
            </w:pPr>
            <w:r>
              <w:rPr>
                <w:rFonts w:ascii="宋体" w:hAnsi="宋体" w:cs="宋体" w:eastAsia="宋体" w:hint="default"/>
                <w:sz w:val="15"/>
                <w:szCs w:val="15"/>
              </w:rPr>
              <w:t>关联关系</w:t>
            </w:r>
          </w:p>
        </w:tc>
        <w:tc>
          <w:tcPr>
            <w:tcW w:w="10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679"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14" w:right="118"/>
              <w:jc w:val="left"/>
              <w:rPr>
                <w:rFonts w:ascii="宋体" w:hAnsi="宋体" w:cs="宋体" w:eastAsia="宋体" w:hint="default"/>
                <w:sz w:val="15"/>
                <w:szCs w:val="15"/>
              </w:rPr>
            </w:pPr>
            <w:r>
              <w:rPr>
                <w:rFonts w:ascii="宋体" w:hAnsi="宋体" w:cs="宋体" w:eastAsia="宋体" w:hint="default"/>
                <w:spacing w:val="-1"/>
                <w:sz w:val="15"/>
                <w:szCs w:val="15"/>
              </w:rPr>
              <w:t>武汉欣亚欣纸业</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有限公司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211" w:right="53" w:hanging="152"/>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武汉市</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魏家国</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200.00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35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35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184.88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208.21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-23.34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324.67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-56.74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163" w:right="10" w:hanging="152"/>
              <w:jc w:val="left"/>
              <w:rPr>
                <w:rFonts w:ascii="宋体" w:hAnsi="宋体" w:cs="宋体" w:eastAsia="宋体" w:hint="default"/>
                <w:sz w:val="15"/>
                <w:szCs w:val="15"/>
              </w:rPr>
            </w:pPr>
            <w:r>
              <w:rPr>
                <w:rFonts w:ascii="宋体" w:hAnsi="宋体" w:cs="宋体" w:eastAsia="宋体" w:hint="default"/>
                <w:sz w:val="15"/>
                <w:szCs w:val="15"/>
              </w:rPr>
              <w:t>本公司之联</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营公司</w:t>
            </w:r>
          </w:p>
        </w:tc>
        <w:tc>
          <w:tcPr>
            <w:tcW w:w="103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666767080</w:t>
            </w:r>
          </w:p>
        </w:tc>
      </w:tr>
    </w:tbl>
    <w:p>
      <w:pPr>
        <w:spacing w:after="0" w:line="240" w:lineRule="auto"/>
        <w:jc w:val="center"/>
        <w:rPr>
          <w:rFonts w:ascii="Times New Roman" w:hAnsi="Times New Roman" w:cs="Times New Roman" w:eastAsia="Times New Roman" w:hint="default"/>
          <w:sz w:val="15"/>
          <w:szCs w:val="15"/>
        </w:rPr>
        <w:sectPr>
          <w:pgSz w:w="16840" w:h="11910" w:orient="landscape"/>
          <w:pgMar w:header="920" w:footer="956" w:top="1140" w:bottom="1140" w:left="1000" w:right="0"/>
        </w:sectPr>
      </w:pPr>
    </w:p>
    <w:p>
      <w:pPr>
        <w:spacing w:line="240" w:lineRule="auto" w:before="8"/>
        <w:rPr>
          <w:rFonts w:ascii="宋体" w:hAnsi="宋体" w:cs="宋体" w:eastAsia="宋体" w:hint="default"/>
          <w:sz w:val="16"/>
          <w:szCs w:val="16"/>
        </w:rPr>
      </w:pPr>
    </w:p>
    <w:p>
      <w:pPr>
        <w:spacing w:before="36"/>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、本公司的其他关联方情况</w:t>
      </w:r>
      <w:r>
        <w:rPr>
          <w:rFonts w:ascii="宋体" w:hAnsi="宋体" w:cs="宋体" w:eastAsia="宋体" w:hint="default"/>
          <w:sz w:val="21"/>
          <w:szCs w:val="21"/>
        </w:rPr>
      </w:r>
    </w:p>
    <w:tbl>
      <w:tblPr>
        <w:tblW w:w="0" w:type="auto"/>
        <w:jc w:val="left"/>
        <w:tblInd w:w="133" w:type="dxa"/>
        <w:tblLayout w:type="fixed"/>
        <w:tblCellMar>
          <w:top w:w="0" w:type="dxa"/>
          <w:left w:w="0" w:type="dxa"/>
          <w:bottom w:w="0" w:type="dxa"/>
          <w:right w:w="0" w:type="dxa"/>
        </w:tblCellMar>
        <w:tblLook w:val="01E0"/>
      </w:tblPr>
      <w:tblGrid>
        <w:gridCol w:w="2850"/>
        <w:gridCol w:w="4822"/>
        <w:gridCol w:w="1983"/>
      </w:tblGrid>
      <w:tr>
        <w:trPr>
          <w:trHeight w:val="591"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1416"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8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深圳市贤俊龙彩印有限公司</w:t>
            </w:r>
          </w:p>
        </w:tc>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间接持有本公司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％以上股份的自然人控制的公司</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72715802-8</w:t>
            </w:r>
          </w:p>
        </w:tc>
      </w:tr>
      <w:tr>
        <w:trPr>
          <w:trHeight w:val="59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深圳永丰田科技有限公司</w:t>
            </w:r>
          </w:p>
        </w:tc>
        <w:tc>
          <w:tcPr>
            <w:tcW w:w="4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个月内受本公司实际控制人控制的公司</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71525546-1</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spacing w:before="36"/>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）购销商品、提供和接受劳务的关联交易</w:t>
      </w:r>
    </w:p>
    <w:p>
      <w:pPr>
        <w:spacing w:line="240" w:lineRule="auto" w:before="5"/>
        <w:rPr>
          <w:rFonts w:ascii="宋体" w:hAnsi="宋体" w:cs="宋体" w:eastAsia="宋体" w:hint="default"/>
          <w:sz w:val="17"/>
          <w:szCs w:val="17"/>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188"/>
        <w:gridCol w:w="1693"/>
        <w:gridCol w:w="1421"/>
        <w:gridCol w:w="1136"/>
        <w:gridCol w:w="989"/>
        <w:gridCol w:w="1147"/>
        <w:gridCol w:w="980"/>
        <w:gridCol w:w="1142"/>
      </w:tblGrid>
      <w:tr>
        <w:trPr>
          <w:trHeight w:val="590" w:hRule="exact"/>
        </w:trPr>
        <w:tc>
          <w:tcPr>
            <w:tcW w:w="11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377" w:right="0"/>
              <w:jc w:val="left"/>
              <w:rPr>
                <w:rFonts w:ascii="宋体" w:hAnsi="宋体" w:cs="宋体" w:eastAsia="宋体" w:hint="default"/>
                <w:sz w:val="15"/>
                <w:szCs w:val="15"/>
              </w:rPr>
            </w:pPr>
            <w:r>
              <w:rPr>
                <w:rFonts w:ascii="宋体" w:hAnsi="宋体" w:cs="宋体" w:eastAsia="宋体" w:hint="default"/>
                <w:sz w:val="15"/>
                <w:szCs w:val="15"/>
              </w:rPr>
              <w:t>关联方</w:t>
            </w:r>
          </w:p>
        </w:tc>
        <w:tc>
          <w:tcPr>
            <w:tcW w:w="16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391" w:right="0"/>
              <w:jc w:val="left"/>
              <w:rPr>
                <w:rFonts w:ascii="宋体" w:hAnsi="宋体" w:cs="宋体" w:eastAsia="宋体" w:hint="default"/>
                <w:sz w:val="15"/>
                <w:szCs w:val="15"/>
              </w:rPr>
            </w:pPr>
            <w:r>
              <w:rPr>
                <w:rFonts w:ascii="宋体" w:hAnsi="宋体" w:cs="宋体" w:eastAsia="宋体" w:hint="default"/>
                <w:sz w:val="15"/>
                <w:szCs w:val="15"/>
              </w:rPr>
              <w:t>关联交易类型</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256" w:right="0"/>
              <w:jc w:val="left"/>
              <w:rPr>
                <w:rFonts w:ascii="宋体" w:hAnsi="宋体" w:cs="宋体" w:eastAsia="宋体" w:hint="default"/>
                <w:sz w:val="15"/>
                <w:szCs w:val="15"/>
              </w:rPr>
            </w:pPr>
            <w:r>
              <w:rPr>
                <w:rFonts w:ascii="宋体" w:hAnsi="宋体" w:cs="宋体" w:eastAsia="宋体" w:hint="default"/>
                <w:sz w:val="15"/>
                <w:szCs w:val="15"/>
              </w:rPr>
              <w:t>关联交易内容</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487" w:lineRule="auto"/>
              <w:ind w:left="36" w:right="34" w:firstLine="76"/>
              <w:jc w:val="left"/>
              <w:rPr>
                <w:rFonts w:ascii="宋体" w:hAnsi="宋体" w:cs="宋体" w:eastAsia="宋体" w:hint="default"/>
                <w:sz w:val="15"/>
                <w:szCs w:val="15"/>
              </w:rPr>
            </w:pPr>
            <w:r>
              <w:rPr>
                <w:rFonts w:ascii="宋体" w:hAnsi="宋体" w:cs="宋体" w:eastAsia="宋体" w:hint="default"/>
                <w:sz w:val="15"/>
                <w:szCs w:val="15"/>
              </w:rPr>
              <w:t>关联交易定价</w:t>
            </w:r>
            <w:r>
              <w:rPr>
                <w:rFonts w:ascii="宋体" w:hAnsi="宋体" w:cs="宋体" w:eastAsia="宋体" w:hint="default"/>
                <w:w w:val="100"/>
                <w:sz w:val="15"/>
                <w:szCs w:val="15"/>
              </w:rPr>
              <w:t> </w:t>
            </w:r>
            <w:r>
              <w:rPr>
                <w:rFonts w:ascii="宋体" w:hAnsi="宋体" w:cs="宋体" w:eastAsia="宋体" w:hint="default"/>
                <w:sz w:val="15"/>
                <w:szCs w:val="15"/>
              </w:rPr>
              <w:t>方式及决策程序</w:t>
            </w:r>
          </w:p>
        </w:tc>
        <w:tc>
          <w:tcPr>
            <w:tcW w:w="2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688" w:right="0"/>
              <w:jc w:val="left"/>
              <w:rPr>
                <w:rFonts w:ascii="宋体" w:hAnsi="宋体" w:cs="宋体" w:eastAsia="宋体" w:hint="default"/>
                <w:sz w:val="15"/>
                <w:szCs w:val="15"/>
              </w:rPr>
            </w:pPr>
            <w:r>
              <w:rPr>
                <w:rFonts w:ascii="宋体" w:hAnsi="宋体" w:cs="宋体" w:eastAsia="宋体" w:hint="default"/>
                <w:sz w:val="15"/>
                <w:szCs w:val="15"/>
              </w:rPr>
              <w:t>本期发生额</w:t>
            </w:r>
          </w:p>
        </w:tc>
        <w:tc>
          <w:tcPr>
            <w:tcW w:w="212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682" w:right="0"/>
              <w:jc w:val="left"/>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811" w:hRule="exact"/>
        </w:trPr>
        <w:tc>
          <w:tcPr>
            <w:tcW w:w="1188" w:type="dxa"/>
            <w:vMerge/>
            <w:tcBorders>
              <w:left w:val="nil" w:sz="6" w:space="0" w:color="auto"/>
              <w:bottom w:val="single" w:sz="4" w:space="0" w:color="000000"/>
              <w:right w:val="single" w:sz="4" w:space="0" w:color="000000"/>
            </w:tcBorders>
          </w:tcPr>
          <w:p>
            <w:pPr/>
          </w:p>
        </w:tc>
        <w:tc>
          <w:tcPr>
            <w:tcW w:w="1693"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370" w:lineRule="atLeast" w:before="6"/>
              <w:ind w:left="131" w:right="38" w:hanging="89"/>
              <w:jc w:val="left"/>
              <w:rPr>
                <w:rFonts w:ascii="宋体" w:hAnsi="宋体" w:cs="宋体" w:eastAsia="宋体" w:hint="default"/>
                <w:sz w:val="15"/>
                <w:szCs w:val="15"/>
              </w:rPr>
            </w:pPr>
            <w:r>
              <w:rPr>
                <w:rFonts w:ascii="宋体" w:hAnsi="宋体" w:cs="宋体" w:eastAsia="宋体" w:hint="default"/>
                <w:sz w:val="15"/>
                <w:szCs w:val="15"/>
              </w:rPr>
              <w:t>占同类交易金额</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的比例（</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34"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1142" w:type="dxa"/>
            <w:tcBorders>
              <w:top w:val="single" w:sz="4" w:space="0" w:color="000000"/>
              <w:left w:val="single" w:sz="4" w:space="0" w:color="000000"/>
              <w:bottom w:val="single" w:sz="4" w:space="0" w:color="000000"/>
              <w:right w:val="nil" w:sz="6" w:space="0" w:color="auto"/>
            </w:tcBorders>
          </w:tcPr>
          <w:p>
            <w:pPr>
              <w:pStyle w:val="TableParagraph"/>
              <w:spacing w:line="370" w:lineRule="atLeast" w:before="6"/>
              <w:ind w:left="129" w:right="38" w:hanging="87"/>
              <w:jc w:val="left"/>
              <w:rPr>
                <w:rFonts w:ascii="宋体" w:hAnsi="宋体" w:cs="宋体" w:eastAsia="宋体" w:hint="default"/>
                <w:sz w:val="15"/>
                <w:szCs w:val="15"/>
              </w:rPr>
            </w:pPr>
            <w:r>
              <w:rPr>
                <w:rFonts w:ascii="宋体" w:hAnsi="宋体" w:cs="宋体" w:eastAsia="宋体" w:hint="default"/>
                <w:sz w:val="15"/>
                <w:szCs w:val="15"/>
              </w:rPr>
              <w:t>占同类交易金额</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的比例（</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r>
      <w:tr>
        <w:trPr>
          <w:trHeight w:val="679"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45" w:right="10"/>
              <w:jc w:val="left"/>
              <w:rPr>
                <w:rFonts w:ascii="宋体" w:hAnsi="宋体" w:cs="宋体" w:eastAsia="宋体" w:hint="default"/>
                <w:sz w:val="15"/>
                <w:szCs w:val="15"/>
              </w:rPr>
            </w:pPr>
            <w:r>
              <w:rPr>
                <w:rFonts w:ascii="宋体" w:hAnsi="宋体" w:cs="宋体" w:eastAsia="宋体" w:hint="default"/>
                <w:spacing w:val="8"/>
                <w:sz w:val="15"/>
                <w:szCs w:val="15"/>
              </w:rPr>
              <w:t>深圳市贤俊龙彩</w:t>
            </w:r>
            <w:r>
              <w:rPr>
                <w:rFonts w:ascii="宋体" w:hAnsi="宋体" w:cs="宋体" w:eastAsia="宋体" w:hint="default"/>
                <w:spacing w:val="-60"/>
                <w:sz w:val="15"/>
                <w:szCs w:val="15"/>
              </w:rPr>
              <w:t> </w:t>
            </w:r>
            <w:r>
              <w:rPr>
                <w:rFonts w:ascii="宋体" w:hAnsi="宋体" w:cs="宋体" w:eastAsia="宋体" w:hint="default"/>
                <w:sz w:val="15"/>
                <w:szCs w:val="15"/>
              </w:rPr>
              <w:t>印有限公司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9"/>
              <w:jc w:val="center"/>
              <w:rPr>
                <w:rFonts w:ascii="宋体" w:hAnsi="宋体" w:cs="宋体" w:eastAsia="宋体" w:hint="default"/>
                <w:sz w:val="15"/>
                <w:szCs w:val="15"/>
              </w:rPr>
            </w:pPr>
            <w:r>
              <w:rPr>
                <w:rFonts w:ascii="宋体" w:hAnsi="宋体" w:cs="宋体" w:eastAsia="宋体" w:hint="default"/>
                <w:spacing w:val="8"/>
                <w:sz w:val="15"/>
                <w:szCs w:val="15"/>
              </w:rPr>
              <w:t>提供和接受劳务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委托加工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市场价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614,239.31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0.5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69" w:right="0"/>
              <w:jc w:val="left"/>
              <w:rPr>
                <w:rFonts w:ascii="Times New Roman" w:hAnsi="Times New Roman" w:cs="Times New Roman" w:eastAsia="Times New Roman" w:hint="default"/>
                <w:sz w:val="15"/>
                <w:szCs w:val="15"/>
              </w:rPr>
            </w:pPr>
            <w:r>
              <w:rPr>
                <w:rFonts w:ascii="Times New Roman"/>
                <w:sz w:val="15"/>
              </w:rPr>
              <w:t>160,000.00</w:t>
            </w:r>
          </w:p>
        </w:tc>
        <w:tc>
          <w:tcPr>
            <w:tcW w:w="11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0.01</w:t>
            </w:r>
          </w:p>
        </w:tc>
      </w:tr>
      <w:tr>
        <w:trPr>
          <w:trHeight w:val="679"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45" w:right="10"/>
              <w:jc w:val="left"/>
              <w:rPr>
                <w:rFonts w:ascii="宋体" w:hAnsi="宋体" w:cs="宋体" w:eastAsia="宋体" w:hint="default"/>
                <w:sz w:val="15"/>
                <w:szCs w:val="15"/>
              </w:rPr>
            </w:pPr>
            <w:r>
              <w:rPr>
                <w:rFonts w:ascii="宋体" w:hAnsi="宋体" w:cs="宋体" w:eastAsia="宋体" w:hint="default"/>
                <w:spacing w:val="8"/>
                <w:sz w:val="15"/>
                <w:szCs w:val="15"/>
              </w:rPr>
              <w:t>深圳市贤俊龙彩</w:t>
            </w:r>
            <w:r>
              <w:rPr>
                <w:rFonts w:ascii="宋体" w:hAnsi="宋体" w:cs="宋体" w:eastAsia="宋体" w:hint="default"/>
                <w:spacing w:val="-60"/>
                <w:sz w:val="15"/>
                <w:szCs w:val="15"/>
              </w:rPr>
              <w:t> </w:t>
            </w:r>
            <w:r>
              <w:rPr>
                <w:rFonts w:ascii="宋体" w:hAnsi="宋体" w:cs="宋体" w:eastAsia="宋体" w:hint="default"/>
                <w:sz w:val="15"/>
                <w:szCs w:val="15"/>
              </w:rPr>
              <w:t>印有限公司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购销商品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销售原材料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市场价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343" w:right="0"/>
              <w:jc w:val="left"/>
              <w:rPr>
                <w:rFonts w:ascii="Times New Roman" w:hAnsi="Times New Roman" w:cs="Times New Roman" w:eastAsia="Times New Roman" w:hint="default"/>
                <w:sz w:val="15"/>
                <w:szCs w:val="15"/>
              </w:rPr>
            </w:pPr>
            <w:r>
              <w:rPr>
                <w:rFonts w:ascii="Times New Roman"/>
                <w:sz w:val="15"/>
              </w:rPr>
              <w:t>73,380.22</w:t>
            </w:r>
          </w:p>
        </w:tc>
        <w:tc>
          <w:tcPr>
            <w:tcW w:w="11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w w:val="100"/>
                <w:sz w:val="15"/>
              </w:rPr>
              <w:t>-</w:t>
            </w:r>
          </w:p>
        </w:tc>
      </w:tr>
      <w:tr>
        <w:trPr>
          <w:trHeight w:val="590"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69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679,676.50</w:t>
            </w: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9" w:right="0"/>
              <w:jc w:val="left"/>
              <w:rPr>
                <w:rFonts w:ascii="Times New Roman" w:hAnsi="Times New Roman" w:cs="Times New Roman" w:eastAsia="Times New Roman" w:hint="default"/>
                <w:sz w:val="15"/>
                <w:szCs w:val="15"/>
              </w:rPr>
            </w:pPr>
            <w:r>
              <w:rPr>
                <w:rFonts w:ascii="Times New Roman"/>
                <w:sz w:val="15"/>
              </w:rPr>
              <w:t>233,380.22</w:t>
            </w:r>
          </w:p>
        </w:tc>
        <w:tc>
          <w:tcPr>
            <w:tcW w:w="114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）关联租赁情况</w:t>
      </w:r>
    </w:p>
    <w:p>
      <w:pPr>
        <w:spacing w:line="240" w:lineRule="auto" w:before="5"/>
        <w:rPr>
          <w:rFonts w:ascii="宋体" w:hAnsi="宋体" w:cs="宋体" w:eastAsia="宋体" w:hint="default"/>
          <w:sz w:val="17"/>
          <w:szCs w:val="17"/>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162"/>
        <w:gridCol w:w="974"/>
        <w:gridCol w:w="1256"/>
        <w:gridCol w:w="1006"/>
        <w:gridCol w:w="972"/>
        <w:gridCol w:w="972"/>
        <w:gridCol w:w="1114"/>
        <w:gridCol w:w="1400"/>
        <w:gridCol w:w="830"/>
      </w:tblGrid>
      <w:tr>
        <w:trPr>
          <w:trHeight w:val="850"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5"/>
                <w:szCs w:val="15"/>
              </w:rPr>
            </w:pPr>
            <w:r>
              <w:rPr>
                <w:rFonts w:ascii="宋体" w:hAnsi="宋体" w:cs="宋体" w:eastAsia="宋体" w:hint="default"/>
                <w:sz w:val="15"/>
                <w:szCs w:val="15"/>
              </w:rPr>
              <w:t>出租方名称</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承租方名称</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5"/>
                <w:szCs w:val="15"/>
              </w:rPr>
            </w:pPr>
            <w:r>
              <w:rPr>
                <w:rFonts w:ascii="宋体" w:hAnsi="宋体" w:cs="宋体" w:eastAsia="宋体" w:hint="default"/>
                <w:sz w:val="15"/>
                <w:szCs w:val="15"/>
              </w:rPr>
              <w:t>租赁资产情况</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35"/>
              <w:ind w:left="199" w:right="192"/>
              <w:jc w:val="left"/>
              <w:rPr>
                <w:rFonts w:ascii="宋体" w:hAnsi="宋体" w:cs="宋体" w:eastAsia="宋体" w:hint="default"/>
                <w:sz w:val="15"/>
                <w:szCs w:val="15"/>
              </w:rPr>
            </w:pPr>
            <w:r>
              <w:rPr>
                <w:rFonts w:ascii="宋体" w:hAnsi="宋体" w:cs="宋体" w:eastAsia="宋体" w:hint="default"/>
                <w:sz w:val="15"/>
                <w:szCs w:val="15"/>
              </w:rPr>
              <w:t>租赁资产</w:t>
            </w:r>
            <w:r>
              <w:rPr>
                <w:rFonts w:ascii="宋体" w:hAnsi="宋体" w:cs="宋体" w:eastAsia="宋体" w:hint="default"/>
                <w:w w:val="100"/>
                <w:sz w:val="15"/>
                <w:szCs w:val="15"/>
              </w:rPr>
              <w:t> </w:t>
            </w:r>
            <w:r>
              <w:rPr>
                <w:rFonts w:ascii="宋体" w:hAnsi="宋体" w:cs="宋体" w:eastAsia="宋体" w:hint="default"/>
                <w:sz w:val="15"/>
                <w:szCs w:val="15"/>
              </w:rPr>
              <w:t>账面原值</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租赁起始日</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租赁终止日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5"/>
                <w:szCs w:val="15"/>
              </w:rPr>
            </w:pPr>
            <w:r>
              <w:rPr>
                <w:rFonts w:ascii="宋体" w:hAnsi="宋体" w:cs="宋体" w:eastAsia="宋体" w:hint="default"/>
                <w:sz w:val="15"/>
                <w:szCs w:val="15"/>
              </w:rPr>
              <w:t>租赁费用</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5"/>
                <w:szCs w:val="15"/>
              </w:rPr>
            </w:pPr>
            <w:r>
              <w:rPr>
                <w:rFonts w:ascii="宋体" w:hAnsi="宋体" w:cs="宋体" w:eastAsia="宋体" w:hint="default"/>
                <w:sz w:val="15"/>
                <w:szCs w:val="15"/>
              </w:rPr>
              <w:t>租赁费用确定依据</w:t>
            </w:r>
          </w:p>
        </w:tc>
        <w:tc>
          <w:tcPr>
            <w:tcW w:w="830" w:type="dxa"/>
            <w:tcBorders>
              <w:top w:val="single" w:sz="4" w:space="0" w:color="000000"/>
              <w:left w:val="single" w:sz="4" w:space="0" w:color="000000"/>
              <w:bottom w:val="single" w:sz="4" w:space="0" w:color="000000"/>
              <w:right w:val="nil" w:sz="6" w:space="0" w:color="auto"/>
            </w:tcBorders>
          </w:tcPr>
          <w:p>
            <w:pPr>
              <w:pStyle w:val="TableParagraph"/>
              <w:spacing w:line="400" w:lineRule="exact" w:before="35"/>
              <w:ind w:left="131" w:right="14" w:hanging="77"/>
              <w:jc w:val="left"/>
              <w:rPr>
                <w:rFonts w:ascii="宋体" w:hAnsi="宋体" w:cs="宋体" w:eastAsia="宋体" w:hint="default"/>
                <w:sz w:val="15"/>
                <w:szCs w:val="15"/>
              </w:rPr>
            </w:pPr>
            <w:r>
              <w:rPr>
                <w:rFonts w:ascii="宋体" w:hAnsi="宋体" w:cs="宋体" w:eastAsia="宋体" w:hint="default"/>
                <w:sz w:val="15"/>
                <w:szCs w:val="15"/>
              </w:rPr>
              <w:t>租赁费用对</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公司影响</w:t>
            </w:r>
          </w:p>
        </w:tc>
      </w:tr>
      <w:tr>
        <w:trPr>
          <w:trHeight w:val="1070"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192" w:lineRule="exact"/>
              <w:ind w:left="45" w:right="56"/>
              <w:jc w:val="left"/>
              <w:rPr>
                <w:rFonts w:ascii="宋体" w:hAnsi="宋体" w:cs="宋体" w:eastAsia="宋体" w:hint="default"/>
                <w:sz w:val="15"/>
                <w:szCs w:val="15"/>
              </w:rPr>
            </w:pPr>
            <w:r>
              <w:rPr>
                <w:rFonts w:ascii="宋体" w:hAnsi="宋体" w:cs="宋体" w:eastAsia="宋体" w:hint="default"/>
                <w:spacing w:val="-1"/>
                <w:sz w:val="15"/>
                <w:szCs w:val="15"/>
              </w:rPr>
              <w:t>深圳永丰田科技</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有限公司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7" w:lineRule="auto"/>
              <w:ind w:left="98" w:right="92"/>
              <w:jc w:val="both"/>
              <w:rPr>
                <w:rFonts w:ascii="宋体" w:hAnsi="宋体" w:cs="宋体" w:eastAsia="宋体" w:hint="default"/>
                <w:sz w:val="15"/>
                <w:szCs w:val="15"/>
              </w:rPr>
            </w:pPr>
            <w:r>
              <w:rPr>
                <w:rFonts w:ascii="宋体" w:hAnsi="宋体" w:cs="宋体" w:eastAsia="宋体" w:hint="default"/>
                <w:sz w:val="15"/>
                <w:szCs w:val="15"/>
              </w:rPr>
              <w:t>深圳市宝安区福</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永镇凤凰第三工</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业区的厂房共计</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Times New Roman" w:hAnsi="Times New Roman" w:cs="Times New Roman" w:eastAsia="Times New Roman" w:hint="default"/>
                <w:sz w:val="15"/>
                <w:szCs w:val="15"/>
              </w:rPr>
              <w:t>12,000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平方米</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46" w:right="0"/>
              <w:jc w:val="left"/>
              <w:rPr>
                <w:rFonts w:ascii="Times New Roman" w:hAnsi="Times New Roman" w:cs="Times New Roman" w:eastAsia="Times New Roman" w:hint="default"/>
                <w:sz w:val="15"/>
                <w:szCs w:val="15"/>
              </w:rPr>
            </w:pPr>
            <w:r>
              <w:rPr>
                <w:rFonts w:ascii="Times New Roman"/>
                <w:sz w:val="15"/>
              </w:rPr>
              <w:t>1,487.23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2011.1.1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2011.12.31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67" w:right="0"/>
              <w:jc w:val="left"/>
              <w:rPr>
                <w:rFonts w:ascii="Times New Roman" w:hAnsi="Times New Roman" w:cs="Times New Roman" w:eastAsia="Times New Roman" w:hint="default"/>
                <w:sz w:val="15"/>
                <w:szCs w:val="15"/>
              </w:rPr>
            </w:pPr>
            <w:r>
              <w:rPr>
                <w:rFonts w:ascii="Times New Roman"/>
                <w:sz w:val="15"/>
              </w:rPr>
              <w:t>250.80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192" w:lineRule="exact"/>
              <w:ind w:left="244" w:right="89" w:hanging="149"/>
              <w:jc w:val="left"/>
              <w:rPr>
                <w:rFonts w:ascii="宋体" w:hAnsi="宋体" w:cs="宋体" w:eastAsia="宋体" w:hint="default"/>
                <w:sz w:val="15"/>
                <w:szCs w:val="15"/>
              </w:rPr>
            </w:pPr>
            <w:r>
              <w:rPr>
                <w:rFonts w:ascii="宋体" w:hAnsi="宋体" w:cs="宋体" w:eastAsia="宋体" w:hint="default"/>
                <w:sz w:val="15"/>
                <w:szCs w:val="15"/>
              </w:rPr>
              <w:t>参照临近地段厂房</w:t>
            </w:r>
            <w:r>
              <w:rPr>
                <w:rFonts w:ascii="宋体" w:hAnsi="宋体" w:cs="宋体" w:eastAsia="宋体" w:hint="default"/>
                <w:w w:val="100"/>
                <w:sz w:val="15"/>
                <w:szCs w:val="15"/>
              </w:rPr>
              <w:t> </w:t>
            </w:r>
            <w:r>
              <w:rPr>
                <w:rFonts w:ascii="宋体" w:hAnsi="宋体" w:cs="宋体" w:eastAsia="宋体" w:hint="default"/>
                <w:sz w:val="15"/>
                <w:szCs w:val="15"/>
              </w:rPr>
              <w:t>租赁价格确定</w:t>
            </w:r>
          </w:p>
        </w:tc>
        <w:tc>
          <w:tcPr>
            <w:tcW w:w="83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影响很小</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）其他关联交易</w:t>
      </w:r>
    </w:p>
    <w:p>
      <w:pPr>
        <w:spacing w:line="240" w:lineRule="auto" w:before="11"/>
        <w:rPr>
          <w:rFonts w:ascii="宋体" w:hAnsi="宋体" w:cs="宋体" w:eastAsia="宋体" w:hint="default"/>
          <w:sz w:val="23"/>
          <w:szCs w:val="23"/>
        </w:rPr>
      </w:pPr>
    </w:p>
    <w:p>
      <w:pPr>
        <w:spacing w:before="0"/>
        <w:ind w:left="513" w:right="1114" w:firstLine="0"/>
        <w:jc w:val="left"/>
        <w:rPr>
          <w:rFonts w:ascii="宋体" w:hAnsi="宋体" w:cs="宋体" w:eastAsia="宋体" w:hint="default"/>
          <w:sz w:val="18"/>
          <w:szCs w:val="18"/>
        </w:rPr>
      </w:pPr>
      <w:r>
        <w:rPr>
          <w:rFonts w:ascii="宋体" w:hAnsi="宋体" w:cs="宋体" w:eastAsia="宋体" w:hint="default"/>
          <w:sz w:val="18"/>
          <w:szCs w:val="18"/>
        </w:rPr>
        <w:t>本公司高管人员于本报告期及上报告期在本公司领取的报酬分别为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499.20 </w:t>
      </w:r>
      <w:r>
        <w:rPr>
          <w:rFonts w:ascii="宋体" w:hAnsi="宋体" w:cs="宋体" w:eastAsia="宋体" w:hint="default"/>
          <w:sz w:val="18"/>
          <w:szCs w:val="18"/>
        </w:rPr>
        <w:t>万元和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724.97 </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after="0"/>
        <w:jc w:val="right"/>
        <w:rPr>
          <w:rFonts w:ascii="宋体" w:hAnsi="宋体" w:cs="宋体" w:eastAsia="宋体" w:hint="default"/>
          <w:sz w:val="18"/>
          <w:szCs w:val="18"/>
        </w:rPr>
        <w:sectPr>
          <w:headerReference w:type="default" r:id="rId69"/>
          <w:footerReference w:type="default" r:id="rId70"/>
          <w:pgSz w:w="11910" w:h="16840"/>
          <w:pgMar w:header="920" w:footer="956" w:top="1140" w:bottom="1140" w:left="980" w:right="0"/>
          <w:pgNumType w:start="89"/>
        </w:sectPr>
      </w:pPr>
    </w:p>
    <w:p>
      <w:pPr>
        <w:spacing w:line="240" w:lineRule="auto" w:before="7"/>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314"/>
        <w:gridCol w:w="3404"/>
        <w:gridCol w:w="1999"/>
        <w:gridCol w:w="1997"/>
      </w:tblGrid>
      <w:tr>
        <w:trPr>
          <w:trHeight w:val="571"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期初金额</w:t>
            </w:r>
          </w:p>
        </w:tc>
      </w:tr>
      <w:tr>
        <w:trPr>
          <w:trHeight w:val="569"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深圳市贤俊龙彩印有限公司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28,744.82</w:t>
            </w: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28,744.82</w:t>
            </w:r>
          </w:p>
        </w:tc>
      </w:tr>
      <w:tr>
        <w:trPr>
          <w:trHeight w:val="571"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深圳永丰田科技有限公司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615,019.77</w:t>
            </w: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615,019.77</w:t>
            </w:r>
          </w:p>
        </w:tc>
      </w:tr>
    </w:tbl>
    <w:p>
      <w:pPr>
        <w:spacing w:line="240" w:lineRule="auto" w:before="1"/>
        <w:rPr>
          <w:rFonts w:ascii="宋体" w:hAnsi="宋体" w:cs="宋体" w:eastAsia="宋体" w:hint="default"/>
          <w:sz w:val="12"/>
          <w:szCs w:val="12"/>
        </w:rPr>
      </w:pPr>
    </w:p>
    <w:p>
      <w:pPr>
        <w:spacing w:before="36"/>
        <w:ind w:left="152" w:right="1114" w:firstLine="0"/>
        <w:jc w:val="left"/>
        <w:rPr>
          <w:rFonts w:ascii="宋体" w:hAnsi="宋体" w:cs="宋体" w:eastAsia="宋体" w:hint="default"/>
          <w:sz w:val="21"/>
          <w:szCs w:val="21"/>
        </w:rPr>
      </w:pPr>
      <w:r>
        <w:rPr>
          <w:rFonts w:ascii="宋体" w:hAnsi="宋体" w:cs="宋体" w:eastAsia="宋体" w:hint="default"/>
          <w:b/>
          <w:bCs/>
          <w:sz w:val="21"/>
          <w:szCs w:val="21"/>
        </w:rPr>
        <w:t>八、股份支付</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p>
      <w:pPr>
        <w:spacing w:before="0"/>
        <w:ind w:left="513" w:right="1114"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本报告期内，本公司未发生涉及股份支付的业务。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7"/>
        <w:ind w:left="152" w:right="1114" w:firstLine="0"/>
        <w:jc w:val="left"/>
        <w:rPr>
          <w:rFonts w:ascii="宋体" w:hAnsi="宋体" w:cs="宋体" w:eastAsia="宋体" w:hint="default"/>
          <w:sz w:val="21"/>
          <w:szCs w:val="21"/>
        </w:rPr>
      </w:pPr>
      <w:r>
        <w:rPr>
          <w:rFonts w:ascii="宋体" w:hAnsi="宋体" w:cs="宋体" w:eastAsia="宋体" w:hint="default"/>
          <w:b/>
          <w:bCs/>
          <w:sz w:val="21"/>
          <w:szCs w:val="21"/>
        </w:rPr>
        <w:t>九、或有事项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spacing w:before="0"/>
        <w:ind w:left="532" w:right="1114" w:firstLine="0"/>
        <w:jc w:val="left"/>
        <w:rPr>
          <w:rFonts w:ascii="宋体" w:hAnsi="宋体" w:cs="宋体" w:eastAsia="宋体" w:hint="default"/>
          <w:sz w:val="18"/>
          <w:szCs w:val="18"/>
        </w:rPr>
      </w:pPr>
      <w:r>
        <w:rPr>
          <w:rFonts w:ascii="宋体" w:hAnsi="宋体" w:cs="宋体" w:eastAsia="宋体" w:hint="default"/>
          <w:sz w:val="18"/>
          <w:szCs w:val="18"/>
        </w:rPr>
        <w:t>截至本报告期末，本公司无需要披露的重大或有事项。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spacing w:before="0"/>
        <w:ind w:left="152" w:right="1114" w:firstLine="0"/>
        <w:jc w:val="left"/>
        <w:rPr>
          <w:rFonts w:ascii="宋体" w:hAnsi="宋体" w:cs="宋体" w:eastAsia="宋体" w:hint="default"/>
          <w:sz w:val="21"/>
          <w:szCs w:val="21"/>
        </w:rPr>
      </w:pPr>
      <w:r>
        <w:rPr>
          <w:rFonts w:ascii="宋体" w:hAnsi="宋体" w:cs="宋体" w:eastAsia="宋体" w:hint="default"/>
          <w:b/>
          <w:bCs/>
          <w:sz w:val="21"/>
          <w:szCs w:val="21"/>
        </w:rPr>
        <w:t>十、承诺事项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7"/>
          <w:szCs w:val="27"/>
        </w:rPr>
      </w:pPr>
    </w:p>
    <w:p>
      <w:pPr>
        <w:spacing w:line="482" w:lineRule="auto" w:before="0"/>
        <w:ind w:left="152" w:right="1131" w:firstLine="36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日，本公司董事会通过决议，同意本公司和全资子公司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中华香港国际烟草集团有限公司联合购 买亚先（香港）国际有限公司持有的江西丰彩丽印刷包装有限公司 </w:t>
      </w:r>
      <w:r>
        <w:rPr>
          <w:rFonts w:ascii="Times New Roman" w:hAnsi="Times New Roman" w:cs="Times New Roman" w:eastAsia="Times New Roman" w:hint="default"/>
          <w:sz w:val="18"/>
          <w:szCs w:val="18"/>
        </w:rPr>
        <w:t>52%</w:t>
      </w:r>
      <w:r>
        <w:rPr>
          <w:rFonts w:ascii="宋体" w:hAnsi="宋体" w:cs="宋体" w:eastAsia="宋体" w:hint="default"/>
          <w:sz w:val="18"/>
          <w:szCs w:val="18"/>
        </w:rPr>
        <w:t>的股权，其中，本公司购买股权比例为</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27%</w:t>
      </w:r>
      <w:r>
        <w:rPr>
          <w:rFonts w:ascii="宋体" w:hAnsi="宋体" w:cs="宋体" w:eastAsia="宋体" w:hint="default"/>
          <w:sz w:val="18"/>
          <w:szCs w:val="18"/>
        </w:rPr>
        <w:t>，中华 香港国际烟草集团有限公司购买比例为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，购买价格为人民币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亿元，股权交割日为</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日，协议签订日为</w:t>
      </w:r>
    </w:p>
    <w:p>
      <w:pPr>
        <w:spacing w:before="48"/>
        <w:ind w:left="152"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日。根据协议规定，中华香港国际烟草集团有限公司已于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日支付股权收购订金人民币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p>
    <w:p>
      <w:pPr>
        <w:spacing w:line="240" w:lineRule="auto" w:before="9"/>
        <w:rPr>
          <w:rFonts w:ascii="Times New Roman" w:hAnsi="Times New Roman" w:cs="Times New Roman" w:eastAsia="Times New Roman" w:hint="default"/>
          <w:sz w:val="21"/>
          <w:szCs w:val="21"/>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日，江西省外经贸厅的审批手续尚未办理完毕。</w:t>
      </w:r>
    </w:p>
    <w:p>
      <w:pPr>
        <w:spacing w:line="240" w:lineRule="auto" w:before="3"/>
        <w:rPr>
          <w:rFonts w:ascii="宋体" w:hAnsi="宋体" w:cs="宋体" w:eastAsia="宋体" w:hint="default"/>
          <w:sz w:val="22"/>
          <w:szCs w:val="22"/>
        </w:rPr>
      </w:pPr>
    </w:p>
    <w:p>
      <w:pPr>
        <w:spacing w:before="0"/>
        <w:ind w:left="51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日，本公司分别通海汇祥实业有限公司和自然人常俊、于静、刘进、董兆俭等签署股权收购协议，</w:t>
      </w:r>
    </w:p>
    <w:p>
      <w:pPr>
        <w:spacing w:line="240" w:lineRule="auto" w:before="4"/>
        <w:rPr>
          <w:rFonts w:ascii="宋体" w:hAnsi="宋体" w:cs="宋体" w:eastAsia="宋体" w:hint="default"/>
          <w:sz w:val="19"/>
          <w:szCs w:val="19"/>
        </w:rPr>
      </w:pPr>
    </w:p>
    <w:p>
      <w:pPr>
        <w:spacing w:before="0"/>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本公司拟收购其所持有的重庆宏声印务有限责任公司</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的股权，收购价格为人民币</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2.85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亿元，股权交割日为</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21"/>
          <w:szCs w:val="21"/>
        </w:rPr>
      </w:pPr>
    </w:p>
    <w:p>
      <w:pPr>
        <w:spacing w:line="520" w:lineRule="auto" w:before="0"/>
        <w:ind w:left="518" w:right="1114" w:hanging="366"/>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日，协议签订日为</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日，该协议尚未经过董事会审议。 除此之外，本公司无需要披露的其他重大承诺事项。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0"/>
        <w:ind w:left="152" w:right="1114" w:firstLine="0"/>
        <w:jc w:val="left"/>
        <w:rPr>
          <w:rFonts w:ascii="宋体" w:hAnsi="宋体" w:cs="宋体" w:eastAsia="宋体" w:hint="default"/>
          <w:sz w:val="21"/>
          <w:szCs w:val="21"/>
        </w:rPr>
      </w:pPr>
      <w:r>
        <w:rPr>
          <w:rFonts w:ascii="宋体" w:hAnsi="宋体" w:cs="宋体" w:eastAsia="宋体" w:hint="default"/>
          <w:b/>
          <w:bCs/>
          <w:sz w:val="21"/>
          <w:szCs w:val="21"/>
        </w:rPr>
        <w:t>十一、资产负债表日后事项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p>
      <w:pPr>
        <w:spacing w:before="0"/>
        <w:ind w:left="621"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、资产负债表日后利润拟分配情况说明：</w:t>
      </w:r>
    </w:p>
    <w:p>
      <w:pPr>
        <w:spacing w:after="0"/>
        <w:jc w:val="left"/>
        <w:rPr>
          <w:rFonts w:ascii="宋体" w:hAnsi="宋体" w:cs="宋体" w:eastAsia="宋体" w:hint="default"/>
          <w:sz w:val="18"/>
          <w:szCs w:val="18"/>
        </w:rPr>
        <w:sectPr>
          <w:pgSz w:w="11910" w:h="16840"/>
          <w:pgMar w:header="920" w:footer="956" w:top="1140" w:bottom="1140" w:left="980" w:right="0"/>
        </w:sectPr>
      </w:pPr>
    </w:p>
    <w:p>
      <w:pPr>
        <w:spacing w:line="240" w:lineRule="auto" w:before="3"/>
        <w:rPr>
          <w:rFonts w:ascii="宋体" w:hAnsi="宋体" w:cs="宋体" w:eastAsia="宋体" w:hint="default"/>
          <w:sz w:val="19"/>
          <w:szCs w:val="19"/>
        </w:rPr>
      </w:pPr>
    </w:p>
    <w:p>
      <w:pPr>
        <w:spacing w:before="44"/>
        <w:ind w:left="621" w:right="1114" w:firstLine="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年第三次会议决议，本公司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年度利润分配预案如下：</w:t>
      </w:r>
    </w:p>
    <w:p>
      <w:pPr>
        <w:spacing w:line="240" w:lineRule="auto" w:before="3"/>
        <w:rPr>
          <w:rFonts w:ascii="宋体" w:hAnsi="宋体" w:cs="宋体" w:eastAsia="宋体" w:hint="default"/>
          <w:sz w:val="22"/>
          <w:szCs w:val="22"/>
        </w:rPr>
      </w:pPr>
    </w:p>
    <w:p>
      <w:pPr>
        <w:spacing w:before="0"/>
        <w:ind w:left="626" w:right="0" w:firstLine="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年度实现净利润</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254,949,583.92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元，扣除按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提取的法定盈余公积</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25,494,958.39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元，加上年初未分配</w:t>
      </w:r>
    </w:p>
    <w:p>
      <w:pPr>
        <w:spacing w:line="240" w:lineRule="auto" w:before="4"/>
        <w:rPr>
          <w:rFonts w:ascii="宋体" w:hAnsi="宋体" w:cs="宋体" w:eastAsia="宋体" w:hint="default"/>
          <w:sz w:val="19"/>
          <w:szCs w:val="19"/>
        </w:rPr>
      </w:pPr>
    </w:p>
    <w:p>
      <w:pPr>
        <w:spacing w:line="480" w:lineRule="auto" w:before="0"/>
        <w:ind w:left="260" w:right="1114" w:firstLine="0"/>
        <w:jc w:val="left"/>
        <w:rPr>
          <w:rFonts w:ascii="宋体" w:hAnsi="宋体" w:cs="宋体" w:eastAsia="宋体" w:hint="default"/>
          <w:sz w:val="18"/>
          <w:szCs w:val="18"/>
        </w:rPr>
      </w:pPr>
      <w:r>
        <w:rPr>
          <w:rFonts w:ascii="宋体" w:hAnsi="宋体" w:cs="宋体" w:eastAsia="宋体" w:hint="default"/>
          <w:sz w:val="18"/>
          <w:szCs w:val="18"/>
        </w:rPr>
        <w:t>利润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298,470,218.79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元，减去本年已分配现金股利</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288,900,000.00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元，可供股东分配的利润为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239,024,844.32</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元。经董事会</w:t>
      </w:r>
      <w:r>
        <w:rPr>
          <w:rFonts w:ascii="宋体" w:hAnsi="宋体" w:cs="宋体" w:eastAsia="宋体" w:hint="default"/>
          <w:sz w:val="18"/>
          <w:szCs w:val="18"/>
        </w:rPr>
        <w:t> 研究决定，本年度不分红送股，也不以资本公积转赠股本，年末未分配利润结转下一年度。</w:t>
      </w:r>
    </w:p>
    <w:p>
      <w:pPr>
        <w:spacing w:before="124"/>
        <w:ind w:left="626" w:right="1114" w:firstLine="0"/>
        <w:jc w:val="left"/>
        <w:rPr>
          <w:rFonts w:ascii="宋体" w:hAnsi="宋体" w:cs="宋体" w:eastAsia="宋体" w:hint="default"/>
          <w:sz w:val="18"/>
          <w:szCs w:val="18"/>
        </w:rPr>
      </w:pPr>
      <w:r>
        <w:rPr>
          <w:rFonts w:ascii="宋体" w:hAnsi="宋体" w:cs="宋体" w:eastAsia="宋体" w:hint="default"/>
          <w:sz w:val="18"/>
          <w:szCs w:val="18"/>
        </w:rPr>
        <w:t>该利润分配预案尚需提交本公司股东大会审议。</w:t>
      </w:r>
    </w:p>
    <w:p>
      <w:pPr>
        <w:spacing w:line="240" w:lineRule="auto" w:before="3"/>
        <w:rPr>
          <w:rFonts w:ascii="宋体" w:hAnsi="宋体" w:cs="宋体" w:eastAsia="宋体" w:hint="default"/>
          <w:sz w:val="23"/>
          <w:szCs w:val="23"/>
        </w:rPr>
      </w:pPr>
    </w:p>
    <w:p>
      <w:pPr>
        <w:spacing w:before="0"/>
        <w:ind w:left="626"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、股权收购进展情况</w:t>
      </w:r>
    </w:p>
    <w:p>
      <w:pPr>
        <w:spacing w:line="240" w:lineRule="auto" w:before="3"/>
        <w:rPr>
          <w:rFonts w:ascii="宋体" w:hAnsi="宋体" w:cs="宋体" w:eastAsia="宋体" w:hint="default"/>
          <w:sz w:val="22"/>
          <w:szCs w:val="22"/>
        </w:rPr>
      </w:pPr>
    </w:p>
    <w:p>
      <w:pPr>
        <w:spacing w:before="0"/>
        <w:ind w:left="626"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日止，本公司及全资子公司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中华香港国际烟草集团有限公司已支付收购江西丰彩丽印</w:t>
      </w:r>
    </w:p>
    <w:p>
      <w:pPr>
        <w:spacing w:line="240" w:lineRule="auto" w:before="1"/>
        <w:rPr>
          <w:rFonts w:ascii="宋体" w:hAnsi="宋体" w:cs="宋体" w:eastAsia="宋体" w:hint="default"/>
          <w:sz w:val="19"/>
          <w:szCs w:val="19"/>
        </w:rPr>
      </w:pPr>
    </w:p>
    <w:p>
      <w:pPr>
        <w:spacing w:before="0"/>
        <w:ind w:left="260" w:right="1114" w:firstLine="0"/>
        <w:jc w:val="left"/>
        <w:rPr>
          <w:rFonts w:ascii="宋体" w:hAnsi="宋体" w:cs="宋体" w:eastAsia="宋体" w:hint="default"/>
          <w:sz w:val="18"/>
          <w:szCs w:val="18"/>
        </w:rPr>
      </w:pPr>
      <w:r>
        <w:rPr>
          <w:rFonts w:ascii="宋体" w:hAnsi="宋体" w:cs="宋体" w:eastAsia="宋体" w:hint="default"/>
          <w:sz w:val="18"/>
          <w:szCs w:val="18"/>
        </w:rPr>
        <w:t>刷包装有限公司的股权款人民币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亿元，该公司工商变更登记手续已于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日办理完毕。</w:t>
      </w:r>
    </w:p>
    <w:p>
      <w:pPr>
        <w:spacing w:line="240" w:lineRule="auto" w:before="4"/>
        <w:rPr>
          <w:rFonts w:ascii="宋体" w:hAnsi="宋体" w:cs="宋体" w:eastAsia="宋体" w:hint="default"/>
          <w:sz w:val="22"/>
          <w:szCs w:val="22"/>
        </w:rPr>
      </w:pPr>
    </w:p>
    <w:p>
      <w:pPr>
        <w:spacing w:line="482" w:lineRule="auto" w:before="0"/>
        <w:ind w:left="260" w:right="1123" w:firstLine="365"/>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日，本公司第三届董事会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年第一次会议通过了关于购买重庆宏声印务有限责任公司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股权 的有关决议。</w:t>
      </w:r>
    </w:p>
    <w:p>
      <w:pPr>
        <w:spacing w:before="122"/>
        <w:ind w:left="626"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日止，本公司已支付该股权收购款人民币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亿元，该公司的工商变更登记手续已于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spacing w:line="240" w:lineRule="auto" w:before="1"/>
        <w:rPr>
          <w:rFonts w:ascii="宋体" w:hAnsi="宋体" w:cs="宋体" w:eastAsia="宋体" w:hint="default"/>
          <w:sz w:val="19"/>
          <w:szCs w:val="19"/>
        </w:rPr>
      </w:pPr>
    </w:p>
    <w:p>
      <w:pPr>
        <w:spacing w:before="0"/>
        <w:ind w:left="260"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日办理完毕。</w:t>
      </w:r>
    </w:p>
    <w:p>
      <w:pPr>
        <w:spacing w:line="240" w:lineRule="auto" w:before="3"/>
        <w:rPr>
          <w:rFonts w:ascii="宋体" w:hAnsi="宋体" w:cs="宋体" w:eastAsia="宋体" w:hint="default"/>
          <w:sz w:val="22"/>
          <w:szCs w:val="22"/>
        </w:rPr>
      </w:pPr>
    </w:p>
    <w:p>
      <w:pPr>
        <w:spacing w:before="0"/>
        <w:ind w:left="626"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、控股股东增持股份</w:t>
      </w:r>
    </w:p>
    <w:p>
      <w:pPr>
        <w:spacing w:line="240" w:lineRule="auto" w:before="3"/>
        <w:rPr>
          <w:rFonts w:ascii="宋体" w:hAnsi="宋体" w:cs="宋体" w:eastAsia="宋体" w:hint="default"/>
          <w:sz w:val="22"/>
          <w:szCs w:val="22"/>
        </w:rPr>
      </w:pPr>
    </w:p>
    <w:p>
      <w:pPr>
        <w:spacing w:before="0"/>
        <w:ind w:left="626"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日和</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本公司控股股东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深圳市劲嘉创业投资有限公司通过二级市场增持本公司股份</w:t>
      </w:r>
      <w:r>
        <w:rPr>
          <w:rFonts w:ascii="宋体" w:hAnsi="宋体" w:cs="宋体" w:eastAsia="宋体" w:hint="default"/>
          <w:spacing w:val="-63"/>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p>
    <w:p>
      <w:pPr>
        <w:spacing w:line="240" w:lineRule="auto" w:before="9"/>
        <w:rPr>
          <w:rFonts w:ascii="Times New Roman" w:hAnsi="Times New Roman" w:cs="Times New Roman" w:eastAsia="Times New Roman" w:hint="default"/>
          <w:sz w:val="21"/>
          <w:szCs w:val="21"/>
        </w:rPr>
      </w:pPr>
    </w:p>
    <w:p>
      <w:pPr>
        <w:spacing w:before="0"/>
        <w:ind w:left="260" w:right="1114" w:firstLine="0"/>
        <w:jc w:val="left"/>
        <w:rPr>
          <w:rFonts w:ascii="宋体" w:hAnsi="宋体" w:cs="宋体" w:eastAsia="宋体" w:hint="default"/>
          <w:sz w:val="18"/>
          <w:szCs w:val="18"/>
        </w:rPr>
      </w:pPr>
      <w:r>
        <w:rPr>
          <w:rFonts w:ascii="宋体" w:hAnsi="宋体" w:cs="宋体" w:eastAsia="宋体" w:hint="default"/>
          <w:sz w:val="18"/>
          <w:szCs w:val="18"/>
        </w:rPr>
        <w:t>股，占总股本的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0.24%</w:t>
      </w:r>
      <w:r>
        <w:rPr>
          <w:rFonts w:ascii="宋体" w:hAnsi="宋体" w:cs="宋体" w:eastAsia="宋体" w:hint="default"/>
          <w:sz w:val="18"/>
          <w:szCs w:val="18"/>
        </w:rPr>
        <w:t>。该股东承诺，自首次增持日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日起，增持本公司股权比例不超过总股本的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spacing w:line="240" w:lineRule="auto" w:before="3"/>
        <w:rPr>
          <w:rFonts w:ascii="宋体" w:hAnsi="宋体" w:cs="宋体" w:eastAsia="宋体" w:hint="default"/>
          <w:sz w:val="22"/>
          <w:szCs w:val="22"/>
        </w:rPr>
      </w:pPr>
    </w:p>
    <w:p>
      <w:pPr>
        <w:spacing w:before="0"/>
        <w:ind w:left="626" w:right="1114" w:firstLine="0"/>
        <w:jc w:val="left"/>
        <w:rPr>
          <w:rFonts w:ascii="宋体" w:hAnsi="宋体" w:cs="宋体" w:eastAsia="宋体" w:hint="default"/>
          <w:sz w:val="18"/>
          <w:szCs w:val="18"/>
        </w:rPr>
      </w:pPr>
      <w:r>
        <w:rPr>
          <w:rFonts w:ascii="宋体" w:hAnsi="宋体" w:cs="宋体" w:eastAsia="宋体" w:hint="default"/>
          <w:sz w:val="18"/>
          <w:szCs w:val="18"/>
        </w:rPr>
        <w:t>除此之外，截至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日止，本公司无需要披露的其他重大期后事项。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1114" w:firstLine="0"/>
        <w:jc w:val="left"/>
        <w:rPr>
          <w:rFonts w:ascii="宋体" w:hAnsi="宋体" w:cs="宋体" w:eastAsia="宋体" w:hint="default"/>
          <w:sz w:val="21"/>
          <w:szCs w:val="21"/>
        </w:rPr>
      </w:pPr>
      <w:r>
        <w:rPr>
          <w:rFonts w:ascii="宋体" w:hAnsi="宋体" w:cs="宋体" w:eastAsia="宋体" w:hint="default"/>
          <w:b/>
          <w:bCs/>
          <w:sz w:val="21"/>
          <w:szCs w:val="21"/>
        </w:rPr>
        <w:t>十二、其他重要事项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spacing w:before="0"/>
        <w:ind w:left="503" w:right="1115" w:firstLine="0"/>
        <w:jc w:val="center"/>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w:t>
      </w:r>
      <w:r>
        <w:rPr>
          <w:rFonts w:ascii="宋体" w:hAnsi="宋体" w:cs="宋体" w:eastAsia="宋体" w:hint="default"/>
          <w:spacing w:val="-3"/>
          <w:sz w:val="18"/>
          <w:szCs w:val="18"/>
        </w:rPr>
        <w:t>湖</w:t>
      </w:r>
      <w:r>
        <w:rPr>
          <w:rFonts w:ascii="宋体" w:hAnsi="宋体" w:cs="宋体" w:eastAsia="宋体" w:hint="default"/>
          <w:sz w:val="18"/>
          <w:szCs w:val="18"/>
        </w:rPr>
        <w:t>州启丰投资有限公司签</w:t>
      </w:r>
      <w:r>
        <w:rPr>
          <w:rFonts w:ascii="宋体" w:hAnsi="宋体" w:cs="宋体" w:eastAsia="宋体" w:hint="default"/>
          <w:spacing w:val="-41"/>
          <w:sz w:val="18"/>
          <w:szCs w:val="18"/>
        </w:rPr>
        <w:t>订</w:t>
      </w:r>
      <w:r>
        <w:rPr>
          <w:rFonts w:ascii="宋体" w:hAnsi="宋体" w:cs="宋体" w:eastAsia="宋体" w:hint="default"/>
          <w:sz w:val="18"/>
          <w:szCs w:val="18"/>
        </w:rPr>
        <w:t>《</w:t>
      </w:r>
      <w:r>
        <w:rPr>
          <w:rFonts w:ascii="宋体" w:hAnsi="宋体" w:cs="宋体" w:eastAsia="宋体" w:hint="default"/>
          <w:spacing w:val="2"/>
          <w:sz w:val="18"/>
          <w:szCs w:val="18"/>
        </w:rPr>
        <w:t>股</w:t>
      </w:r>
      <w:r>
        <w:rPr>
          <w:rFonts w:ascii="宋体" w:hAnsi="宋体" w:cs="宋体" w:eastAsia="宋体" w:hint="default"/>
          <w:sz w:val="18"/>
          <w:szCs w:val="18"/>
        </w:rPr>
        <w:t>权转让协议</w:t>
      </w:r>
      <w:r>
        <w:rPr>
          <w:rFonts w:ascii="宋体" w:hAnsi="宋体" w:cs="宋体" w:eastAsia="宋体" w:hint="default"/>
          <w:spacing w:val="-92"/>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转让原持有湖</w:t>
      </w:r>
      <w:r>
        <w:rPr>
          <w:rFonts w:ascii="宋体" w:hAnsi="宋体" w:cs="宋体" w:eastAsia="宋体" w:hint="default"/>
          <w:spacing w:val="2"/>
          <w:sz w:val="18"/>
          <w:szCs w:val="18"/>
        </w:rPr>
        <w:t>州</w:t>
      </w:r>
      <w:r>
        <w:rPr>
          <w:rFonts w:ascii="宋体" w:hAnsi="宋体" w:cs="宋体" w:eastAsia="宋体" w:hint="default"/>
          <w:sz w:val="18"/>
          <w:szCs w:val="18"/>
        </w:rPr>
        <w:t>天外绿色包装印刷有限公司</w:t>
      </w:r>
    </w:p>
    <w:p>
      <w:pPr>
        <w:spacing w:line="240" w:lineRule="auto" w:before="1"/>
        <w:rPr>
          <w:rFonts w:ascii="宋体" w:hAnsi="宋体" w:cs="宋体" w:eastAsia="宋体" w:hint="default"/>
          <w:sz w:val="19"/>
          <w:szCs w:val="19"/>
        </w:rPr>
      </w:pPr>
    </w:p>
    <w:p>
      <w:pPr>
        <w:spacing w:line="482" w:lineRule="auto" w:before="0"/>
        <w:ind w:left="152" w:right="1125" w:firstLine="0"/>
        <w:jc w:val="left"/>
        <w:rPr>
          <w:rFonts w:ascii="宋体" w:hAnsi="宋体" w:cs="宋体" w:eastAsia="宋体" w:hint="default"/>
          <w:sz w:val="18"/>
          <w:szCs w:val="18"/>
        </w:rPr>
      </w:pPr>
      <w:r>
        <w:rPr>
          <w:rFonts w:ascii="宋体" w:hAnsi="宋体" w:cs="宋体" w:eastAsia="宋体" w:hint="default"/>
          <w:spacing w:val="-1"/>
          <w:w w:val="100"/>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天外绿包</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53.05%</w:t>
      </w:r>
      <w:r>
        <w:rPr>
          <w:rFonts w:ascii="宋体" w:hAnsi="宋体" w:cs="宋体" w:eastAsia="宋体" w:hint="default"/>
          <w:spacing w:val="-1"/>
          <w:w w:val="100"/>
          <w:sz w:val="18"/>
          <w:szCs w:val="18"/>
        </w:rPr>
        <w:t>的股权，转让价格</w:t>
      </w:r>
      <w:r>
        <w:rPr>
          <w:rFonts w:ascii="宋体" w:hAnsi="宋体" w:cs="宋体" w:eastAsia="宋体" w:hint="default"/>
          <w:spacing w:val="-52"/>
          <w:w w:val="10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亿元人民币，股权交割日为</w:t>
      </w:r>
      <w:r>
        <w:rPr>
          <w:rFonts w:ascii="宋体" w:hAnsi="宋体" w:cs="宋体" w:eastAsia="宋体" w:hint="default"/>
          <w:spacing w:val="-53"/>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日。转让日该公司财务报</w:t>
      </w:r>
      <w:r>
        <w:rPr>
          <w:rFonts w:ascii="宋体" w:hAnsi="宋体" w:cs="宋体" w:eastAsia="宋体" w:hint="default"/>
          <w:sz w:val="18"/>
          <w:szCs w:val="18"/>
        </w:rPr>
        <w:t> 表（包括合并报表和母公司报表）明细如下：</w:t>
      </w:r>
    </w:p>
    <w:p>
      <w:pPr>
        <w:spacing w:before="122"/>
        <w:ind w:left="503" w:right="1114"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日资产负债表</w:t>
      </w:r>
    </w:p>
    <w:p>
      <w:pPr>
        <w:spacing w:line="240" w:lineRule="auto" w:before="3"/>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249"/>
        <w:gridCol w:w="1342"/>
        <w:gridCol w:w="1344"/>
        <w:gridCol w:w="1983"/>
        <w:gridCol w:w="1429"/>
        <w:gridCol w:w="1339"/>
      </w:tblGrid>
      <w:tr>
        <w:trPr>
          <w:trHeight w:val="59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59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2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127,653,288.86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36,678,099.49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51,190,660.65</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15,533,372.21</w:t>
            </w:r>
          </w:p>
        </w:tc>
      </w:tr>
    </w:tbl>
    <w:p>
      <w:pPr>
        <w:spacing w:after="0" w:line="240" w:lineRule="auto"/>
        <w:jc w:val="center"/>
        <w:rPr>
          <w:rFonts w:ascii="Times New Roman" w:hAnsi="Times New Roman" w:cs="Times New Roman" w:eastAsia="Times New Roman" w:hint="default"/>
          <w:sz w:val="18"/>
          <w:szCs w:val="18"/>
        </w:rPr>
        <w:sectPr>
          <w:pgSz w:w="11910" w:h="16840"/>
          <w:pgMar w:header="920" w:footer="956" w:top="1140" w:bottom="1140" w:left="980" w:right="0"/>
        </w:sectPr>
      </w:pPr>
    </w:p>
    <w:p>
      <w:pPr>
        <w:spacing w:line="240" w:lineRule="auto" w:before="7"/>
        <w:rPr>
          <w:rFonts w:ascii="宋体" w:hAnsi="宋体" w:cs="宋体" w:eastAsia="宋体" w:hint="default"/>
          <w:sz w:val="4"/>
          <w:szCs w:val="4"/>
        </w:rPr>
      </w:pPr>
    </w:p>
    <w:tbl>
      <w:tblPr>
        <w:tblW w:w="0" w:type="auto"/>
        <w:jc w:val="left"/>
        <w:tblInd w:w="182" w:type="dxa"/>
        <w:tblLayout w:type="fixed"/>
        <w:tblCellMar>
          <w:top w:w="0" w:type="dxa"/>
          <w:left w:w="0" w:type="dxa"/>
          <w:bottom w:w="0" w:type="dxa"/>
          <w:right w:w="0" w:type="dxa"/>
        </w:tblCellMar>
        <w:tblLook w:val="01E0"/>
      </w:tblPr>
      <w:tblGrid>
        <w:gridCol w:w="2249"/>
        <w:gridCol w:w="1342"/>
        <w:gridCol w:w="1344"/>
        <w:gridCol w:w="1983"/>
        <w:gridCol w:w="1429"/>
        <w:gridCol w:w="1339"/>
      </w:tblGrid>
      <w:tr>
        <w:trPr>
          <w:trHeight w:val="591"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59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573,750.00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923,239.94</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725,347.84</w:t>
            </w:r>
          </w:p>
        </w:tc>
      </w:tr>
      <w:tr>
        <w:trPr>
          <w:trHeight w:val="59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67,535,148.83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17,707,492.10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8,820,381.18</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5,416,082.43</w:t>
            </w:r>
          </w:p>
        </w:tc>
      </w:tr>
      <w:tr>
        <w:trPr>
          <w:trHeight w:val="59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5,802,260.45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1,494,877.35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13,786,726.71</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1,030,397.65</w:t>
            </w:r>
          </w:p>
        </w:tc>
      </w:tr>
      <w:tr>
        <w:trPr>
          <w:trHeight w:val="59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23,872,040.75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5,773,104.63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1,195,511.09</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689,496.31</w:t>
            </w:r>
          </w:p>
        </w:tc>
      </w:tr>
      <w:tr>
        <w:trPr>
          <w:trHeight w:val="588"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42,295,591.46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14,887,270.95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75,916,519.57</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23,394,696.44</w:t>
            </w:r>
          </w:p>
        </w:tc>
      </w:tr>
      <w:tr>
        <w:trPr>
          <w:trHeight w:val="59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长期负债：</w:t>
            </w:r>
          </w:p>
        </w:tc>
        <w:tc>
          <w:tcPr>
            <w:tcW w:w="142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nil" w:sz="6" w:space="0" w:color="auto"/>
            </w:tcBorders>
          </w:tcPr>
          <w:p>
            <w:pPr/>
          </w:p>
        </w:tc>
      </w:tr>
      <w:tr>
        <w:trPr>
          <w:trHeight w:val="591"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7,941,464.85</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3,355,913.19</w:t>
            </w:r>
          </w:p>
        </w:tc>
      </w:tr>
      <w:tr>
        <w:trPr>
          <w:trHeight w:val="59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327,732,080.35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76,740,844.52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长期负债合计：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7,941,464.85</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3,355,913.19</w:t>
            </w:r>
          </w:p>
        </w:tc>
      </w:tr>
      <w:tr>
        <w:trPr>
          <w:trHeight w:val="59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94,161,526.60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83,857,984.42</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26,750,609.63</w:t>
            </w:r>
          </w:p>
        </w:tc>
      </w:tr>
      <w:tr>
        <w:trPr>
          <w:trHeight w:val="59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42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nil" w:sz="6" w:space="0" w:color="auto"/>
            </w:tcBorders>
          </w:tcPr>
          <w:p>
            <w:pPr/>
          </w:p>
        </w:tc>
      </w:tr>
      <w:tr>
        <w:trPr>
          <w:trHeight w:val="588"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266,394,775.38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64,340,044.75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59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1,453,638.03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617,872.23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44,551,458.72</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27,405,951.16</w:t>
            </w:r>
          </w:p>
        </w:tc>
      </w:tr>
      <w:tr>
        <w:trPr>
          <w:trHeight w:val="591"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57,971,656.35</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57,971,656.35</w:t>
            </w:r>
          </w:p>
        </w:tc>
      </w:tr>
      <w:tr>
        <w:trPr>
          <w:trHeight w:val="59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8,862,551.13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766,546.93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169,457,803.21</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58,712,222.31</w:t>
            </w:r>
          </w:p>
        </w:tc>
      </w:tr>
      <w:tr>
        <w:trPr>
          <w:trHeight w:val="59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40,440,598.97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13,027,310.50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351,980,918.28</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224,089,829.82</w:t>
            </w:r>
          </w:p>
        </w:tc>
      </w:tr>
      <w:tr>
        <w:trPr>
          <w:trHeight w:val="59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2,965,437.60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1,186,293.92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212,010,178.76</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8"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320,117,001.11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174,099,594.93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563,991,097.04</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224,089,829.82</w:t>
            </w:r>
          </w:p>
        </w:tc>
      </w:tr>
      <w:tr>
        <w:trPr>
          <w:trHeight w:val="59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647,849,081.46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250,840,439.45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647,849,081.46</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250,840,439.45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214" w:right="1109"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月份利润表</w:t>
      </w:r>
    </w:p>
    <w:p>
      <w:pPr>
        <w:spacing w:line="240" w:lineRule="auto" w:before="11"/>
        <w:rPr>
          <w:rFonts w:ascii="宋体" w:hAnsi="宋体" w:cs="宋体" w:eastAsia="宋体" w:hint="default"/>
          <w:sz w:val="18"/>
          <w:szCs w:val="18"/>
        </w:rPr>
      </w:pPr>
    </w:p>
    <w:p>
      <w:pPr>
        <w:spacing w:before="44"/>
        <w:ind w:left="6539" w:right="1133" w:firstLine="0"/>
        <w:jc w:val="lef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4376"/>
        <w:gridCol w:w="2981"/>
        <w:gridCol w:w="2439"/>
      </w:tblGrid>
      <w:tr>
        <w:trPr>
          <w:trHeight w:val="59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59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45" w:right="0"/>
              <w:jc w:val="left"/>
              <w:rPr>
                <w:rFonts w:ascii="Times New Roman" w:hAnsi="Times New Roman" w:cs="Times New Roman" w:eastAsia="Times New Roman" w:hint="default"/>
                <w:sz w:val="18"/>
                <w:szCs w:val="18"/>
              </w:rPr>
            </w:pPr>
            <w:r>
              <w:rPr>
                <w:rFonts w:ascii="Times New Roman"/>
                <w:sz w:val="18"/>
              </w:rPr>
              <w:t>293,045,931.00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91" w:right="0"/>
              <w:jc w:val="left"/>
              <w:rPr>
                <w:rFonts w:ascii="Times New Roman" w:hAnsi="Times New Roman" w:cs="Times New Roman" w:eastAsia="Times New Roman" w:hint="default"/>
                <w:sz w:val="18"/>
                <w:szCs w:val="18"/>
              </w:rPr>
            </w:pPr>
            <w:r>
              <w:rPr>
                <w:rFonts w:ascii="Times New Roman"/>
                <w:sz w:val="18"/>
              </w:rPr>
              <w:t>59,064,931.61</w:t>
            </w:r>
          </w:p>
        </w:tc>
      </w:tr>
    </w:tbl>
    <w:p>
      <w:pPr>
        <w:spacing w:after="0" w:line="240" w:lineRule="auto"/>
        <w:jc w:val="left"/>
        <w:rPr>
          <w:rFonts w:ascii="Times New Roman" w:hAnsi="Times New Roman" w:cs="Times New Roman" w:eastAsia="Times New Roman" w:hint="default"/>
          <w:sz w:val="18"/>
          <w:szCs w:val="18"/>
        </w:rPr>
        <w:sectPr>
          <w:pgSz w:w="11910" w:h="16840"/>
          <w:pgMar w:header="920" w:footer="956" w:top="1140" w:bottom="1140" w:left="900" w:right="0"/>
        </w:sectPr>
      </w:pPr>
    </w:p>
    <w:p>
      <w:pPr>
        <w:spacing w:line="240" w:lineRule="auto" w:before="7"/>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4376"/>
        <w:gridCol w:w="2981"/>
        <w:gridCol w:w="2439"/>
      </w:tblGrid>
      <w:tr>
        <w:trPr>
          <w:trHeight w:val="591"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59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293,045,931.00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59,064,931.61</w:t>
            </w:r>
          </w:p>
        </w:tc>
      </w:tr>
      <w:tr>
        <w:trPr>
          <w:trHeight w:val="59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222,063,905.50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65,078,787.80</w:t>
            </w:r>
          </w:p>
        </w:tc>
      </w:tr>
      <w:tr>
        <w:trPr>
          <w:trHeight w:val="59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182,575,506.65</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53,439,591.47</w:t>
            </w:r>
          </w:p>
        </w:tc>
      </w:tr>
      <w:tr>
        <w:trPr>
          <w:trHeight w:val="59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3,038,321.39</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503,969.08</w:t>
            </w:r>
          </w:p>
        </w:tc>
      </w:tr>
      <w:tr>
        <w:trPr>
          <w:trHeight w:val="588"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4,848,602.67</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1,247,305.44</w:t>
            </w:r>
          </w:p>
        </w:tc>
      </w:tr>
      <w:tr>
        <w:trPr>
          <w:trHeight w:val="59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29,495,014.07</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8,857,740.86</w:t>
            </w:r>
          </w:p>
        </w:tc>
      </w:tr>
      <w:tr>
        <w:trPr>
          <w:trHeight w:val="562"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-3,182,225.11</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-150,927.60</w:t>
            </w:r>
          </w:p>
        </w:tc>
      </w:tr>
      <w:tr>
        <w:trPr>
          <w:trHeight w:val="55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4,276,384.19</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1,181,108.55</w:t>
            </w:r>
          </w:p>
        </w:tc>
      </w:tr>
      <w:tr>
        <w:trPr>
          <w:trHeight w:val="55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1,012,301.64</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31,912,301.64</w:t>
            </w:r>
          </w:p>
        </w:tc>
      </w:tr>
      <w:tr>
        <w:trPr>
          <w:trHeight w:val="562"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73,006,628.78</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25,898,445.45</w:t>
            </w:r>
          </w:p>
        </w:tc>
      </w:tr>
      <w:tr>
        <w:trPr>
          <w:trHeight w:val="55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1,812,792.39</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7,970.81</w:t>
            </w:r>
          </w:p>
        </w:tc>
      </w:tr>
      <w:tr>
        <w:trPr>
          <w:trHeight w:val="55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23,480.50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13,480.50</w:t>
            </w:r>
          </w:p>
        </w:tc>
      </w:tr>
      <w:tr>
        <w:trPr>
          <w:trHeight w:val="562"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74,795,940.67</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25,892,935.76</w:t>
            </w:r>
          </w:p>
        </w:tc>
      </w:tr>
      <w:tr>
        <w:trPr>
          <w:trHeight w:val="55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19,757,763.49</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-399,889.75</w:t>
            </w:r>
          </w:p>
        </w:tc>
      </w:tr>
      <w:tr>
        <w:trPr>
          <w:trHeight w:val="55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55,038,177.18</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26,292,825.51</w:t>
            </w:r>
          </w:p>
        </w:tc>
      </w:tr>
      <w:tr>
        <w:trPr>
          <w:trHeight w:val="562"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减：少数股东损益</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28,898,318.80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六、归属于母公司的净利润</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26,139,858.38</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26,292,825.51</w:t>
            </w:r>
          </w:p>
        </w:tc>
      </w:tr>
    </w:tbl>
    <w:p>
      <w:pPr>
        <w:spacing w:line="240" w:lineRule="auto" w:before="9"/>
        <w:rPr>
          <w:rFonts w:ascii="宋体" w:hAnsi="宋体" w:cs="宋体" w:eastAsia="宋体" w:hint="default"/>
          <w:sz w:val="9"/>
          <w:szCs w:val="9"/>
        </w:rPr>
      </w:pPr>
    </w:p>
    <w:p>
      <w:pPr>
        <w:spacing w:before="36"/>
        <w:ind w:left="232" w:right="1133" w:firstLine="0"/>
        <w:jc w:val="left"/>
        <w:rPr>
          <w:rFonts w:ascii="宋体" w:hAnsi="宋体" w:cs="宋体" w:eastAsia="宋体" w:hint="default"/>
          <w:sz w:val="21"/>
          <w:szCs w:val="21"/>
        </w:rPr>
      </w:pPr>
      <w:r>
        <w:rPr>
          <w:rFonts w:ascii="宋体" w:hAnsi="宋体" w:cs="宋体" w:eastAsia="宋体" w:hint="default"/>
          <w:sz w:val="21"/>
          <w:szCs w:val="21"/>
        </w:rPr>
        <w:t>除此之外，截至本报告期末，本公司无需要披露的其他重要事项。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0"/>
        <w:ind w:left="232" w:right="1133" w:firstLine="0"/>
        <w:jc w:val="left"/>
        <w:rPr>
          <w:rFonts w:ascii="宋体" w:hAnsi="宋体" w:cs="宋体" w:eastAsia="宋体" w:hint="default"/>
          <w:sz w:val="21"/>
          <w:szCs w:val="21"/>
        </w:rPr>
      </w:pPr>
      <w:r>
        <w:rPr>
          <w:rFonts w:ascii="宋体" w:hAnsi="宋体" w:cs="宋体" w:eastAsia="宋体" w:hint="default"/>
          <w:b/>
          <w:bCs/>
          <w:sz w:val="21"/>
          <w:szCs w:val="21"/>
        </w:rPr>
        <w:t>十三、母公司财务报表主要项目注释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0"/>
        <w:ind w:left="23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1"/>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
        <w:rPr>
          <w:rFonts w:ascii="宋体" w:hAnsi="宋体" w:cs="宋体" w:eastAsia="宋体" w:hint="default"/>
          <w:b/>
          <w:bCs/>
          <w:sz w:val="20"/>
          <w:szCs w:val="20"/>
        </w:rPr>
      </w:pPr>
    </w:p>
    <w:p>
      <w:pPr>
        <w:spacing w:before="0"/>
        <w:ind w:left="23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）应收账款按种类披露</w:t>
      </w:r>
    </w:p>
    <w:p>
      <w:pPr>
        <w:spacing w:line="240" w:lineRule="auto" w:before="6"/>
        <w:rPr>
          <w:rFonts w:ascii="宋体" w:hAnsi="宋体" w:cs="宋体" w:eastAsia="宋体" w:hint="default"/>
          <w:sz w:val="16"/>
          <w:szCs w:val="16"/>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232" w:type="dxa"/>
        <w:tblLayout w:type="fixed"/>
        <w:tblCellMar>
          <w:top w:w="0" w:type="dxa"/>
          <w:left w:w="0" w:type="dxa"/>
          <w:bottom w:w="0" w:type="dxa"/>
          <w:right w:w="0" w:type="dxa"/>
        </w:tblCellMar>
        <w:tblLook w:val="01E0"/>
      </w:tblPr>
      <w:tblGrid>
        <w:gridCol w:w="4395"/>
        <w:gridCol w:w="5245"/>
      </w:tblGrid>
      <w:tr>
        <w:trPr>
          <w:trHeight w:val="559"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center"/>
        <w:rPr>
          <w:rFonts w:ascii="宋体" w:hAnsi="宋体" w:cs="宋体" w:eastAsia="宋体" w:hint="default"/>
          <w:sz w:val="18"/>
          <w:szCs w:val="18"/>
        </w:rPr>
        <w:sectPr>
          <w:pgSz w:w="11910" w:h="16840"/>
          <w:pgMar w:header="920" w:footer="956" w:top="1140" w:bottom="1140" w:left="900" w:right="0"/>
        </w:sectPr>
      </w:pPr>
    </w:p>
    <w:p>
      <w:pPr>
        <w:spacing w:line="240" w:lineRule="auto" w:before="7"/>
        <w:rPr>
          <w:rFonts w:ascii="宋体" w:hAnsi="宋体" w:cs="宋体" w:eastAsia="宋体" w:hint="default"/>
          <w:sz w:val="4"/>
          <w:szCs w:val="4"/>
        </w:rPr>
      </w:pPr>
    </w:p>
    <w:tbl>
      <w:tblPr>
        <w:tblW w:w="0" w:type="auto"/>
        <w:jc w:val="left"/>
        <w:tblInd w:w="13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62" w:hRule="exact"/>
        </w:trPr>
        <w:tc>
          <w:tcPr>
            <w:tcW w:w="4395" w:type="dxa"/>
            <w:vMerge w:val="restart"/>
            <w:tcBorders>
              <w:top w:val="single" w:sz="4" w:space="0" w:color="000000"/>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60" w:hRule="exact"/>
        </w:trPr>
        <w:tc>
          <w:tcPr>
            <w:tcW w:w="4395"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59"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应收集团内部单位应收账款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8,651,456.45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2"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单项金额重大并单项计提减值的应收账款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sz w:val="15"/>
          <w:szCs w:val="15"/>
        </w:rPr>
      </w:pPr>
    </w:p>
    <w:p>
      <w:pPr>
        <w:spacing w:before="44"/>
        <w:ind w:left="240" w:right="1119"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5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100,430,200.09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5,021,510.02</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62"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6,901,166.28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345,058.31</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6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107,331,366.37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90.31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5,366,568.33</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5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2,863,733.80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2,863,733.80</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r>
      <w:tr>
        <w:trPr>
          <w:trHeight w:val="562"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118,846,556.62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8,230,302.13</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6.93</w:t>
            </w:r>
          </w:p>
        </w:tc>
      </w:tr>
    </w:tbl>
    <w:p>
      <w:pPr>
        <w:spacing w:line="240" w:lineRule="auto" w:before="11"/>
        <w:rPr>
          <w:rFonts w:ascii="宋体" w:hAnsi="宋体" w:cs="宋体" w:eastAsia="宋体" w:hint="default"/>
          <w:sz w:val="14"/>
          <w:szCs w:val="14"/>
        </w:rPr>
      </w:pPr>
    </w:p>
    <w:tbl>
      <w:tblPr>
        <w:tblW w:w="0" w:type="auto"/>
        <w:jc w:val="left"/>
        <w:tblInd w:w="13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90" w:hRule="exact"/>
        </w:trPr>
        <w:tc>
          <w:tcPr>
            <w:tcW w:w="43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4395"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0" w:hRule="exact"/>
        </w:trPr>
        <w:tc>
          <w:tcPr>
            <w:tcW w:w="4395"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88"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应收集团内部单位应收账款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7,757,893.56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单项金额重大并单项计提减值的应收账款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17"/>
          <w:szCs w:val="17"/>
        </w:rPr>
      </w:pPr>
    </w:p>
    <w:p>
      <w:pPr>
        <w:spacing w:before="44"/>
        <w:ind w:left="240" w:right="1119"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5"/>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9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95,713,725.23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83.56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4,785,686.26</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8,127,566.30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406,608.22</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103,841,291.53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90.66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5,192,294.48</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8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2,942,091.37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2,942,091.37</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r>
      <w:tr>
        <w:trPr>
          <w:trHeight w:val="59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114,541,276.46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8,134,385.85</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590" w:lineRule="auto" w:before="44"/>
        <w:ind w:left="512" w:right="2181" w:hanging="380"/>
        <w:jc w:val="left"/>
        <w:rPr>
          <w:rFonts w:ascii="宋体" w:hAnsi="宋体" w:cs="宋体" w:eastAsia="宋体" w:hint="default"/>
          <w:sz w:val="18"/>
          <w:szCs w:val="18"/>
        </w:rPr>
      </w:pPr>
      <w:r>
        <w:rPr>
          <w:rFonts w:ascii="宋体" w:hAnsi="宋体" w:cs="宋体" w:eastAsia="宋体" w:hint="default"/>
          <w:sz w:val="18"/>
          <w:szCs w:val="18"/>
        </w:rPr>
        <w:t>应收账款种类的说明： 本公司根据公司经营规模、业务性质及客户结算状况等确定单项金额重大的应收账款标准为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after="0" w:line="590" w:lineRule="auto"/>
        <w:jc w:val="left"/>
        <w:rPr>
          <w:rFonts w:ascii="宋体" w:hAnsi="宋体" w:cs="宋体" w:eastAsia="宋体" w:hint="default"/>
          <w:sz w:val="18"/>
          <w:szCs w:val="18"/>
        </w:rPr>
        <w:sectPr>
          <w:pgSz w:w="11910" w:h="16840"/>
          <w:pgMar w:header="920" w:footer="956" w:top="1140" w:bottom="1140" w:left="1000" w:right="0"/>
        </w:sectPr>
      </w:pPr>
    </w:p>
    <w:p>
      <w:pPr>
        <w:spacing w:line="240" w:lineRule="auto" w:before="3"/>
        <w:rPr>
          <w:rFonts w:ascii="宋体" w:hAnsi="宋体" w:cs="宋体" w:eastAsia="宋体" w:hint="default"/>
          <w:sz w:val="19"/>
          <w:szCs w:val="19"/>
        </w:rPr>
      </w:pPr>
    </w:p>
    <w:p>
      <w:pPr>
        <w:spacing w:line="482" w:lineRule="auto" w:before="44"/>
        <w:ind w:left="240" w:right="1118" w:firstLine="271"/>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单项金额重大并单项计提坏账准备的应收账款是指期末余额在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万元以上，经减值测试后如存在减值迹象，按其未 来现金流量现值低于账面价值的差额，确认减值损失，计提坏账准备；</w:t>
      </w:r>
    </w:p>
    <w:p>
      <w:pPr>
        <w:spacing w:line="520" w:lineRule="auto" w:before="122"/>
        <w:ind w:left="512" w:right="1119" w:firstLine="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单项金额重大未出现减值迹象的应收账款是指期末余额在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万元以上，经减值测试后不存在减值迹象； 单项金额不重大未出现减值迹象的应收账款是指账龄较短（一般是指三年以内），可以取得债务人确认并预计可以收</w:t>
      </w:r>
    </w:p>
    <w:p>
      <w:pPr>
        <w:spacing w:before="53"/>
        <w:ind w:left="240" w:right="1119" w:firstLine="0"/>
        <w:jc w:val="left"/>
        <w:rPr>
          <w:rFonts w:ascii="宋体" w:hAnsi="宋体" w:cs="宋体" w:eastAsia="宋体" w:hint="default"/>
          <w:sz w:val="18"/>
          <w:szCs w:val="18"/>
        </w:rPr>
      </w:pPr>
      <w:r>
        <w:rPr>
          <w:rFonts w:ascii="宋体" w:hAnsi="宋体" w:cs="宋体" w:eastAsia="宋体" w:hint="default"/>
          <w:sz w:val="18"/>
          <w:szCs w:val="18"/>
        </w:rPr>
        <w:t>回的应收账款；</w:t>
      </w:r>
    </w:p>
    <w:p>
      <w:pPr>
        <w:spacing w:line="240" w:lineRule="auto" w:before="3"/>
        <w:rPr>
          <w:rFonts w:ascii="宋体" w:hAnsi="宋体" w:cs="宋体" w:eastAsia="宋体" w:hint="default"/>
          <w:sz w:val="23"/>
          <w:szCs w:val="23"/>
        </w:rPr>
      </w:pPr>
    </w:p>
    <w:p>
      <w:pPr>
        <w:spacing w:line="480" w:lineRule="auto" w:before="0"/>
        <w:ind w:left="240" w:right="1118" w:firstLine="271"/>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单项金额虽不重大但单项计提坏账准备的应收账款是指单笔金额在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万元以下，且有明显特征表明该等款项难以收 回的应收账款。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240" w:lineRule="auto" w:before="3"/>
        <w:rPr>
          <w:rFonts w:ascii="宋体" w:hAnsi="宋体" w:cs="宋体" w:eastAsia="宋体" w:hint="default"/>
          <w:sz w:val="23"/>
          <w:szCs w:val="23"/>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843"/>
        <w:gridCol w:w="1937"/>
        <w:gridCol w:w="1937"/>
        <w:gridCol w:w="1937"/>
      </w:tblGrid>
      <w:tr>
        <w:trPr>
          <w:trHeight w:val="59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100,430,200.09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5.00</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5,021,510.02</w:t>
            </w:r>
          </w:p>
        </w:tc>
      </w:tr>
      <w:tr>
        <w:trPr>
          <w:trHeight w:val="59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6,901,166.28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5.00</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345,058.31</w:t>
            </w:r>
          </w:p>
        </w:tc>
      </w:tr>
      <w:tr>
        <w:trPr>
          <w:trHeight w:val="59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107,331,366.37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5.00</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5,366,568.33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本报告期末单项金额虽不重大但单项计提坏账准备的应收账款明细情况</w:t>
      </w:r>
    </w:p>
    <w:p>
      <w:pPr>
        <w:spacing w:line="240" w:lineRule="auto" w:before="11"/>
        <w:rPr>
          <w:rFonts w:ascii="宋体" w:hAnsi="宋体" w:cs="宋体" w:eastAsia="宋体" w:hint="default"/>
          <w:sz w:val="19"/>
          <w:szCs w:val="19"/>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780"/>
        <w:gridCol w:w="1536"/>
        <w:gridCol w:w="1536"/>
        <w:gridCol w:w="1536"/>
        <w:gridCol w:w="2266"/>
      </w:tblGrid>
      <w:tr>
        <w:trPr>
          <w:trHeight w:val="590"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857"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90"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艾利和电子</w:t>
            </w:r>
            <w:r>
              <w:rPr>
                <w:rFonts w:ascii="Times New Roman" w:hAnsi="Times New Roman" w:cs="Times New Roman" w:eastAsia="Times New Roman" w:hint="default"/>
                <w:sz w:val="18"/>
                <w:szCs w:val="18"/>
              </w:rPr>
              <w:t>(</w:t>
            </w:r>
            <w:r>
              <w:rPr>
                <w:rFonts w:ascii="宋体" w:hAnsi="宋体" w:cs="宋体" w:eastAsia="宋体" w:hint="default"/>
                <w:sz w:val="18"/>
                <w:szCs w:val="18"/>
              </w:rPr>
              <w:t>东莞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1,538,993.12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1,538,993.12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徐州卷烟厂</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350,080.00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350,080.00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1"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重庆烟草工业有限责任公司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299,889.14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299,889.14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88"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吴坤勃</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广丰卷烟产品购销总公司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150,924.36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150,924.36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金额前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名小计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2,579,886.62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2,579,886.62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其余小计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283,847.18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283,847.18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bl>
    <w:p>
      <w:pPr>
        <w:spacing w:after="0" w:line="240" w:lineRule="auto"/>
        <w:jc w:val="center"/>
        <w:rPr>
          <w:rFonts w:ascii="宋体" w:hAnsi="宋体" w:cs="宋体" w:eastAsia="宋体" w:hint="default"/>
          <w:sz w:val="18"/>
          <w:szCs w:val="18"/>
        </w:rPr>
        <w:sectPr>
          <w:pgSz w:w="11910" w:h="16840"/>
          <w:pgMar w:header="920" w:footer="956" w:top="1140" w:bottom="1140" w:left="1000" w:right="0"/>
        </w:sectPr>
      </w:pPr>
    </w:p>
    <w:p>
      <w:pPr>
        <w:spacing w:line="240" w:lineRule="auto" w:before="7"/>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2780"/>
        <w:gridCol w:w="1536"/>
        <w:gridCol w:w="1536"/>
        <w:gridCol w:w="1536"/>
        <w:gridCol w:w="2266"/>
      </w:tblGrid>
      <w:tr>
        <w:trPr>
          <w:trHeight w:val="591"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90"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2,863,733.80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2,863,733.80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26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）本期无转回或收回单项计提坏账准备情况。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）本报告期未核销应收账款情况，单项计提坏账准备的总额较上年减少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78,357.57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元的原因是外币坏账的折算差异。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）本报告期末应收账款余额中无应收持有本公司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以上表决权股份的股东单位及其他关联方单位的款项。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）本报告期末应收账款金额前五名单位情况</w:t>
      </w:r>
    </w:p>
    <w:p>
      <w:pPr>
        <w:spacing w:line="240" w:lineRule="auto" w:before="3"/>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77"/>
        <w:gridCol w:w="1418"/>
        <w:gridCol w:w="1416"/>
        <w:gridCol w:w="1135"/>
        <w:gridCol w:w="2408"/>
      </w:tblGrid>
      <w:tr>
        <w:trPr>
          <w:trHeight w:val="59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59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云南中烟物资（集团）有限责任公司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5,690,607.99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4.79</w:t>
            </w:r>
          </w:p>
        </w:tc>
      </w:tr>
      <w:tr>
        <w:trPr>
          <w:trHeight w:val="58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山东中烟工业有限责任公司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54,285,129.66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45.68</w:t>
            </w:r>
          </w:p>
        </w:tc>
      </w:tr>
      <w:tr>
        <w:trPr>
          <w:trHeight w:val="59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川渝中烟工业有限责任公司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13,856,203.60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11.66</w:t>
            </w:r>
          </w:p>
        </w:tc>
      </w:tr>
      <w:tr>
        <w:trPr>
          <w:trHeight w:val="59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深圳烟草工业有限责任公司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9,575,905.00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8.06</w:t>
            </w:r>
          </w:p>
        </w:tc>
      </w:tr>
      <w:tr>
        <w:trPr>
          <w:trHeight w:val="59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江西中烟工业有限责任公司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15,996,273.50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13.46</w:t>
            </w:r>
          </w:p>
        </w:tc>
      </w:tr>
      <w:tr>
        <w:trPr>
          <w:trHeight w:val="59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99,404,119.75</w:t>
            </w:r>
          </w:p>
        </w:tc>
        <w:tc>
          <w:tcPr>
            <w:tcW w:w="1135"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83.65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）期末应收集团内部单位情况</w:t>
      </w:r>
    </w:p>
    <w:p>
      <w:pPr>
        <w:spacing w:line="240" w:lineRule="auto" w:before="1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419"/>
        <w:gridCol w:w="2052"/>
        <w:gridCol w:w="1457"/>
        <w:gridCol w:w="2727"/>
      </w:tblGrid>
      <w:tr>
        <w:trPr>
          <w:trHeight w:val="588"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1,374,144.88</w:t>
            </w:r>
          </w:p>
        </w:tc>
        <w:tc>
          <w:tcPr>
            <w:tcW w:w="2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1.16</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1,125,182.71</w:t>
            </w:r>
          </w:p>
        </w:tc>
        <w:tc>
          <w:tcPr>
            <w:tcW w:w="2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0.95</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淮安华丰彩印有限公司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1,856,656.83</w:t>
            </w:r>
          </w:p>
        </w:tc>
        <w:tc>
          <w:tcPr>
            <w:tcW w:w="2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1.56</w:t>
            </w:r>
          </w:p>
        </w:tc>
      </w:tr>
    </w:tbl>
    <w:p>
      <w:pPr>
        <w:spacing w:after="0" w:line="240" w:lineRule="auto"/>
        <w:jc w:val="center"/>
        <w:rPr>
          <w:rFonts w:ascii="Times New Roman" w:hAnsi="Times New Roman" w:cs="Times New Roman" w:eastAsia="Times New Roman" w:hint="default"/>
          <w:sz w:val="18"/>
          <w:szCs w:val="18"/>
        </w:rPr>
        <w:sectPr>
          <w:pgSz w:w="11910" w:h="16840"/>
          <w:pgMar w:header="920" w:footer="956" w:top="1140" w:bottom="1140" w:left="1000" w:right="0"/>
        </w:sectPr>
      </w:pPr>
    </w:p>
    <w:p>
      <w:pPr>
        <w:spacing w:line="240" w:lineRule="auto" w:before="7"/>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3419"/>
        <w:gridCol w:w="2052"/>
        <w:gridCol w:w="1457"/>
        <w:gridCol w:w="2727"/>
      </w:tblGrid>
      <w:tr>
        <w:trPr>
          <w:trHeight w:val="59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4,295,472.03</w:t>
            </w:r>
          </w:p>
        </w:tc>
        <w:tc>
          <w:tcPr>
            <w:tcW w:w="2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3.61</w:t>
            </w:r>
          </w:p>
        </w:tc>
      </w:tr>
      <w:tr>
        <w:trPr>
          <w:trHeight w:val="59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5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8,651,456.45</w:t>
            </w:r>
          </w:p>
        </w:tc>
        <w:tc>
          <w:tcPr>
            <w:tcW w:w="2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）本报告期内，本公司无终止确认的应收账款。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）本报告期内，本公司未发生以应收账款为标的进行证券化的业务。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before="0"/>
        <w:ind w:left="132" w:right="1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）其他应收款按种类披露</w:t>
      </w:r>
    </w:p>
    <w:p>
      <w:pPr>
        <w:spacing w:line="240" w:lineRule="auto" w:before="0"/>
        <w:rPr>
          <w:rFonts w:ascii="宋体" w:hAnsi="宋体" w:cs="宋体" w:eastAsia="宋体" w:hint="default"/>
          <w:sz w:val="19"/>
          <w:szCs w:val="19"/>
        </w:rPr>
      </w:pPr>
    </w:p>
    <w:p>
      <w:pPr>
        <w:spacing w:before="44"/>
        <w:ind w:left="0" w:right="127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90" w:hRule="exact"/>
        </w:trPr>
        <w:tc>
          <w:tcPr>
            <w:tcW w:w="43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90" w:hRule="exact"/>
        </w:trPr>
        <w:tc>
          <w:tcPr>
            <w:tcW w:w="4395"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88" w:hRule="exact"/>
        </w:trPr>
        <w:tc>
          <w:tcPr>
            <w:tcW w:w="4395"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91"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应收集团内部单位其他应收款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910,901.33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单项金额重大并单项计提减值的应收账款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17"/>
          <w:szCs w:val="17"/>
        </w:rPr>
      </w:pPr>
    </w:p>
    <w:p>
      <w:pPr>
        <w:spacing w:before="44"/>
        <w:ind w:left="240" w:right="1119"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5"/>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9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91,520,357.00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87.28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4,576,017.85</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9,782,250.29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489,112.53</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88"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101,302,607.29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96.61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5,065,130.38</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2,640,511.80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2,640,511.80</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r>
      <w:tr>
        <w:trPr>
          <w:trHeight w:val="59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104,854,020.42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7,705,642.18</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7.35</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90" w:hRule="exact"/>
        </w:trPr>
        <w:tc>
          <w:tcPr>
            <w:tcW w:w="43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4395"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0" w:hRule="exact"/>
        </w:trPr>
        <w:tc>
          <w:tcPr>
            <w:tcW w:w="4395"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920" w:footer="956" w:top="1140" w:bottom="1140" w:left="1000" w:right="0"/>
        </w:sectPr>
      </w:pPr>
    </w:p>
    <w:p>
      <w:pPr>
        <w:spacing w:line="240" w:lineRule="auto" w:before="7"/>
        <w:rPr>
          <w:rFonts w:ascii="宋体" w:hAnsi="宋体" w:cs="宋体" w:eastAsia="宋体" w:hint="default"/>
          <w:sz w:val="4"/>
          <w:szCs w:val="4"/>
        </w:rPr>
      </w:pPr>
    </w:p>
    <w:tbl>
      <w:tblPr>
        <w:tblW w:w="0" w:type="auto"/>
        <w:jc w:val="left"/>
        <w:tblInd w:w="132" w:type="dxa"/>
        <w:tblLayout w:type="fixed"/>
        <w:tblCellMar>
          <w:top w:w="0" w:type="dxa"/>
          <w:left w:w="0" w:type="dxa"/>
          <w:bottom w:w="0" w:type="dxa"/>
          <w:right w:w="0" w:type="dxa"/>
        </w:tblCellMar>
        <w:tblLook w:val="01E0"/>
      </w:tblPr>
      <w:tblGrid>
        <w:gridCol w:w="4395"/>
        <w:gridCol w:w="1844"/>
        <w:gridCol w:w="850"/>
        <w:gridCol w:w="1702"/>
        <w:gridCol w:w="850"/>
      </w:tblGrid>
      <w:tr>
        <w:trPr>
          <w:trHeight w:val="591"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应收集团内部单位应收账款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18,847,719.12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70.48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单项金额重大并单项计提减值的应收账款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17"/>
          <w:szCs w:val="17"/>
        </w:rPr>
      </w:pPr>
    </w:p>
    <w:p>
      <w:pPr>
        <w:spacing w:before="44"/>
        <w:ind w:left="240" w:right="1119"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5"/>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410"/>
        <w:gridCol w:w="1844"/>
        <w:gridCol w:w="850"/>
        <w:gridCol w:w="1702"/>
        <w:gridCol w:w="850"/>
      </w:tblGrid>
      <w:tr>
        <w:trPr>
          <w:trHeight w:val="59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4,253,435.33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15.91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212,311.77</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88"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5,253,435.33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19.65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262,311.77</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w:t>
            </w:r>
          </w:p>
        </w:tc>
      </w:tr>
      <w:tr>
        <w:trPr>
          <w:trHeight w:val="590"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2,640,511.80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2,640,511.80</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r>
      <w:tr>
        <w:trPr>
          <w:trHeight w:val="59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26,741,666.25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2,902,823.57</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line="568" w:lineRule="auto" w:before="44"/>
        <w:ind w:left="493" w:right="2113" w:hanging="361"/>
        <w:jc w:val="left"/>
        <w:rPr>
          <w:rFonts w:ascii="宋体" w:hAnsi="宋体" w:cs="宋体" w:eastAsia="宋体" w:hint="default"/>
          <w:sz w:val="18"/>
          <w:szCs w:val="18"/>
        </w:rPr>
      </w:pPr>
      <w:r>
        <w:rPr>
          <w:rFonts w:ascii="宋体" w:hAnsi="宋体" w:cs="宋体" w:eastAsia="宋体" w:hint="default"/>
          <w:sz w:val="18"/>
          <w:szCs w:val="18"/>
        </w:rPr>
        <w:t>其他应收款种类的说明： 本公司根据公司经营规模、业务性质及客户结算状况等确定单项金额重大的其他应收款标准为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p>
      <w:pPr>
        <w:spacing w:line="460" w:lineRule="auto" w:before="1"/>
        <w:ind w:left="132" w:right="1120" w:firstLine="36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单项金额重大并单项计提坏账准备的其他应收款是指期末余额在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万元以上，经减值测试后如存在减值迹象，按其未</w:t>
      </w:r>
      <w:r>
        <w:rPr>
          <w:rFonts w:ascii="宋体" w:hAnsi="宋体" w:cs="宋体" w:eastAsia="宋体" w:hint="default"/>
          <w:sz w:val="18"/>
          <w:szCs w:val="18"/>
        </w:rPr>
        <w:t> 来现金流量现值低于账面价值的差额，确认减值损失，计提坏账准备；</w:t>
      </w:r>
    </w:p>
    <w:p>
      <w:pPr>
        <w:spacing w:line="504" w:lineRule="auto" w:before="117"/>
        <w:ind w:left="493" w:right="1119" w:firstLine="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单项金额重大未出现减值迹象的其他应收款是指期末余额在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万元以上，经减值测试后不存在减值迹象； </w:t>
      </w:r>
      <w:r>
        <w:rPr>
          <w:rFonts w:ascii="宋体" w:hAnsi="宋体" w:cs="宋体" w:eastAsia="宋体" w:hint="default"/>
          <w:spacing w:val="-2"/>
          <w:sz w:val="18"/>
          <w:szCs w:val="18"/>
        </w:rPr>
        <w:t>单项金额不重大未出现减值迹象的其他应收款是指账龄较短（一般是指三年以内），可以取得债务人确认并预计可以收</w:t>
      </w: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回的其他应收款；</w:t>
      </w:r>
    </w:p>
    <w:p>
      <w:pPr>
        <w:spacing w:line="240" w:lineRule="auto" w:before="13"/>
        <w:rPr>
          <w:rFonts w:ascii="宋体" w:hAnsi="宋体" w:cs="宋体" w:eastAsia="宋体" w:hint="default"/>
          <w:sz w:val="21"/>
          <w:szCs w:val="21"/>
        </w:rPr>
      </w:pPr>
    </w:p>
    <w:p>
      <w:pPr>
        <w:spacing w:line="460" w:lineRule="auto" w:before="0"/>
        <w:ind w:left="132" w:right="1121" w:firstLine="36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单项金额虽不重大但单项计提坏账准备的其他应收款是指单笔金额在</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万元以下，且有明显特征表明该等款项难以收</w:t>
      </w:r>
      <w:r>
        <w:rPr>
          <w:rFonts w:ascii="宋体" w:hAnsi="宋体" w:cs="宋体" w:eastAsia="宋体" w:hint="default"/>
          <w:sz w:val="18"/>
          <w:szCs w:val="18"/>
        </w:rPr>
        <w:t> 回的其他应收款。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spacing w:before="0"/>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）期末单项金额重大或虽不重大但单独进行减值测试的其他应收款坏账准备计提情况</w:t>
      </w:r>
    </w:p>
    <w:p>
      <w:pPr>
        <w:spacing w:line="240" w:lineRule="auto" w:before="4"/>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107"/>
        <w:gridCol w:w="1474"/>
        <w:gridCol w:w="1474"/>
        <w:gridCol w:w="1474"/>
        <w:gridCol w:w="2235"/>
      </w:tblGrid>
      <w:tr>
        <w:trPr>
          <w:trHeight w:val="590"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92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90"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深圳市泛彩溢实业有限公司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88"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广宁利源包装装璜材料有限公司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573,166.67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573,166.67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中宝拍卖有限公司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385,000.00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385,000.00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bl>
    <w:p>
      <w:pPr>
        <w:spacing w:after="0" w:line="240" w:lineRule="auto"/>
        <w:jc w:val="center"/>
        <w:rPr>
          <w:rFonts w:ascii="宋体" w:hAnsi="宋体" w:cs="宋体" w:eastAsia="宋体" w:hint="default"/>
          <w:sz w:val="18"/>
          <w:szCs w:val="18"/>
        </w:rPr>
        <w:sectPr>
          <w:pgSz w:w="11910" w:h="16840"/>
          <w:pgMar w:header="920" w:footer="956" w:top="1140" w:bottom="1140" w:left="1000" w:right="0"/>
        </w:sectPr>
      </w:pPr>
    </w:p>
    <w:p>
      <w:pPr>
        <w:spacing w:line="240" w:lineRule="auto" w:before="7"/>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3107"/>
        <w:gridCol w:w="1474"/>
        <w:gridCol w:w="1474"/>
        <w:gridCol w:w="1474"/>
        <w:gridCol w:w="2235"/>
      </w:tblGrid>
      <w:tr>
        <w:trPr>
          <w:trHeight w:val="591"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92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90"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曲靖市珠江印刷厂</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西安佰木森投资发展有限公司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85,638.90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85,638.90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金额前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名小计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2,343,805.57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2,343,805.57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其余小计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296,706.23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296,706.23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3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2,640,511.80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2,640,511.80</w:t>
            </w:r>
          </w:p>
        </w:tc>
        <w:tc>
          <w:tcPr>
            <w:tcW w:w="147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）本报告期内，本公司不存在全额收回或转回前期已全额计提坏账准备或计提坏账准备比例较大的其他应收款。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）本报告期内，本公司未核销其他应收款。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）其他应收款期末余额中无应收持有本公司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）期末金额较大的其他应收款的性质或内容</w:t>
      </w:r>
    </w:p>
    <w:p>
      <w:pPr>
        <w:spacing w:line="240" w:lineRule="auto" w:before="3"/>
        <w:rPr>
          <w:rFonts w:ascii="宋体" w:hAnsi="宋体" w:cs="宋体" w:eastAsia="宋体" w:hint="default"/>
          <w:sz w:val="22"/>
          <w:szCs w:val="22"/>
        </w:rPr>
      </w:pPr>
    </w:p>
    <w:p>
      <w:pPr>
        <w:spacing w:before="0"/>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327"/>
        <w:gridCol w:w="4253"/>
      </w:tblGrid>
      <w:tr>
        <w:trPr>
          <w:trHeight w:val="5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款项性质或内容</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88,000,000.00</w:t>
            </w:r>
          </w:p>
        </w:tc>
      </w:tr>
      <w:tr>
        <w:trPr>
          <w:trHeight w:val="5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6,870,809.79</w:t>
            </w:r>
          </w:p>
        </w:tc>
      </w:tr>
      <w:tr>
        <w:trPr>
          <w:trHeight w:val="5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应收往来款</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5,311,534.61</w:t>
            </w:r>
          </w:p>
        </w:tc>
      </w:tr>
      <w:tr>
        <w:trPr>
          <w:trHeight w:val="589"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5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工程监督保证金</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1,020,357.00</w:t>
            </w:r>
          </w:p>
        </w:tc>
      </w:tr>
      <w:tr>
        <w:trPr>
          <w:trHeight w:val="5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贷款保证金</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5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851,319.02</w:t>
            </w:r>
          </w:p>
        </w:tc>
      </w:tr>
      <w:tr>
        <w:trPr>
          <w:trHeight w:val="5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104,854,020.42</w:t>
            </w:r>
          </w:p>
        </w:tc>
      </w:tr>
    </w:tbl>
    <w:p>
      <w:pPr>
        <w:spacing w:after="0" w:line="240" w:lineRule="auto"/>
        <w:jc w:val="right"/>
        <w:rPr>
          <w:rFonts w:ascii="Times New Roman" w:hAnsi="Times New Roman" w:cs="Times New Roman" w:eastAsia="Times New Roman" w:hint="default"/>
          <w:sz w:val="18"/>
          <w:szCs w:val="18"/>
        </w:rPr>
        <w:sectPr>
          <w:pgSz w:w="11910" w:h="16840"/>
          <w:pgMar w:header="920" w:footer="956" w:top="1140" w:bottom="1140" w:left="1000" w:right="0"/>
        </w:sectPr>
      </w:pPr>
    </w:p>
    <w:p>
      <w:pPr>
        <w:spacing w:line="240" w:lineRule="auto" w:before="3"/>
        <w:rPr>
          <w:rFonts w:ascii="宋体" w:hAnsi="宋体" w:cs="宋体" w:eastAsia="宋体" w:hint="default"/>
          <w:sz w:val="19"/>
          <w:szCs w:val="19"/>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）期末其他应收款前五名欠款单位情况</w:t>
      </w:r>
    </w:p>
    <w:p>
      <w:pPr>
        <w:spacing w:line="240" w:lineRule="auto" w:before="11"/>
        <w:rPr>
          <w:rFonts w:ascii="宋体" w:hAnsi="宋体" w:cs="宋体" w:eastAsia="宋体" w:hint="default"/>
          <w:sz w:val="18"/>
          <w:szCs w:val="18"/>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708"/>
        <w:gridCol w:w="1418"/>
        <w:gridCol w:w="1419"/>
        <w:gridCol w:w="1274"/>
        <w:gridCol w:w="2835"/>
      </w:tblGrid>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湖州启丰投资有限公司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83.93</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安徽中烟工业有限公司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1.43</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深圳市宝安区财政局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1,020,357.00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0.97</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深圳市中小企业信用担保中心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0.95</w:t>
            </w:r>
          </w:p>
        </w:tc>
      </w:tr>
      <w:tr>
        <w:trPr>
          <w:trHeight w:val="58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深圳市泛彩溢实业有限公司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0.95</w:t>
            </w:r>
          </w:p>
        </w:tc>
      </w:tr>
      <w:tr>
        <w:trPr>
          <w:trHeight w:val="59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92,520,357.00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88.24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）期末应收关联方款项情况</w:t>
      </w:r>
    </w:p>
    <w:p>
      <w:pPr>
        <w:spacing w:line="240" w:lineRule="auto" w:before="11"/>
        <w:rPr>
          <w:rFonts w:ascii="宋体" w:hAnsi="宋体" w:cs="宋体" w:eastAsia="宋体" w:hint="default"/>
          <w:sz w:val="18"/>
          <w:szCs w:val="18"/>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135"/>
        <w:gridCol w:w="1985"/>
        <w:gridCol w:w="1846"/>
        <w:gridCol w:w="2688"/>
      </w:tblGrid>
      <w:tr>
        <w:trPr>
          <w:trHeight w:val="59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59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中丰田光电科技（珠海）有限公司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18" w:right="0"/>
              <w:jc w:val="center"/>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7,200.00</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0.01</w:t>
            </w:r>
          </w:p>
        </w:tc>
      </w:tr>
      <w:tr>
        <w:trPr>
          <w:trHeight w:val="59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903,701.33</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0.86</w:t>
            </w:r>
          </w:p>
        </w:tc>
      </w:tr>
      <w:tr>
        <w:trPr>
          <w:trHeight w:val="59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910,901.33</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）本报告期内，本公司无终止确认的其他应收款。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）本报告期内，本公司未发生以其他应收款为标的进行证券化的业务。</w:t>
      </w:r>
    </w:p>
    <w:p>
      <w:pPr>
        <w:spacing w:after="0"/>
        <w:jc w:val="left"/>
        <w:rPr>
          <w:rFonts w:ascii="宋体" w:hAnsi="宋体" w:cs="宋体" w:eastAsia="宋体" w:hint="default"/>
          <w:sz w:val="18"/>
          <w:szCs w:val="18"/>
        </w:rPr>
        <w:sectPr>
          <w:footerReference w:type="default" r:id="rId71"/>
          <w:pgSz w:w="11910" w:h="16840"/>
          <w:pgMar w:footer="956" w:header="920" w:top="1140" w:bottom="1140" w:left="1000" w:right="0"/>
        </w:sectPr>
      </w:pPr>
    </w:p>
    <w:p>
      <w:pPr>
        <w:spacing w:before="10"/>
        <w:ind w:left="0" w:right="1128" w:firstLine="0"/>
        <w:jc w:val="righ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36"/>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）长期股权投资明细情况</w:t>
      </w:r>
    </w:p>
    <w:p>
      <w:pPr>
        <w:spacing w:line="240" w:lineRule="auto" w:before="0"/>
        <w:rPr>
          <w:rFonts w:ascii="宋体" w:hAnsi="宋体" w:cs="宋体" w:eastAsia="宋体" w:hint="default"/>
          <w:sz w:val="19"/>
          <w:szCs w:val="19"/>
        </w:rPr>
      </w:pPr>
    </w:p>
    <w:p>
      <w:pPr>
        <w:spacing w:before="44"/>
        <w:ind w:left="0" w:right="1097"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424"/>
        <w:gridCol w:w="994"/>
        <w:gridCol w:w="1275"/>
        <w:gridCol w:w="1277"/>
        <w:gridCol w:w="1274"/>
        <w:gridCol w:w="1277"/>
        <w:gridCol w:w="1418"/>
        <w:gridCol w:w="1416"/>
        <w:gridCol w:w="852"/>
        <w:gridCol w:w="991"/>
        <w:gridCol w:w="1560"/>
      </w:tblGrid>
      <w:tr>
        <w:trPr>
          <w:trHeight w:val="63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核算方法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初始投资成本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35"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35"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41" w:right="101" w:hanging="339"/>
              <w:jc w:val="left"/>
              <w:rPr>
                <w:rFonts w:ascii="Times New Roman" w:hAnsi="Times New Roman" w:cs="Times New Roman" w:eastAsia="Times New Roman" w:hint="default"/>
                <w:sz w:val="15"/>
                <w:szCs w:val="15"/>
              </w:rPr>
            </w:pPr>
            <w:r>
              <w:rPr>
                <w:rFonts w:ascii="宋体" w:hAnsi="宋体" w:cs="宋体" w:eastAsia="宋体" w:hint="default"/>
                <w:sz w:val="15"/>
                <w:szCs w:val="15"/>
              </w:rPr>
              <w:t>在被投资单位持股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64" w:right="98" w:hanging="262"/>
              <w:jc w:val="left"/>
              <w:rPr>
                <w:rFonts w:ascii="Times New Roman" w:hAnsi="Times New Roman" w:cs="Times New Roman" w:eastAsia="Times New Roman" w:hint="default"/>
                <w:sz w:val="15"/>
                <w:szCs w:val="15"/>
              </w:rPr>
            </w:pPr>
            <w:r>
              <w:rPr>
                <w:rFonts w:ascii="宋体" w:hAnsi="宋体" w:cs="宋体" w:eastAsia="宋体" w:hint="default"/>
                <w:sz w:val="15"/>
                <w:szCs w:val="15"/>
              </w:rPr>
              <w:t>在被投资单位表决</w:t>
            </w:r>
            <w:r>
              <w:rPr>
                <w:rFonts w:ascii="宋体" w:hAnsi="宋体" w:cs="宋体" w:eastAsia="宋体" w:hint="default"/>
                <w:w w:val="100"/>
                <w:sz w:val="15"/>
                <w:szCs w:val="15"/>
              </w:rPr>
              <w:t> </w:t>
            </w:r>
            <w:r>
              <w:rPr>
                <w:rFonts w:ascii="宋体" w:hAnsi="宋体" w:cs="宋体" w:eastAsia="宋体" w:hint="default"/>
                <w:sz w:val="15"/>
                <w:szCs w:val="15"/>
              </w:rPr>
              <w:t>权比例</w:t>
            </w:r>
            <w:r>
              <w:rPr>
                <w:rFonts w:ascii="Times New Roman" w:hAnsi="Times New Roman" w:cs="Times New Roman" w:eastAsia="Times New Roman"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pacing w:val="-1"/>
                <w:sz w:val="15"/>
                <w:szCs w:val="15"/>
              </w:rPr>
              <w:t>减值准备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64" w:right="110" w:hanging="149"/>
              <w:jc w:val="left"/>
              <w:rPr>
                <w:rFonts w:ascii="宋体" w:hAnsi="宋体" w:cs="宋体" w:eastAsia="宋体" w:hint="default"/>
                <w:sz w:val="15"/>
                <w:szCs w:val="15"/>
              </w:rPr>
            </w:pPr>
            <w:r>
              <w:rPr>
                <w:rFonts w:ascii="宋体" w:hAnsi="宋体" w:cs="宋体" w:eastAsia="宋体" w:hint="default"/>
                <w:sz w:val="15"/>
                <w:szCs w:val="15"/>
              </w:rPr>
              <w:t>本期计提减</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值准备</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475" w:right="0"/>
              <w:jc w:val="left"/>
              <w:rPr>
                <w:rFonts w:ascii="宋体" w:hAnsi="宋体" w:cs="宋体" w:eastAsia="宋体" w:hint="default"/>
                <w:sz w:val="15"/>
                <w:szCs w:val="15"/>
              </w:rPr>
            </w:pPr>
            <w:r>
              <w:rPr>
                <w:rFonts w:ascii="宋体" w:hAnsi="宋体" w:cs="宋体" w:eastAsia="宋体" w:hint="default"/>
                <w:sz w:val="15"/>
                <w:szCs w:val="15"/>
              </w:rPr>
              <w:t>现金红利</w:t>
            </w:r>
          </w:p>
        </w:tc>
      </w:tr>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深圳嘉美达印务有限公司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15,347,198.70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15,347,198.70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15,347,198.70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深圳市劲嘉科技有限公司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21,560,000.00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21,560,000.00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21,560,000.00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中华香港国际烟草集团有限公司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455,561,138.00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455,561,138.00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455,561,138.00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安徽安泰新型包装材料有限公司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328,264,387.94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328,264,387.94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328,264,387.94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107,281,836.76</w:t>
            </w:r>
          </w:p>
        </w:tc>
      </w:tr>
      <w:tr>
        <w:trPr>
          <w:trHeight w:val="512"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深圳市万商物业管理有限公司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16,200,000.00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16,200,000.00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16,200,000.00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江苏劲嘉新型包装材料有限公司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21,000,000.00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贵州劲嘉新型包装材料有限公司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117,000,000.00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z w:val="15"/>
              </w:rPr>
              <w:t>218,</w:t>
            </w:r>
            <w:r>
              <w:rPr>
                <w:rFonts w:ascii="Times New Roman"/>
                <w:spacing w:val="-7"/>
                <w:sz w:val="15"/>
              </w:rPr>
              <w:t> </w:t>
            </w:r>
            <w:r>
              <w:rPr>
                <w:rFonts w:ascii="Times New Roman"/>
                <w:sz w:val="15"/>
              </w:rPr>
              <w:t>538,950.00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z w:val="15"/>
              </w:rPr>
              <w:t>218,</w:t>
            </w:r>
            <w:r>
              <w:rPr>
                <w:rFonts w:ascii="Times New Roman"/>
                <w:spacing w:val="-6"/>
                <w:sz w:val="15"/>
              </w:rPr>
              <w:t> </w:t>
            </w:r>
            <w:r>
              <w:rPr>
                <w:rFonts w:ascii="Times New Roman"/>
                <w:sz w:val="15"/>
              </w:rPr>
              <w:t>538,950.00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昆明彩印有限责任公司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6,200,000.00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6,200,000.00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1,527,597.46</w:t>
            </w:r>
          </w:p>
        </w:tc>
      </w:tr>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安徽万捷防伪科技有限公司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w w:val="100"/>
                <w:sz w:val="15"/>
              </w:rPr>
              <w:t>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100"/>
                <w:sz w:val="15"/>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505,199.98</w:t>
            </w: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22" w:right="0"/>
              <w:jc w:val="left"/>
              <w:rPr>
                <w:rFonts w:ascii="宋体" w:hAnsi="宋体" w:cs="宋体" w:eastAsia="宋体" w:hint="default"/>
                <w:sz w:val="15"/>
                <w:szCs w:val="15"/>
              </w:rPr>
            </w:pPr>
            <w:r>
              <w:rPr>
                <w:rFonts w:ascii="宋体" w:hAnsi="宋体" w:cs="宋体" w:eastAsia="宋体" w:hint="default"/>
                <w:sz w:val="15"/>
                <w:szCs w:val="15"/>
              </w:rPr>
              <w:t>湖州天外绿色包装印刷有限公司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114,440,841.60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221,299,558.47</w:t>
            </w:r>
            <w:r>
              <w:rPr>
                <w:rFonts w:ascii="Times New Roman"/>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2"/>
                <w:sz w:val="15"/>
              </w:rPr>
              <w:t>-221,299,558.47</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12,732,000.00</w:t>
            </w:r>
          </w:p>
        </w:tc>
      </w:tr>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深圳市劲嘉物业管理有限公司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34"/>
              <w:jc w:val="right"/>
              <w:rPr>
                <w:rFonts w:ascii="Times New Roman" w:hAnsi="Times New Roman" w:cs="Times New Roman" w:eastAsia="Times New Roman" w:hint="default"/>
                <w:sz w:val="15"/>
                <w:szCs w:val="15"/>
              </w:rPr>
            </w:pPr>
            <w:r>
              <w:rPr>
                <w:rFonts w:ascii="Times New Roman"/>
                <w:w w:val="100"/>
                <w:sz w:val="15"/>
              </w:rPr>
              <w:t>-</w:t>
            </w:r>
          </w:p>
        </w:tc>
      </w:tr>
      <w:tr>
        <w:trPr>
          <w:trHeight w:val="51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1,105,723,566.24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2"/>
                <w:sz w:val="15"/>
              </w:rPr>
              <w:t>1,304,121,233.11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2"/>
                <w:sz w:val="15"/>
              </w:rPr>
              <w:t>-211,299,558.47</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1,092,821,674.64</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32"/>
              <w:jc w:val="right"/>
              <w:rPr>
                <w:rFonts w:ascii="Times New Roman" w:hAnsi="Times New Roman" w:cs="Times New Roman" w:eastAsia="Times New Roman" w:hint="default"/>
                <w:sz w:val="15"/>
                <w:szCs w:val="15"/>
              </w:rPr>
            </w:pPr>
            <w:r>
              <w:rPr>
                <w:rFonts w:ascii="Times New Roman"/>
                <w:spacing w:val="-1"/>
                <w:sz w:val="15"/>
              </w:rPr>
              <w:t>122,046,634.20</w:t>
            </w:r>
            <w:r>
              <w:rPr>
                <w:rFonts w:ascii="Times New Roman"/>
                <w:sz w:val="15"/>
              </w:rPr>
            </w:r>
          </w:p>
        </w:tc>
      </w:tr>
    </w:tbl>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9"/>
          <w:szCs w:val="19"/>
        </w:rPr>
      </w:pPr>
    </w:p>
    <w:p>
      <w:pPr>
        <w:spacing w:before="0"/>
        <w:ind w:left="6308" w:right="7305" w:firstLine="0"/>
        <w:jc w:val="center"/>
        <w:rPr>
          <w:rFonts w:ascii="Times New Roman" w:hAnsi="Times New Roman" w:cs="Times New Roman" w:eastAsia="Times New Roman" w:hint="default"/>
          <w:sz w:val="18"/>
          <w:szCs w:val="18"/>
        </w:rPr>
      </w:pPr>
      <w:r>
        <w:rPr/>
        <w:pict>
          <v:shape style="position:absolute;margin-left:740.650024pt;margin-top:4.366093pt;width:101.25pt;height:57.75pt;mso-position-horizontal-relative:page;mso-position-vertical-relative:paragraph;z-index:1600" type="#_x0000_t75" stroked="false">
            <v:imagedata r:id="rId54" o:title=""/>
          </v:shape>
        </w:pict>
      </w:r>
      <w:r>
        <w:rPr>
          <w:rFonts w:ascii="Times New Roman"/>
          <w:sz w:val="18"/>
        </w:rPr>
        <w:t>101</w:t>
      </w:r>
    </w:p>
    <w:p>
      <w:pPr>
        <w:spacing w:after="0"/>
        <w:jc w:val="center"/>
        <w:rPr>
          <w:rFonts w:ascii="Times New Roman" w:hAnsi="Times New Roman" w:cs="Times New Roman" w:eastAsia="Times New Roman" w:hint="default"/>
          <w:sz w:val="18"/>
          <w:szCs w:val="18"/>
        </w:rPr>
        <w:sectPr>
          <w:headerReference w:type="default" r:id="rId72"/>
          <w:footerReference w:type="default" r:id="rId73"/>
          <w:pgSz w:w="16840" w:h="11910" w:orient="landscape"/>
          <w:pgMar w:header="0" w:footer="0" w:top="840" w:bottom="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spacing w:before="0"/>
        <w:ind w:left="16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）营业收入、营业成本分类</w:t>
      </w:r>
    </w:p>
    <w:p>
      <w:pPr>
        <w:spacing w:line="240" w:lineRule="auto" w:before="0"/>
        <w:rPr>
          <w:rFonts w:ascii="宋体" w:hAnsi="宋体" w:cs="宋体" w:eastAsia="宋体" w:hint="default"/>
          <w:sz w:val="19"/>
          <w:szCs w:val="19"/>
        </w:rPr>
      </w:pPr>
    </w:p>
    <w:p>
      <w:pPr>
        <w:spacing w:before="44"/>
        <w:ind w:left="6485"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2794"/>
        <w:gridCol w:w="2780"/>
        <w:gridCol w:w="2777"/>
      </w:tblGrid>
      <w:tr>
        <w:trPr>
          <w:trHeight w:val="59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850,881,580.21</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838,752,282.47</w:t>
            </w:r>
          </w:p>
        </w:tc>
      </w:tr>
      <w:tr>
        <w:trPr>
          <w:trHeight w:val="59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841,543,877.35</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828,565,145.09</w:t>
            </w:r>
          </w:p>
        </w:tc>
      </w:tr>
      <w:tr>
        <w:trPr>
          <w:trHeight w:val="589"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46"/>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9,337,702.86</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10,187,137.38</w:t>
            </w:r>
          </w:p>
        </w:tc>
      </w:tr>
      <w:tr>
        <w:trPr>
          <w:trHeight w:val="59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526,530,549.87</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561,231,515.82</w:t>
            </w:r>
          </w:p>
        </w:tc>
      </w:tr>
      <w:tr>
        <w:trPr>
          <w:trHeight w:val="59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519,536,516.55</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554,056,663.22</w:t>
            </w:r>
          </w:p>
        </w:tc>
      </w:tr>
      <w:tr>
        <w:trPr>
          <w:trHeight w:val="59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46"/>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6,994,033.32</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7,174,852.60</w:t>
            </w:r>
          </w:p>
        </w:tc>
      </w:tr>
      <w:tr>
        <w:trPr>
          <w:trHeight w:val="59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324,351,030.34</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277,520,766.65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）主营业务（分产品）</w:t>
      </w:r>
    </w:p>
    <w:p>
      <w:pPr>
        <w:spacing w:line="240" w:lineRule="auto" w:before="11"/>
        <w:rPr>
          <w:rFonts w:ascii="宋体" w:hAnsi="宋体" w:cs="宋体" w:eastAsia="宋体" w:hint="default"/>
          <w:sz w:val="18"/>
          <w:szCs w:val="18"/>
        </w:rPr>
      </w:pPr>
    </w:p>
    <w:p>
      <w:pPr>
        <w:spacing w:before="44"/>
        <w:ind w:left="6485"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687"/>
        <w:gridCol w:w="1673"/>
        <w:gridCol w:w="1676"/>
        <w:gridCol w:w="1673"/>
        <w:gridCol w:w="1676"/>
      </w:tblGrid>
      <w:tr>
        <w:trPr>
          <w:trHeight w:val="588" w:hRule="exact"/>
        </w:trPr>
        <w:tc>
          <w:tcPr>
            <w:tcW w:w="168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1687" w:type="dxa"/>
            <w:vMerge/>
            <w:tcBorders>
              <w:left w:val="nil" w:sz="6" w:space="0" w:color="auto"/>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590" w:hRule="exact"/>
        </w:trPr>
        <w:tc>
          <w:tcPr>
            <w:tcW w:w="1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841,543,877.35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519,536,516.55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828,565,145.09</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z w:val="18"/>
              </w:rPr>
              <w:t>554,056,663.22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）主营业务（分地区）</w:t>
      </w:r>
    </w:p>
    <w:p>
      <w:pPr>
        <w:spacing w:line="240" w:lineRule="auto" w:before="11"/>
        <w:rPr>
          <w:rFonts w:ascii="宋体" w:hAnsi="宋体" w:cs="宋体" w:eastAsia="宋体" w:hint="default"/>
          <w:sz w:val="18"/>
          <w:szCs w:val="18"/>
        </w:rPr>
      </w:pPr>
    </w:p>
    <w:p>
      <w:pPr>
        <w:spacing w:before="44"/>
        <w:ind w:left="6485"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704"/>
        <w:gridCol w:w="1690"/>
        <w:gridCol w:w="1688"/>
        <w:gridCol w:w="1690"/>
        <w:gridCol w:w="1690"/>
      </w:tblGrid>
      <w:tr>
        <w:trPr>
          <w:trHeight w:val="761" w:hRule="exact"/>
        </w:trPr>
        <w:tc>
          <w:tcPr>
            <w:tcW w:w="170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8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1704" w:type="dxa"/>
            <w:vMerge/>
            <w:tcBorders>
              <w:left w:val="nil" w:sz="6" w:space="0" w:color="auto"/>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59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337,290,210.14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214,550,135.18</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226,340,511.51</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151,249,168.76</w:t>
            </w:r>
          </w:p>
        </w:tc>
      </w:tr>
    </w:tbl>
    <w:p>
      <w:pPr>
        <w:spacing w:after="0" w:line="240" w:lineRule="auto"/>
        <w:jc w:val="left"/>
        <w:rPr>
          <w:rFonts w:ascii="Times New Roman" w:hAnsi="Times New Roman" w:cs="Times New Roman" w:eastAsia="Times New Roman" w:hint="default"/>
          <w:sz w:val="18"/>
          <w:szCs w:val="18"/>
        </w:rPr>
        <w:sectPr>
          <w:headerReference w:type="default" r:id="rId74"/>
          <w:footerReference w:type="default" r:id="rId75"/>
          <w:pgSz w:w="11910" w:h="16840"/>
          <w:pgMar w:header="922" w:footer="956" w:top="1180" w:bottom="1140" w:left="1640" w:right="0"/>
          <w:pgNumType w:start="1"/>
        </w:sectPr>
      </w:pPr>
    </w:p>
    <w:p>
      <w:pPr>
        <w:spacing w:line="240" w:lineRule="auto" w:before="7"/>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1704"/>
        <w:gridCol w:w="1690"/>
        <w:gridCol w:w="1688"/>
        <w:gridCol w:w="1690"/>
        <w:gridCol w:w="1690"/>
      </w:tblGrid>
      <w:tr>
        <w:trPr>
          <w:trHeight w:val="591"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112,802,154.19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63,196,959.21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81,961,718.97</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50,626,161.31</w:t>
            </w:r>
          </w:p>
        </w:tc>
      </w:tr>
      <w:tr>
        <w:trPr>
          <w:trHeight w:val="59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280,681,681.24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169,918,978.00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364,965,630.22</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246,645,179.64</w:t>
            </w:r>
          </w:p>
        </w:tc>
      </w:tr>
      <w:tr>
        <w:trPr>
          <w:trHeight w:val="59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110,769,831.78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71,870,444.16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155,297,284.39</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105,536,153.51</w:t>
            </w:r>
          </w:p>
        </w:tc>
      </w:tr>
      <w:tr>
        <w:trPr>
          <w:trHeight w:val="59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841,543,877.35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519,536,516.55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828,565,145.09</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554,056,663.22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1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）前五名客户的营业收入情况</w:t>
      </w:r>
    </w:p>
    <w:p>
      <w:pPr>
        <w:spacing w:line="240" w:lineRule="auto" w:before="11"/>
        <w:rPr>
          <w:rFonts w:ascii="宋体" w:hAnsi="宋体" w:cs="宋体" w:eastAsia="宋体" w:hint="default"/>
          <w:sz w:val="18"/>
          <w:szCs w:val="18"/>
        </w:rPr>
      </w:pPr>
    </w:p>
    <w:p>
      <w:pPr>
        <w:spacing w:before="44"/>
        <w:ind w:left="6485"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4184"/>
        <w:gridCol w:w="1839"/>
        <w:gridCol w:w="2328"/>
      </w:tblGrid>
      <w:tr>
        <w:trPr>
          <w:trHeight w:val="590"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占全部营业收入的比例</w:t>
            </w:r>
            <w:r>
              <w:rPr>
                <w:rFonts w:ascii="Times New Roman" w:hAnsi="Times New Roman" w:cs="Times New Roman" w:eastAsia="Times New Roman" w:hint="default"/>
                <w:sz w:val="18"/>
                <w:szCs w:val="18"/>
              </w:rPr>
              <w:t>(%)</w:t>
            </w:r>
          </w:p>
        </w:tc>
      </w:tr>
      <w:tr>
        <w:trPr>
          <w:trHeight w:val="590"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云南中烟物资（集团）有限责任公司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153,345,032.14</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18.02</w:t>
            </w:r>
          </w:p>
        </w:tc>
      </w:tr>
      <w:tr>
        <w:trPr>
          <w:trHeight w:val="590"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山东中烟工业有限责任公司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138,966,808.15</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16.33</w:t>
            </w:r>
          </w:p>
        </w:tc>
      </w:tr>
      <w:tr>
        <w:trPr>
          <w:trHeight w:val="590"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川渝中烟工业有限责任公司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125,438,298.17</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14.74</w:t>
            </w:r>
          </w:p>
        </w:tc>
      </w:tr>
      <w:tr>
        <w:trPr>
          <w:trHeight w:val="588"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深圳烟草工业有限责任公司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104,777,479.13</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12.31</w:t>
            </w:r>
          </w:p>
        </w:tc>
      </w:tr>
      <w:tr>
        <w:trPr>
          <w:trHeight w:val="591"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江西中烟工业有限责任公司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67,904,346.23</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7.98</w:t>
            </w:r>
          </w:p>
        </w:tc>
      </w:tr>
      <w:tr>
        <w:trPr>
          <w:trHeight w:val="590" w:hRule="exact"/>
        </w:trPr>
        <w:tc>
          <w:tcPr>
            <w:tcW w:w="4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590,431,963.82</w:t>
            </w:r>
          </w:p>
        </w:tc>
        <w:tc>
          <w:tcPr>
            <w:tcW w:w="23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69.39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6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）投资收益明细情况</w:t>
      </w:r>
    </w:p>
    <w:p>
      <w:pPr>
        <w:spacing w:line="240" w:lineRule="auto" w:before="0"/>
        <w:rPr>
          <w:rFonts w:ascii="宋体" w:hAnsi="宋体" w:cs="宋体" w:eastAsia="宋体" w:hint="default"/>
          <w:sz w:val="19"/>
          <w:szCs w:val="19"/>
        </w:rPr>
      </w:pPr>
    </w:p>
    <w:p>
      <w:pPr>
        <w:spacing w:before="44"/>
        <w:ind w:left="6627"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4549"/>
        <w:gridCol w:w="1946"/>
        <w:gridCol w:w="1949"/>
      </w:tblGrid>
      <w:tr>
        <w:trPr>
          <w:trHeight w:val="588" w:hRule="exact"/>
        </w:trPr>
        <w:tc>
          <w:tcPr>
            <w:tcW w:w="4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1" w:hRule="exact"/>
        </w:trPr>
        <w:tc>
          <w:tcPr>
            <w:tcW w:w="4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122,046,634.20</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60,785,581.95</w:t>
            </w:r>
          </w:p>
        </w:tc>
      </w:tr>
      <w:tr>
        <w:trPr>
          <w:trHeight w:val="590" w:hRule="exact"/>
        </w:trPr>
        <w:tc>
          <w:tcPr>
            <w:tcW w:w="4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-1,299,558.47</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120,747,075.73</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60,785,581.95</w:t>
            </w:r>
          </w:p>
        </w:tc>
      </w:tr>
    </w:tbl>
    <w:p>
      <w:pPr>
        <w:spacing w:after="0" w:line="240" w:lineRule="auto"/>
        <w:jc w:val="right"/>
        <w:rPr>
          <w:rFonts w:ascii="Times New Roman" w:hAnsi="Times New Roman" w:cs="Times New Roman" w:eastAsia="Times New Roman" w:hint="default"/>
          <w:sz w:val="18"/>
          <w:szCs w:val="18"/>
        </w:rPr>
        <w:sectPr>
          <w:pgSz w:w="11910" w:h="16840"/>
          <w:pgMar w:header="922" w:footer="956" w:top="1180" w:bottom="1140" w:left="1640" w:right="0"/>
        </w:sectPr>
      </w:pPr>
    </w:p>
    <w:p>
      <w:pPr>
        <w:spacing w:line="240" w:lineRule="auto" w:before="0"/>
        <w:rPr>
          <w:rFonts w:ascii="宋体" w:hAnsi="宋体" w:cs="宋体" w:eastAsia="宋体" w:hint="default"/>
          <w:sz w:val="20"/>
          <w:szCs w:val="20"/>
        </w:rPr>
      </w:pPr>
    </w:p>
    <w:p>
      <w:pPr>
        <w:spacing w:before="175"/>
        <w:ind w:left="2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6567"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747"/>
        <w:gridCol w:w="1400"/>
        <w:gridCol w:w="1392"/>
      </w:tblGrid>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254,949,583.92</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172,714,980.56</w:t>
            </w:r>
          </w:p>
        </w:tc>
      </w:tr>
      <w:tr>
        <w:trPr>
          <w:trHeight w:val="588"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7,348,621.53</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-621,514.89</w:t>
            </w:r>
          </w:p>
        </w:tc>
      </w:tr>
      <w:tr>
        <w:trPr>
          <w:trHeight w:val="591"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33,453,145.40</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36,991,525.69</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2,979,228.96</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2,962,624.20</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480" w:lineRule="atLeast" w:before="46"/>
              <w:ind w:left="122" w:right="101" w:firstLine="359"/>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24"/>
                <w:sz w:val="18"/>
                <w:szCs w:val="18"/>
              </w:rPr>
              <w:t>、</w:t>
            </w:r>
            <w:r>
              <w:rPr>
                <w:rFonts w:ascii="宋体" w:hAnsi="宋体" w:cs="宋体" w:eastAsia="宋体" w:hint="default"/>
                <w:sz w:val="18"/>
                <w:szCs w:val="18"/>
              </w:rPr>
              <w:t>无形资产和</w:t>
            </w:r>
            <w:r>
              <w:rPr>
                <w:rFonts w:ascii="宋体" w:hAnsi="宋体" w:cs="宋体" w:eastAsia="宋体" w:hint="default"/>
                <w:spacing w:val="2"/>
                <w:sz w:val="18"/>
                <w:szCs w:val="18"/>
              </w:rPr>
              <w:t>其</w:t>
            </w:r>
            <w:r>
              <w:rPr>
                <w:rFonts w:ascii="宋体" w:hAnsi="宋体" w:cs="宋体" w:eastAsia="宋体" w:hint="default"/>
                <w:sz w:val="18"/>
                <w:szCs w:val="18"/>
              </w:rPr>
              <w:t>他长期资产的损</w:t>
            </w:r>
            <w:r>
              <w:rPr>
                <w:rFonts w:ascii="宋体" w:hAnsi="宋体" w:cs="宋体" w:eastAsia="宋体" w:hint="default"/>
                <w:spacing w:val="-24"/>
                <w:sz w:val="18"/>
                <w:szCs w:val="18"/>
              </w:rPr>
              <w:t>失</w:t>
            </w:r>
            <w:r>
              <w:rPr>
                <w:rFonts w:ascii="宋体" w:hAnsi="宋体" w:cs="宋体" w:eastAsia="宋体" w:hint="default"/>
                <w:sz w:val="18"/>
                <w:szCs w:val="18"/>
              </w:rPr>
              <w:t>（收益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304,123.66</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spacing w:val="-1"/>
                <w:sz w:val="18"/>
              </w:rPr>
              <w:t>-502.50</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22,433,587.73</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16,079,355.61</w:t>
            </w:r>
          </w:p>
        </w:tc>
      </w:tr>
      <w:tr>
        <w:trPr>
          <w:trHeight w:val="588"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-120,747,075.73</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-60,785,581.95</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-658,454.55</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5,153,973.33</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-9,555,624.88</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-494,589.12</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85,567,046.15</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-6,665,720.89</w:t>
            </w:r>
          </w:p>
        </w:tc>
      </w:tr>
      <w:tr>
        <w:trPr>
          <w:trHeight w:val="591"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25,929,888.25</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-63,689,944.27</w:t>
            </w:r>
          </w:p>
        </w:tc>
      </w:tr>
      <w:tr>
        <w:trPr>
          <w:trHeight w:val="588"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302,004,070.44</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101,644,605.77</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22" w:footer="956" w:top="1180" w:bottom="1140" w:left="1560" w:right="0"/>
        </w:sectPr>
      </w:pPr>
    </w:p>
    <w:p>
      <w:pPr>
        <w:spacing w:line="240" w:lineRule="auto" w:before="7"/>
        <w:rPr>
          <w:rFonts w:ascii="宋体" w:hAnsi="宋体" w:cs="宋体" w:eastAsia="宋体" w:hint="default"/>
          <w:sz w:val="18"/>
          <w:szCs w:val="18"/>
        </w:rPr>
      </w:pPr>
    </w:p>
    <w:tbl>
      <w:tblPr>
        <w:tblW w:w="0" w:type="auto"/>
        <w:jc w:val="left"/>
        <w:tblInd w:w="113" w:type="dxa"/>
        <w:tblLayout w:type="fixed"/>
        <w:tblCellMar>
          <w:top w:w="0" w:type="dxa"/>
          <w:left w:w="0" w:type="dxa"/>
          <w:bottom w:w="0" w:type="dxa"/>
          <w:right w:w="0" w:type="dxa"/>
        </w:tblCellMar>
        <w:tblLook w:val="01E0"/>
      </w:tblPr>
      <w:tblGrid>
        <w:gridCol w:w="5747"/>
        <w:gridCol w:w="1400"/>
        <w:gridCol w:w="1392"/>
      </w:tblGrid>
      <w:tr>
        <w:trPr>
          <w:trHeight w:val="591"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8"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503,816,498.94</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325,727,494.95</w:t>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325,727,494.95</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419,934,425.15</w:t>
            </w:r>
          </w:p>
        </w:tc>
      </w:tr>
      <w:tr>
        <w:trPr>
          <w:trHeight w:val="591"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color w:val="0000FF"/>
                <w:w w:val="99"/>
                <w:sz w:val="18"/>
              </w:rPr>
              <w:t>-</w:t>
            </w:r>
            <w:r>
              <w:rPr>
                <w:rFonts w:ascii="Times New Roman"/>
                <w:sz w:val="18"/>
              </w:rPr>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178,089,003.99</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-94,206,930.20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6"/>
        <w:ind w:left="240" w:right="0" w:firstLine="0"/>
        <w:jc w:val="left"/>
        <w:rPr>
          <w:rFonts w:ascii="宋体" w:hAnsi="宋体" w:cs="宋体" w:eastAsia="宋体" w:hint="default"/>
          <w:sz w:val="21"/>
          <w:szCs w:val="21"/>
        </w:rPr>
      </w:pPr>
      <w:r>
        <w:rPr>
          <w:rFonts w:ascii="宋体" w:hAnsi="宋体" w:cs="宋体" w:eastAsia="宋体" w:hint="default"/>
          <w:b/>
          <w:bCs/>
          <w:sz w:val="21"/>
          <w:szCs w:val="21"/>
        </w:rPr>
        <w:t>十四、补充资料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before="0"/>
        <w:ind w:left="2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before="44"/>
        <w:ind w:left="6567"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221" w:type="dxa"/>
        <w:tblLayout w:type="fixed"/>
        <w:tblCellMar>
          <w:top w:w="0" w:type="dxa"/>
          <w:left w:w="0" w:type="dxa"/>
          <w:bottom w:w="0" w:type="dxa"/>
          <w:right w:w="0" w:type="dxa"/>
        </w:tblCellMar>
        <w:tblLook w:val="01E0"/>
      </w:tblPr>
      <w:tblGrid>
        <w:gridCol w:w="5235"/>
        <w:gridCol w:w="2437"/>
        <w:gridCol w:w="1983"/>
      </w:tblGrid>
      <w:tr>
        <w:trPr>
          <w:trHeight w:val="511"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8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09"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1,334,209.95</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8"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9"/>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标准定额或定量享受的政府补助除外）</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14,590,426.73</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8"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32" w:lineRule="exact"/>
              <w:ind w:left="122" w:right="102"/>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时应享有被投资单位可辨认净资产公允价值产生的收益</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22" w:footer="956" w:top="1180" w:bottom="1140" w:left="1560" w:right="0"/>
        </w:sectPr>
      </w:pPr>
    </w:p>
    <w:p>
      <w:pPr>
        <w:spacing w:line="240" w:lineRule="auto" w:before="7"/>
        <w:rPr>
          <w:rFonts w:ascii="宋体" w:hAnsi="宋体" w:cs="宋体" w:eastAsia="宋体" w:hint="default"/>
          <w:sz w:val="18"/>
          <w:szCs w:val="18"/>
        </w:rPr>
      </w:pPr>
    </w:p>
    <w:tbl>
      <w:tblPr>
        <w:tblW w:w="0" w:type="auto"/>
        <w:jc w:val="left"/>
        <w:tblInd w:w="121" w:type="dxa"/>
        <w:tblLayout w:type="fixed"/>
        <w:tblCellMar>
          <w:top w:w="0" w:type="dxa"/>
          <w:left w:w="0" w:type="dxa"/>
          <w:bottom w:w="0" w:type="dxa"/>
          <w:right w:w="0" w:type="dxa"/>
        </w:tblCellMar>
        <w:tblLook w:val="01E0"/>
      </w:tblPr>
      <w:tblGrid>
        <w:gridCol w:w="5235"/>
        <w:gridCol w:w="2437"/>
        <w:gridCol w:w="1983"/>
      </w:tblGrid>
      <w:tr>
        <w:trPr>
          <w:trHeight w:val="512"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8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09"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183"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金融资产、交易性金融负债产生的公允价值变动损益，以及处置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交易性金融资产、交易性金融负债和可供出售金融资产取得的投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资收益</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262,200.00</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5"/>
              <w:jc w:val="left"/>
              <w:rPr>
                <w:rFonts w:ascii="宋体" w:hAnsi="宋体" w:cs="宋体" w:eastAsia="宋体" w:hint="default"/>
                <w:sz w:val="18"/>
                <w:szCs w:val="18"/>
              </w:rPr>
            </w:pPr>
            <w:r>
              <w:rPr>
                <w:rFonts w:ascii="宋体" w:hAnsi="宋体" w:cs="宋体" w:eastAsia="宋体" w:hint="default"/>
                <w:spacing w:val="4"/>
                <w:sz w:val="18"/>
                <w:szCs w:val="18"/>
              </w:rPr>
              <w:t>采用公允价值模式进行后续计量的投资性房地产公允价值变动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产生的损益</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8"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22" w:right="102"/>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对当期损益的影响</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221,330.28</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2"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16,408,166.96</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2,576,158.16</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减：少数股东权益影响额（税后）</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1,316,033.26</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归属于母公司股东的非经常性损益</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12,515,975.54</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
        <w:rPr>
          <w:rFonts w:ascii="宋体" w:hAnsi="宋体" w:cs="宋体" w:eastAsia="宋体" w:hint="default"/>
          <w:sz w:val="12"/>
          <w:szCs w:val="12"/>
        </w:rPr>
      </w:pPr>
    </w:p>
    <w:p>
      <w:pPr>
        <w:spacing w:before="36"/>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tbl>
      <w:tblPr>
        <w:tblW w:w="0" w:type="auto"/>
        <w:jc w:val="left"/>
        <w:tblInd w:w="121" w:type="dxa"/>
        <w:tblLayout w:type="fixed"/>
        <w:tblCellMar>
          <w:top w:w="0" w:type="dxa"/>
          <w:left w:w="0" w:type="dxa"/>
          <w:bottom w:w="0" w:type="dxa"/>
          <w:right w:w="0" w:type="dxa"/>
        </w:tblCellMar>
        <w:tblLook w:val="01E0"/>
      </w:tblPr>
      <w:tblGrid>
        <w:gridCol w:w="2849"/>
        <w:gridCol w:w="2926"/>
        <w:gridCol w:w="1957"/>
        <w:gridCol w:w="1980"/>
      </w:tblGrid>
      <w:tr>
        <w:trPr>
          <w:trHeight w:val="511" w:hRule="exact"/>
        </w:trPr>
        <w:tc>
          <w:tcPr>
            <w:tcW w:w="284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9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9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09" w:hRule="exact"/>
        </w:trPr>
        <w:tc>
          <w:tcPr>
            <w:tcW w:w="2849" w:type="dxa"/>
            <w:vMerge/>
            <w:tcBorders>
              <w:left w:val="nil" w:sz="6" w:space="0" w:color="auto"/>
              <w:bottom w:val="single" w:sz="4" w:space="0" w:color="000000"/>
              <w:right w:val="single" w:sz="4" w:space="0" w:color="000000"/>
            </w:tcBorders>
          </w:tcPr>
          <w:p>
            <w:pPr/>
          </w:p>
        </w:tc>
        <w:tc>
          <w:tcPr>
            <w:tcW w:w="2926" w:type="dxa"/>
            <w:vMerge/>
            <w:tcBorders>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11"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18.86</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0.61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0.61</w:t>
            </w:r>
          </w:p>
        </w:tc>
      </w:tr>
      <w:tr>
        <w:trPr>
          <w:trHeight w:val="595"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20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18.25</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0.59</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spacing w:before="36"/>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、公司主要财务报表项目的异常情况及原因的说明</w:t>
      </w:r>
      <w:r>
        <w:rPr>
          <w:rFonts w:ascii="宋体" w:hAnsi="宋体" w:cs="宋体" w:eastAsia="宋体" w:hint="default"/>
          <w:sz w:val="21"/>
          <w:szCs w:val="21"/>
        </w:rPr>
      </w:r>
    </w:p>
    <w:p>
      <w:pPr>
        <w:spacing w:line="240" w:lineRule="auto" w:before="1"/>
        <w:rPr>
          <w:rFonts w:ascii="宋体" w:hAnsi="宋体" w:cs="宋体" w:eastAsia="宋体" w:hint="default"/>
          <w:b/>
          <w:bCs/>
          <w:sz w:val="14"/>
          <w:szCs w:val="14"/>
        </w:rPr>
      </w:pPr>
    </w:p>
    <w:p>
      <w:pPr>
        <w:spacing w:before="44"/>
        <w:ind w:left="6467"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pgSz w:w="11910" w:h="16840"/>
          <w:pgMar w:header="922" w:footer="956" w:top="1180" w:bottom="1140" w:left="1660" w:right="0"/>
        </w:sectPr>
      </w:pPr>
    </w:p>
    <w:p>
      <w:pPr>
        <w:spacing w:line="240" w:lineRule="auto" w:before="7"/>
        <w:rPr>
          <w:rFonts w:ascii="宋体" w:hAnsi="宋体" w:cs="宋体" w:eastAsia="宋体" w:hint="default"/>
          <w:sz w:val="18"/>
          <w:szCs w:val="18"/>
        </w:rPr>
      </w:pPr>
    </w:p>
    <w:tbl>
      <w:tblPr>
        <w:tblW w:w="0" w:type="auto"/>
        <w:jc w:val="left"/>
        <w:tblInd w:w="221" w:type="dxa"/>
        <w:tblLayout w:type="fixed"/>
        <w:tblCellMar>
          <w:top w:w="0" w:type="dxa"/>
          <w:left w:w="0" w:type="dxa"/>
          <w:bottom w:w="0" w:type="dxa"/>
          <w:right w:w="0" w:type="dxa"/>
        </w:tblCellMar>
        <w:tblLook w:val="01E0"/>
      </w:tblPr>
      <w:tblGrid>
        <w:gridCol w:w="1574"/>
        <w:gridCol w:w="1371"/>
        <w:gridCol w:w="1370"/>
        <w:gridCol w:w="1371"/>
        <w:gridCol w:w="991"/>
        <w:gridCol w:w="3263"/>
      </w:tblGrid>
      <w:tr>
        <w:trPr>
          <w:trHeight w:val="531"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增减比率</w:t>
            </w:r>
            <w:r>
              <w:rPr>
                <w:rFonts w:ascii="宋体" w:hAnsi="宋体" w:cs="宋体" w:eastAsia="宋体" w:hint="default"/>
                <w:sz w:val="18"/>
                <w:szCs w:val="18"/>
              </w:rPr>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增减原因</w:t>
            </w:r>
            <w:r>
              <w:rPr>
                <w:rFonts w:ascii="宋体" w:hAnsi="宋体" w:cs="宋体" w:eastAsia="宋体" w:hint="default"/>
                <w:sz w:val="18"/>
                <w:szCs w:val="18"/>
              </w:rPr>
            </w:r>
          </w:p>
        </w:tc>
      </w:tr>
      <w:tr>
        <w:trPr>
          <w:trHeight w:val="53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50,901,718.15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25,854,949.07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25,046,769.08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96.87%</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本期预付了股权收购款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w:t>
            </w:r>
            <w:r>
              <w:rPr>
                <w:rFonts w:ascii="宋体" w:hAnsi="宋体" w:cs="宋体" w:eastAsia="宋体" w:hint="default"/>
                <w:sz w:val="18"/>
                <w:szCs w:val="18"/>
              </w:rPr>
            </w:r>
          </w:p>
        </w:tc>
      </w:tr>
      <w:tr>
        <w:trPr>
          <w:trHeight w:val="53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106,786,877.86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31,549,494.18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75,237,383.68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238.47%</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本期增加了应收股权转让款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528"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42,593,798.38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19,438,450.80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23,155,347.58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119.12%</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年末应交增值税和所得税增加</w:t>
            </w:r>
          </w:p>
        </w:tc>
      </w:tr>
      <w:tr>
        <w:trPr>
          <w:trHeight w:val="53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21,512,227.39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45,620,409.95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-24,108,182.56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-52.85%</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本期子公司偿还股东往来款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53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12,519,059.56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20,994,125.88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49" w:right="0"/>
              <w:jc w:val="center"/>
              <w:rPr>
                <w:rFonts w:ascii="Times New Roman" w:hAnsi="Times New Roman" w:cs="Times New Roman" w:eastAsia="Times New Roman" w:hint="default"/>
                <w:sz w:val="18"/>
                <w:szCs w:val="18"/>
              </w:rPr>
            </w:pPr>
            <w:r>
              <w:rPr>
                <w:rFonts w:ascii="Times New Roman"/>
                <w:sz w:val="18"/>
              </w:rPr>
              <w:t>-8,475,066.32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-40.37%</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转让子公司，减少公允价值调整</w:t>
            </w:r>
          </w:p>
        </w:tc>
      </w:tr>
      <w:tr>
        <w:trPr>
          <w:trHeight w:val="53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279,140,020.83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654,458,884.77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-375,318,863.94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-57.35%</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转让子公司，减少少数股东权益</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tbl>
      <w:tblPr>
        <w:tblW w:w="0" w:type="auto"/>
        <w:jc w:val="left"/>
        <w:tblInd w:w="221" w:type="dxa"/>
        <w:tblLayout w:type="fixed"/>
        <w:tblCellMar>
          <w:top w:w="0" w:type="dxa"/>
          <w:left w:w="0" w:type="dxa"/>
          <w:bottom w:w="0" w:type="dxa"/>
          <w:right w:w="0" w:type="dxa"/>
        </w:tblCellMar>
        <w:tblLook w:val="01E0"/>
      </w:tblPr>
      <w:tblGrid>
        <w:gridCol w:w="1200"/>
        <w:gridCol w:w="1366"/>
        <w:gridCol w:w="1366"/>
        <w:gridCol w:w="1383"/>
        <w:gridCol w:w="924"/>
        <w:gridCol w:w="2192"/>
      </w:tblGrid>
      <w:tr>
        <w:trPr>
          <w:trHeight w:val="890"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35"/>
              <w:jc w:val="right"/>
              <w:rPr>
                <w:rFonts w:ascii="宋体" w:hAnsi="宋体" w:cs="宋体" w:eastAsia="宋体" w:hint="default"/>
                <w:sz w:val="18"/>
                <w:szCs w:val="18"/>
              </w:rPr>
            </w:pPr>
            <w:r>
              <w:rPr>
                <w:rFonts w:ascii="宋体" w:hAnsi="宋体" w:cs="宋体" w:eastAsia="宋体" w:hint="default"/>
                <w:b/>
                <w:bCs/>
                <w:w w:val="95"/>
                <w:sz w:val="18"/>
                <w:szCs w:val="18"/>
              </w:rPr>
              <w:t>上年同期金额</w:t>
            </w:r>
            <w:r>
              <w:rPr>
                <w:rFonts w:ascii="宋体" w:hAnsi="宋体" w:cs="宋体" w:eastAsia="宋体" w:hint="default"/>
                <w:sz w:val="18"/>
                <w:szCs w:val="18"/>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440" w:lineRule="exact" w:before="34"/>
              <w:ind w:left="364" w:right="187" w:hanging="183"/>
              <w:jc w:val="left"/>
              <w:rPr>
                <w:rFonts w:ascii="宋体" w:hAnsi="宋体" w:cs="宋体" w:eastAsia="宋体" w:hint="default"/>
                <w:sz w:val="18"/>
                <w:szCs w:val="18"/>
              </w:rPr>
            </w:pPr>
            <w:r>
              <w:rPr>
                <w:rFonts w:ascii="宋体" w:hAnsi="宋体" w:cs="宋体" w:eastAsia="宋体" w:hint="default"/>
                <w:b/>
                <w:bCs/>
                <w:sz w:val="18"/>
                <w:szCs w:val="18"/>
              </w:rPr>
              <w:t>增减比</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增减原因</w:t>
            </w:r>
            <w:r>
              <w:rPr>
                <w:rFonts w:ascii="宋体" w:hAnsi="宋体" w:cs="宋体" w:eastAsia="宋体" w:hint="default"/>
                <w:sz w:val="18"/>
                <w:szCs w:val="18"/>
              </w:rPr>
            </w:r>
          </w:p>
        </w:tc>
      </w:tr>
      <w:tr>
        <w:trPr>
          <w:trHeight w:val="888"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440" w:lineRule="exact" w:before="34"/>
              <w:ind w:left="122" w:right="86"/>
              <w:jc w:val="left"/>
              <w:rPr>
                <w:rFonts w:ascii="宋体" w:hAnsi="宋体" w:cs="宋体" w:eastAsia="宋体" w:hint="default"/>
                <w:sz w:val="18"/>
                <w:szCs w:val="18"/>
              </w:rPr>
            </w:pPr>
            <w:r>
              <w:rPr>
                <w:rFonts w:ascii="宋体" w:hAnsi="宋体" w:cs="宋体" w:eastAsia="宋体" w:hint="default"/>
                <w:spacing w:val="12"/>
                <w:sz w:val="18"/>
                <w:szCs w:val="18"/>
              </w:rPr>
              <w:t>营业税金及</w:t>
            </w:r>
            <w:r>
              <w:rPr>
                <w:rFonts w:ascii="宋体" w:hAnsi="宋体" w:cs="宋体" w:eastAsia="宋体" w:hint="default"/>
                <w:spacing w:val="-86"/>
                <w:sz w:val="18"/>
                <w:szCs w:val="18"/>
              </w:rPr>
              <w:t> </w:t>
            </w:r>
            <w:r>
              <w:rPr>
                <w:rFonts w:ascii="宋体" w:hAnsi="宋体" w:cs="宋体" w:eastAsia="宋体" w:hint="default"/>
                <w:sz w:val="18"/>
                <w:szCs w:val="18"/>
              </w:rPr>
              <w:t>附加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20,368,285.12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3,075,685.04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17,292,600.08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562.24%</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440" w:lineRule="exact" w:before="34"/>
              <w:ind w:left="103" w:right="89"/>
              <w:jc w:val="left"/>
              <w:rPr>
                <w:rFonts w:ascii="宋体" w:hAnsi="宋体" w:cs="宋体" w:eastAsia="宋体" w:hint="default"/>
                <w:sz w:val="18"/>
                <w:szCs w:val="18"/>
              </w:rPr>
            </w:pPr>
            <w:r>
              <w:rPr>
                <w:rFonts w:ascii="宋体" w:hAnsi="宋体" w:cs="宋体" w:eastAsia="宋体" w:hint="default"/>
                <w:spacing w:val="17"/>
                <w:sz w:val="18"/>
                <w:szCs w:val="18"/>
              </w:rPr>
              <w:t>本期中外合资企业开始</w:t>
            </w:r>
            <w:r>
              <w:rPr>
                <w:rFonts w:ascii="宋体" w:hAnsi="宋体" w:cs="宋体" w:eastAsia="宋体" w:hint="default"/>
                <w:spacing w:val="-71"/>
                <w:sz w:val="18"/>
                <w:szCs w:val="18"/>
              </w:rPr>
              <w:t> </w:t>
            </w:r>
            <w:r>
              <w:rPr>
                <w:rFonts w:ascii="宋体" w:hAnsi="宋体" w:cs="宋体" w:eastAsia="宋体" w:hint="default"/>
                <w:sz w:val="18"/>
                <w:szCs w:val="18"/>
              </w:rPr>
              <w:t>缴纳附加税</w:t>
            </w:r>
          </w:p>
        </w:tc>
      </w:tr>
      <w:tr>
        <w:trPr>
          <w:trHeight w:val="890"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440" w:lineRule="exact" w:before="37"/>
              <w:ind w:left="122" w:right="86"/>
              <w:jc w:val="left"/>
              <w:rPr>
                <w:rFonts w:ascii="宋体" w:hAnsi="宋体" w:cs="宋体" w:eastAsia="宋体" w:hint="default"/>
                <w:sz w:val="18"/>
                <w:szCs w:val="18"/>
              </w:rPr>
            </w:pPr>
            <w:r>
              <w:rPr>
                <w:rFonts w:ascii="宋体" w:hAnsi="宋体" w:cs="宋体" w:eastAsia="宋体" w:hint="default"/>
                <w:spacing w:val="12"/>
                <w:sz w:val="18"/>
                <w:szCs w:val="18"/>
              </w:rPr>
              <w:t>资产减值损</w:t>
            </w:r>
            <w:r>
              <w:rPr>
                <w:rFonts w:ascii="宋体" w:hAnsi="宋体" w:cs="宋体" w:eastAsia="宋体" w:hint="default"/>
                <w:spacing w:val="-86"/>
                <w:sz w:val="18"/>
                <w:szCs w:val="18"/>
              </w:rPr>
              <w:t> </w:t>
            </w:r>
            <w:r>
              <w:rPr>
                <w:rFonts w:ascii="宋体" w:hAnsi="宋体" w:cs="宋体" w:eastAsia="宋体" w:hint="default"/>
                <w:sz w:val="18"/>
                <w:szCs w:val="18"/>
              </w:rPr>
              <w:t>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17,509,182.95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34,236,129.53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-16,726,946.58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-48.86%</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本期计提减值减少</w:t>
            </w:r>
          </w:p>
        </w:tc>
      </w:tr>
      <w:tr>
        <w:trPr>
          <w:trHeight w:val="451"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17,248,501.93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10,576,477.21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6,672,024.72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63.08%</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本期收到财政拨款增加</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44"/>
        <w:ind w:left="6567"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190"/>
        <w:gridCol w:w="1441"/>
        <w:gridCol w:w="1440"/>
        <w:gridCol w:w="1407"/>
        <w:gridCol w:w="936"/>
        <w:gridCol w:w="2124"/>
      </w:tblGrid>
      <w:tr>
        <w:trPr>
          <w:trHeight w:val="1049" w:hRule="exact"/>
        </w:trPr>
        <w:tc>
          <w:tcPr>
            <w:tcW w:w="1190" w:type="dxa"/>
            <w:tcBorders>
              <w:top w:val="single" w:sz="4" w:space="0" w:color="000000"/>
              <w:left w:val="nil" w:sz="6" w:space="0" w:color="auto"/>
              <w:bottom w:val="single" w:sz="4" w:space="0" w:color="000000"/>
              <w:right w:val="single" w:sz="4" w:space="0" w:color="000000"/>
            </w:tcBorders>
          </w:tcPr>
          <w:p>
            <w:pPr>
              <w:pStyle w:val="TableParagraph"/>
              <w:spacing w:line="520" w:lineRule="exact" w:before="49"/>
              <w:ind w:left="122" w:right="101"/>
              <w:jc w:val="left"/>
              <w:rPr>
                <w:rFonts w:ascii="宋体" w:hAnsi="宋体" w:cs="宋体" w:eastAsia="宋体" w:hint="default"/>
                <w:sz w:val="18"/>
                <w:szCs w:val="18"/>
              </w:rPr>
            </w:pPr>
            <w:r>
              <w:rPr>
                <w:rFonts w:ascii="宋体" w:hAnsi="宋体" w:cs="宋体" w:eastAsia="宋体" w:hint="default"/>
                <w:b/>
                <w:bCs/>
                <w:spacing w:val="11"/>
                <w:sz w:val="18"/>
                <w:szCs w:val="18"/>
              </w:rPr>
              <w:t>现金流量表</w:t>
            </w:r>
            <w:r>
              <w:rPr>
                <w:rFonts w:ascii="宋体" w:hAnsi="宋体" w:cs="宋体" w:eastAsia="宋体" w:hint="default"/>
                <w:b/>
                <w:bCs/>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上年同期金额</w:t>
            </w:r>
            <w:r>
              <w:rPr>
                <w:rFonts w:ascii="宋体" w:hAnsi="宋体" w:cs="宋体" w:eastAsia="宋体" w:hint="default"/>
                <w:sz w:val="18"/>
                <w:szCs w:val="18"/>
              </w:rPr>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520" w:lineRule="exact" w:before="49"/>
              <w:ind w:left="371" w:right="190" w:hanging="180"/>
              <w:jc w:val="left"/>
              <w:rPr>
                <w:rFonts w:ascii="宋体" w:hAnsi="宋体" w:cs="宋体" w:eastAsia="宋体" w:hint="default"/>
                <w:sz w:val="18"/>
                <w:szCs w:val="18"/>
              </w:rPr>
            </w:pPr>
            <w:r>
              <w:rPr>
                <w:rFonts w:ascii="宋体" w:hAnsi="宋体" w:cs="宋体" w:eastAsia="宋体" w:hint="default"/>
                <w:b/>
                <w:bCs/>
                <w:sz w:val="18"/>
                <w:szCs w:val="18"/>
              </w:rPr>
              <w:t>增减比</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增减原因</w:t>
            </w:r>
            <w:r>
              <w:rPr>
                <w:rFonts w:ascii="宋体" w:hAnsi="宋体" w:cs="宋体" w:eastAsia="宋体" w:hint="default"/>
                <w:sz w:val="18"/>
                <w:szCs w:val="18"/>
              </w:rPr>
            </w:r>
          </w:p>
        </w:tc>
      </w:tr>
      <w:tr>
        <w:trPr>
          <w:trHeight w:val="830" w:hRule="exact"/>
        </w:trPr>
        <w:tc>
          <w:tcPr>
            <w:tcW w:w="119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6"/>
              <w:ind w:left="122" w:right="89"/>
              <w:jc w:val="both"/>
              <w:rPr>
                <w:rFonts w:ascii="宋体" w:hAnsi="宋体" w:cs="宋体" w:eastAsia="宋体" w:hint="default"/>
                <w:sz w:val="18"/>
                <w:szCs w:val="18"/>
              </w:rPr>
            </w:pPr>
            <w:r>
              <w:rPr>
                <w:rFonts w:ascii="宋体" w:hAnsi="宋体" w:cs="宋体" w:eastAsia="宋体" w:hint="default"/>
                <w:spacing w:val="14"/>
                <w:sz w:val="18"/>
                <w:szCs w:val="18"/>
              </w:rPr>
              <w:t>经营活动产 生的现金流 </w:t>
            </w:r>
            <w:r>
              <w:rPr>
                <w:rFonts w:ascii="宋体" w:hAnsi="宋体" w:cs="宋体" w:eastAsia="宋体" w:hint="default"/>
                <w:sz w:val="18"/>
                <w:szCs w:val="18"/>
              </w:rPr>
              <w:t>量净额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97" w:right="0"/>
              <w:jc w:val="center"/>
              <w:rPr>
                <w:rFonts w:ascii="Times New Roman" w:hAnsi="Times New Roman" w:cs="Times New Roman" w:eastAsia="Times New Roman" w:hint="default"/>
                <w:sz w:val="18"/>
                <w:szCs w:val="18"/>
              </w:rPr>
            </w:pPr>
            <w:r>
              <w:rPr>
                <w:rFonts w:ascii="Times New Roman"/>
                <w:sz w:val="18"/>
              </w:rPr>
              <w:t>649,276,873.14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01" w:right="0"/>
              <w:jc w:val="left"/>
              <w:rPr>
                <w:rFonts w:ascii="Times New Roman" w:hAnsi="Times New Roman" w:cs="Times New Roman" w:eastAsia="Times New Roman" w:hint="default"/>
                <w:sz w:val="18"/>
                <w:szCs w:val="18"/>
              </w:rPr>
            </w:pPr>
            <w:r>
              <w:rPr>
                <w:rFonts w:ascii="Times New Roman"/>
                <w:sz w:val="18"/>
              </w:rPr>
              <w:t>373,214,813.29</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64" w:right="0"/>
              <w:jc w:val="center"/>
              <w:rPr>
                <w:rFonts w:ascii="Times New Roman" w:hAnsi="Times New Roman" w:cs="Times New Roman" w:eastAsia="Times New Roman" w:hint="default"/>
                <w:sz w:val="18"/>
                <w:szCs w:val="18"/>
              </w:rPr>
            </w:pPr>
            <w:r>
              <w:rPr>
                <w:rFonts w:ascii="Times New Roman"/>
                <w:sz w:val="18"/>
              </w:rPr>
              <w:t>276,062,059.85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98"/>
              <w:jc w:val="right"/>
              <w:rPr>
                <w:rFonts w:ascii="Times New Roman" w:hAnsi="Times New Roman" w:cs="Times New Roman" w:eastAsia="Times New Roman" w:hint="default"/>
                <w:sz w:val="18"/>
                <w:szCs w:val="18"/>
              </w:rPr>
            </w:pPr>
            <w:r>
              <w:rPr>
                <w:rFonts w:ascii="Times New Roman"/>
                <w:sz w:val="18"/>
              </w:rPr>
              <w:t>73.97%</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695" w:right="106" w:hanging="593"/>
              <w:jc w:val="left"/>
              <w:rPr>
                <w:rFonts w:ascii="宋体" w:hAnsi="宋体" w:cs="宋体" w:eastAsia="宋体" w:hint="default"/>
                <w:sz w:val="18"/>
                <w:szCs w:val="18"/>
              </w:rPr>
            </w:pPr>
            <w:r>
              <w:rPr>
                <w:rFonts w:ascii="宋体" w:hAnsi="宋体" w:cs="宋体" w:eastAsia="宋体" w:hint="default"/>
                <w:spacing w:val="-7"/>
                <w:sz w:val="18"/>
                <w:szCs w:val="18"/>
              </w:rPr>
              <w:t>本期营业收入增加，收到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货款增加</w:t>
            </w:r>
          </w:p>
        </w:tc>
      </w:tr>
      <w:tr>
        <w:trPr>
          <w:trHeight w:val="831" w:hRule="exact"/>
        </w:trPr>
        <w:tc>
          <w:tcPr>
            <w:tcW w:w="1190"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122" w:right="89"/>
              <w:jc w:val="both"/>
              <w:rPr>
                <w:rFonts w:ascii="宋体" w:hAnsi="宋体" w:cs="宋体" w:eastAsia="宋体" w:hint="default"/>
                <w:sz w:val="18"/>
                <w:szCs w:val="18"/>
              </w:rPr>
            </w:pPr>
            <w:r>
              <w:rPr>
                <w:rFonts w:ascii="宋体" w:hAnsi="宋体" w:cs="宋体" w:eastAsia="宋体" w:hint="default"/>
                <w:spacing w:val="14"/>
                <w:sz w:val="18"/>
                <w:szCs w:val="18"/>
              </w:rPr>
              <w:t>投资活动产 生的现金流 </w:t>
            </w:r>
            <w:r>
              <w:rPr>
                <w:rFonts w:ascii="宋体" w:hAnsi="宋体" w:cs="宋体" w:eastAsia="宋体" w:hint="default"/>
                <w:sz w:val="18"/>
                <w:szCs w:val="18"/>
              </w:rPr>
              <w:t>量净额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4" w:right="0"/>
              <w:jc w:val="center"/>
              <w:rPr>
                <w:rFonts w:ascii="Times New Roman" w:hAnsi="Times New Roman" w:cs="Times New Roman" w:eastAsia="Times New Roman" w:hint="default"/>
                <w:sz w:val="18"/>
                <w:szCs w:val="18"/>
              </w:rPr>
            </w:pPr>
            <w:r>
              <w:rPr>
                <w:rFonts w:ascii="Times New Roman"/>
                <w:sz w:val="18"/>
              </w:rPr>
              <w:t>-142,876,411.26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41" w:right="0"/>
              <w:jc w:val="left"/>
              <w:rPr>
                <w:rFonts w:ascii="Times New Roman" w:hAnsi="Times New Roman" w:cs="Times New Roman" w:eastAsia="Times New Roman" w:hint="default"/>
                <w:sz w:val="18"/>
                <w:szCs w:val="18"/>
              </w:rPr>
            </w:pPr>
            <w:r>
              <w:rPr>
                <w:rFonts w:ascii="Times New Roman"/>
                <w:sz w:val="18"/>
              </w:rPr>
              <w:t>-198,651,301.22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50" w:right="0"/>
              <w:jc w:val="center"/>
              <w:rPr>
                <w:rFonts w:ascii="Times New Roman" w:hAnsi="Times New Roman" w:cs="Times New Roman" w:eastAsia="Times New Roman" w:hint="default"/>
                <w:sz w:val="18"/>
                <w:szCs w:val="18"/>
              </w:rPr>
            </w:pPr>
            <w:r>
              <w:rPr>
                <w:rFonts w:ascii="Times New Roman"/>
                <w:sz w:val="18"/>
              </w:rPr>
              <w:t>55,774,889.96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98"/>
              <w:jc w:val="right"/>
              <w:rPr>
                <w:rFonts w:ascii="Times New Roman" w:hAnsi="Times New Roman" w:cs="Times New Roman" w:eastAsia="Times New Roman" w:hint="default"/>
                <w:sz w:val="18"/>
                <w:szCs w:val="18"/>
              </w:rPr>
            </w:pPr>
            <w:r>
              <w:rPr>
                <w:rFonts w:ascii="Times New Roman"/>
                <w:sz w:val="18"/>
              </w:rPr>
              <w:t>-28.08%</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本期工程支出减少</w:t>
            </w:r>
          </w:p>
        </w:tc>
      </w:tr>
      <w:tr>
        <w:trPr>
          <w:trHeight w:val="830" w:hRule="exact"/>
        </w:trPr>
        <w:tc>
          <w:tcPr>
            <w:tcW w:w="1190"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122" w:right="89"/>
              <w:jc w:val="both"/>
              <w:rPr>
                <w:rFonts w:ascii="宋体" w:hAnsi="宋体" w:cs="宋体" w:eastAsia="宋体" w:hint="default"/>
                <w:sz w:val="18"/>
                <w:szCs w:val="18"/>
              </w:rPr>
            </w:pPr>
            <w:r>
              <w:rPr>
                <w:rFonts w:ascii="宋体" w:hAnsi="宋体" w:cs="宋体" w:eastAsia="宋体" w:hint="default"/>
                <w:spacing w:val="14"/>
                <w:sz w:val="18"/>
                <w:szCs w:val="18"/>
              </w:rPr>
              <w:t>筹资活动产 生的现金流 </w:t>
            </w:r>
            <w:r>
              <w:rPr>
                <w:rFonts w:ascii="宋体" w:hAnsi="宋体" w:cs="宋体" w:eastAsia="宋体" w:hint="default"/>
                <w:sz w:val="18"/>
                <w:szCs w:val="18"/>
              </w:rPr>
              <w:t>量净额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7" w:right="0"/>
              <w:jc w:val="center"/>
              <w:rPr>
                <w:rFonts w:ascii="Times New Roman" w:hAnsi="Times New Roman" w:cs="Times New Roman" w:eastAsia="Times New Roman" w:hint="default"/>
                <w:sz w:val="18"/>
                <w:szCs w:val="18"/>
              </w:rPr>
            </w:pPr>
            <w:r>
              <w:rPr>
                <w:rFonts w:ascii="Times New Roman"/>
                <w:sz w:val="18"/>
              </w:rPr>
              <w:t>-379,038,845.51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41" w:right="0"/>
              <w:jc w:val="left"/>
              <w:rPr>
                <w:rFonts w:ascii="Times New Roman" w:hAnsi="Times New Roman" w:cs="Times New Roman" w:eastAsia="Times New Roman" w:hint="default"/>
                <w:sz w:val="18"/>
                <w:szCs w:val="18"/>
              </w:rPr>
            </w:pPr>
            <w:r>
              <w:rPr>
                <w:rFonts w:ascii="Times New Roman"/>
                <w:sz w:val="18"/>
              </w:rPr>
              <w:t>-205,592,040.88</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5" w:right="0"/>
              <w:jc w:val="center"/>
              <w:rPr>
                <w:rFonts w:ascii="Times New Roman" w:hAnsi="Times New Roman" w:cs="Times New Roman" w:eastAsia="Times New Roman" w:hint="default"/>
                <w:sz w:val="18"/>
                <w:szCs w:val="18"/>
              </w:rPr>
            </w:pPr>
            <w:r>
              <w:rPr>
                <w:rFonts w:ascii="Times New Roman"/>
                <w:sz w:val="18"/>
              </w:rPr>
              <w:t>-173,446,804.63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98"/>
              <w:jc w:val="right"/>
              <w:rPr>
                <w:rFonts w:ascii="Times New Roman" w:hAnsi="Times New Roman" w:cs="Times New Roman" w:eastAsia="Times New Roman" w:hint="default"/>
                <w:sz w:val="18"/>
                <w:szCs w:val="18"/>
              </w:rPr>
            </w:pPr>
            <w:r>
              <w:rPr>
                <w:rFonts w:ascii="Times New Roman"/>
                <w:sz w:val="18"/>
              </w:rPr>
              <w:t>84.36%</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本期股东分红增加</w:t>
            </w:r>
          </w:p>
        </w:tc>
      </w:tr>
    </w:tbl>
    <w:p>
      <w:pPr>
        <w:spacing w:after="0" w:line="240" w:lineRule="auto"/>
        <w:jc w:val="center"/>
        <w:rPr>
          <w:rFonts w:ascii="宋体" w:hAnsi="宋体" w:cs="宋体" w:eastAsia="宋体" w:hint="default"/>
          <w:sz w:val="18"/>
          <w:szCs w:val="18"/>
        </w:rPr>
        <w:sectPr>
          <w:footerReference w:type="default" r:id="rId76"/>
          <w:pgSz w:w="11910" w:h="16840"/>
          <w:pgMar w:footer="956" w:header="922" w:top="1180" w:bottom="1140" w:left="1560" w:right="0"/>
          <w:pgNumType w:start="6"/>
        </w:sectPr>
      </w:pPr>
    </w:p>
    <w:p>
      <w:pPr>
        <w:spacing w:line="240" w:lineRule="auto" w:before="0"/>
        <w:rPr>
          <w:rFonts w:ascii="宋体" w:hAnsi="宋体" w:cs="宋体" w:eastAsia="宋体" w:hint="default"/>
          <w:sz w:val="20"/>
          <w:szCs w:val="20"/>
        </w:rPr>
      </w:pPr>
    </w:p>
    <w:p>
      <w:pPr>
        <w:pStyle w:val="Heading1"/>
        <w:spacing w:line="240" w:lineRule="auto" w:before="178"/>
        <w:ind w:left="2613" w:right="0"/>
        <w:jc w:val="left"/>
        <w:rPr>
          <w:rFonts w:ascii="宋体" w:hAnsi="宋体" w:cs="宋体" w:eastAsia="宋体" w:hint="default"/>
        </w:rPr>
      </w:pPr>
      <w:bookmarkStart w:name="_TOC_250000" w:id="11"/>
      <w:r>
        <w:rPr>
          <w:rFonts w:ascii="宋体" w:hAnsi="宋体" w:cs="宋体" w:eastAsia="宋体" w:hint="default"/>
        </w:rPr>
        <w:t>第十一节</w:t>
      </w:r>
      <w:r>
        <w:rPr>
          <w:rFonts w:ascii="宋体" w:hAnsi="宋体" w:cs="宋体" w:eastAsia="宋体" w:hint="default"/>
          <w:spacing w:val="-5"/>
        </w:rPr>
        <w:t> </w:t>
      </w:r>
      <w:bookmarkEnd w:id="11"/>
      <w:r>
        <w:rPr>
          <w:rFonts w:ascii="宋体" w:hAnsi="宋体" w:cs="宋体" w:eastAsia="宋体" w:hint="default"/>
        </w:rPr>
        <w:t>备查文件目录</w:t>
      </w:r>
    </w:p>
    <w:p>
      <w:pPr>
        <w:spacing w:line="240" w:lineRule="auto" w:before="12"/>
        <w:rPr>
          <w:rFonts w:ascii="宋体" w:hAnsi="宋体" w:cs="宋体" w:eastAsia="宋体" w:hint="default"/>
          <w:sz w:val="23"/>
          <w:szCs w:val="23"/>
        </w:rPr>
      </w:pPr>
    </w:p>
    <w:p>
      <w:pPr>
        <w:pStyle w:val="BodyText"/>
        <w:spacing w:line="412" w:lineRule="auto"/>
        <w:ind w:left="140" w:right="1791"/>
        <w:jc w:val="left"/>
      </w:pPr>
      <w:r>
        <w:rPr>
          <w:spacing w:val="-3"/>
        </w:rPr>
        <w:t>一、载有法定代表人、主管会计工作负责人、会计机构负责人签名并盖章的会计</w:t>
      </w:r>
      <w:r>
        <w:rPr>
          <w:spacing w:val="-111"/>
        </w:rPr>
        <w:t> </w:t>
      </w:r>
      <w:r>
        <w:rPr>
          <w:spacing w:val="-111"/>
        </w:rPr>
      </w:r>
      <w:r>
        <w:rPr/>
        <w:t>报表。</w:t>
      </w:r>
    </w:p>
    <w:p>
      <w:pPr>
        <w:spacing w:line="240" w:lineRule="auto" w:before="1"/>
        <w:rPr>
          <w:rFonts w:ascii="宋体" w:hAnsi="宋体" w:cs="宋体" w:eastAsia="宋体" w:hint="default"/>
          <w:sz w:val="24"/>
          <w:szCs w:val="24"/>
        </w:rPr>
      </w:pPr>
    </w:p>
    <w:p>
      <w:pPr>
        <w:pStyle w:val="BodyText"/>
        <w:spacing w:line="240" w:lineRule="auto"/>
        <w:ind w:left="140" w:right="0"/>
        <w:jc w:val="left"/>
      </w:pPr>
      <w:r>
        <w:rPr/>
        <w:t>二、载有会计师事务所盖章、注册会计师签名并盖章的审计报告原件。</w:t>
      </w:r>
    </w:p>
    <w:p>
      <w:pPr>
        <w:spacing w:line="240" w:lineRule="auto" w:before="0"/>
        <w:rPr>
          <w:rFonts w:ascii="宋体" w:hAnsi="宋体" w:cs="宋体" w:eastAsia="宋体" w:hint="default"/>
          <w:sz w:val="24"/>
          <w:szCs w:val="24"/>
        </w:rPr>
      </w:pPr>
    </w:p>
    <w:p>
      <w:pPr>
        <w:pStyle w:val="BodyText"/>
        <w:spacing w:line="412" w:lineRule="auto" w:before="168"/>
        <w:ind w:left="140" w:right="1791"/>
        <w:jc w:val="left"/>
      </w:pPr>
      <w:r>
        <w:rPr>
          <w:spacing w:val="-3"/>
        </w:rPr>
        <w:t>三、报告期内在中国证监会指定报纸上公开披露过的所有公司文件的正本及公告</w:t>
      </w:r>
      <w:r>
        <w:rPr>
          <w:spacing w:val="-109"/>
        </w:rPr>
        <w:t> </w:t>
      </w:r>
      <w:r>
        <w:rPr>
          <w:spacing w:val="-109"/>
        </w:rPr>
      </w:r>
      <w:r>
        <w:rPr/>
        <w:t>的原稿。</w:t>
      </w:r>
    </w:p>
    <w:p>
      <w:pPr>
        <w:spacing w:line="240" w:lineRule="auto" w:before="1"/>
        <w:rPr>
          <w:rFonts w:ascii="宋体" w:hAnsi="宋体" w:cs="宋体" w:eastAsia="宋体" w:hint="default"/>
          <w:sz w:val="24"/>
          <w:szCs w:val="24"/>
        </w:rPr>
      </w:pPr>
    </w:p>
    <w:p>
      <w:pPr>
        <w:pStyle w:val="BodyText"/>
        <w:spacing w:line="609" w:lineRule="auto"/>
        <w:ind w:left="140" w:right="4686"/>
        <w:jc w:val="left"/>
      </w:pPr>
      <w:r>
        <w:rPr/>
        <w:t>四、载有法定代表人签字的</w:t>
      </w:r>
      <w:r>
        <w:rPr>
          <w:spacing w:val="-60"/>
        </w:rPr>
        <w:t> </w:t>
      </w:r>
      <w:r>
        <w:rPr>
          <w:rFonts w:ascii="宋体" w:hAnsi="宋体" w:cs="宋体" w:eastAsia="宋体" w:hint="default"/>
        </w:rPr>
        <w:t>2011</w:t>
      </w:r>
      <w:r>
        <w:rPr>
          <w:rFonts w:ascii="宋体" w:hAnsi="宋体" w:cs="宋体" w:eastAsia="宋体" w:hint="default"/>
          <w:spacing w:val="-60"/>
        </w:rPr>
        <w:t> </w:t>
      </w:r>
      <w:r>
        <w:rPr/>
        <w:t>年年度报告原件。 五、以上文件置备于公司董事会办公室备查。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BodyText"/>
        <w:spacing w:line="240" w:lineRule="auto"/>
        <w:ind w:left="3981" w:right="0"/>
        <w:jc w:val="left"/>
      </w:pPr>
      <w:r>
        <w:rPr/>
        <w:t>董事长：乔鲁予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3"/>
          <w:szCs w:val="23"/>
        </w:rPr>
      </w:pPr>
    </w:p>
    <w:p>
      <w:pPr>
        <w:pStyle w:val="BodyText"/>
        <w:spacing w:line="506" w:lineRule="auto"/>
        <w:ind w:left="5301" w:right="2046" w:hanging="1201"/>
        <w:jc w:val="left"/>
      </w:pPr>
      <w:r>
        <w:rPr/>
        <w:t>深圳劲嘉彩印集团股份有限公司董事会 二〇一二年三月十五日</w:t>
      </w:r>
    </w:p>
    <w:sectPr>
      <w:pgSz w:w="11910" w:h="16840"/>
      <w:pgMar w:header="922" w:footer="956" w:top="1180" w:bottom="114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Cambria">
    <w:altName w:val="Cambria"/>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8744" type="#_x0000_t75" stroked="false">
          <v:imagedata r:id="rId1" o:title=""/>
        </v:shape>
      </w:pict>
    </w:r>
    <w:r>
      <w:rPr/>
      <w:pict>
        <v:shape style="position:absolute;margin-left:291.089996pt;margin-top:786.973938pt;width:13.15pt;height:11pt;mso-position-horizontal-relative:page;mso-position-vertical-relative:page;z-index:-928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927424" type="#_x0000_t75" stroked="false">
          <v:imagedata r:id="rId1" o:title=""/>
        </v:shape>
      </w:pict>
    </w:r>
    <w:r>
      <w:rPr/>
      <w:pict>
        <v:shape style="position:absolute;margin-left:414.450012pt;margin-top:546.013916pt;width:13.15pt;height:11pt;mso-position-horizontal-relative:page;mso-position-vertical-relative:page;z-index:-927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7232" type="#_x0000_t75" stroked="false">
          <v:imagedata r:id="rId1" o:title=""/>
        </v:shape>
      </w:pict>
    </w:r>
    <w:r>
      <w:rPr/>
      <w:pict>
        <v:shape style="position:absolute;margin-left:291.089996pt;margin-top:786.973938pt;width:13.15pt;height:11pt;mso-position-horizontal-relative:page;mso-position-vertical-relative:page;z-index:-927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927088" type="#_x0000_t75" stroked="false">
          <v:imagedata r:id="rId1" o:title=""/>
        </v:shape>
      </w:pict>
    </w:r>
    <w:r>
      <w:rPr/>
      <w:pict>
        <v:shape style="position:absolute;margin-left:414.450012pt;margin-top:540.373962pt;width:13.15pt;height:11pt;mso-position-horizontal-relative:page;mso-position-vertical-relative:page;z-index:-927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7016" type="#_x0000_t75" stroked="false">
          <v:imagedata r:id="rId1" o:title=""/>
        </v:shape>
      </w:pict>
    </w:r>
    <w:r>
      <w:rPr/>
      <w:pict>
        <v:shape style="position:absolute;margin-left:291.089996pt;margin-top:786.973938pt;width:13.15pt;height:11pt;mso-position-horizontal-relative:page;mso-position-vertical-relative:page;z-index:-926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6920" type="#_x0000_t75" stroked="false">
          <v:imagedata r:id="rId1" o:title=""/>
        </v:shape>
      </w:pict>
    </w:r>
    <w:r>
      <w:rPr/>
      <w:pict>
        <v:shape style="position:absolute;margin-left:291.089996pt;margin-top:786.973938pt;width:13.15pt;height:11pt;mso-position-horizontal-relative:page;mso-position-vertical-relative:page;z-index:-926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6872" type="#_x0000_t75" stroked="false">
          <v:imagedata r:id="rId1" o:title=""/>
        </v:shape>
      </w:pict>
    </w:r>
    <w:r>
      <w:rPr/>
      <w:pict>
        <v:shape style="position:absolute;margin-left:291.089996pt;margin-top:786.973938pt;width:13.15pt;height:11pt;mso-position-horizontal-relative:page;mso-position-vertical-relative:page;z-index:-926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6800" type="#_x0000_t75" stroked="false">
          <v:imagedata r:id="rId1" o:title=""/>
        </v:shape>
      </w:pict>
    </w:r>
    <w:r>
      <w:rPr/>
      <w:pict>
        <v:shape style="position:absolute;margin-left:291.089996pt;margin-top:786.973938pt;width:13.15pt;height:11pt;mso-position-horizontal-relative:page;mso-position-vertical-relative:page;z-index:-926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8504" type="#_x0000_t75" stroked="false">
          <v:imagedata r:id="rId1" o:title=""/>
        </v:shape>
      </w:pict>
    </w:r>
    <w:r>
      <w:rPr/>
      <w:pict>
        <v:shape style="position:absolute;margin-left:291.089996pt;margin-top:786.973938pt;width:13.15pt;height:11pt;mso-position-horizontal-relative:page;mso-position-vertical-relative:page;z-index:-928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926704" type="#_x0000_t75" stroked="false">
          <v:imagedata r:id="rId1" o:title=""/>
        </v:shape>
      </w:pict>
    </w:r>
    <w:r>
      <w:rPr/>
      <w:pict>
        <v:shape style="position:absolute;margin-left:414.450012pt;margin-top:543.133972pt;width:13.15pt;height:11pt;mso-position-horizontal-relative:page;mso-position-vertical-relative:page;z-index:-926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6632" type="#_x0000_t75" stroked="false">
          <v:imagedata r:id="rId1" o:title=""/>
        </v:shape>
      </w:pict>
    </w:r>
    <w:r>
      <w:rPr/>
      <w:pict>
        <v:shape style="position:absolute;margin-left:291.089996pt;margin-top:786.973938pt;width:13.15pt;height:11pt;mso-position-horizontal-relative:page;mso-position-vertical-relative:page;z-index:-926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6584" type="#_x0000_t75" stroked="false">
          <v:imagedata r:id="rId1" o:title=""/>
        </v:shape>
      </w:pict>
    </w:r>
    <w:r>
      <w:rPr/>
      <w:pict>
        <v:shape style="position:absolute;margin-left:289.809998pt;margin-top:786.973938pt;width:15.7pt;height:11pt;mso-position-horizontal-relative:page;mso-position-vertical-relative:page;z-index:-9265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6488" type="#_x0000_t75" stroked="false">
          <v:imagedata r:id="rId1" o:title=""/>
        </v:shape>
      </w:pict>
    </w:r>
    <w:r>
      <w:rPr/>
      <w:pict>
        <v:shape style="position:absolute;margin-left:284.369995pt;margin-top:786.973938pt;width:8.5pt;height:11pt;mso-position-horizontal-relative:page;mso-position-vertical-relative:page;z-index:-926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6440" type="#_x0000_t75" stroked="false">
          <v:imagedata r:id="rId1" o:title=""/>
        </v:shape>
      </w:pict>
    </w:r>
    <w:r>
      <w:rPr/>
      <w:pict>
        <v:shape style="position:absolute;margin-left:284.369995pt;margin-top:786.973938pt;width:8.5pt;height:11pt;mso-position-horizontal-relative:page;mso-position-vertical-relative:page;z-index:-926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8336" type="#_x0000_t75" stroked="false">
          <v:imagedata r:id="rId1" o:title=""/>
        </v:shape>
      </w:pict>
    </w:r>
    <w:r>
      <w:rPr/>
      <w:pict>
        <v:shape style="position:absolute;margin-left:291.089996pt;margin-top:786.973938pt;width:13.15pt;height:11pt;mso-position-horizontal-relative:page;mso-position-vertical-relative:page;z-index:-928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8216" type="#_x0000_t75" stroked="false">
          <v:imagedata r:id="rId1" o:title=""/>
        </v:shape>
      </w:pict>
    </w:r>
    <w:r>
      <w:rPr/>
      <w:pict>
        <v:shape style="position:absolute;margin-left:293.369995pt;margin-top:786.973938pt;width:8.5pt;height:11pt;mso-position-horizontal-relative:page;mso-position-vertical-relative:page;z-index:-928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8168" type="#_x0000_t75" stroked="false">
          <v:imagedata r:id="rId1" o:title=""/>
        </v:shape>
      </w:pict>
    </w:r>
    <w:r>
      <w:rPr/>
      <w:pict>
        <v:shape style="position:absolute;margin-left:55.639999pt;margin-top:766.801636pt;width:56pt;height:11pt;mso-position-horizontal-relative:page;mso-position-vertical-relative:page;z-index:-928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p>
            </w:txbxContent>
          </v:textbox>
          <w10:wrap type="none"/>
        </v:shape>
      </w:pict>
    </w:r>
    <w:r>
      <w:rPr/>
      <w:pict>
        <v:shape style="position:absolute;margin-left:172.660004pt;margin-top:766.801636pt;width:92.05pt;height:11pt;mso-position-horizontal-relative:page;mso-position-vertical-relative:page;z-index:-9281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w:t>
                </w:r>
              </w:p>
            </w:txbxContent>
          </v:textbox>
          <w10:wrap type="none"/>
        </v:shape>
      </w:pict>
    </w:r>
    <w:r>
      <w:rPr/>
      <w:pict>
        <v:shape style="position:absolute;margin-left:339.390015pt;margin-top:766.801636pt;width:74pt;height:11pt;mso-position-horizontal-relative:page;mso-position-vertical-relative:page;z-index:-9280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w:t>
                </w:r>
              </w:p>
            </w:txbxContent>
          </v:textbox>
          <w10:wrap type="none"/>
        </v:shape>
      </w:pict>
    </w:r>
    <w:r>
      <w:rPr/>
      <w:pict>
        <v:shape style="position:absolute;margin-left:293.369995pt;margin-top:786.973938pt;width:8.5pt;height:11pt;mso-position-horizontal-relative:page;mso-position-vertical-relative:page;z-index:-928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8048" type="#_x0000_t75" stroked="false">
          <v:imagedata r:id="rId1" o:title=""/>
        </v:shape>
      </w:pict>
    </w:r>
    <w:r>
      <w:rPr/>
      <w:pict>
        <v:shape style="position:absolute;margin-left:293.369995pt;margin-top:786.973938pt;width:8.5pt;height:11pt;mso-position-horizontal-relative:page;mso-position-vertical-relative:page;z-index:-928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8000" type="#_x0000_t75" stroked="false">
          <v:imagedata r:id="rId1" o:title=""/>
        </v:shape>
      </w:pict>
    </w:r>
    <w:r>
      <w:rPr/>
      <w:pict>
        <v:shape style="position:absolute;margin-left:55.639999pt;margin-top:765.241638pt;width:56pt;height:11pt;mso-position-horizontal-relative:page;mso-position-vertical-relative:page;z-index:-927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p>
            </w:txbxContent>
          </v:textbox>
          <w10:wrap type="none"/>
        </v:shape>
      </w:pict>
    </w:r>
    <w:r>
      <w:rPr/>
      <w:pict>
        <v:shape style="position:absolute;margin-left:172.660004pt;margin-top:765.241638pt;width:92pt;height:11pt;mso-position-horizontal-relative:page;mso-position-vertical-relative:page;z-index:-9279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w:t>
                </w:r>
              </w:p>
            </w:txbxContent>
          </v:textbox>
          <w10:wrap type="none"/>
        </v:shape>
      </w:pict>
    </w:r>
    <w:r>
      <w:rPr/>
      <w:pict>
        <v:shape style="position:absolute;margin-left:339.390015pt;margin-top:765.241638pt;width:74pt;height:11pt;mso-position-horizontal-relative:page;mso-position-vertical-relative:page;z-index:-9279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w:t>
                </w:r>
              </w:p>
            </w:txbxContent>
          </v:textbox>
          <w10:wrap type="none"/>
        </v:shape>
      </w:pict>
    </w:r>
    <w:r>
      <w:rPr/>
      <w:pict>
        <v:shape style="position:absolute;margin-left:293.369995pt;margin-top:786.973938pt;width:8.5pt;height:11pt;mso-position-horizontal-relative:page;mso-position-vertical-relative:page;z-index:-927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27880" type="#_x0000_t75" stroked="false">
          <v:imagedata r:id="rId1" o:title=""/>
        </v:shape>
      </w:pict>
    </w:r>
    <w:r>
      <w:rPr/>
      <w:pict>
        <v:shape style="position:absolute;margin-left:55.639999pt;margin-top:769.201599pt;width:56pt;height:11pt;mso-position-horizontal-relative:page;mso-position-vertical-relative:page;z-index:-9278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p>
            </w:txbxContent>
          </v:textbox>
          <w10:wrap type="none"/>
        </v:shape>
      </w:pict>
    </w:r>
    <w:r>
      <w:rPr/>
      <w:pict>
        <v:shape style="position:absolute;margin-left:172.660004pt;margin-top:769.201599pt;width:92pt;height:11pt;mso-position-horizontal-relative:page;mso-position-vertical-relative:page;z-index:-9278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w:t>
                </w:r>
              </w:p>
            </w:txbxContent>
          </v:textbox>
          <w10:wrap type="none"/>
        </v:shape>
      </w:pict>
    </w:r>
    <w:r>
      <w:rPr/>
      <w:pict>
        <v:shape style="position:absolute;margin-left:339.390015pt;margin-top:769.201599pt;width:74pt;height:11pt;mso-position-horizontal-relative:page;mso-position-vertical-relative:page;z-index:-9278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w:t>
                </w:r>
              </w:p>
            </w:txbxContent>
          </v:textbox>
          <w10:wrap type="none"/>
        </v:shape>
      </w:pict>
    </w:r>
    <w:r>
      <w:rPr/>
      <w:pict>
        <v:shape style="position:absolute;margin-left:291.089996pt;margin-top:786.973938pt;width:13.15pt;height:11pt;mso-position-horizontal-relative:page;mso-position-vertical-relative:page;z-index:-927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927664" type="#_x0000_t75" stroked="false">
          <v:imagedata r:id="rId1" o:title=""/>
        </v:shape>
      </w:pict>
    </w:r>
    <w:r>
      <w:rPr/>
      <w:pict>
        <v:shape style="position:absolute;margin-left:55.639999pt;margin-top:526.681641pt;width:56pt;height:11pt;mso-position-horizontal-relative:page;mso-position-vertical-relative:page;z-index:-9276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p>
            </w:txbxContent>
          </v:textbox>
          <w10:wrap type="none"/>
        </v:shape>
      </w:pict>
    </w:r>
    <w:r>
      <w:rPr/>
      <w:pict>
        <v:shape style="position:absolute;margin-left:267.369995pt;margin-top:526.681641pt;width:91.9pt;height:11pt;mso-position-horizontal-relative:page;mso-position-vertical-relative:page;z-index:-9276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w:t>
                </w:r>
              </w:p>
            </w:txbxContent>
          </v:textbox>
          <w10:wrap type="none"/>
        </v:shape>
      </w:pict>
    </w:r>
    <w:r>
      <w:rPr/>
      <w:pict>
        <v:shape style="position:absolute;margin-left:514.950012pt;margin-top:526.681641pt;width:73.9pt;height:11pt;mso-position-horizontal-relative:page;mso-position-vertical-relative:page;z-index:-9275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w:t>
                </w:r>
              </w:p>
            </w:txbxContent>
          </v:textbox>
          <w10:wrap type="none"/>
        </v:shape>
      </w:pict>
    </w:r>
    <w:r>
      <w:rPr/>
      <w:pict>
        <v:shape style="position:absolute;margin-left:414.450012pt;margin-top:546.013916pt;width:13.15pt;height:11pt;mso-position-horizontal-relative:page;mso-position-vertical-relative:page;z-index:-927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427.709991pt;margin-top:45.004982pt;width:112.1pt;height:13.15pt;mso-position-horizontal-relative:page;mso-position-vertical-relative:page;z-index:-92876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845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8432"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840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838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836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828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826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824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4.340027pt;margin-top:45.005009pt;width:112.05pt;height:13.15pt;mso-position-horizontal-relative:page;mso-position-vertical-relative:page;z-index:-92776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r>
      <w:rPr/>
      <w:pict>
        <v:shape style="position:absolute;margin-left:348.01001pt;margin-top:63.424381pt;width:145.9pt;height:33.2pt;mso-position-horizontal-relative:page;mso-position-vertical-relative:page;z-index:-927736" type="#_x0000_t202" filled="false" stroked="false">
          <v:textbox inset="0,0,0,0">
            <w:txbxContent>
              <w:p>
                <w:pPr>
                  <w:spacing w:line="339" w:lineRule="exact" w:before="0"/>
                  <w:ind w:left="0" w:right="0" w:firstLine="0"/>
                  <w:jc w:val="center"/>
                  <w:rPr>
                    <w:rFonts w:ascii="黑体" w:hAnsi="黑体" w:cs="黑体" w:eastAsia="黑体" w:hint="default"/>
                    <w:sz w:val="32"/>
                    <w:szCs w:val="32"/>
                  </w:rPr>
                </w:pPr>
                <w:r>
                  <w:rPr>
                    <w:rFonts w:ascii="黑体" w:hAnsi="黑体" w:cs="黑体" w:eastAsia="黑体" w:hint="default"/>
                    <w:sz w:val="32"/>
                    <w:szCs w:val="32"/>
                  </w:rPr>
                  <w:t>合并股东权益变动表</w:t>
                </w:r>
              </w:p>
              <w:p>
                <w:pPr>
                  <w:spacing w:before="59"/>
                  <w:ind w:left="3" w:right="0"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xbxContent>
          </v:textbox>
          <w10:wrap type="none"/>
        </v:shape>
      </w:pict>
    </w:r>
    <w:r>
      <w:rPr/>
      <w:pict>
        <v:shape style="position:absolute;margin-left:57.200001pt;margin-top:100.845634pt;width:173.05pt;height:11pt;mso-position-horizontal-relative:page;mso-position-vertical-relative:page;z-index:-9277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z w:val="18"/>
                    <w:szCs w:val="18"/>
                    <w:u w:val="single" w:color="000000"/>
                  </w:rPr>
                  <w:t>深圳劲嘉彩印集团股份有限公司</w:t>
                </w:r>
                <w:r>
                  <w:rPr>
                    <w:rFonts w:ascii="宋体" w:hAnsi="宋体" w:cs="宋体" w:eastAsia="宋体" w:hint="default"/>
                    <w:sz w:val="18"/>
                    <w:szCs w:val="18"/>
                  </w:rPr>
                </w:r>
              </w:p>
            </w:txbxContent>
          </v:textbox>
          <w10:wrap type="none"/>
        </v:shape>
      </w:pict>
    </w:r>
    <w:r>
      <w:rPr/>
      <w:pict>
        <v:shape style="position:absolute;margin-left:579.630005pt;margin-top:100.845634pt;width:100.95pt;height:11pt;mso-position-horizontal-relative:page;mso-position-vertical-relative:page;z-index:-9276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4.340027pt;margin-top:45.005009pt;width:112.05pt;height:13.15pt;mso-position-horizontal-relative:page;mso-position-vertical-relative:page;z-index:-92754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r>
      <w:rPr/>
      <w:pict>
        <v:shape style="position:absolute;margin-left:348.01001pt;margin-top:63.424381pt;width:145.9pt;height:33.2pt;mso-position-horizontal-relative:page;mso-position-vertical-relative:page;z-index:-927520" type="#_x0000_t202" filled="false" stroked="false">
          <v:textbox inset="0,0,0,0">
            <w:txbxContent>
              <w:p>
                <w:pPr>
                  <w:spacing w:line="339" w:lineRule="exact" w:before="0"/>
                  <w:ind w:left="0" w:right="0" w:firstLine="0"/>
                  <w:jc w:val="center"/>
                  <w:rPr>
                    <w:rFonts w:ascii="黑体" w:hAnsi="黑体" w:cs="黑体" w:eastAsia="黑体" w:hint="default"/>
                    <w:sz w:val="32"/>
                    <w:szCs w:val="32"/>
                  </w:rPr>
                </w:pPr>
                <w:r>
                  <w:rPr>
                    <w:rFonts w:ascii="黑体" w:hAnsi="黑体" w:cs="黑体" w:eastAsia="黑体" w:hint="default"/>
                    <w:sz w:val="32"/>
                    <w:szCs w:val="32"/>
                  </w:rPr>
                  <w:t>合并股东权益变动表</w:t>
                </w:r>
              </w:p>
              <w:p>
                <w:pPr>
                  <w:spacing w:before="59"/>
                  <w:ind w:left="5" w:right="0"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xbxContent>
          </v:textbox>
          <w10:wrap type="none"/>
        </v:shape>
      </w:pict>
    </w:r>
    <w:r>
      <w:rPr/>
      <w:pict>
        <v:shape style="position:absolute;margin-left:51.799999pt;margin-top:100.845634pt;width:173.05pt;height:11pt;mso-position-horizontal-relative:page;mso-position-vertical-relative:page;z-index:-9274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z w:val="18"/>
                    <w:szCs w:val="18"/>
                    <w:u w:val="single" w:color="000000"/>
                  </w:rPr>
                  <w:t>深圳劲嘉彩印集团股份有限公司</w:t>
                </w:r>
                <w:r>
                  <w:rPr>
                    <w:rFonts w:ascii="宋体" w:hAnsi="宋体" w:cs="宋体" w:eastAsia="宋体" w:hint="default"/>
                    <w:sz w:val="18"/>
                    <w:szCs w:val="18"/>
                  </w:rPr>
                </w:r>
              </w:p>
            </w:txbxContent>
          </v:textbox>
          <w10:wrap type="none"/>
        </v:shape>
      </w:pict>
    </w:r>
    <w:r>
      <w:rPr/>
      <w:pict>
        <v:shape style="position:absolute;margin-left:583.229980pt;margin-top:100.845634pt;width:100.95pt;height:11pt;mso-position-horizontal-relative:page;mso-position-vertical-relative:page;z-index:-9274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87"/>
                    <w:sz w:val="18"/>
                    <w:szCs w:val="18"/>
                  </w:rPr>
                  <w:t> </w:t>
                </w:r>
                <w:r>
                  <w:rPr>
                    <w:rFonts w:ascii="宋体" w:hAnsi="宋体" w:cs="宋体" w:eastAsia="宋体" w:hint="default"/>
                    <w:sz w:val="18"/>
                    <w:szCs w:val="18"/>
                  </w:rPr>
                  <w:t>币种：人民币</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869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4.340027pt;margin-top:45.005009pt;width:112.05pt;height:13.15pt;mso-position-horizontal-relative:page;mso-position-vertical-relative:page;z-index:-92744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87.830017pt;margin-top:70.220009pt;width:4.6pt;height:.1pt;mso-position-horizontal-relative:page;mso-position-vertical-relative:page;z-index:-927376" coordorigin="11757,1404" coordsize="92,2">
          <v:shape style="position:absolute;left:11757;top:1404;width:92;height:2" coordorigin="11757,1404" coordsize="92,0" path="m11757,1404l11848,1404e" filled="false" stroked="true" strokeweight=".48pt" strokecolor="#ffffff">
            <v:path arrowok="t"/>
          </v:shape>
          <w10:wrap type="none"/>
        </v:group>
      </w:pict>
    </w:r>
    <w:r>
      <w:rPr/>
      <w:pict>
        <v:shape style="position:absolute;margin-left:674.340027pt;margin-top:45.005009pt;width:112.05pt;height:13.15pt;mso-position-horizontal-relative:page;mso-position-vertical-relative:page;z-index:-927352"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r>
      <w:rPr/>
      <w:pict>
        <v:shape style="position:absolute;margin-left:55.639999pt;margin-top:60.285633pt;width:56pt;height:11pt;mso-position-horizontal-relative:page;mso-position-vertical-relative:page;z-index:-9273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p>
            </w:txbxContent>
          </v:textbox>
          <w10:wrap type="none"/>
        </v:shape>
      </w:pict>
    </w:r>
    <w:r>
      <w:rPr/>
      <w:pict>
        <v:shape style="position:absolute;margin-left:267.369995pt;margin-top:60.285633pt;width:91.9pt;height:11pt;mso-position-horizontal-relative:page;mso-position-vertical-relative:page;z-index:-9273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w:t>
                </w:r>
              </w:p>
            </w:txbxContent>
          </v:textbox>
          <w10:wrap type="none"/>
        </v:shape>
      </w:pict>
    </w:r>
    <w:r>
      <w:rPr/>
      <w:pict>
        <v:shape style="position:absolute;margin-left:514.950012pt;margin-top:60.285633pt;width:78.4pt;height:11.5pt;mso-position-horizontal-relative:page;mso-position-vertical-relative:page;z-index:-927280"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t>_</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725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718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716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713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4.340027pt;margin-top:45.005009pt;width:112.05pt;height:13.15pt;mso-position-horizontal-relative:page;mso-position-vertical-relative:page;z-index:-927112"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704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696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8672"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694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682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6752"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4.340027pt;margin-top:45.005009pt;width:112.05pt;height:13.15pt;mso-position-horizontal-relative:page;mso-position-vertical-relative:page;z-index:-92672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665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9.519981pt;width:418.3pt;height:.1pt;mso-position-horizontal-relative:page;mso-position-vertical-relative:page;z-index:-926536" coordorigin="1772,1190" coordsize="8366,2">
          <v:shape style="position:absolute;left:1772;top:1190;width:8366;height:2" coordorigin="1772,1190" coordsize="8366,0" path="m1772,1190l10137,1190e" filled="false" stroked="true" strokeweight=".72pt" strokecolor="#000000">
            <v:path arrowok="t"/>
          </v:shape>
          <w10:wrap type="none"/>
        </v:group>
      </w:pict>
    </w:r>
    <w:r>
      <w:rPr/>
      <w:pict>
        <v:shape style="position:absolute;margin-left:382.709991pt;margin-top:45.124985pt;width:122.9pt;height:12.6pt;mso-position-horizontal-relative:page;mso-position-vertical-relative:page;z-index:-92651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864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862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860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857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8552"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709991pt;margin-top:45.004982pt;width:112.1pt;height:13.15pt;mso-position-horizontal-relative:page;mso-position-vertical-relative:page;z-index:-92852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劲嘉股份</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4"/>
      <w:ind w:left="112"/>
    </w:pPr>
    <w:rPr>
      <w:rFonts w:ascii="宋体" w:hAnsi="宋体" w:eastAsia="宋体"/>
      <w:sz w:val="24"/>
      <w:szCs w:val="24"/>
    </w:rPr>
  </w:style>
  <w:style w:styleId="BodyText" w:type="paragraph">
    <w:name w:val="Body Text"/>
    <w:basedOn w:val="Normal"/>
    <w:uiPriority w:val="1"/>
    <w:qFormat/>
    <w:pPr>
      <w:ind w:left="112"/>
    </w:pPr>
    <w:rPr>
      <w:rFonts w:ascii="宋体" w:hAnsi="宋体" w:eastAsia="宋体"/>
      <w:sz w:val="24"/>
      <w:szCs w:val="24"/>
    </w:rPr>
  </w:style>
  <w:style w:styleId="Heading1" w:type="paragraph">
    <w:name w:val="Heading 1"/>
    <w:basedOn w:val="Normal"/>
    <w:uiPriority w:val="1"/>
    <w:qFormat/>
    <w:pPr>
      <w:ind w:left="214"/>
      <w:outlineLvl w:val="1"/>
    </w:pPr>
    <w:rPr>
      <w:rFonts w:ascii="黑体" w:hAnsi="黑体" w:eastAsia="黑体"/>
      <w:sz w:val="32"/>
      <w:szCs w:val="32"/>
    </w:rPr>
  </w:style>
  <w:style w:styleId="Heading2" w:type="paragraph">
    <w:name w:val="Heading 2"/>
    <w:basedOn w:val="Normal"/>
    <w:uiPriority w:val="1"/>
    <w:qFormat/>
    <w:pPr>
      <w:ind w:left="112"/>
      <w:outlineLvl w:val="2"/>
    </w:pPr>
    <w:rPr>
      <w:rFonts w:ascii="宋体" w:hAnsi="宋体" w:eastAsia="宋体"/>
      <w:b/>
      <w:bCs/>
      <w:sz w:val="28"/>
      <w:szCs w:val="28"/>
    </w:rPr>
  </w:style>
  <w:style w:styleId="Heading3" w:type="paragraph">
    <w:name w:val="Heading 3"/>
    <w:basedOn w:val="Normal"/>
    <w:uiPriority w:val="1"/>
    <w:qFormat/>
    <w:pPr>
      <w:ind w:left="112"/>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mailto:jianghui@jinjia.com" TargetMode="External"/><Relationship Id="rId9" Type="http://schemas.openxmlformats.org/officeDocument/2006/relationships/hyperlink" Target="mailto:husongmei@jinjia.com" TargetMode="External"/><Relationship Id="rId10" Type="http://schemas.openxmlformats.org/officeDocument/2006/relationships/hyperlink" Target="http://www.jinjia.com/" TargetMode="External"/><Relationship Id="rId11" Type="http://schemas.openxmlformats.org/officeDocument/2006/relationships/hyperlink" Target="mailto:jjcp@jinjia.com"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NULL"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2.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footer" Target="footer3.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footer" Target="footer4.xml"/><Relationship Id="rId35" Type="http://schemas.openxmlformats.org/officeDocument/2006/relationships/footer" Target="footer5.xml"/><Relationship Id="rId36" Type="http://schemas.openxmlformats.org/officeDocument/2006/relationships/footer" Target="footer6.xml"/><Relationship Id="rId37" Type="http://schemas.openxmlformats.org/officeDocument/2006/relationships/footer" Target="footer7.xml"/><Relationship Id="rId38" Type="http://schemas.openxmlformats.org/officeDocument/2006/relationships/footer" Target="footer8.xml"/><Relationship Id="rId39" Type="http://schemas.openxmlformats.org/officeDocument/2006/relationships/header" Target="header18.xml"/><Relationship Id="rId40" Type="http://schemas.openxmlformats.org/officeDocument/2006/relationships/footer" Target="footer9.xml"/><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footer" Target="footer10.xml"/><Relationship Id="rId44" Type="http://schemas.openxmlformats.org/officeDocument/2006/relationships/header" Target="header21.xml"/><Relationship Id="rId45" Type="http://schemas.openxmlformats.org/officeDocument/2006/relationships/header" Target="header22.xml"/><Relationship Id="rId46" Type="http://schemas.openxmlformats.org/officeDocument/2006/relationships/footer" Target="footer11.xml"/><Relationship Id="rId47" Type="http://schemas.openxmlformats.org/officeDocument/2006/relationships/header" Target="header23.xml"/><Relationship Id="rId48" Type="http://schemas.openxmlformats.org/officeDocument/2006/relationships/header" Target="header24.xml"/><Relationship Id="rId49" Type="http://schemas.openxmlformats.org/officeDocument/2006/relationships/header" Target="header25.xml"/><Relationship Id="rId50" Type="http://schemas.openxmlformats.org/officeDocument/2006/relationships/header" Target="header26.xml"/><Relationship Id="rId51" Type="http://schemas.openxmlformats.org/officeDocument/2006/relationships/footer" Target="footer12.xml"/><Relationship Id="rId52" Type="http://schemas.openxmlformats.org/officeDocument/2006/relationships/header" Target="header27.xml"/><Relationship Id="rId53" Type="http://schemas.openxmlformats.org/officeDocument/2006/relationships/footer" Target="footer13.xml"/><Relationship Id="rId54" Type="http://schemas.openxmlformats.org/officeDocument/2006/relationships/image" Target="media/image1.png"/><Relationship Id="rId55" Type="http://schemas.openxmlformats.org/officeDocument/2006/relationships/header" Target="header28.xml"/><Relationship Id="rId56" Type="http://schemas.openxmlformats.org/officeDocument/2006/relationships/footer" Target="footer14.xml"/><Relationship Id="rId57" Type="http://schemas.openxmlformats.org/officeDocument/2006/relationships/footer" Target="footer15.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header" Target="header31.xml"/><Relationship Id="rId61" Type="http://schemas.openxmlformats.org/officeDocument/2006/relationships/footer" Target="footer16.xml"/><Relationship Id="rId62" Type="http://schemas.openxmlformats.org/officeDocument/2006/relationships/footer" Target="footer17.xml"/><Relationship Id="rId63" Type="http://schemas.openxmlformats.org/officeDocument/2006/relationships/footer" Target="footer18.xml"/><Relationship Id="rId64" Type="http://schemas.openxmlformats.org/officeDocument/2006/relationships/header" Target="header32.xml"/><Relationship Id="rId65" Type="http://schemas.openxmlformats.org/officeDocument/2006/relationships/footer" Target="footer19.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20.xml"/><Relationship Id="rId69" Type="http://schemas.openxmlformats.org/officeDocument/2006/relationships/header" Target="header35.xml"/><Relationship Id="rId70" Type="http://schemas.openxmlformats.org/officeDocument/2006/relationships/footer" Target="footer21.xml"/><Relationship Id="rId71" Type="http://schemas.openxmlformats.org/officeDocument/2006/relationships/footer" Target="footer22.xml"/><Relationship Id="rId72" Type="http://schemas.openxmlformats.org/officeDocument/2006/relationships/header" Target="header36.xml"/><Relationship Id="rId73" Type="http://schemas.openxmlformats.org/officeDocument/2006/relationships/footer" Target="footer23.xml"/><Relationship Id="rId74" Type="http://schemas.openxmlformats.org/officeDocument/2006/relationships/header" Target="header37.xml"/><Relationship Id="rId75" Type="http://schemas.openxmlformats.org/officeDocument/2006/relationships/footer" Target="footer24.xml"/><Relationship Id="rId76" Type="http://schemas.openxmlformats.org/officeDocument/2006/relationships/footer" Target="footer2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5.jpeg"/></Relationships>

</file>

<file path=word/_rels/footer25.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2020-05-03T13:54:13Z</dcterms:created>
  <dcterms:modified xsi:type="dcterms:W3CDTF">2020-05-03T13:54:13Z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2012-03-16T00:00:00Z</vt:filetime>
  </property>
  <property fmtid="{D5CDD505-2E9C-101B-9397-08002B2CF9AE}" pid="3" name="Creator">
    <vt:lpwstr>Microsoft® Office Word 2007</vt:lpwstr>
  </property>
  <property fmtid="{D5CDD505-2E9C-101B-9397-08002B2CF9AE}" pid="4" name="LastSaved">
    <vt:filetime>2020-05-03T00:00:00Z</vt:filetime>
  </property>
</Properties>
</file>