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jpeg" ContentType="image/jpeg"/>
  <Default Extension="png" ContentType="image/pn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r>
        <w:rPr/>
        <w:pict>
          <v:group style="position:absolute;margin-left:55.200001pt;margin-top:49.079983pt;width:485pt;height:.1pt;mso-position-horizontal-relative:page;mso-position-vertical-relative:page;z-index:0" coordorigin="1104,982" coordsize="9700,2">
            <v:shape style="position:absolute;left:1104;top:982;width:9700;height:2" coordorigin="1104,982" coordsize="9700,0" path="m1104,982l10804,982e" filled="false" stroked="true" strokeweight=".72pt" strokecolor="#000000">
              <v:path arrowok="t"/>
            </v:shape>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4"/>
          <w:szCs w:val="14"/>
        </w:rPr>
      </w:pPr>
    </w:p>
    <w:p>
      <w:pPr>
        <w:spacing w:line="1965" w:lineRule="exact"/>
        <w:ind w:left="4129"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38"/>
          <w:sz w:val="20"/>
          <w:szCs w:val="20"/>
        </w:rPr>
        <w:drawing>
          <wp:inline distT="0" distB="0" distL="0" distR="0">
            <wp:extent cx="1419225" cy="1247775"/>
            <wp:effectExtent l="0" t="0" r="0" b="0"/>
            <wp:docPr id="1" name="image2.png" descr=""/>
            <wp:cNvGraphicFramePr>
              <a:graphicFrameLocks noChangeAspect="1"/>
            </wp:cNvGraphicFramePr>
            <a:graphic>
              <a:graphicData uri="http://schemas.openxmlformats.org/drawingml/2006/picture">
                <pic:pic>
                  <pic:nvPicPr>
                    <pic:cNvPr id="2" name="image2.png"/>
                    <pic:cNvPicPr/>
                  </pic:nvPicPr>
                  <pic:blipFill>
                    <a:blip r:embed="rId7" cstate="print"/>
                    <a:stretch>
                      <a:fillRect/>
                    </a:stretch>
                  </pic:blipFill>
                  <pic:spPr>
                    <a:xfrm>
                      <a:off x="0" y="0"/>
                      <a:ext cx="1419225" cy="1247775"/>
                    </a:xfrm>
                    <a:prstGeom prst="rect">
                      <a:avLst/>
                    </a:prstGeom>
                  </pic:spPr>
                </pic:pic>
              </a:graphicData>
            </a:graphic>
          </wp:inline>
        </w:drawing>
      </w:r>
      <w:r>
        <w:rPr>
          <w:rFonts w:ascii="Times New Roman" w:hAnsi="Times New Roman" w:cs="Times New Roman" w:eastAsia="Times New Roman" w:hint="default"/>
          <w:position w:val="-38"/>
          <w:sz w:val="20"/>
          <w:szCs w:val="20"/>
        </w:rPr>
      </w:r>
    </w:p>
    <w:p>
      <w:pPr>
        <w:spacing w:line="240" w:lineRule="auto" w:before="0"/>
        <w:rPr>
          <w:rFonts w:ascii="Times New Roman" w:hAnsi="Times New Roman" w:cs="Times New Roman" w:eastAsia="Times New Roman" w:hint="default"/>
          <w:sz w:val="20"/>
          <w:szCs w:val="20"/>
        </w:rPr>
      </w:pPr>
    </w:p>
    <w:p>
      <w:pPr>
        <w:spacing w:before="111"/>
        <w:ind w:left="2786" w:right="3763" w:firstLine="0"/>
        <w:jc w:val="center"/>
        <w:rPr>
          <w:rFonts w:ascii="宋体" w:hAnsi="宋体" w:cs="宋体" w:eastAsia="宋体" w:hint="default"/>
          <w:sz w:val="36"/>
          <w:szCs w:val="36"/>
        </w:rPr>
      </w:pPr>
      <w:r>
        <w:rPr>
          <w:rFonts w:ascii="宋体" w:hAnsi="宋体" w:cs="宋体" w:eastAsia="宋体" w:hint="default"/>
          <w:b/>
          <w:bCs/>
          <w:sz w:val="36"/>
          <w:szCs w:val="36"/>
        </w:rPr>
        <w:t>深圳劲嘉集团股份有限公司</w:t>
      </w:r>
      <w:r>
        <w:rPr>
          <w:rFonts w:ascii="宋体" w:hAnsi="宋体" w:cs="宋体" w:eastAsia="宋体" w:hint="default"/>
          <w:sz w:val="36"/>
          <w:szCs w:val="36"/>
        </w:rPr>
      </w:r>
    </w:p>
    <w:p>
      <w:pPr>
        <w:spacing w:line="240" w:lineRule="auto" w:before="10"/>
        <w:rPr>
          <w:rFonts w:ascii="宋体" w:hAnsi="宋体" w:cs="宋体" w:eastAsia="宋体" w:hint="default"/>
          <w:b/>
          <w:bCs/>
          <w:sz w:val="30"/>
          <w:szCs w:val="30"/>
        </w:rPr>
      </w:pPr>
    </w:p>
    <w:p>
      <w:pPr>
        <w:spacing w:before="0"/>
        <w:ind w:left="2784" w:right="3763"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2018</w:t>
      </w:r>
      <w:r>
        <w:rPr>
          <w:rFonts w:ascii="Times New Roman" w:hAnsi="Times New Roman" w:cs="Times New Roman" w:eastAsia="Times New Roman" w:hint="default"/>
          <w:b/>
          <w:bCs/>
          <w:spacing w:val="-4"/>
          <w:sz w:val="32"/>
          <w:szCs w:val="32"/>
        </w:rPr>
        <w:t> </w:t>
      </w:r>
      <w:r>
        <w:rPr>
          <w:rFonts w:ascii="宋体" w:hAnsi="宋体" w:cs="宋体" w:eastAsia="宋体" w:hint="default"/>
          <w:b/>
          <w:bCs/>
          <w:sz w:val="32"/>
          <w:szCs w:val="32"/>
        </w:rPr>
        <w:t>年年度报告</w:t>
      </w:r>
      <w:r>
        <w:rPr>
          <w:rFonts w:ascii="宋体" w:hAnsi="宋体" w:cs="宋体" w:eastAsia="宋体" w:hint="default"/>
          <w:sz w:val="32"/>
          <w:szCs w:val="32"/>
        </w:rPr>
      </w: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4"/>
        <w:rPr>
          <w:rFonts w:ascii="宋体" w:hAnsi="宋体" w:cs="宋体" w:eastAsia="宋体" w:hint="default"/>
          <w:b/>
          <w:bCs/>
          <w:sz w:val="48"/>
          <w:szCs w:val="48"/>
        </w:rPr>
      </w:pPr>
    </w:p>
    <w:p>
      <w:pPr>
        <w:spacing w:before="0"/>
        <w:ind w:left="2786" w:right="3762"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2019</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年</w:t>
      </w:r>
      <w:r>
        <w:rPr>
          <w:rFonts w:ascii="宋体" w:hAnsi="宋体" w:cs="宋体" w:eastAsia="宋体" w:hint="default"/>
          <w:b/>
          <w:bCs/>
          <w:spacing w:val="-82"/>
          <w:sz w:val="32"/>
          <w:szCs w:val="32"/>
        </w:rPr>
        <w:t> </w:t>
      </w:r>
      <w:r>
        <w:rPr>
          <w:rFonts w:ascii="Times New Roman" w:hAnsi="Times New Roman" w:cs="Times New Roman" w:eastAsia="Times New Roman" w:hint="default"/>
          <w:b/>
          <w:bCs/>
          <w:sz w:val="32"/>
          <w:szCs w:val="32"/>
        </w:rPr>
        <w:t>04</w:t>
      </w:r>
      <w:r>
        <w:rPr>
          <w:rFonts w:ascii="Times New Roman" w:hAnsi="Times New Roman" w:cs="Times New Roman" w:eastAsia="Times New Roman" w:hint="default"/>
          <w:b/>
          <w:bCs/>
          <w:spacing w:val="-2"/>
          <w:sz w:val="32"/>
          <w:szCs w:val="32"/>
        </w:rPr>
        <w:t> </w:t>
      </w:r>
      <w:r>
        <w:rPr>
          <w:rFonts w:ascii="宋体" w:hAnsi="宋体" w:cs="宋体" w:eastAsia="宋体" w:hint="default"/>
          <w:b/>
          <w:bCs/>
          <w:sz w:val="32"/>
          <w:szCs w:val="32"/>
        </w:rPr>
        <w:t>月</w:t>
      </w:r>
      <w:r>
        <w:rPr>
          <w:rFonts w:ascii="宋体" w:hAnsi="宋体" w:cs="宋体" w:eastAsia="宋体" w:hint="default"/>
          <w:sz w:val="32"/>
          <w:szCs w:val="32"/>
        </w:rPr>
      </w:r>
    </w:p>
    <w:p>
      <w:pPr>
        <w:spacing w:after="0"/>
        <w:jc w:val="center"/>
        <w:rPr>
          <w:rFonts w:ascii="宋体" w:hAnsi="宋体" w:cs="宋体" w:eastAsia="宋体" w:hint="default"/>
          <w:sz w:val="32"/>
          <w:szCs w:val="32"/>
        </w:rPr>
        <w:sectPr>
          <w:headerReference w:type="default" r:id="rId5"/>
          <w:footerReference w:type="default" r:id="rId6"/>
          <w:type w:val="continuous"/>
          <w:pgSz w:w="11910" w:h="16840"/>
          <w:pgMar w:header="747" w:footer="979" w:top="1060" w:bottom="1160" w:left="980" w:right="0"/>
        </w:sectPr>
      </w:pPr>
    </w:p>
    <w:p>
      <w:pPr>
        <w:spacing w:line="240" w:lineRule="auto" w:before="12"/>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8"/>
          <w:szCs w:val="18"/>
        </w:rPr>
      </w:pPr>
    </w:p>
    <w:p>
      <w:pPr>
        <w:pStyle w:val="Heading1"/>
        <w:spacing w:line="240" w:lineRule="auto"/>
        <w:ind w:left="2805" w:right="0"/>
        <w:jc w:val="left"/>
        <w:rPr>
          <w:b w:val="0"/>
          <w:bCs w:val="0"/>
        </w:rPr>
      </w:pPr>
      <w:bookmarkStart w:name="第一节 重要提示、目录和释义" w:id="1"/>
      <w:bookmarkEnd w:id="1"/>
      <w:r>
        <w:rPr>
          <w:b w:val="0"/>
          <w:bCs w:val="0"/>
        </w:rPr>
      </w:r>
      <w:r>
        <w:rPr/>
        <w:t>第一节</w:t>
      </w:r>
      <w:r>
        <w:rPr>
          <w:spacing w:val="-11"/>
        </w:rPr>
        <w:t> </w:t>
      </w:r>
      <w:r>
        <w:rPr/>
        <w:t>重要提示、目录和释义</w:t>
      </w:r>
      <w:r>
        <w:rPr>
          <w:b w:val="0"/>
          <w:bCs w:val="0"/>
        </w:rPr>
      </w:r>
    </w:p>
    <w:p>
      <w:pPr>
        <w:spacing w:line="240" w:lineRule="auto" w:before="0"/>
        <w:rPr>
          <w:rFonts w:ascii="宋体" w:hAnsi="宋体" w:cs="宋体" w:eastAsia="宋体" w:hint="default"/>
          <w:b/>
          <w:bCs/>
          <w:sz w:val="32"/>
          <w:szCs w:val="32"/>
        </w:rPr>
      </w:pPr>
    </w:p>
    <w:p>
      <w:pPr>
        <w:spacing w:line="408" w:lineRule="auto" w:before="211"/>
        <w:ind w:left="154" w:right="1138" w:firstLine="562"/>
        <w:jc w:val="both"/>
        <w:rPr>
          <w:rFonts w:ascii="宋体" w:hAnsi="宋体" w:cs="宋体" w:eastAsia="宋体" w:hint="default"/>
          <w:sz w:val="28"/>
          <w:szCs w:val="28"/>
        </w:rPr>
      </w:pPr>
      <w:r>
        <w:rPr>
          <w:rFonts w:ascii="宋体" w:hAnsi="宋体" w:cs="宋体" w:eastAsia="宋体" w:hint="default"/>
          <w:b/>
          <w:bCs/>
          <w:spacing w:val="3"/>
          <w:w w:val="95"/>
          <w:sz w:val="28"/>
          <w:szCs w:val="28"/>
        </w:rPr>
        <w:t>公司董事会、监事会及董事、监事、高级管理人员保证年度报告内容的真</w:t>
      </w:r>
      <w:r>
        <w:rPr>
          <w:rFonts w:ascii="宋体" w:hAnsi="宋体" w:cs="宋体" w:eastAsia="宋体" w:hint="default"/>
          <w:b/>
          <w:bCs/>
          <w:w w:val="99"/>
          <w:sz w:val="28"/>
          <w:szCs w:val="28"/>
        </w:rPr>
        <w:t> </w:t>
      </w:r>
      <w:r>
        <w:rPr>
          <w:rFonts w:ascii="宋体" w:hAnsi="宋体" w:cs="宋体" w:eastAsia="宋体" w:hint="default"/>
          <w:b/>
          <w:bCs/>
          <w:spacing w:val="3"/>
          <w:w w:val="95"/>
          <w:sz w:val="28"/>
          <w:szCs w:val="28"/>
        </w:rPr>
        <w:t>实、准确、完整，不存在虚假记载、误导性陈述或重大遗漏，并承担个别和连</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z w:val="28"/>
          <w:szCs w:val="28"/>
        </w:rPr>
        <w:t>带的法律责任。</w:t>
      </w:r>
      <w:r>
        <w:rPr>
          <w:rFonts w:ascii="宋体" w:hAnsi="宋体" w:cs="宋体" w:eastAsia="宋体" w:hint="default"/>
          <w:sz w:val="28"/>
          <w:szCs w:val="28"/>
        </w:rPr>
      </w:r>
    </w:p>
    <w:p>
      <w:pPr>
        <w:spacing w:line="386" w:lineRule="auto" w:before="161"/>
        <w:ind w:left="154" w:right="1132" w:firstLine="562"/>
        <w:jc w:val="both"/>
        <w:rPr>
          <w:rFonts w:ascii="宋体" w:hAnsi="宋体" w:cs="宋体" w:eastAsia="宋体" w:hint="default"/>
          <w:sz w:val="28"/>
          <w:szCs w:val="28"/>
        </w:rPr>
      </w:pPr>
      <w:r>
        <w:rPr>
          <w:rFonts w:ascii="宋体" w:hAnsi="宋体" w:cs="宋体" w:eastAsia="宋体" w:hint="default"/>
          <w:b/>
          <w:bCs/>
          <w:w w:val="95"/>
          <w:sz w:val="28"/>
          <w:szCs w:val="28"/>
        </w:rPr>
        <w:t>公司负责人乔鲁予、主管会计工作负责人富培军及会计机构负责人</w:t>
      </w:r>
      <w:r>
        <w:rPr>
          <w:rFonts w:ascii="Times New Roman" w:hAnsi="Times New Roman" w:cs="Times New Roman" w:eastAsia="Times New Roman" w:hint="default"/>
          <w:b/>
          <w:bCs/>
          <w:w w:val="95"/>
          <w:sz w:val="28"/>
          <w:szCs w:val="28"/>
        </w:rPr>
        <w:t>(</w:t>
      </w:r>
      <w:r>
        <w:rPr>
          <w:rFonts w:ascii="宋体" w:hAnsi="宋体" w:cs="宋体" w:eastAsia="宋体" w:hint="default"/>
          <w:b/>
          <w:bCs/>
          <w:w w:val="95"/>
          <w:sz w:val="28"/>
          <w:szCs w:val="28"/>
        </w:rPr>
        <w:t>会计主</w:t>
      </w:r>
      <w:r>
        <w:rPr>
          <w:rFonts w:ascii="宋体" w:hAnsi="宋体" w:cs="宋体" w:eastAsia="宋体" w:hint="default"/>
          <w:b/>
          <w:bCs/>
          <w:spacing w:val="1"/>
          <w:w w:val="99"/>
          <w:sz w:val="28"/>
          <w:szCs w:val="28"/>
        </w:rPr>
        <w:t> </w:t>
      </w:r>
      <w:r>
        <w:rPr>
          <w:rFonts w:ascii="宋体" w:hAnsi="宋体" w:cs="宋体" w:eastAsia="宋体" w:hint="default"/>
          <w:b/>
          <w:bCs/>
          <w:sz w:val="28"/>
          <w:szCs w:val="28"/>
        </w:rPr>
        <w:t>管人员</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富培军声明：保证年度报告中财务报告的真实、准确、完整。</w:t>
      </w:r>
      <w:r>
        <w:rPr>
          <w:rFonts w:ascii="宋体" w:hAnsi="宋体" w:cs="宋体" w:eastAsia="宋体" w:hint="default"/>
          <w:sz w:val="28"/>
          <w:szCs w:val="28"/>
        </w:rPr>
      </w:r>
    </w:p>
    <w:p>
      <w:pPr>
        <w:spacing w:line="472" w:lineRule="auto" w:before="147"/>
        <w:ind w:left="716" w:right="0" w:firstLine="0"/>
        <w:jc w:val="left"/>
        <w:rPr>
          <w:rFonts w:ascii="宋体" w:hAnsi="宋体" w:cs="宋体" w:eastAsia="宋体" w:hint="default"/>
          <w:sz w:val="28"/>
          <w:szCs w:val="28"/>
        </w:rPr>
      </w:pPr>
      <w:r>
        <w:rPr>
          <w:rFonts w:ascii="宋体" w:hAnsi="宋体" w:cs="宋体" w:eastAsia="宋体" w:hint="default"/>
          <w:b/>
          <w:bCs/>
          <w:sz w:val="28"/>
          <w:szCs w:val="28"/>
        </w:rPr>
        <w:t>所有董事均已出席了审议本报告的董事会会议。</w:t>
      </w:r>
      <w:r>
        <w:rPr>
          <w:rFonts w:ascii="宋体" w:hAnsi="宋体" w:cs="宋体" w:eastAsia="宋体" w:hint="default"/>
          <w:b/>
          <w:bCs/>
          <w:w w:val="99"/>
          <w:sz w:val="28"/>
          <w:szCs w:val="28"/>
        </w:rPr>
        <w:t> </w:t>
      </w:r>
      <w:r>
        <w:rPr>
          <w:rFonts w:ascii="宋体" w:hAnsi="宋体" w:cs="宋体" w:eastAsia="宋体" w:hint="default"/>
          <w:b/>
          <w:bCs/>
          <w:spacing w:val="3"/>
          <w:w w:val="95"/>
          <w:sz w:val="28"/>
          <w:szCs w:val="28"/>
        </w:rPr>
        <w:t>本年度报告所涉及的经营业绩的预计、未来计划等前瞻性陈述均属于公司</w:t>
      </w:r>
      <w:r>
        <w:rPr>
          <w:rFonts w:ascii="宋体" w:hAnsi="宋体" w:cs="宋体" w:eastAsia="宋体" w:hint="default"/>
          <w:spacing w:val="3"/>
          <w:sz w:val="28"/>
          <w:szCs w:val="28"/>
        </w:rPr>
      </w:r>
    </w:p>
    <w:p>
      <w:pPr>
        <w:spacing w:line="410" w:lineRule="auto" w:before="0"/>
        <w:ind w:left="154" w:right="0" w:firstLine="0"/>
        <w:jc w:val="left"/>
        <w:rPr>
          <w:rFonts w:ascii="宋体" w:hAnsi="宋体" w:cs="宋体" w:eastAsia="宋体" w:hint="default"/>
          <w:sz w:val="28"/>
          <w:szCs w:val="28"/>
        </w:rPr>
      </w:pPr>
      <w:r>
        <w:rPr>
          <w:rFonts w:ascii="宋体" w:hAnsi="宋体" w:cs="宋体" w:eastAsia="宋体" w:hint="default"/>
          <w:b/>
          <w:bCs/>
          <w:spacing w:val="3"/>
          <w:w w:val="95"/>
          <w:sz w:val="28"/>
          <w:szCs w:val="28"/>
        </w:rPr>
        <w:t>计划性事项，存在一定的不确定性，不构成公司对投资者的实质性承诺，敬请</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z w:val="28"/>
          <w:szCs w:val="28"/>
        </w:rPr>
        <w:t>投资者认识、注意投资风险，并且应当理解计划、预测与承诺之间的差异。</w:t>
      </w:r>
      <w:r>
        <w:rPr>
          <w:rFonts w:ascii="宋体" w:hAnsi="宋体" w:cs="宋体" w:eastAsia="宋体" w:hint="default"/>
          <w:sz w:val="28"/>
          <w:szCs w:val="28"/>
        </w:rPr>
      </w:r>
    </w:p>
    <w:p>
      <w:pPr>
        <w:spacing w:line="405" w:lineRule="auto" w:before="158"/>
        <w:ind w:left="154" w:right="1134" w:firstLine="562"/>
        <w:jc w:val="both"/>
        <w:rPr>
          <w:rFonts w:ascii="宋体" w:hAnsi="宋体" w:cs="宋体" w:eastAsia="宋体" w:hint="default"/>
          <w:sz w:val="28"/>
          <w:szCs w:val="28"/>
        </w:rPr>
      </w:pPr>
      <w:r>
        <w:rPr>
          <w:rFonts w:ascii="宋体" w:hAnsi="宋体" w:cs="宋体" w:eastAsia="宋体" w:hint="default"/>
          <w:b/>
          <w:bCs/>
          <w:spacing w:val="3"/>
          <w:w w:val="95"/>
          <w:sz w:val="28"/>
          <w:szCs w:val="28"/>
        </w:rPr>
        <w:t>本公司请投资者认真阅读本年度报告全文，并特别注意下列风险因素。可</w:t>
      </w:r>
      <w:r>
        <w:rPr>
          <w:rFonts w:ascii="宋体" w:hAnsi="宋体" w:cs="宋体" w:eastAsia="宋体" w:hint="default"/>
          <w:b/>
          <w:bCs/>
          <w:w w:val="99"/>
          <w:sz w:val="28"/>
          <w:szCs w:val="28"/>
        </w:rPr>
        <w:t> </w:t>
      </w:r>
      <w:r>
        <w:rPr>
          <w:rFonts w:ascii="宋体" w:hAnsi="宋体" w:cs="宋体" w:eastAsia="宋体" w:hint="default"/>
          <w:b/>
          <w:bCs/>
          <w:spacing w:val="3"/>
          <w:w w:val="95"/>
          <w:sz w:val="28"/>
          <w:szCs w:val="28"/>
        </w:rPr>
        <w:t>能对公司未来发展产生不利影响的风险因素主要为产业政策风险、新产品市场</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pacing w:val="3"/>
          <w:w w:val="95"/>
          <w:sz w:val="28"/>
          <w:szCs w:val="28"/>
        </w:rPr>
        <w:t>开拓风险、外延并购风险、原材料价格上升和烟标产品价格下降影响毛利率风</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pacing w:val="3"/>
          <w:w w:val="95"/>
          <w:sz w:val="28"/>
          <w:szCs w:val="28"/>
        </w:rPr>
        <w:t>险、管理风险和人力资源风险、跨行业经营风险、商誉减值风险等风险，有关</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pacing w:val="-1"/>
          <w:w w:val="95"/>
          <w:sz w:val="28"/>
          <w:szCs w:val="28"/>
        </w:rPr>
        <w:t>风险因素及对策措施详见本报告</w:t>
      </w:r>
      <w:r>
        <w:rPr>
          <w:rFonts w:ascii="Times New Roman" w:hAnsi="Times New Roman" w:cs="Times New Roman" w:eastAsia="Times New Roman" w:hint="default"/>
          <w:b/>
          <w:bCs/>
          <w:spacing w:val="-1"/>
          <w:w w:val="95"/>
          <w:sz w:val="28"/>
          <w:szCs w:val="28"/>
        </w:rPr>
        <w:t>“</w:t>
      </w:r>
      <w:r>
        <w:rPr>
          <w:rFonts w:ascii="宋体" w:hAnsi="宋体" w:cs="宋体" w:eastAsia="宋体" w:hint="default"/>
          <w:b/>
          <w:bCs/>
          <w:spacing w:val="-1"/>
          <w:w w:val="95"/>
          <w:sz w:val="28"/>
          <w:szCs w:val="28"/>
        </w:rPr>
        <w:t>第四节、经营情况讨论与分析</w:t>
      </w:r>
      <w:r>
        <w:rPr>
          <w:rFonts w:ascii="Times New Roman" w:hAnsi="Times New Roman" w:cs="Times New Roman" w:eastAsia="Times New Roman" w:hint="default"/>
          <w:b/>
          <w:bCs/>
          <w:spacing w:val="-1"/>
          <w:w w:val="95"/>
          <w:sz w:val="28"/>
          <w:szCs w:val="28"/>
        </w:rPr>
        <w:t>”</w:t>
      </w:r>
      <w:r>
        <w:rPr>
          <w:rFonts w:ascii="宋体" w:hAnsi="宋体" w:cs="宋体" w:eastAsia="宋体" w:hint="default"/>
          <w:b/>
          <w:bCs/>
          <w:spacing w:val="-1"/>
          <w:w w:val="95"/>
          <w:sz w:val="28"/>
          <w:szCs w:val="28"/>
        </w:rPr>
        <w:t>之</w:t>
      </w:r>
      <w:r>
        <w:rPr>
          <w:rFonts w:ascii="Times New Roman" w:hAnsi="Times New Roman" w:cs="Times New Roman" w:eastAsia="Times New Roman" w:hint="default"/>
          <w:b/>
          <w:bCs/>
          <w:spacing w:val="-1"/>
          <w:w w:val="95"/>
          <w:sz w:val="28"/>
          <w:szCs w:val="28"/>
        </w:rPr>
        <w:t>“</w:t>
      </w:r>
      <w:r>
        <w:rPr>
          <w:rFonts w:ascii="宋体" w:hAnsi="宋体" w:cs="宋体" w:eastAsia="宋体" w:hint="default"/>
          <w:b/>
          <w:bCs/>
          <w:spacing w:val="-1"/>
          <w:w w:val="95"/>
          <w:sz w:val="28"/>
          <w:szCs w:val="28"/>
        </w:rPr>
        <w:t>九、公司未</w:t>
      </w:r>
      <w:r>
        <w:rPr>
          <w:rFonts w:ascii="宋体" w:hAnsi="宋体" w:cs="宋体" w:eastAsia="宋体" w:hint="default"/>
          <w:b/>
          <w:bCs/>
          <w:spacing w:val="35"/>
          <w:w w:val="95"/>
          <w:sz w:val="28"/>
          <w:szCs w:val="28"/>
        </w:rPr>
        <w:t> </w:t>
      </w:r>
      <w:r>
        <w:rPr>
          <w:rFonts w:ascii="宋体" w:hAnsi="宋体" w:cs="宋体" w:eastAsia="宋体" w:hint="default"/>
          <w:b/>
          <w:bCs/>
          <w:spacing w:val="35"/>
          <w:w w:val="95"/>
          <w:sz w:val="28"/>
          <w:szCs w:val="28"/>
        </w:rPr>
      </w:r>
      <w:r>
        <w:rPr>
          <w:rFonts w:ascii="宋体" w:hAnsi="宋体" w:cs="宋体" w:eastAsia="宋体" w:hint="default"/>
          <w:b/>
          <w:bCs/>
          <w:sz w:val="28"/>
          <w:szCs w:val="28"/>
        </w:rPr>
        <w:t>来发展的展望</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中相关内容，敬请广大投资者注意投资风险。</w:t>
      </w:r>
      <w:r>
        <w:rPr>
          <w:rFonts w:ascii="宋体" w:hAnsi="宋体" w:cs="宋体" w:eastAsia="宋体" w:hint="default"/>
          <w:sz w:val="28"/>
          <w:szCs w:val="28"/>
        </w:rPr>
      </w:r>
    </w:p>
    <w:p>
      <w:pPr>
        <w:spacing w:before="121"/>
        <w:ind w:left="716" w:right="0" w:firstLine="0"/>
        <w:jc w:val="left"/>
        <w:rPr>
          <w:rFonts w:ascii="宋体" w:hAnsi="宋体" w:cs="宋体" w:eastAsia="宋体" w:hint="default"/>
          <w:sz w:val="28"/>
          <w:szCs w:val="28"/>
        </w:rPr>
      </w:pPr>
      <w:r>
        <w:rPr>
          <w:rFonts w:ascii="宋体" w:hAnsi="宋体" w:cs="宋体" w:eastAsia="宋体" w:hint="default"/>
          <w:b/>
          <w:bCs/>
          <w:sz w:val="28"/>
          <w:szCs w:val="28"/>
        </w:rPr>
        <w:t>公司经本次董事会审议通过的利润分配预案为：以</w:t>
      </w:r>
      <w:r>
        <w:rPr>
          <w:rFonts w:ascii="宋体" w:hAnsi="宋体" w:cs="宋体" w:eastAsia="宋体" w:hint="default"/>
          <w:b/>
          <w:bCs/>
          <w:spacing w:val="-69"/>
          <w:sz w:val="28"/>
          <w:szCs w:val="28"/>
        </w:rPr>
        <w:t> </w:t>
      </w:r>
      <w:r>
        <w:rPr>
          <w:rFonts w:ascii="Times New Roman" w:hAnsi="Times New Roman" w:cs="Times New Roman" w:eastAsia="Times New Roman" w:hint="default"/>
          <w:b/>
          <w:bCs/>
          <w:sz w:val="28"/>
          <w:szCs w:val="28"/>
        </w:rPr>
        <w:t>1,464,870,450</w:t>
      </w:r>
      <w:r>
        <w:rPr>
          <w:rFonts w:ascii="Times New Roman" w:hAnsi="Times New Roman" w:cs="Times New Roman" w:eastAsia="Times New Roman" w:hint="default"/>
          <w:b/>
          <w:bCs/>
          <w:spacing w:val="-4"/>
          <w:sz w:val="28"/>
          <w:szCs w:val="28"/>
        </w:rPr>
        <w:t> </w:t>
      </w:r>
      <w:r>
        <w:rPr>
          <w:rFonts w:ascii="宋体" w:hAnsi="宋体" w:cs="宋体" w:eastAsia="宋体" w:hint="default"/>
          <w:b/>
          <w:bCs/>
          <w:sz w:val="28"/>
          <w:szCs w:val="28"/>
        </w:rPr>
        <w:t>为基数，</w:t>
      </w:r>
      <w:r>
        <w:rPr>
          <w:rFonts w:ascii="宋体" w:hAnsi="宋体" w:cs="宋体" w:eastAsia="宋体" w:hint="default"/>
          <w:sz w:val="28"/>
          <w:szCs w:val="28"/>
        </w:rPr>
      </w:r>
    </w:p>
    <w:p>
      <w:pPr>
        <w:spacing w:line="386" w:lineRule="auto" w:before="236"/>
        <w:ind w:left="154" w:right="0" w:firstLine="0"/>
        <w:jc w:val="left"/>
        <w:rPr>
          <w:rFonts w:ascii="宋体" w:hAnsi="宋体" w:cs="宋体" w:eastAsia="宋体" w:hint="default"/>
          <w:sz w:val="28"/>
          <w:szCs w:val="28"/>
        </w:rPr>
      </w:pPr>
      <w:r>
        <w:rPr>
          <w:rFonts w:ascii="宋体" w:hAnsi="宋体" w:cs="宋体" w:eastAsia="宋体" w:hint="default"/>
          <w:b/>
          <w:bCs/>
          <w:w w:val="99"/>
          <w:sz w:val="28"/>
          <w:szCs w:val="28"/>
        </w:rPr>
        <w:t>向全体股东每</w:t>
      </w:r>
      <w:r>
        <w:rPr>
          <w:rFonts w:ascii="宋体" w:hAnsi="宋体" w:cs="宋体" w:eastAsia="宋体" w:hint="default"/>
          <w:b/>
          <w:bCs/>
          <w:spacing w:val="-65"/>
          <w:w w:val="99"/>
          <w:sz w:val="28"/>
          <w:szCs w:val="28"/>
        </w:rPr>
        <w:t> </w:t>
      </w:r>
      <w:r>
        <w:rPr>
          <w:rFonts w:ascii="Times New Roman" w:hAnsi="Times New Roman" w:cs="Times New Roman" w:eastAsia="Times New Roman" w:hint="default"/>
          <w:b/>
          <w:bCs/>
          <w:w w:val="99"/>
          <w:sz w:val="28"/>
          <w:szCs w:val="28"/>
        </w:rPr>
        <w:t>10</w:t>
      </w:r>
      <w:r>
        <w:rPr>
          <w:rFonts w:ascii="Times New Roman" w:hAnsi="Times New Roman" w:cs="Times New Roman" w:eastAsia="Times New Roman" w:hint="default"/>
          <w:b/>
          <w:bCs/>
          <w:spacing w:val="3"/>
          <w:w w:val="99"/>
          <w:sz w:val="28"/>
          <w:szCs w:val="28"/>
        </w:rPr>
        <w:t> </w:t>
      </w:r>
      <w:r>
        <w:rPr>
          <w:rFonts w:ascii="宋体" w:hAnsi="宋体" w:cs="宋体" w:eastAsia="宋体" w:hint="default"/>
          <w:b/>
          <w:bCs/>
          <w:w w:val="99"/>
          <w:sz w:val="28"/>
          <w:szCs w:val="28"/>
        </w:rPr>
        <w:t>股派发现金红利</w:t>
      </w:r>
      <w:r>
        <w:rPr>
          <w:rFonts w:ascii="宋体" w:hAnsi="宋体" w:cs="宋体" w:eastAsia="宋体" w:hint="default"/>
          <w:b/>
          <w:bCs/>
          <w:spacing w:val="-64"/>
          <w:w w:val="99"/>
          <w:sz w:val="28"/>
          <w:szCs w:val="28"/>
        </w:rPr>
        <w:t> </w:t>
      </w:r>
      <w:r>
        <w:rPr>
          <w:rFonts w:ascii="Times New Roman" w:hAnsi="Times New Roman" w:cs="Times New Roman" w:eastAsia="Times New Roman" w:hint="default"/>
          <w:b/>
          <w:bCs/>
          <w:w w:val="99"/>
          <w:sz w:val="28"/>
          <w:szCs w:val="28"/>
        </w:rPr>
        <w:t>3.00</w:t>
      </w:r>
      <w:r>
        <w:rPr>
          <w:rFonts w:ascii="Times New Roman" w:hAnsi="Times New Roman" w:cs="Times New Roman" w:eastAsia="Times New Roman" w:hint="default"/>
          <w:b/>
          <w:bCs/>
          <w:spacing w:val="4"/>
          <w:w w:val="99"/>
          <w:sz w:val="28"/>
          <w:szCs w:val="28"/>
        </w:rPr>
        <w:t> </w:t>
      </w:r>
      <w:r>
        <w:rPr>
          <w:rFonts w:ascii="宋体" w:hAnsi="宋体" w:cs="宋体" w:eastAsia="宋体" w:hint="default"/>
          <w:b/>
          <w:bCs/>
          <w:spacing w:val="-23"/>
          <w:w w:val="99"/>
          <w:sz w:val="28"/>
          <w:szCs w:val="28"/>
        </w:rPr>
        <w:t>元（含税），送红股</w:t>
      </w:r>
      <w:r>
        <w:rPr>
          <w:rFonts w:ascii="宋体" w:hAnsi="宋体" w:cs="宋体" w:eastAsia="宋体" w:hint="default"/>
          <w:b/>
          <w:bCs/>
          <w:spacing w:val="-66"/>
          <w:w w:val="99"/>
          <w:sz w:val="28"/>
          <w:szCs w:val="28"/>
        </w:rPr>
        <w:t> </w:t>
      </w:r>
      <w:r>
        <w:rPr>
          <w:rFonts w:ascii="Times New Roman" w:hAnsi="Times New Roman" w:cs="Times New Roman" w:eastAsia="Times New Roman" w:hint="default"/>
          <w:b/>
          <w:bCs/>
          <w:w w:val="99"/>
          <w:sz w:val="28"/>
          <w:szCs w:val="28"/>
        </w:rPr>
        <w:t>0</w:t>
      </w:r>
      <w:r>
        <w:rPr>
          <w:rFonts w:ascii="Times New Roman" w:hAnsi="Times New Roman" w:cs="Times New Roman" w:eastAsia="Times New Roman" w:hint="default"/>
          <w:b/>
          <w:bCs/>
          <w:spacing w:val="4"/>
          <w:w w:val="99"/>
          <w:sz w:val="28"/>
          <w:szCs w:val="28"/>
        </w:rPr>
        <w:t> </w:t>
      </w:r>
      <w:r>
        <w:rPr>
          <w:rFonts w:ascii="宋体" w:hAnsi="宋体" w:cs="宋体" w:eastAsia="宋体" w:hint="default"/>
          <w:b/>
          <w:bCs/>
          <w:spacing w:val="-23"/>
          <w:w w:val="99"/>
          <w:sz w:val="28"/>
          <w:szCs w:val="28"/>
        </w:rPr>
        <w:t>股（含税），不以公</w:t>
      </w:r>
      <w:r>
        <w:rPr>
          <w:rFonts w:ascii="宋体" w:hAnsi="宋体" w:cs="宋体" w:eastAsia="宋体" w:hint="default"/>
          <w:b/>
          <w:bCs/>
          <w:w w:val="99"/>
          <w:sz w:val="28"/>
          <w:szCs w:val="28"/>
        </w:rPr>
        <w:t> </w:t>
      </w:r>
      <w:r>
        <w:rPr>
          <w:rFonts w:ascii="宋体" w:hAnsi="宋体" w:cs="宋体" w:eastAsia="宋体" w:hint="default"/>
          <w:b/>
          <w:bCs/>
          <w:sz w:val="28"/>
          <w:szCs w:val="28"/>
        </w:rPr>
        <w:t>积金转增股本。</w:t>
      </w:r>
      <w:r>
        <w:rPr>
          <w:rFonts w:ascii="宋体" w:hAnsi="宋体" w:cs="宋体" w:eastAsia="宋体" w:hint="default"/>
          <w:sz w:val="28"/>
          <w:szCs w:val="28"/>
        </w:rPr>
      </w:r>
    </w:p>
    <w:p>
      <w:pPr>
        <w:spacing w:after="0" w:line="386" w:lineRule="auto"/>
        <w:jc w:val="left"/>
        <w:rPr>
          <w:rFonts w:ascii="宋体" w:hAnsi="宋体" w:cs="宋体" w:eastAsia="宋体" w:hint="default"/>
          <w:sz w:val="28"/>
          <w:szCs w:val="28"/>
        </w:rPr>
        <w:sectPr>
          <w:footerReference w:type="default" r:id="rId8"/>
          <w:pgSz w:w="11910" w:h="16840"/>
          <w:pgMar w:footer="979" w:header="747" w:top="1060" w:bottom="1160" w:left="980" w:right="0"/>
          <w:pgNumType w:start="2"/>
        </w:sectPr>
      </w:pPr>
    </w:p>
    <w:p>
      <w:pPr>
        <w:spacing w:line="240" w:lineRule="auto" w:before="12"/>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25"/>
          <w:szCs w:val="25"/>
        </w:rPr>
      </w:pPr>
    </w:p>
    <w:p>
      <w:pPr>
        <w:spacing w:line="460" w:lineRule="exact" w:before="0"/>
        <w:ind w:left="2786" w:right="3762" w:firstLine="0"/>
        <w:jc w:val="center"/>
        <w:rPr>
          <w:rFonts w:ascii="宋体" w:hAnsi="宋体" w:cs="宋体" w:eastAsia="宋体" w:hint="default"/>
          <w:sz w:val="36"/>
          <w:szCs w:val="36"/>
        </w:rPr>
      </w:pPr>
      <w:r>
        <w:rPr>
          <w:rFonts w:ascii="宋体" w:hAnsi="宋体" w:cs="宋体" w:eastAsia="宋体" w:hint="default"/>
          <w:b/>
          <w:bCs/>
          <w:sz w:val="36"/>
          <w:szCs w:val="36"/>
        </w:rPr>
        <w:t>目录</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1"/>
        <w:rPr>
          <w:rFonts w:ascii="宋体" w:hAnsi="宋体" w:cs="宋体" w:eastAsia="宋体" w:hint="default"/>
          <w:b/>
          <w:bCs/>
          <w:sz w:val="42"/>
          <w:szCs w:val="42"/>
        </w:rPr>
      </w:pPr>
    </w:p>
    <w:sdt>
      <w:sdtPr>
        <w:docPartObj>
          <w:docPartGallery w:val="Table of Contents"/>
          <w:docPartUnique/>
        </w:docPartObj>
      </w:sdtPr>
      <w:sdtEndPr/>
      <w:sdtContent>
        <w:p>
          <w:pPr>
            <w:pStyle w:val="TOC1"/>
            <w:tabs>
              <w:tab w:pos="9782" w:val="right" w:leader="dot"/>
            </w:tabs>
            <w:spacing w:line="240" w:lineRule="auto" w:before="0"/>
            <w:ind w:right="0"/>
            <w:jc w:val="left"/>
            <w:rPr>
              <w:rFonts w:ascii="Times New Roman" w:hAnsi="Times New Roman" w:cs="Times New Roman" w:eastAsia="Times New Roman" w:hint="default"/>
              <w:b w:val="0"/>
              <w:bCs w:val="0"/>
            </w:rPr>
          </w:pPr>
          <w:hyperlink w:history="true" w:anchor="_bookmark0">
            <w:r>
              <w:rPr/>
              <w:t>第一节</w:t>
            </w:r>
            <w:r>
              <w:rPr>
                <w:spacing w:val="-19"/>
              </w:rPr>
              <w:t> </w:t>
            </w:r>
            <w:r>
              <w:rPr/>
              <w:t>重要提示、目录和释义</w:t>
            </w:r>
            <w:r>
              <w:rPr>
                <w:rFonts w:ascii="Times New Roman" w:hAnsi="Times New Roman" w:cs="Times New Roman" w:eastAsia="Times New Roman" w:hint="default"/>
              </w:rPr>
              <w:tab/>
              <w:t>2</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bookmark1">
            <w:r>
              <w:rPr/>
              <w:t>第二节</w:t>
            </w:r>
            <w:r>
              <w:rPr>
                <w:spacing w:val="-19"/>
              </w:rPr>
              <w:t> </w:t>
            </w:r>
            <w:r>
              <w:rPr/>
              <w:t>公司简介和主要财务指标</w:t>
            </w:r>
            <w:r>
              <w:rPr>
                <w:rFonts w:ascii="Times New Roman" w:hAnsi="Times New Roman" w:cs="Times New Roman" w:eastAsia="Times New Roman" w:hint="default"/>
              </w:rPr>
              <w:tab/>
              <w:t>6</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bookmark2">
            <w:r>
              <w:rPr/>
              <w:t>第三节</w:t>
            </w:r>
            <w:r>
              <w:rPr>
                <w:spacing w:val="-19"/>
              </w:rPr>
              <w:t> </w:t>
            </w:r>
            <w:r>
              <w:rPr/>
              <w:t>公司业务概要</w:t>
            </w:r>
            <w:r>
              <w:rPr>
                <w:rFonts w:ascii="Times New Roman" w:hAnsi="Times New Roman" w:cs="Times New Roman" w:eastAsia="Times New Roman" w:hint="default"/>
              </w:rPr>
              <w:tab/>
              <w:t>10</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bookmark3">
            <w:r>
              <w:rPr/>
              <w:t>第四节</w:t>
            </w:r>
            <w:r>
              <w:rPr>
                <w:spacing w:val="-19"/>
              </w:rPr>
              <w:t> </w:t>
            </w:r>
            <w:r>
              <w:rPr/>
              <w:t>经营情况讨论与分析</w:t>
            </w:r>
            <w:r>
              <w:rPr>
                <w:rFonts w:ascii="Times New Roman" w:hAnsi="Times New Roman" w:cs="Times New Roman" w:eastAsia="Times New Roman" w:hint="default"/>
              </w:rPr>
              <w:tab/>
              <w:t>13</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bookmark4">
            <w:r>
              <w:rPr/>
              <w:t>第五节</w:t>
            </w:r>
            <w:r>
              <w:rPr>
                <w:spacing w:val="-19"/>
              </w:rPr>
              <w:t> </w:t>
            </w:r>
            <w:r>
              <w:rPr/>
              <w:t>重要事项</w:t>
            </w:r>
            <w:r>
              <w:rPr>
                <w:rFonts w:ascii="Times New Roman" w:hAnsi="Times New Roman" w:cs="Times New Roman" w:eastAsia="Times New Roman" w:hint="default"/>
              </w:rPr>
              <w:tab/>
              <w:t>42</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bookmark5">
            <w:r>
              <w:rPr/>
              <w:t>第六节</w:t>
            </w:r>
            <w:r>
              <w:rPr>
                <w:spacing w:val="-19"/>
              </w:rPr>
              <w:t> </w:t>
            </w:r>
            <w:r>
              <w:rPr/>
              <w:t>股份变动及股东情况</w:t>
            </w:r>
            <w:r>
              <w:rPr>
                <w:rFonts w:ascii="Times New Roman" w:hAnsi="Times New Roman" w:cs="Times New Roman" w:eastAsia="Times New Roman" w:hint="default"/>
              </w:rPr>
              <w:tab/>
              <w:t>65</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bookmark5">
            <w:r>
              <w:rPr/>
              <w:t>第七节</w:t>
            </w:r>
            <w:r>
              <w:rPr>
                <w:spacing w:val="-19"/>
              </w:rPr>
              <w:t> </w:t>
            </w:r>
            <w:r>
              <w:rPr/>
              <w:t>优先股相关情况</w:t>
            </w:r>
            <w:r>
              <w:rPr>
                <w:rFonts w:ascii="Times New Roman" w:hAnsi="Times New Roman" w:cs="Times New Roman" w:eastAsia="Times New Roman" w:hint="default"/>
              </w:rPr>
              <w:tab/>
              <w:t>72</w:t>
            </w:r>
            <w:r>
              <w:rPr>
                <w:rFonts w:ascii="Times New Roman" w:hAnsi="Times New Roman" w:cs="Times New Roman" w:eastAsia="Times New Roman" w:hint="default"/>
                <w:b w:val="0"/>
                <w:bCs w:val="0"/>
              </w:rPr>
            </w:r>
          </w:hyperlink>
        </w:p>
        <w:p>
          <w:pPr>
            <w:pStyle w:val="TOC1"/>
            <w:tabs>
              <w:tab w:pos="9782" w:val="right" w:leader="dot"/>
            </w:tabs>
            <w:spacing w:line="240" w:lineRule="auto" w:before="160"/>
            <w:ind w:right="0"/>
            <w:jc w:val="left"/>
            <w:rPr>
              <w:rFonts w:ascii="Times New Roman" w:hAnsi="Times New Roman" w:cs="Times New Roman" w:eastAsia="Times New Roman" w:hint="default"/>
              <w:b w:val="0"/>
              <w:bCs w:val="0"/>
            </w:rPr>
          </w:pPr>
          <w:hyperlink w:history="true" w:anchor="_bookmark6">
            <w:r>
              <w:rPr/>
              <w:t>第八节</w:t>
            </w:r>
            <w:r>
              <w:rPr>
                <w:spacing w:val="-19"/>
              </w:rPr>
              <w:t> </w:t>
            </w:r>
            <w:r>
              <w:rPr/>
              <w:t>董事、监事、高级管理人员和员工情况</w:t>
            </w:r>
            <w:r>
              <w:rPr>
                <w:rFonts w:ascii="Times New Roman" w:hAnsi="Times New Roman" w:cs="Times New Roman" w:eastAsia="Times New Roman" w:hint="default"/>
              </w:rPr>
              <w:tab/>
              <w:t>73</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bookmark7">
            <w:r>
              <w:rPr/>
              <w:t>第九节</w:t>
            </w:r>
            <w:r>
              <w:rPr>
                <w:spacing w:val="-19"/>
              </w:rPr>
              <w:t> </w:t>
            </w:r>
            <w:r>
              <w:rPr/>
              <w:t>公司治理</w:t>
            </w:r>
            <w:r>
              <w:rPr>
                <w:rFonts w:ascii="Times New Roman" w:hAnsi="Times New Roman" w:cs="Times New Roman" w:eastAsia="Times New Roman" w:hint="default"/>
              </w:rPr>
              <w:tab/>
              <w:t>83</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bookmark8">
            <w:r>
              <w:rPr/>
              <w:t>第十节</w:t>
            </w:r>
            <w:r>
              <w:rPr>
                <w:spacing w:val="-19"/>
              </w:rPr>
              <w:t> </w:t>
            </w:r>
            <w:r>
              <w:rPr/>
              <w:t>公司债券相关情况</w:t>
            </w:r>
            <w:r>
              <w:rPr>
                <w:rFonts w:ascii="Times New Roman" w:hAnsi="Times New Roman" w:cs="Times New Roman" w:eastAsia="Times New Roman" w:hint="default"/>
              </w:rPr>
              <w:tab/>
              <w:t>88</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bookmark9">
            <w:r>
              <w:rPr/>
              <w:t>第十一节</w:t>
            </w:r>
            <w:r>
              <w:rPr>
                <w:spacing w:val="-19"/>
              </w:rPr>
              <w:t> </w:t>
            </w:r>
            <w:r>
              <w:rPr/>
              <w:t>财务报告</w:t>
            </w:r>
            <w:r>
              <w:rPr>
                <w:rFonts w:ascii="Times New Roman" w:hAnsi="Times New Roman" w:cs="Times New Roman" w:eastAsia="Times New Roman" w:hint="default"/>
              </w:rPr>
              <w:tab/>
              <w:t>89</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bookmark10">
            <w:r>
              <w:rPr/>
              <w:t>第十二节</w:t>
            </w:r>
            <w:r>
              <w:rPr>
                <w:spacing w:val="-20"/>
              </w:rPr>
              <w:t> </w:t>
            </w:r>
            <w:r>
              <w:rPr/>
              <w:t>备查文件目录</w:t>
            </w:r>
            <w:r>
              <w:rPr>
                <w:rFonts w:ascii="Times New Roman" w:hAnsi="Times New Roman" w:cs="Times New Roman" w:eastAsia="Times New Roman" w:hint="default"/>
              </w:rPr>
              <w:tab/>
              <w:t>195</w:t>
            </w:r>
            <w:r>
              <w:rPr>
                <w:rFonts w:ascii="Times New Roman" w:hAnsi="Times New Roman" w:cs="Times New Roman" w:eastAsia="Times New Roman" w:hint="default"/>
                <w:b w:val="0"/>
                <w:bCs w:val="0"/>
              </w:rPr>
            </w:r>
          </w:hyperlink>
        </w:p>
      </w:sdtContent>
    </w:sdt>
    <w:p>
      <w:pPr>
        <w:spacing w:after="0" w:line="240" w:lineRule="auto"/>
        <w:jc w:val="left"/>
        <w:rPr>
          <w:rFonts w:ascii="Times New Roman" w:hAnsi="Times New Roman" w:cs="Times New Roman" w:eastAsia="Times New Roman" w:hint="default"/>
        </w:rPr>
        <w:sectPr>
          <w:pgSz w:w="11910" w:h="16840"/>
          <w:pgMar w:header="747" w:footer="979" w:top="1060" w:bottom="1160" w:left="980" w:right="0"/>
        </w:sectPr>
      </w:pPr>
    </w:p>
    <w:p>
      <w:pPr>
        <w:spacing w:before="946"/>
        <w:ind w:left="2786" w:right="3762" w:firstLine="0"/>
        <w:jc w:val="center"/>
        <w:rPr>
          <w:rFonts w:ascii="宋体" w:hAnsi="宋体" w:cs="宋体" w:eastAsia="宋体" w:hint="default"/>
          <w:sz w:val="32"/>
          <w:szCs w:val="32"/>
        </w:rPr>
      </w:pPr>
      <w:r>
        <w:rPr>
          <w:rFonts w:ascii="宋体" w:hAnsi="宋体" w:cs="宋体" w:eastAsia="宋体" w:hint="default"/>
          <w:b/>
          <w:bCs/>
          <w:sz w:val="32"/>
          <w:szCs w:val="32"/>
        </w:rPr>
        <w:t>释义</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536"/>
        <w:gridCol w:w="598"/>
        <w:gridCol w:w="5436"/>
      </w:tblGrid>
      <w:tr>
        <w:trPr>
          <w:trHeight w:val="402" w:hRule="exact"/>
        </w:trPr>
        <w:tc>
          <w:tcPr>
            <w:tcW w:w="3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释义项</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本公司</w:t>
            </w:r>
            <w:r>
              <w:rPr>
                <w:rFonts w:ascii="Times New Roman" w:hAnsi="Times New Roman" w:cs="Times New Roman" w:eastAsia="Times New Roman" w:hint="default"/>
                <w:sz w:val="18"/>
                <w:szCs w:val="18"/>
              </w:rPr>
              <w:t>/</w:t>
            </w:r>
            <w:r>
              <w:rPr>
                <w:rFonts w:ascii="宋体" w:hAnsi="宋体" w:cs="宋体" w:eastAsia="宋体" w:hint="default"/>
                <w:sz w:val="18"/>
                <w:szCs w:val="18"/>
              </w:rPr>
              <w:t>劲嘉股份</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深圳劲嘉集团股份有限公司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中华烟草</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中华香港国际烟草集团有限公司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贵州劲嘉</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贵州劲嘉新型包装材料有限公司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江苏劲嘉</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江苏劲嘉新型包装材料有限公司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安徽安泰</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安徽安泰新型包装材料有限公司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英莎特</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东方英莎特有限公司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重庆宏声</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重庆宏声印务有限责任公司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重庆宏劲</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重庆宏劲印务有限责任公司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中丰田</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中丰田光电科技（珠海）有限公司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昆明彩印</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昆明彩印有限责任公司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江西丰彩丽</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江西丰彩丽印刷包装有限公司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劲嘉科技</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深圳市劲嘉科技有限公司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劲嘉智能</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深圳劲嘉新型智能包装有限公司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贵州瑞源</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贵州瑞源包装有限责任公司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贵州劲瑞</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贵州劲瑞新型包装材料有限公司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珠海嘉瑞</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珠海市嘉瑞包装材料有限公司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佳信（香港）</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佳信（香港）有限公司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江苏顺泰</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江苏顺泰包装印刷科技有限公司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劲嘉物业</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深圳市劲嘉物业管理有限公司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劲嘉创投</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深圳市劲嘉创业投资有限公司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世纪运通</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新疆世纪运通股权投资合伙企业（有限合伙）</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合元劲嘉</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深圳合元劲嘉电子科技有限公司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劲嘉供应链</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深圳前海劲嘉供应链有限公司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蓝莓文化</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深圳前海蓝莓文化传播有限公司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长春吉星</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长春吉星印务有限责任公司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香港森洋</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劲嘉集团（香港森洋）有限公司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华大北斗</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深圳华大北斗科技有限公司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嘉颐泽</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青岛嘉颐泽印刷包装有限公司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深圳劲嘉健康</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深圳劲嘉健康产业管理有限公司</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525"/>
        <w:gridCol w:w="621"/>
        <w:gridCol w:w="5424"/>
      </w:tblGrid>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广州劲嘉健康</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广州劲嘉健康产业投资管理有限公司</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上海仁彩</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上海仁彩印务有限公司</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上海丽兴</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上海丽兴绿色包装有限公司</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申仁包装</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贵州省仁怀市申仁包装印务有限责任公司</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香港润伟</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香港润伟实业有限公司</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茅台技开司</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贵州茅台酒厂集团技术开发公司</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盒知科技</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深圳劲嘉盒知科技有限公司</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因味科技</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深圳因味科技有限公司</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嘉星健康</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深圳嘉星健康科技有限公司</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嘉玉科技</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深圳嘉玉科技有限公司</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复星安泰</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亚东复星瑞哲安泰发展有限公司</w:t>
            </w:r>
          </w:p>
        </w:tc>
      </w:tr>
      <w:tr>
        <w:trPr>
          <w:trHeight w:val="1026"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烟标</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21"/>
              <w:jc w:val="both"/>
              <w:rPr>
                <w:rFonts w:ascii="宋体" w:hAnsi="宋体" w:cs="宋体" w:eastAsia="宋体" w:hint="default"/>
                <w:sz w:val="18"/>
                <w:szCs w:val="18"/>
              </w:rPr>
            </w:pPr>
            <w:r>
              <w:rPr>
                <w:rFonts w:ascii="宋体" w:hAnsi="宋体" w:cs="宋体" w:eastAsia="宋体" w:hint="default"/>
                <w:sz w:val="18"/>
                <w:szCs w:val="18"/>
              </w:rPr>
              <w:t>俗称</w:t>
            </w:r>
            <w:r>
              <w:rPr>
                <w:rFonts w:ascii="Times New Roman" w:hAnsi="Times New Roman" w:cs="Times New Roman" w:eastAsia="Times New Roman" w:hint="default"/>
                <w:sz w:val="18"/>
                <w:szCs w:val="18"/>
              </w:rPr>
              <w:t>"</w:t>
            </w:r>
            <w:r>
              <w:rPr>
                <w:rFonts w:ascii="宋体" w:hAnsi="宋体" w:cs="宋体" w:eastAsia="宋体" w:hint="default"/>
                <w:sz w:val="18"/>
                <w:szCs w:val="18"/>
              </w:rPr>
              <w:t>烟盒</w:t>
            </w:r>
            <w:r>
              <w:rPr>
                <w:rFonts w:ascii="Times New Roman" w:hAnsi="Times New Roman" w:cs="Times New Roman" w:eastAsia="Times New Roman" w:hint="default"/>
                <w:sz w:val="18"/>
                <w:szCs w:val="18"/>
              </w:rPr>
              <w:t>"</w:t>
            </w:r>
            <w:r>
              <w:rPr>
                <w:rFonts w:ascii="宋体" w:hAnsi="宋体" w:cs="宋体" w:eastAsia="宋体" w:hint="default"/>
                <w:sz w:val="18"/>
                <w:szCs w:val="18"/>
              </w:rPr>
              <w:t>，是烟草制品的商标以及具有标识性包装物总称，主要是 </w:t>
            </w:r>
            <w:r>
              <w:rPr>
                <w:rFonts w:ascii="宋体" w:hAnsi="宋体" w:cs="宋体" w:eastAsia="宋体" w:hint="default"/>
                <w:spacing w:val="-2"/>
                <w:sz w:val="18"/>
                <w:szCs w:val="18"/>
              </w:rPr>
              <w:t>强调其名称、图案、文字、色彩、符号、规格，使之区别于各种烟草</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制品并具有商标意义</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酒标</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酒制品的外包装、商标等具有标识性的包装物的总称</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基纸／原纸</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用作进一步加工之用的纸基，主要有涂布纸板、卡纸、白板</w:t>
            </w:r>
          </w:p>
        </w:tc>
      </w:tr>
      <w:tr>
        <w:trPr>
          <w:trHeight w:val="714"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纸／纸板</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一般把克重小于 </w:t>
            </w:r>
            <w:r>
              <w:rPr>
                <w:rFonts w:ascii="Times New Roman" w:hAnsi="Times New Roman" w:cs="Times New Roman" w:eastAsia="Times New Roman" w:hint="default"/>
                <w:sz w:val="18"/>
                <w:szCs w:val="18"/>
              </w:rPr>
              <w:t>180g/m2  </w:t>
            </w:r>
            <w:r>
              <w:rPr>
                <w:rFonts w:ascii="宋体" w:hAnsi="宋体" w:cs="宋体" w:eastAsia="宋体" w:hint="default"/>
                <w:sz w:val="18"/>
                <w:szCs w:val="18"/>
              </w:rPr>
              <w:t>的纸页称作纸，把克重大于等于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180g/m2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的纸页称作纸板</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膜</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基膜</w:t>
            </w:r>
            <w:r>
              <w:rPr>
                <w:rFonts w:ascii="Times New Roman" w:hAnsi="Times New Roman" w:cs="Times New Roman" w:eastAsia="Times New Roman" w:hint="default"/>
                <w:sz w:val="18"/>
                <w:szCs w:val="18"/>
              </w:rPr>
              <w:t>/</w:t>
            </w:r>
            <w:r>
              <w:rPr>
                <w:rFonts w:ascii="宋体" w:hAnsi="宋体" w:cs="宋体" w:eastAsia="宋体" w:hint="default"/>
                <w:sz w:val="18"/>
                <w:szCs w:val="18"/>
              </w:rPr>
              <w:t>原膜或成品膜</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基膜／原膜</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作载体用或其他加工用途的未曾使用过的薄膜，通常为聚酯</w:t>
            </w:r>
          </w:p>
        </w:tc>
      </w:tr>
      <w:tr>
        <w:trPr>
          <w:trHeight w:val="714"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成品膜</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15"/>
              <w:jc w:val="left"/>
              <w:rPr>
                <w:rFonts w:ascii="宋体" w:hAnsi="宋体" w:cs="宋体" w:eastAsia="宋体" w:hint="default"/>
                <w:sz w:val="18"/>
                <w:szCs w:val="18"/>
              </w:rPr>
            </w:pPr>
            <w:r>
              <w:rPr>
                <w:rFonts w:ascii="宋体" w:hAnsi="宋体" w:cs="宋体" w:eastAsia="宋体" w:hint="default"/>
                <w:spacing w:val="-5"/>
                <w:sz w:val="18"/>
                <w:szCs w:val="18"/>
              </w:rPr>
              <w:t>已经完成所有预设工序加工的薄膜，包括</w:t>
            </w:r>
            <w:r>
              <w:rPr>
                <w:rFonts w:ascii="宋体" w:hAnsi="宋体" w:cs="宋体" w:eastAsia="宋体" w:hint="default"/>
                <w:spacing w:val="10"/>
                <w:sz w:val="18"/>
                <w:szCs w:val="18"/>
              </w:rPr>
              <w:t> </w:t>
            </w:r>
            <w:r>
              <w:rPr>
                <w:rFonts w:ascii="Times New Roman" w:hAnsi="Times New Roman" w:cs="Times New Roman" w:eastAsia="Times New Roman" w:hint="default"/>
                <w:spacing w:val="-1"/>
                <w:w w:val="99"/>
                <w:sz w:val="18"/>
                <w:szCs w:val="18"/>
              </w:rPr>
              <w:t>PET/OPP</w:t>
            </w:r>
            <w:r>
              <w:rPr>
                <w:rFonts w:ascii="Times New Roman" w:hAnsi="Times New Roman" w:cs="Times New Roman" w:eastAsia="Times New Roman" w:hint="default"/>
                <w:spacing w:val="2"/>
                <w:w w:val="99"/>
                <w:sz w:val="18"/>
                <w:szCs w:val="18"/>
              </w:rPr>
              <w:t> </w:t>
            </w:r>
            <w:r>
              <w:rPr>
                <w:rFonts w:ascii="宋体" w:hAnsi="宋体" w:cs="宋体" w:eastAsia="宋体" w:hint="default"/>
                <w:spacing w:val="-8"/>
                <w:w w:val="99"/>
                <w:sz w:val="18"/>
                <w:szCs w:val="18"/>
              </w:rPr>
              <w:t>转移膜、</w:t>
            </w:r>
            <w:r>
              <w:rPr>
                <w:rFonts w:ascii="Times New Roman" w:hAnsi="Times New Roman" w:cs="Times New Roman" w:eastAsia="Times New Roman" w:hint="default"/>
                <w:spacing w:val="-8"/>
                <w:w w:val="99"/>
                <w:sz w:val="18"/>
                <w:szCs w:val="18"/>
              </w:rPr>
              <w:t>PET/OPP</w:t>
            </w:r>
            <w:r>
              <w:rPr>
                <w:rFonts w:ascii="Times New Roman" w:hAnsi="Times New Roman" w:cs="Times New Roman" w:eastAsia="Times New Roman" w:hint="default"/>
                <w:spacing w:val="-43"/>
                <w:w w:val="99"/>
                <w:sz w:val="18"/>
                <w:szCs w:val="18"/>
              </w:rPr>
              <w:t> </w:t>
            </w:r>
            <w:r>
              <w:rPr>
                <w:rFonts w:ascii="Times New Roman" w:hAnsi="Times New Roman" w:cs="Times New Roman" w:eastAsia="Times New Roman" w:hint="default"/>
                <w:spacing w:val="-43"/>
                <w:w w:val="99"/>
                <w:sz w:val="18"/>
                <w:szCs w:val="18"/>
              </w:rPr>
            </w:r>
            <w:r>
              <w:rPr>
                <w:rFonts w:ascii="宋体" w:hAnsi="宋体" w:cs="宋体" w:eastAsia="宋体" w:hint="default"/>
                <w:sz w:val="18"/>
                <w:szCs w:val="18"/>
              </w:rPr>
              <w:t>镭射镀铝膜、</w:t>
            </w:r>
            <w:r>
              <w:rPr>
                <w:rFonts w:ascii="Times New Roman" w:hAnsi="Times New Roman" w:cs="Times New Roman" w:eastAsia="Times New Roman" w:hint="default"/>
                <w:sz w:val="18"/>
                <w:szCs w:val="18"/>
              </w:rPr>
              <w:t>PET/OPP</w:t>
            </w:r>
            <w:r>
              <w:rPr>
                <w:rFonts w:ascii="Times New Roman" w:hAnsi="Times New Roman" w:cs="Times New Roman" w:eastAsia="Times New Roman" w:hint="default"/>
                <w:spacing w:val="35"/>
                <w:sz w:val="18"/>
                <w:szCs w:val="18"/>
              </w:rPr>
              <w:t> </w:t>
            </w:r>
            <w:r>
              <w:rPr>
                <w:rFonts w:ascii="宋体" w:hAnsi="宋体" w:cs="宋体" w:eastAsia="宋体" w:hint="default"/>
                <w:sz w:val="18"/>
                <w:szCs w:val="18"/>
              </w:rPr>
              <w:t>镭射转移膜</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大箱</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香烟计量单位，</w:t>
            </w:r>
            <w:r>
              <w:rPr>
                <w:rFonts w:ascii="Times New Roman" w:hAnsi="Times New Roman" w:cs="Times New Roman" w:eastAsia="Times New Roman" w:hint="default"/>
                <w:sz w:val="18"/>
                <w:szCs w:val="18"/>
              </w:rPr>
              <w:t>250 </w:t>
            </w:r>
            <w:r>
              <w:rPr>
                <w:rFonts w:ascii="宋体" w:hAnsi="宋体" w:cs="宋体" w:eastAsia="宋体" w:hint="default"/>
                <w:sz w:val="18"/>
                <w:szCs w:val="18"/>
              </w:rPr>
              <w:t>条</w:t>
            </w:r>
            <w:r>
              <w:rPr>
                <w:rFonts w:ascii="Times New Roman" w:hAnsi="Times New Roman" w:cs="Times New Roman" w:eastAsia="Times New Roman" w:hint="default"/>
                <w:sz w:val="18"/>
                <w:szCs w:val="18"/>
              </w:rPr>
              <w:t>/</w:t>
            </w:r>
            <w:r>
              <w:rPr>
                <w:rFonts w:ascii="宋体" w:hAnsi="宋体" w:cs="宋体" w:eastAsia="宋体" w:hint="default"/>
                <w:sz w:val="18"/>
                <w:szCs w:val="18"/>
              </w:rPr>
              <w:t>大箱，</w:t>
            </w:r>
            <w:r>
              <w:rPr>
                <w:rFonts w:ascii="Times New Roman" w:hAnsi="Times New Roman" w:cs="Times New Roman" w:eastAsia="Times New Roman" w:hint="default"/>
                <w:sz w:val="18"/>
                <w:szCs w:val="18"/>
              </w:rPr>
              <w:t>10 </w:t>
            </w:r>
            <w:r>
              <w:rPr>
                <w:rFonts w:ascii="宋体" w:hAnsi="宋体" w:cs="宋体" w:eastAsia="宋体" w:hint="default"/>
                <w:sz w:val="18"/>
                <w:szCs w:val="18"/>
              </w:rPr>
              <w:t>盒</w:t>
            </w:r>
            <w:r>
              <w:rPr>
                <w:rFonts w:ascii="Times New Roman" w:hAnsi="Times New Roman" w:cs="Times New Roman" w:eastAsia="Times New Roman" w:hint="default"/>
                <w:sz w:val="18"/>
                <w:szCs w:val="18"/>
              </w:rPr>
              <w:t>/</w:t>
            </w:r>
            <w:r>
              <w:rPr>
                <w:rFonts w:ascii="宋体" w:hAnsi="宋体" w:cs="宋体" w:eastAsia="宋体" w:hint="default"/>
                <w:sz w:val="18"/>
                <w:szCs w:val="18"/>
              </w:rPr>
              <w:t>条，</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支</w:t>
            </w:r>
            <w:r>
              <w:rPr>
                <w:rFonts w:ascii="Times New Roman" w:hAnsi="Times New Roman" w:cs="Times New Roman" w:eastAsia="Times New Roman" w:hint="default"/>
                <w:sz w:val="18"/>
                <w:szCs w:val="18"/>
              </w:rPr>
              <w:t>/</w:t>
            </w:r>
            <w:r>
              <w:rPr>
                <w:rFonts w:ascii="宋体" w:hAnsi="宋体" w:cs="宋体" w:eastAsia="宋体" w:hint="default"/>
                <w:sz w:val="18"/>
                <w:szCs w:val="18"/>
              </w:rPr>
              <w:t>盒</w:t>
            </w:r>
          </w:p>
        </w:tc>
      </w:tr>
      <w:tr>
        <w:trPr>
          <w:trHeight w:val="714"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套</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烟标计量单位，一大箱包含</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250</w:t>
            </w:r>
            <w:r>
              <w:rPr>
                <w:rFonts w:ascii="Times New Roman" w:hAnsi="Times New Roman" w:cs="Times New Roman" w:eastAsia="Times New Roman" w:hint="default"/>
                <w:spacing w:val="-4"/>
                <w:sz w:val="18"/>
                <w:szCs w:val="18"/>
              </w:rPr>
              <w:t> </w:t>
            </w:r>
            <w:r>
              <w:rPr>
                <w:rFonts w:ascii="宋体" w:hAnsi="宋体" w:cs="宋体" w:eastAsia="宋体" w:hint="default"/>
                <w:spacing w:val="-3"/>
                <w:sz w:val="18"/>
                <w:szCs w:val="18"/>
              </w:rPr>
              <w:t>套，每套包含</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盒及用于</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盒卷烟 的整体外包装</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深交所</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《公司法》</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《中华人民共和国公司法》</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《证券法》</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《中华人民共和国证券法》</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《公司章程》</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《深圳劲嘉集团股份有限公司章程》</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报告期</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万元</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人民币元</w:t>
            </w:r>
            <w:r>
              <w:rPr>
                <w:rFonts w:ascii="Times New Roman" w:hAnsi="Times New Roman" w:cs="Times New Roman" w:eastAsia="Times New Roman" w:hint="default"/>
                <w:sz w:val="18"/>
                <w:szCs w:val="18"/>
              </w:rPr>
              <w:t>/</w:t>
            </w:r>
            <w:r>
              <w:rPr>
                <w:rFonts w:ascii="宋体" w:hAnsi="宋体" w:cs="宋体" w:eastAsia="宋体" w:hint="default"/>
                <w:sz w:val="18"/>
                <w:szCs w:val="18"/>
              </w:rPr>
              <w:t>万元</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r>
        <w:rPr/>
        <w:pict>
          <v:group style="position:absolute;margin-left:172.339996pt;margin-top:272.779968pt;width:361.5pt;height:19.6pt;mso-position-horizontal-relative:page;mso-position-vertical-relative:page;z-index:-1231864" coordorigin="3447,5456" coordsize="7230,392">
            <v:shape style="position:absolute;left:3447;top:5456;width:7230;height:392" coordorigin="3447,5456" coordsize="7230,392" path="m3447,5847l10676,5847,10676,5456,3447,5456,3447,5847xe" filled="true" fillcolor="#ffffff" stroked="false">
              <v:path arrowok="t"/>
              <v:fill type="solid"/>
            </v:shape>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28"/>
          <w:szCs w:val="28"/>
        </w:rPr>
      </w:pPr>
    </w:p>
    <w:p>
      <w:pPr>
        <w:pStyle w:val="Heading1"/>
        <w:spacing w:line="240" w:lineRule="auto"/>
        <w:ind w:left="2644" w:right="0"/>
        <w:jc w:val="left"/>
        <w:rPr>
          <w:b w:val="0"/>
          <w:bCs w:val="0"/>
        </w:rPr>
      </w:pPr>
      <w:bookmarkStart w:name="第二节 公司简介和主要财务指标" w:id="2"/>
      <w:bookmarkEnd w:id="2"/>
      <w:r>
        <w:rPr>
          <w:b w:val="0"/>
          <w:bCs w:val="0"/>
        </w:rPr>
      </w:r>
      <w:bookmarkStart w:name="_bookmark0" w:id="3"/>
      <w:bookmarkEnd w:id="3"/>
      <w:r>
        <w:rPr>
          <w:b w:val="0"/>
          <w:bCs w:val="0"/>
        </w:rPr>
      </w:r>
      <w:r>
        <w:rPr/>
        <w:t>第二节</w:t>
      </w:r>
      <w:r>
        <w:rPr>
          <w:spacing w:val="-11"/>
        </w:rPr>
        <w:t> </w:t>
      </w:r>
      <w:r>
        <w:rPr/>
        <w:t>公司简介和主要财务指标</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bookmarkStart w:name="一、公司信息" w:id="4"/>
      <w:bookmarkEnd w:id="4"/>
      <w:r>
        <w:rPr>
          <w:b w:val="0"/>
          <w:bCs w:val="0"/>
        </w:rPr>
      </w:r>
      <w:r>
        <w:rPr/>
        <w:t>一、公司信息</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273"/>
        <w:gridCol w:w="2976"/>
        <w:gridCol w:w="2133"/>
        <w:gridCol w:w="2188"/>
      </w:tblGrid>
      <w:tr>
        <w:trPr>
          <w:trHeight w:val="403"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976" w:type="dxa"/>
            <w:tcBorders>
              <w:top w:val="single" w:sz="4" w:space="0" w:color="000000"/>
              <w:left w:val="single" w:sz="9" w:space="0" w:color="D2D2D2"/>
              <w:bottom w:val="single" w:sz="4" w:space="0" w:color="000000"/>
              <w:right w:val="single" w:sz="9" w:space="0" w:color="D2D2D2"/>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劲嘉股份</w:t>
            </w:r>
          </w:p>
        </w:tc>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8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left="27" w:right="0"/>
              <w:jc w:val="left"/>
              <w:rPr>
                <w:rFonts w:ascii="Times New Roman" w:hAnsi="Times New Roman" w:cs="Times New Roman" w:eastAsia="Times New Roman" w:hint="default"/>
                <w:sz w:val="18"/>
                <w:szCs w:val="18"/>
              </w:rPr>
            </w:pPr>
            <w:r>
              <w:rPr>
                <w:rFonts w:ascii="Times New Roman"/>
                <w:sz w:val="18"/>
              </w:rPr>
              <w:t>002191</w:t>
            </w:r>
          </w:p>
        </w:tc>
      </w:tr>
      <w:tr>
        <w:trPr>
          <w:trHeight w:val="401"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股票上市证券交易所</w:t>
            </w:r>
          </w:p>
        </w:tc>
        <w:tc>
          <w:tcPr>
            <w:tcW w:w="729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5"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深圳劲嘉集团股份有限公司</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劲嘉股份</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公司的外文名称（如有）</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sz w:val="18"/>
              </w:rPr>
              <w:t>SHENZHEN JINJIA GROUP</w:t>
            </w:r>
            <w:r>
              <w:rPr>
                <w:rFonts w:ascii="Times New Roman"/>
                <w:spacing w:val="-15"/>
                <w:sz w:val="18"/>
              </w:rPr>
              <w:t> </w:t>
            </w:r>
            <w:r>
              <w:rPr>
                <w:rFonts w:ascii="Times New Roman"/>
                <w:spacing w:val="-3"/>
                <w:sz w:val="18"/>
              </w:rPr>
              <w:t>CO.,LTD.</w:t>
            </w:r>
          </w:p>
        </w:tc>
      </w:tr>
      <w:tr>
        <w:trPr>
          <w:trHeight w:val="402" w:hRule="exact"/>
        </w:trPr>
        <w:tc>
          <w:tcPr>
            <w:tcW w:w="2273"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52"/>
              <w:ind w:left="22" w:right="-58"/>
              <w:jc w:val="left"/>
              <w:rPr>
                <w:rFonts w:ascii="宋体" w:hAnsi="宋体" w:cs="宋体" w:eastAsia="宋体" w:hint="default"/>
                <w:sz w:val="18"/>
                <w:szCs w:val="18"/>
              </w:rPr>
            </w:pPr>
            <w:r>
              <w:rPr>
                <w:rFonts w:ascii="宋体" w:hAnsi="宋体" w:cs="宋体" w:eastAsia="宋体" w:hint="default"/>
                <w:spacing w:val="-5"/>
                <w:sz w:val="18"/>
                <w:szCs w:val="18"/>
              </w:rPr>
              <w:t>公司的外文名称缩写（如有）</w:t>
            </w:r>
            <w:r>
              <w:rPr>
                <w:rFonts w:ascii="宋体" w:hAnsi="宋体" w:cs="宋体" w:eastAsia="宋体" w:hint="default"/>
                <w:sz w:val="18"/>
                <w:szCs w:val="18"/>
              </w:rPr>
            </w:r>
          </w:p>
        </w:tc>
        <w:tc>
          <w:tcPr>
            <w:tcW w:w="7297" w:type="dxa"/>
            <w:gridSpan w:val="3"/>
            <w:tcBorders>
              <w:top w:val="single" w:sz="4" w:space="0" w:color="000000"/>
              <w:left w:val="single" w:sz="23" w:space="0" w:color="FFFFFF"/>
              <w:bottom w:val="single" w:sz="4" w:space="0" w:color="000000"/>
              <w:right w:val="single" w:sz="4" w:space="0" w:color="000000"/>
            </w:tcBorders>
          </w:tcPr>
          <w:p>
            <w:pPr>
              <w:pStyle w:val="TableParagraph"/>
              <w:spacing w:line="240" w:lineRule="auto" w:before="92"/>
              <w:ind w:left="12" w:right="0"/>
              <w:jc w:val="left"/>
              <w:rPr>
                <w:rFonts w:ascii="Times New Roman" w:hAnsi="Times New Roman" w:cs="Times New Roman" w:eastAsia="Times New Roman" w:hint="default"/>
                <w:sz w:val="18"/>
                <w:szCs w:val="18"/>
              </w:rPr>
            </w:pPr>
            <w:r>
              <w:rPr>
                <w:rFonts w:ascii="Times New Roman"/>
                <w:sz w:val="18"/>
              </w:rPr>
              <w:t>JINJIA</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乔鲁予</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深圳市南山区科技中二路劲嘉科技大厦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sz w:val="18"/>
              </w:rPr>
              <w:t>518057</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深圳市南山区科技中二路劲嘉科技大厦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sz w:val="18"/>
              </w:rPr>
              <w:t>518057</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公司网址</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hyperlink r:id="rId9">
              <w:r>
                <w:rPr>
                  <w:rFonts w:ascii="Times New Roman"/>
                  <w:sz w:val="18"/>
                </w:rPr>
                <w:t>www.jinjia.com</w:t>
              </w:r>
            </w:hyperlink>
          </w:p>
        </w:tc>
      </w:tr>
      <w:tr>
        <w:trPr>
          <w:trHeight w:val="404"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hyperlink r:id="rId10">
              <w:r>
                <w:rPr>
                  <w:rFonts w:ascii="Times New Roman"/>
                  <w:sz w:val="18"/>
                </w:rPr>
                <w:t>jjcp@jinjia.com</w:t>
              </w:r>
            </w:hyperlink>
          </w:p>
        </w:tc>
      </w:tr>
    </w:tbl>
    <w:p>
      <w:pPr>
        <w:spacing w:line="240" w:lineRule="auto" w:before="2"/>
        <w:rPr>
          <w:rFonts w:ascii="宋体" w:hAnsi="宋体" w:cs="宋体" w:eastAsia="宋体" w:hint="default"/>
          <w:b/>
          <w:bCs/>
          <w:sz w:val="18"/>
          <w:szCs w:val="18"/>
        </w:rPr>
      </w:pPr>
    </w:p>
    <w:p>
      <w:pPr>
        <w:pStyle w:val="Heading2"/>
        <w:spacing w:line="240" w:lineRule="auto" w:before="26"/>
        <w:ind w:right="0"/>
        <w:jc w:val="left"/>
        <w:rPr>
          <w:b w:val="0"/>
          <w:bCs w:val="0"/>
        </w:rPr>
      </w:pPr>
      <w:bookmarkStart w:name="二、联系人和联系方式" w:id="5"/>
      <w:bookmarkEnd w:id="5"/>
      <w:r>
        <w:rPr>
          <w:b w:val="0"/>
          <w:bCs w:val="0"/>
        </w:rPr>
      </w:r>
      <w:r>
        <w:rPr/>
        <w:t>二、联系人和联系方式</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3179"/>
        <w:gridCol w:w="3190"/>
        <w:gridCol w:w="3190"/>
      </w:tblGrid>
      <w:tr>
        <w:trPr>
          <w:trHeight w:val="402" w:hRule="exact"/>
        </w:trPr>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2" w:hRule="exact"/>
        </w:trPr>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z w:val="18"/>
                <w:szCs w:val="18"/>
              </w:rPr>
              <w:t>李晓华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何娜</w:t>
            </w:r>
          </w:p>
        </w:tc>
      </w:tr>
      <w:tr>
        <w:trPr>
          <w:trHeight w:val="161" w:hRule="exact"/>
        </w:trPr>
        <w:tc>
          <w:tcPr>
            <w:tcW w:w="3179" w:type="dxa"/>
            <w:tcBorders>
              <w:top w:val="single" w:sz="4" w:space="0" w:color="000000"/>
              <w:left w:val="single" w:sz="4" w:space="0" w:color="000000"/>
              <w:bottom w:val="nil" w:sz="6" w:space="0" w:color="auto"/>
              <w:right w:val="single" w:sz="4" w:space="0" w:color="000000"/>
            </w:tcBorders>
            <w:shd w:val="clear" w:color="auto" w:fill="D2D2D2"/>
          </w:tcPr>
          <w:p>
            <w:pPr/>
          </w:p>
        </w:tc>
        <w:tc>
          <w:tcPr>
            <w:tcW w:w="3190" w:type="dxa"/>
            <w:vMerge w:val="restart"/>
            <w:tcBorders>
              <w:top w:val="single" w:sz="4" w:space="0" w:color="000000"/>
              <w:left w:val="single" w:sz="9" w:space="0" w:color="D2D2D2"/>
              <w:right w:val="single" w:sz="4"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宋体" w:hAnsi="宋体" w:cs="宋体" w:eastAsia="宋体" w:hint="default"/>
                <w:sz w:val="18"/>
                <w:szCs w:val="18"/>
              </w:rPr>
              <w:t>深圳市南山区科技中二路劲嘉科技大厦</w:t>
            </w:r>
          </w:p>
          <w:p>
            <w:pPr>
              <w:pStyle w:val="TableParagraph"/>
              <w:spacing w:line="240" w:lineRule="auto" w:before="76"/>
              <w:ind w:left="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w:t>
            </w:r>
          </w:p>
        </w:tc>
        <w:tc>
          <w:tcPr>
            <w:tcW w:w="3190" w:type="dxa"/>
            <w:vMerge w:val="restart"/>
            <w:tcBorders>
              <w:top w:val="single" w:sz="4" w:space="0" w:color="000000"/>
              <w:left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深圳市南山区科技中二路劲嘉科技大厦</w:t>
            </w:r>
          </w:p>
          <w:p>
            <w:pPr>
              <w:pStyle w:val="TableParagraph"/>
              <w:spacing w:line="240" w:lineRule="auto" w:before="7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w:t>
            </w:r>
          </w:p>
        </w:tc>
      </w:tr>
      <w:tr>
        <w:trPr>
          <w:trHeight w:val="392" w:hRule="exact"/>
        </w:trPr>
        <w:tc>
          <w:tcPr>
            <w:tcW w:w="317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190" w:type="dxa"/>
            <w:vMerge/>
            <w:tcBorders>
              <w:left w:val="single" w:sz="9" w:space="0" w:color="D2D2D2"/>
              <w:right w:val="single" w:sz="4" w:space="0" w:color="000000"/>
            </w:tcBorders>
          </w:tcPr>
          <w:p>
            <w:pPr/>
          </w:p>
        </w:tc>
        <w:tc>
          <w:tcPr>
            <w:tcW w:w="3190" w:type="dxa"/>
            <w:vMerge/>
            <w:tcBorders>
              <w:left w:val="single" w:sz="4" w:space="0" w:color="000000"/>
              <w:right w:val="single" w:sz="4" w:space="0" w:color="000000"/>
            </w:tcBorders>
          </w:tcPr>
          <w:p>
            <w:pPr/>
          </w:p>
        </w:tc>
      </w:tr>
      <w:tr>
        <w:trPr>
          <w:trHeight w:val="161" w:hRule="exact"/>
        </w:trPr>
        <w:tc>
          <w:tcPr>
            <w:tcW w:w="3179" w:type="dxa"/>
            <w:tcBorders>
              <w:top w:val="nil" w:sz="6" w:space="0" w:color="auto"/>
              <w:left w:val="single" w:sz="4" w:space="0" w:color="000000"/>
              <w:bottom w:val="single" w:sz="4" w:space="0" w:color="000000"/>
              <w:right w:val="single" w:sz="4" w:space="0" w:color="000000"/>
            </w:tcBorders>
            <w:shd w:val="clear" w:color="auto" w:fill="D2D2D2"/>
          </w:tcPr>
          <w:p>
            <w:pPr/>
          </w:p>
        </w:tc>
        <w:tc>
          <w:tcPr>
            <w:tcW w:w="3190" w:type="dxa"/>
            <w:vMerge/>
            <w:tcBorders>
              <w:left w:val="single" w:sz="9" w:space="0" w:color="D2D2D2"/>
              <w:bottom w:val="single" w:sz="4" w:space="0" w:color="000000"/>
              <w:right w:val="single" w:sz="4" w:space="0" w:color="000000"/>
            </w:tcBorders>
          </w:tcPr>
          <w:p>
            <w:pPr/>
          </w:p>
        </w:tc>
        <w:tc>
          <w:tcPr>
            <w:tcW w:w="3190" w:type="dxa"/>
            <w:vMerge/>
            <w:tcBorders>
              <w:left w:val="single" w:sz="4" w:space="0" w:color="000000"/>
              <w:bottom w:val="single" w:sz="4" w:space="0" w:color="000000"/>
              <w:right w:val="single" w:sz="4" w:space="0" w:color="000000"/>
            </w:tcBorders>
          </w:tcPr>
          <w:p>
            <w:pPr/>
          </w:p>
        </w:tc>
      </w:tr>
      <w:tr>
        <w:trPr>
          <w:trHeight w:val="402" w:hRule="exact"/>
        </w:trPr>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0755</w:t>
            </w:r>
            <w:r>
              <w:rPr>
                <w:rFonts w:ascii="宋体" w:hAnsi="宋体" w:cs="宋体" w:eastAsia="宋体" w:hint="default"/>
                <w:sz w:val="18"/>
                <w:szCs w:val="18"/>
              </w:rPr>
              <w:t>－</w:t>
            </w:r>
            <w:r>
              <w:rPr>
                <w:rFonts w:ascii="Times New Roman" w:hAnsi="Times New Roman" w:cs="Times New Roman" w:eastAsia="Times New Roman" w:hint="default"/>
                <w:sz w:val="18"/>
                <w:szCs w:val="18"/>
              </w:rPr>
              <w:t>86708116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0755</w:t>
            </w:r>
            <w:r>
              <w:rPr>
                <w:rFonts w:ascii="宋体" w:hAnsi="宋体" w:cs="宋体" w:eastAsia="宋体" w:hint="default"/>
                <w:sz w:val="18"/>
                <w:szCs w:val="18"/>
              </w:rPr>
              <w:t>－</w:t>
            </w:r>
            <w:r>
              <w:rPr>
                <w:rFonts w:ascii="Times New Roman" w:hAnsi="Times New Roman" w:cs="Times New Roman" w:eastAsia="Times New Roman" w:hint="default"/>
                <w:sz w:val="18"/>
                <w:szCs w:val="18"/>
              </w:rPr>
              <w:t>86708116</w:t>
            </w:r>
          </w:p>
        </w:tc>
      </w:tr>
      <w:tr>
        <w:trPr>
          <w:trHeight w:val="402" w:hRule="exact"/>
        </w:trPr>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0755</w:t>
            </w:r>
            <w:r>
              <w:rPr>
                <w:rFonts w:ascii="宋体" w:hAnsi="宋体" w:cs="宋体" w:eastAsia="宋体" w:hint="default"/>
                <w:sz w:val="18"/>
                <w:szCs w:val="18"/>
              </w:rPr>
              <w:t>－</w:t>
            </w:r>
            <w:r>
              <w:rPr>
                <w:rFonts w:ascii="Times New Roman" w:hAnsi="Times New Roman" w:cs="Times New Roman" w:eastAsia="Times New Roman" w:hint="default"/>
                <w:sz w:val="18"/>
                <w:szCs w:val="18"/>
              </w:rPr>
              <w:t>26498899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0755</w:t>
            </w:r>
            <w:r>
              <w:rPr>
                <w:rFonts w:ascii="宋体" w:hAnsi="宋体" w:cs="宋体" w:eastAsia="宋体" w:hint="default"/>
                <w:sz w:val="18"/>
                <w:szCs w:val="18"/>
              </w:rPr>
              <w:t>－</w:t>
            </w:r>
            <w:r>
              <w:rPr>
                <w:rFonts w:ascii="Times New Roman" w:hAnsi="Times New Roman" w:cs="Times New Roman" w:eastAsia="Times New Roman" w:hint="default"/>
                <w:sz w:val="18"/>
                <w:szCs w:val="18"/>
              </w:rPr>
              <w:t>26498899</w:t>
            </w:r>
          </w:p>
        </w:tc>
      </w:tr>
      <w:tr>
        <w:trPr>
          <w:trHeight w:val="402" w:hRule="exact"/>
        </w:trPr>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0" w:right="0"/>
              <w:jc w:val="left"/>
              <w:rPr>
                <w:rFonts w:ascii="Times New Roman" w:hAnsi="Times New Roman" w:cs="Times New Roman" w:eastAsia="Times New Roman" w:hint="default"/>
                <w:sz w:val="18"/>
                <w:szCs w:val="18"/>
              </w:rPr>
            </w:pPr>
            <w:hyperlink r:id="rId10">
              <w:r>
                <w:rPr>
                  <w:rFonts w:ascii="Times New Roman"/>
                  <w:sz w:val="18"/>
                </w:rPr>
                <w:t>jjcp@jinjia.com</w:t>
              </w:r>
            </w:hyperlink>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10">
              <w:r>
                <w:rPr>
                  <w:rFonts w:ascii="Times New Roman"/>
                  <w:sz w:val="18"/>
                </w:rPr>
                <w:t>jjcp@jinjia.com</w:t>
              </w:r>
            </w:hyperlink>
          </w:p>
        </w:tc>
      </w:tr>
    </w:tbl>
    <w:p>
      <w:pPr>
        <w:spacing w:line="240" w:lineRule="auto" w:before="2"/>
        <w:rPr>
          <w:rFonts w:ascii="宋体" w:hAnsi="宋体" w:cs="宋体" w:eastAsia="宋体" w:hint="default"/>
          <w:b/>
          <w:bCs/>
          <w:sz w:val="18"/>
          <w:szCs w:val="18"/>
        </w:rPr>
      </w:pPr>
    </w:p>
    <w:p>
      <w:pPr>
        <w:pStyle w:val="Heading2"/>
        <w:spacing w:line="240" w:lineRule="auto" w:before="26"/>
        <w:ind w:right="0"/>
        <w:jc w:val="left"/>
        <w:rPr>
          <w:b w:val="0"/>
          <w:bCs w:val="0"/>
        </w:rPr>
      </w:pPr>
      <w:bookmarkStart w:name="三、信息披露及备置地点" w:id="6"/>
      <w:bookmarkEnd w:id="6"/>
      <w:r>
        <w:rPr>
          <w:b w:val="0"/>
          <w:bCs w:val="0"/>
        </w:rPr>
      </w:r>
      <w:r>
        <w:rPr/>
        <w:t>三、信息披露及备置地点</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993"/>
        <w:gridCol w:w="5576"/>
      </w:tblGrid>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公司选定的信息披露媒体的名称</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《中国证券报</w:t>
            </w:r>
            <w:r>
              <w:rPr>
                <w:rFonts w:ascii="宋体" w:hAnsi="宋体" w:cs="宋体" w:eastAsia="宋体" w:hint="default"/>
                <w:spacing w:val="-90"/>
                <w:sz w:val="18"/>
                <w:szCs w:val="18"/>
              </w:rPr>
              <w:t>》、</w:t>
            </w:r>
            <w:r>
              <w:rPr>
                <w:rFonts w:ascii="宋体" w:hAnsi="宋体" w:cs="宋体" w:eastAsia="宋体" w:hint="default"/>
                <w:sz w:val="18"/>
                <w:szCs w:val="18"/>
              </w:rPr>
              <w:t>《上海证券报</w:t>
            </w:r>
            <w:r>
              <w:rPr>
                <w:rFonts w:ascii="宋体" w:hAnsi="宋体" w:cs="宋体" w:eastAsia="宋体" w:hint="default"/>
                <w:spacing w:val="-90"/>
                <w:sz w:val="18"/>
                <w:szCs w:val="18"/>
              </w:rPr>
              <w:t>》、</w:t>
            </w:r>
            <w:r>
              <w:rPr>
                <w:rFonts w:ascii="宋体" w:hAnsi="宋体" w:cs="宋体" w:eastAsia="宋体" w:hint="default"/>
                <w:sz w:val="18"/>
                <w:szCs w:val="18"/>
              </w:rPr>
              <w:t>《证券时报</w:t>
            </w:r>
            <w:r>
              <w:rPr>
                <w:rFonts w:ascii="宋体" w:hAnsi="宋体" w:cs="宋体" w:eastAsia="宋体" w:hint="default"/>
                <w:spacing w:val="-90"/>
                <w:sz w:val="18"/>
                <w:szCs w:val="18"/>
              </w:rPr>
              <w:t>》、</w:t>
            </w:r>
            <w:r>
              <w:rPr>
                <w:rFonts w:ascii="宋体" w:hAnsi="宋体" w:cs="宋体" w:eastAsia="宋体" w:hint="default"/>
                <w:sz w:val="18"/>
                <w:szCs w:val="18"/>
              </w:rPr>
              <w:t>《证券日报》</w:t>
            </w:r>
          </w:p>
        </w:tc>
      </w:tr>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11">
              <w:r>
                <w:rPr>
                  <w:rFonts w:ascii="Times New Roman"/>
                  <w:sz w:val="18"/>
                </w:rPr>
                <w:t>http://www.cninfo.com.cn</w:t>
              </w:r>
            </w:hyperlink>
          </w:p>
        </w:tc>
      </w:tr>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公司董事会办公室</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9"/>
        <w:rPr>
          <w:rFonts w:ascii="宋体" w:hAnsi="宋体" w:cs="宋体" w:eastAsia="宋体" w:hint="default"/>
          <w:b/>
          <w:bCs/>
          <w:sz w:val="23"/>
          <w:szCs w:val="23"/>
        </w:rPr>
      </w:pPr>
    </w:p>
    <w:p>
      <w:pPr>
        <w:pStyle w:val="Heading2"/>
        <w:spacing w:line="240" w:lineRule="auto" w:before="26"/>
        <w:ind w:right="0"/>
        <w:jc w:val="left"/>
        <w:rPr>
          <w:b w:val="0"/>
          <w:bCs w:val="0"/>
        </w:rPr>
      </w:pPr>
      <w:bookmarkStart w:name="四、注册变更情况" w:id="7"/>
      <w:bookmarkEnd w:id="7"/>
      <w:r>
        <w:rPr>
          <w:b w:val="0"/>
          <w:bCs w:val="0"/>
        </w:rPr>
      </w:r>
      <w:r>
        <w:rPr/>
        <w:t>四、注册变更情况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190"/>
        <w:gridCol w:w="637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组织机构代码</w:t>
            </w:r>
          </w:p>
        </w:tc>
        <w:tc>
          <w:tcPr>
            <w:tcW w:w="6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91440300618921880R</w:t>
            </w:r>
          </w:p>
        </w:tc>
      </w:tr>
      <w:tr>
        <w:trPr>
          <w:trHeight w:val="714"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95"/>
              <w:jc w:val="left"/>
              <w:rPr>
                <w:rFonts w:ascii="宋体" w:hAnsi="宋体" w:cs="宋体" w:eastAsia="宋体" w:hint="default"/>
                <w:sz w:val="18"/>
                <w:szCs w:val="18"/>
              </w:rPr>
            </w:pPr>
            <w:r>
              <w:rPr>
                <w:rFonts w:ascii="宋体" w:hAnsi="宋体" w:cs="宋体" w:eastAsia="宋体" w:hint="default"/>
                <w:sz w:val="18"/>
                <w:szCs w:val="18"/>
              </w:rPr>
              <w:t>公司上市以来主营业务的变化情况（如 有）</w:t>
            </w:r>
          </w:p>
        </w:tc>
        <w:tc>
          <w:tcPr>
            <w:tcW w:w="6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无变更</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历次控股股东的变更情况（如有）</w:t>
            </w:r>
          </w:p>
        </w:tc>
        <w:tc>
          <w:tcPr>
            <w:tcW w:w="6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无变更</w:t>
            </w:r>
          </w:p>
        </w:tc>
      </w:tr>
    </w:tbl>
    <w:p>
      <w:pPr>
        <w:spacing w:line="240" w:lineRule="auto" w:before="2"/>
        <w:rPr>
          <w:rFonts w:ascii="宋体" w:hAnsi="宋体" w:cs="宋体" w:eastAsia="宋体" w:hint="default"/>
          <w:b/>
          <w:bCs/>
          <w:sz w:val="18"/>
          <w:szCs w:val="18"/>
        </w:rPr>
      </w:pPr>
    </w:p>
    <w:p>
      <w:pPr>
        <w:pStyle w:val="Heading2"/>
        <w:spacing w:line="240" w:lineRule="auto" w:before="26"/>
        <w:ind w:right="0"/>
        <w:jc w:val="left"/>
        <w:rPr>
          <w:b w:val="0"/>
          <w:bCs w:val="0"/>
        </w:rPr>
      </w:pPr>
      <w:bookmarkStart w:name="五、其他有关资料" w:id="8"/>
      <w:bookmarkEnd w:id="8"/>
      <w:r>
        <w:rPr>
          <w:b w:val="0"/>
          <w:bCs w:val="0"/>
        </w:rPr>
      </w:r>
      <w:r>
        <w:rPr/>
        <w:t>五、其他有关资料</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公司聘请的会计师事务所</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662"/>
        <w:gridCol w:w="6907"/>
      </w:tblGrid>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瑞华会计师事务所（特殊普通合伙）</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北京市海淀区西四环中路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号院</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号楼</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层</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签字会计师姓名</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印碧辉、荣矾</w:t>
            </w:r>
          </w:p>
        </w:tc>
      </w:tr>
    </w:tbl>
    <w:p>
      <w:pPr>
        <w:pStyle w:val="BodyText"/>
        <w:spacing w:line="240" w:lineRule="auto" w:before="51"/>
        <w:ind w:right="0"/>
        <w:jc w:val="left"/>
      </w:pPr>
      <w:r>
        <w:rPr/>
        <w:t>公司聘请的报告期内履行持续督导职责的保荐机构</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保荐机构名称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71" w:right="0"/>
              <w:jc w:val="left"/>
              <w:rPr>
                <w:rFonts w:ascii="宋体" w:hAnsi="宋体" w:cs="宋体" w:eastAsia="宋体" w:hint="default"/>
                <w:sz w:val="18"/>
                <w:szCs w:val="18"/>
              </w:rPr>
            </w:pPr>
            <w:r>
              <w:rPr>
                <w:rFonts w:ascii="宋体" w:hAnsi="宋体" w:cs="宋体" w:eastAsia="宋体" w:hint="default"/>
                <w:sz w:val="18"/>
                <w:szCs w:val="18"/>
              </w:rPr>
              <w:t>保荐机构办公地址</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0" w:right="0"/>
              <w:jc w:val="left"/>
              <w:rPr>
                <w:rFonts w:ascii="宋体" w:hAnsi="宋体" w:cs="宋体" w:eastAsia="宋体" w:hint="default"/>
                <w:sz w:val="18"/>
                <w:szCs w:val="18"/>
              </w:rPr>
            </w:pPr>
            <w:r>
              <w:rPr>
                <w:rFonts w:ascii="宋体" w:hAnsi="宋体" w:cs="宋体" w:eastAsia="宋体" w:hint="default"/>
                <w:sz w:val="18"/>
                <w:szCs w:val="18"/>
              </w:rPr>
              <w:t>保荐代表人姓名</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持续督导期间</w:t>
            </w:r>
          </w:p>
        </w:tc>
      </w:tr>
      <w:tr>
        <w:trPr>
          <w:trHeight w:val="1026"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中信证券股份有限公司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3" w:right="17"/>
              <w:jc w:val="left"/>
              <w:rPr>
                <w:rFonts w:ascii="宋体" w:hAnsi="宋体" w:cs="宋体" w:eastAsia="宋体" w:hint="default"/>
                <w:sz w:val="18"/>
                <w:szCs w:val="18"/>
              </w:rPr>
            </w:pPr>
            <w:r>
              <w:rPr>
                <w:rFonts w:ascii="宋体" w:hAnsi="宋体" w:cs="宋体" w:eastAsia="宋体" w:hint="default"/>
                <w:sz w:val="18"/>
                <w:szCs w:val="18"/>
              </w:rPr>
              <w:t>广东省深圳市福田区中心三 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号卓越时代广场（二期） 北座</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史松祥、胡征源</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日</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bl>
    <w:p>
      <w:pPr>
        <w:pStyle w:val="BodyText"/>
        <w:spacing w:line="240" w:lineRule="auto" w:before="51"/>
        <w:ind w:right="0"/>
        <w:jc w:val="left"/>
      </w:pPr>
      <w:r>
        <w:rPr/>
        <w:t>公司聘请的报告期内履行持续督导职责的财务顾问</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六、主要会计数据和财务指标" w:id="9"/>
      <w:bookmarkEnd w:id="9"/>
      <w:r>
        <w:rPr>
          <w:b w:val="0"/>
          <w:bCs w:val="0"/>
        </w:rPr>
      </w:r>
      <w:r>
        <w:rPr/>
        <w:t>六、主要会计数据和财务指标</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公司是否需追溯调整或重述以前年度会计数据</w:t>
      </w:r>
    </w:p>
    <w:p>
      <w:pPr>
        <w:pStyle w:val="BodyText"/>
        <w:spacing w:line="240" w:lineRule="auto" w:before="117"/>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12"/>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2598"/>
        <w:gridCol w:w="1751"/>
        <w:gridCol w:w="1736"/>
        <w:gridCol w:w="1738"/>
        <w:gridCol w:w="1735"/>
      </w:tblGrid>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本年比上年增减</w:t>
            </w:r>
          </w:p>
        </w:tc>
        <w:tc>
          <w:tcPr>
            <w:tcW w:w="1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3,374,004,791.26</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2,945,293,524.27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14.56%</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2,776,954,820.51</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725,308,104.74</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574,411,233.05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26.27%</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570,721,416.87</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55"/>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692,189,290.04</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547,399,781.03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26.45%</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439,452,495.62</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852,646,915.77</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819,829,106.31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4.00%</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918,185,877.98</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0.49</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0.43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13.95%</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0.44</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0.49</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0.43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13.95%</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0.43</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11.27%</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11.63%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-0.36%</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13.30%</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8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3"/>
              <w:jc w:val="right"/>
              <w:rPr>
                <w:rFonts w:ascii="宋体" w:hAnsi="宋体" w:cs="宋体" w:eastAsia="宋体" w:hint="default"/>
                <w:sz w:val="18"/>
                <w:szCs w:val="18"/>
              </w:rPr>
            </w:pPr>
            <w:r>
              <w:rPr>
                <w:rFonts w:ascii="宋体" w:hAnsi="宋体" w:cs="宋体" w:eastAsia="宋体" w:hint="default"/>
                <w:sz w:val="18"/>
                <w:szCs w:val="18"/>
              </w:rPr>
              <w:t>本年末比上年末增减</w:t>
            </w:r>
          </w:p>
        </w:tc>
        <w:tc>
          <w:tcPr>
            <w:tcW w:w="1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7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621"/>
        <w:gridCol w:w="1739"/>
        <w:gridCol w:w="1736"/>
        <w:gridCol w:w="1738"/>
        <w:gridCol w:w="1735"/>
      </w:tblGrid>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总资产（元）</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8,203,580,899.26</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8,123,780,067.72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0.98%</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6,680,677,124.70</w:t>
            </w:r>
          </w:p>
        </w:tc>
      </w:tr>
      <w:tr>
        <w:trPr>
          <w:trHeight w:val="714"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归属于上市公司股东的净资产</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6,492,800,613.47</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6,448,893,066.86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0.68%</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4,493,801,641.63</w:t>
            </w:r>
          </w:p>
        </w:tc>
      </w:tr>
    </w:tbl>
    <w:p>
      <w:pPr>
        <w:spacing w:line="240" w:lineRule="auto" w:before="2"/>
        <w:rPr>
          <w:rFonts w:ascii="宋体" w:hAnsi="宋体" w:cs="宋体" w:eastAsia="宋体" w:hint="default"/>
          <w:sz w:val="18"/>
          <w:szCs w:val="18"/>
        </w:rPr>
      </w:pPr>
    </w:p>
    <w:p>
      <w:pPr>
        <w:pStyle w:val="Heading2"/>
        <w:spacing w:line="240" w:lineRule="auto" w:before="26"/>
        <w:ind w:right="0"/>
        <w:jc w:val="left"/>
        <w:rPr>
          <w:b w:val="0"/>
          <w:bCs w:val="0"/>
        </w:rPr>
      </w:pPr>
      <w:bookmarkStart w:name="七、境内外会计准则下会计数据差异" w:id="10"/>
      <w:bookmarkEnd w:id="10"/>
      <w:r>
        <w:rPr>
          <w:b w:val="0"/>
          <w:bCs w:val="0"/>
        </w:rPr>
      </w:r>
      <w:r>
        <w:rPr/>
        <w:t>七、境内外会计准则下会计数据差异</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同时按照国际会计准则与按照中国会计准则披露的财务报告中净利润和净资产差异情况" w:id="11"/>
      <w:bookmarkEnd w:id="11"/>
      <w:r>
        <w:rPr>
          <w:b w:val="0"/>
          <w:bCs w:val="0"/>
        </w:rPr>
      </w:r>
      <w:r>
        <w:rPr>
          <w:rFonts w:ascii="Times New Roman" w:hAnsi="Times New Roman" w:cs="Times New Roman" w:eastAsia="Times New Roman" w:hint="default"/>
        </w:rPr>
        <w:t>1</w:t>
      </w:r>
      <w:r>
        <w:rPr/>
        <w:t>、同时按照国际会计准则与按照中国会计准则披露的财务报告中净利润和净资产差异情况</w:t>
      </w:r>
      <w:r>
        <w:rPr>
          <w:b w:val="0"/>
          <w:bCs w:val="0"/>
        </w:rPr>
      </w:r>
    </w:p>
    <w:p>
      <w:pPr>
        <w:spacing w:line="240" w:lineRule="auto" w:before="8"/>
        <w:rPr>
          <w:rFonts w:ascii="宋体" w:hAnsi="宋体" w:cs="宋体" w:eastAsia="宋体" w:hint="default"/>
          <w:b/>
          <w:bCs/>
          <w:sz w:val="26"/>
          <w:szCs w:val="26"/>
        </w:rPr>
      </w:pPr>
    </w:p>
    <w:p>
      <w:pPr>
        <w:pStyle w:val="BodyText"/>
        <w:spacing w:line="340" w:lineRule="auto"/>
        <w:ind w:right="175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公司报告期不存在按照国际会计准则与按照中国会计准则披露的财务报告中净利润和净资产差异情况。</w:t>
      </w:r>
    </w:p>
    <w:p>
      <w:pPr>
        <w:spacing w:line="240" w:lineRule="auto" w:before="12"/>
        <w:rPr>
          <w:rFonts w:ascii="宋体" w:hAnsi="宋体" w:cs="宋体" w:eastAsia="宋体" w:hint="default"/>
          <w:sz w:val="20"/>
          <w:szCs w:val="20"/>
        </w:rPr>
      </w:pPr>
    </w:p>
    <w:p>
      <w:pPr>
        <w:pStyle w:val="Heading3"/>
        <w:spacing w:line="240" w:lineRule="auto"/>
        <w:ind w:right="0"/>
        <w:jc w:val="left"/>
        <w:rPr>
          <w:b w:val="0"/>
          <w:bCs w:val="0"/>
        </w:rPr>
      </w:pPr>
      <w:bookmarkStart w:name="2、同时按照境外会计准则与按照中国会计准则披露的财务报告中净利润和净资产差异情况" w:id="12"/>
      <w:bookmarkEnd w:id="12"/>
      <w:r>
        <w:rPr>
          <w:b w:val="0"/>
          <w:bCs w:val="0"/>
        </w:rPr>
      </w:r>
      <w:r>
        <w:rPr>
          <w:rFonts w:ascii="Times New Roman" w:hAnsi="Times New Roman" w:cs="Times New Roman" w:eastAsia="Times New Roman" w:hint="default"/>
        </w:rPr>
        <w:t>2</w:t>
      </w:r>
      <w:r>
        <w:rPr/>
        <w:t>、同时按照境外会计准则与按照中国会计准则披露的财务报告中净利润和净资产差异情况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265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公司报告期不存在按照境外会计准则与按照中国会计准则披露的财务报告中净利润和净资产差异情况。</w:t>
      </w:r>
    </w:p>
    <w:p>
      <w:pPr>
        <w:spacing w:line="240" w:lineRule="auto" w:before="6"/>
        <w:rPr>
          <w:rFonts w:ascii="宋体" w:hAnsi="宋体" w:cs="宋体" w:eastAsia="宋体" w:hint="default"/>
          <w:sz w:val="19"/>
          <w:szCs w:val="19"/>
        </w:rPr>
      </w:pPr>
    </w:p>
    <w:p>
      <w:pPr>
        <w:pStyle w:val="Heading2"/>
        <w:spacing w:line="240" w:lineRule="auto"/>
        <w:ind w:right="0"/>
        <w:jc w:val="left"/>
        <w:rPr>
          <w:b w:val="0"/>
          <w:bCs w:val="0"/>
        </w:rPr>
      </w:pPr>
      <w:bookmarkStart w:name="八、分季度主要财务指标" w:id="13"/>
      <w:bookmarkEnd w:id="13"/>
      <w:r>
        <w:rPr>
          <w:b w:val="0"/>
          <w:bCs w:val="0"/>
        </w:rPr>
      </w:r>
      <w:r>
        <w:rPr/>
        <w:t>八、分季度主要财务指标</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598"/>
        <w:gridCol w:w="1752"/>
        <w:gridCol w:w="1739"/>
        <w:gridCol w:w="1740"/>
        <w:gridCol w:w="1729"/>
      </w:tblGrid>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15"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7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4"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5"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7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9" w:right="0"/>
              <w:jc w:val="left"/>
              <w:rPr>
                <w:rFonts w:ascii="宋体" w:hAnsi="宋体" w:cs="宋体" w:eastAsia="宋体" w:hint="default"/>
                <w:sz w:val="18"/>
                <w:szCs w:val="18"/>
              </w:rPr>
            </w:pPr>
            <w:r>
              <w:rPr>
                <w:rFonts w:ascii="宋体" w:hAnsi="宋体" w:cs="宋体" w:eastAsia="宋体" w:hint="default"/>
                <w:sz w:val="18"/>
                <w:szCs w:val="18"/>
              </w:rPr>
              <w:t>第四季度</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813,621,455.55</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795,180,124.22</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768,044,608.62</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997,158,602.87</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212,693,817.64</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166,323,157.92</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166,484,129.62</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179,806,999.56</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55"/>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209,245,596.68</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151,678,504.58</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159,709,053.78</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171,556,135.00</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205,811,119.94</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209,347,301.98</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187,560,203.15</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249,928,290.70</w:t>
            </w:r>
          </w:p>
        </w:tc>
      </w:tr>
    </w:tbl>
    <w:p>
      <w:pPr>
        <w:pStyle w:val="BodyText"/>
        <w:spacing w:line="240" w:lineRule="auto" w:before="51"/>
        <w:ind w:right="0"/>
        <w:jc w:val="left"/>
      </w:pPr>
      <w:r>
        <w:rPr/>
        <w:t>上述财务指标或其加总数是否与公司已披露季度报告、半年度报告相关财务指标存在重大差异</w:t>
      </w:r>
    </w:p>
    <w:p>
      <w:pPr>
        <w:pStyle w:val="BodyText"/>
        <w:spacing w:line="240" w:lineRule="auto" w:before="117"/>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九、非经常性损益项目及金额" w:id="14"/>
      <w:bookmarkEnd w:id="14"/>
      <w:r>
        <w:rPr>
          <w:b w:val="0"/>
          <w:bCs w:val="0"/>
        </w:rPr>
      </w:r>
      <w:r>
        <w:rPr/>
        <w:t>九、非经常性损益项目及金额</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273"/>
        <w:gridCol w:w="1532"/>
        <w:gridCol w:w="1520"/>
        <w:gridCol w:w="1522"/>
        <w:gridCol w:w="1710"/>
      </w:tblGrid>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714"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0"/>
              <w:jc w:val="left"/>
              <w:rPr>
                <w:rFonts w:ascii="宋体" w:hAnsi="宋体" w:cs="宋体" w:eastAsia="宋体" w:hint="default"/>
                <w:sz w:val="18"/>
                <w:szCs w:val="18"/>
              </w:rPr>
            </w:pPr>
            <w:r>
              <w:rPr>
                <w:rFonts w:ascii="宋体" w:hAnsi="宋体" w:cs="宋体" w:eastAsia="宋体" w:hint="default"/>
                <w:sz w:val="18"/>
                <w:szCs w:val="18"/>
              </w:rPr>
              <w:t>非流动资产处置损益（包括已计提资产减 值准备的冲销部分）</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-2,077,600.18</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1,052,268.38</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623,898.97</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11" w:right="10"/>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18,806,344.04</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24,788,413.64</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28,726,201.13</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674"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0"/>
              <w:jc w:val="left"/>
              <w:rPr>
                <w:rFonts w:ascii="宋体" w:hAnsi="宋体" w:cs="宋体" w:eastAsia="宋体" w:hint="default"/>
                <w:sz w:val="18"/>
                <w:szCs w:val="18"/>
              </w:rPr>
            </w:pPr>
            <w:r>
              <w:rPr>
                <w:rFonts w:ascii="宋体" w:hAnsi="宋体" w:cs="宋体" w:eastAsia="宋体" w:hint="default"/>
                <w:sz w:val="18"/>
                <w:szCs w:val="18"/>
              </w:rPr>
              <w:t>企业取得子公司、联营企业及合营企业的 投资成本小于取得投资时应享有被投资单</w:t>
            </w:r>
          </w:p>
        </w:tc>
        <w:tc>
          <w:tcPr>
            <w:tcW w:w="1532" w:type="dxa"/>
            <w:tcBorders>
              <w:top w:val="single" w:sz="4" w:space="0" w:color="000000"/>
              <w:left w:val="single" w:sz="13" w:space="0" w:color="D2D2D2"/>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6,497,053.15</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109,020,822.31</w:t>
            </w:r>
          </w:p>
        </w:tc>
        <w:tc>
          <w:tcPr>
            <w:tcW w:w="171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297"/>
        <w:gridCol w:w="1520"/>
        <w:gridCol w:w="1520"/>
        <w:gridCol w:w="1522"/>
        <w:gridCol w:w="1710"/>
      </w:tblGrid>
      <w:tr>
        <w:trPr>
          <w:trHeight w:val="362"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位可辨认净资产公允价值产生的收益</w:t>
            </w:r>
          </w:p>
        </w:tc>
        <w:tc>
          <w:tcPr>
            <w:tcW w:w="1520" w:type="dxa"/>
            <w:tcBorders>
              <w:top w:val="single" w:sz="4" w:space="0" w:color="000000"/>
              <w:left w:val="single" w:sz="4" w:space="0" w:color="000000"/>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委托他人投资或管理资产的损益</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25,017,715.68</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3,054,191.78</w:t>
            </w:r>
          </w:p>
        </w:tc>
        <w:tc>
          <w:tcPr>
            <w:tcW w:w="1522"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单独进行减值测试的应收款项减值准备转 回</w:t>
            </w:r>
          </w:p>
        </w:tc>
        <w:tc>
          <w:tcPr>
            <w:tcW w:w="1520" w:type="dxa"/>
            <w:tcBorders>
              <w:top w:val="single" w:sz="4" w:space="0" w:color="000000"/>
              <w:left w:val="single" w:sz="4" w:space="0" w:color="000000"/>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1,882,567.27</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357,983.09</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-257,139.96</w:t>
            </w:r>
            <w:r>
              <w:rPr>
                <w:rFonts w:ascii="Times New Roman"/>
                <w:sz w:val="18"/>
              </w:rPr>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-4,707.17</w:t>
            </w:r>
            <w:r>
              <w:rPr>
                <w:rFonts w:ascii="Times New Roman"/>
                <w:sz w:val="18"/>
              </w:rPr>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6,442,816.54</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4,322,443.68</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4,779,144.86</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少数股东权益影响额（税后）</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2,542,811.39</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3,800,891.29</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4,200,716.40</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33,118,814.70</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27,011,452.02</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131,268,921.25</w:t>
            </w:r>
          </w:p>
        </w:tc>
        <w:tc>
          <w:tcPr>
            <w:tcW w:w="1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0"/>
        <w:jc w:val="left"/>
      </w:pPr>
      <w:r>
        <w:rPr>
          <w:spacing w:val="-3"/>
        </w:rPr>
        <w:t>对公司根据《公开发行证券的公司信息披露解释性公告第</w:t>
      </w:r>
      <w:r>
        <w:rPr>
          <w:spacing w:val="-39"/>
        </w:rPr>
        <w:t>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p>
    <w:p>
      <w:pPr>
        <w:pStyle w:val="BodyText"/>
        <w:spacing w:line="302" w:lineRule="auto" w:before="61"/>
        <w:ind w:right="1118"/>
        <w:jc w:val="left"/>
      </w:pPr>
      <w:r>
        <w:rPr/>
        <w:t>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6"/>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t> 说明原因</w:t>
      </w:r>
    </w:p>
    <w:p>
      <w:pPr>
        <w:pStyle w:val="BodyText"/>
        <w:spacing w:line="240" w:lineRule="auto" w:before="7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02" w:lineRule="auto" w:before="101"/>
        <w:ind w:right="1115"/>
        <w:jc w:val="left"/>
      </w:pPr>
      <w:r>
        <w:rPr/>
        <w:t>公司报告期不存在将根据《公开发行证券的公司信息披露解释性公告第</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9"/>
        </w:rPr>
        <w:t> </w:t>
      </w:r>
      <w:r>
        <w:rPr>
          <w:spacing w:val="-3"/>
        </w:rPr>
        <w:t>号</w:t>
      </w:r>
      <w:r>
        <w:rPr>
          <w:rFonts w:ascii="Times New Roman" w:hAnsi="Times New Roman" w:cs="Times New Roman" w:eastAsia="Times New Roman" w:hint="default"/>
          <w:spacing w:val="-3"/>
        </w:rPr>
        <w:t>——</w:t>
      </w:r>
      <w:r>
        <w:rPr>
          <w:spacing w:val="-3"/>
        </w:rPr>
        <w:t>非经常性损益》定义、列举的非经常性损益</w:t>
      </w:r>
      <w:r>
        <w:rPr/>
        <w:t> 项目界定为经常性损益的项目的情形。</w:t>
      </w:r>
    </w:p>
    <w:p>
      <w:pPr>
        <w:spacing w:after="0" w:line="302"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right="3763"/>
        <w:jc w:val="center"/>
        <w:rPr>
          <w:b w:val="0"/>
          <w:bCs w:val="0"/>
        </w:rPr>
      </w:pPr>
      <w:bookmarkStart w:name="第三节 公司业务概要" w:id="15"/>
      <w:bookmarkEnd w:id="15"/>
      <w:r>
        <w:rPr>
          <w:b w:val="0"/>
          <w:bCs w:val="0"/>
        </w:rPr>
      </w:r>
      <w:bookmarkStart w:name="_bookmark1" w:id="16"/>
      <w:bookmarkEnd w:id="16"/>
      <w:r>
        <w:rPr>
          <w:b w:val="0"/>
          <w:bCs w:val="0"/>
        </w:rPr>
      </w:r>
      <w:r>
        <w:rPr/>
        <w:t>第三节</w:t>
      </w:r>
      <w:r>
        <w:rPr>
          <w:spacing w:val="-7"/>
        </w:rPr>
        <w:t> </w:t>
      </w:r>
      <w:r>
        <w:rPr/>
        <w:t>公司业务概要</w:t>
      </w:r>
      <w:r>
        <w:rPr>
          <w:b w:val="0"/>
          <w:bCs w:val="0"/>
        </w:rPr>
      </w:r>
    </w:p>
    <w:p>
      <w:pPr>
        <w:spacing w:line="240" w:lineRule="auto" w:before="12"/>
        <w:rPr>
          <w:rFonts w:ascii="宋体" w:hAnsi="宋体" w:cs="宋体" w:eastAsia="宋体" w:hint="default"/>
          <w:b/>
          <w:bCs/>
          <w:sz w:val="38"/>
          <w:szCs w:val="38"/>
        </w:rPr>
      </w:pPr>
    </w:p>
    <w:p>
      <w:pPr>
        <w:pStyle w:val="Heading2"/>
        <w:spacing w:line="240" w:lineRule="auto"/>
        <w:ind w:right="0"/>
        <w:jc w:val="left"/>
        <w:rPr>
          <w:b w:val="0"/>
          <w:bCs w:val="0"/>
        </w:rPr>
      </w:pPr>
      <w:bookmarkStart w:name="一、报告期内公司从事的主要业务" w:id="17"/>
      <w:bookmarkEnd w:id="17"/>
      <w:r>
        <w:rPr>
          <w:b w:val="0"/>
          <w:bCs w:val="0"/>
        </w:rPr>
      </w:r>
      <w:r>
        <w:rPr/>
        <w:t>一、报告期内公司从事的主要业务</w:t>
      </w:r>
      <w:r>
        <w:rPr>
          <w:b w:val="0"/>
          <w:bCs w:val="0"/>
        </w:rPr>
      </w:r>
    </w:p>
    <w:p>
      <w:pPr>
        <w:spacing w:line="240" w:lineRule="auto" w:before="7"/>
        <w:rPr>
          <w:rFonts w:ascii="宋体" w:hAnsi="宋体" w:cs="宋体" w:eastAsia="宋体" w:hint="default"/>
          <w:b/>
          <w:bCs/>
          <w:sz w:val="26"/>
          <w:szCs w:val="26"/>
        </w:rPr>
      </w:pPr>
    </w:p>
    <w:p>
      <w:pPr>
        <w:pStyle w:val="BodyText"/>
        <w:spacing w:line="360" w:lineRule="auto"/>
        <w:ind w:right="7692"/>
        <w:jc w:val="left"/>
      </w:pPr>
      <w:r>
        <w:rPr/>
        <w:t>公司是否需要遵守特殊行业的披露要求 否</w:t>
      </w:r>
    </w:p>
    <w:p>
      <w:pPr>
        <w:pStyle w:val="Heading4"/>
        <w:spacing w:line="240" w:lineRule="auto" w:before="26"/>
        <w:ind w:left="154" w:right="0"/>
        <w:jc w:val="left"/>
        <w:rPr>
          <w:b w:val="0"/>
          <w:bCs w:val="0"/>
        </w:rPr>
      </w:pPr>
      <w:r>
        <w:rPr/>
        <w:t>（一）主要业务、主要产品及其用途、经营模式</w:t>
      </w:r>
      <w:r>
        <w:rPr>
          <w:b w:val="0"/>
          <w:bCs w:val="0"/>
        </w:rPr>
      </w:r>
    </w:p>
    <w:p>
      <w:pPr>
        <w:pStyle w:val="BodyText"/>
        <w:spacing w:line="338" w:lineRule="auto" w:before="116"/>
        <w:ind w:left="514" w:right="1118"/>
        <w:jc w:val="left"/>
      </w:pPr>
      <w:r>
        <w:rPr>
          <w:rFonts w:ascii="Times New Roman" w:hAnsi="Times New Roman" w:cs="Times New Roman" w:eastAsia="Times New Roman" w:hint="default"/>
        </w:rPr>
        <w:t>1</w:t>
      </w:r>
      <w:r>
        <w:rPr/>
        <w:t>、主要业务 </w:t>
      </w:r>
      <w:r>
        <w:rPr>
          <w:spacing w:val="-2"/>
        </w:rPr>
        <w:t>公司主营业务定位为高端包装印刷品和包装材料的研究生产，为知名消费品企业提供品牌设计和包装整体解决方案，前</w:t>
      </w:r>
    </w:p>
    <w:p>
      <w:pPr>
        <w:pStyle w:val="BodyText"/>
        <w:spacing w:line="319" w:lineRule="auto" w:before="2"/>
        <w:ind w:right="1118"/>
        <w:jc w:val="left"/>
      </w:pPr>
      <w:r>
        <w:rPr>
          <w:spacing w:val="-2"/>
        </w:rPr>
        <w:t>述为公司目前的主要业务，也是公司利润的主要来源，此外，公司正积极探索新型烟草制品领域的发展，争取成为新的利润</w:t>
      </w:r>
      <w:r>
        <w:rPr>
          <w:spacing w:val="-66"/>
        </w:rPr>
        <w:t> </w:t>
      </w:r>
      <w:r>
        <w:rPr>
          <w:spacing w:val="-66"/>
        </w:rPr>
      </w:r>
      <w:r>
        <w:rPr/>
        <w:t>增长点。</w:t>
      </w:r>
    </w:p>
    <w:p>
      <w:pPr>
        <w:pStyle w:val="BodyText"/>
        <w:spacing w:line="338" w:lineRule="auto" w:before="56"/>
        <w:ind w:left="514" w:right="1752"/>
        <w:jc w:val="left"/>
      </w:pPr>
      <w:r>
        <w:rPr>
          <w:rFonts w:ascii="Times New Roman" w:hAnsi="Times New Roman" w:cs="Times New Roman" w:eastAsia="Times New Roman" w:hint="default"/>
        </w:rPr>
        <w:t>2</w:t>
      </w:r>
      <w:r>
        <w:rPr/>
        <w:t>、主要产品及其用途、经营模式 公司主要产品是高技术和高附加值的烟标、中高端知名消费品牌包装及相关镭射包装材料镭射膜和镭射纸等。</w:t>
      </w:r>
    </w:p>
    <w:p>
      <w:pPr>
        <w:pStyle w:val="BodyText"/>
        <w:spacing w:line="338" w:lineRule="auto" w:before="43"/>
        <w:ind w:left="514" w:right="0"/>
        <w:jc w:val="left"/>
      </w:pPr>
      <w:r>
        <w:rPr/>
        <w:t>（</w:t>
      </w:r>
      <w:r>
        <w:rPr>
          <w:rFonts w:ascii="Times New Roman" w:hAnsi="Times New Roman" w:cs="Times New Roman" w:eastAsia="Times New Roman" w:hint="default"/>
        </w:rPr>
        <w:t>1</w:t>
      </w:r>
      <w:r>
        <w:rPr/>
        <w:t>）烟标产品及其用途、经营模式 </w:t>
      </w:r>
      <w:r>
        <w:rPr>
          <w:spacing w:val="-2"/>
        </w:rPr>
        <w:t>烟标俗称</w:t>
      </w:r>
      <w:r>
        <w:rPr>
          <w:rFonts w:ascii="Times New Roman" w:hAnsi="Times New Roman" w:cs="Times New Roman" w:eastAsia="Times New Roman" w:hint="default"/>
          <w:spacing w:val="-2"/>
        </w:rPr>
        <w:t>“</w:t>
      </w:r>
      <w:r>
        <w:rPr>
          <w:spacing w:val="-2"/>
        </w:rPr>
        <w:t>烟盒</w:t>
      </w:r>
      <w:r>
        <w:rPr>
          <w:rFonts w:ascii="Times New Roman" w:hAnsi="Times New Roman" w:cs="Times New Roman" w:eastAsia="Times New Roman" w:hint="default"/>
          <w:spacing w:val="-2"/>
        </w:rPr>
        <w:t>”</w:t>
      </w:r>
      <w:r>
        <w:rPr>
          <w:spacing w:val="-2"/>
        </w:rPr>
        <w:t>，是烟草制品的商标以及具有标识性包装物总称，用于卷烟包装，主要是强调其名称、图案、文字、色</w:t>
      </w:r>
    </w:p>
    <w:p>
      <w:pPr>
        <w:pStyle w:val="BodyText"/>
        <w:spacing w:line="217" w:lineRule="exact"/>
        <w:ind w:right="0"/>
        <w:jc w:val="left"/>
      </w:pPr>
      <w:r>
        <w:rPr/>
        <w:t>彩、符号、规格，使之区别于各种烟草制品并具有商标意义。报告期内，公司继续发挥烟标龙头企业的优势，不断推进设计</w:t>
      </w:r>
    </w:p>
    <w:p>
      <w:pPr>
        <w:pStyle w:val="BodyText"/>
        <w:spacing w:line="357" w:lineRule="auto" w:before="77"/>
        <w:ind w:left="514" w:right="0" w:hanging="360"/>
        <w:jc w:val="left"/>
      </w:pPr>
      <w:r>
        <w:rPr/>
        <w:t>创新能力，不断优化和提升产品结构，更好地满足客户多样化、个性化的需求。 </w:t>
      </w:r>
      <w:r>
        <w:rPr>
          <w:spacing w:val="-2"/>
        </w:rPr>
        <w:t>对于烟标制品，公司采用的经营模式为订单式销售模式。烟标是为卷烟提供配套的产品，中烟公司为公司烟标制品的唯</w:t>
      </w:r>
    </w:p>
    <w:p>
      <w:pPr>
        <w:pStyle w:val="BodyText"/>
        <w:spacing w:line="224" w:lineRule="exact"/>
        <w:ind w:right="0"/>
        <w:jc w:val="left"/>
      </w:pPr>
      <w:r>
        <w:rPr/>
        <w:t>一客户端，烟标为特殊产品，每种烟标均只向特定的客户直接供应，生产时间、生产数量均服从客户的需要，一般不作产品</w:t>
      </w:r>
    </w:p>
    <w:p>
      <w:pPr>
        <w:pStyle w:val="BodyText"/>
        <w:spacing w:line="319" w:lineRule="auto" w:before="77"/>
        <w:ind w:right="1032"/>
        <w:jc w:val="left"/>
      </w:pPr>
      <w:r>
        <w:rPr/>
        <w:t>储备。因而烟标生产企业往往需要预留一定的产能，以满足客户需求。由于烟标产品的特殊性，采用直接销售有效且经济， 可以为卷烟生产企业提供直接技术支持服务，并可以直接快速获得客户的意见反馈，以加强对市场动态的掌握。</w:t>
      </w:r>
    </w:p>
    <w:p>
      <w:pPr>
        <w:pStyle w:val="BodyText"/>
        <w:spacing w:line="338" w:lineRule="auto" w:before="58"/>
        <w:ind w:left="514" w:right="0"/>
        <w:jc w:val="left"/>
      </w:pPr>
      <w:r>
        <w:rPr/>
        <w:t>（</w:t>
      </w:r>
      <w:r>
        <w:rPr>
          <w:rFonts w:ascii="Times New Roman" w:hAnsi="Times New Roman" w:cs="Times New Roman" w:eastAsia="Times New Roman" w:hint="default"/>
        </w:rPr>
        <w:t>2</w:t>
      </w:r>
      <w:r>
        <w:rPr/>
        <w:t>）中高端纸质印刷包装产品及其用途、经营模式 </w:t>
      </w:r>
      <w:r>
        <w:rPr>
          <w:spacing w:val="-2"/>
        </w:rPr>
        <w:t>中高端纸质印刷包装产品以原纸为主要原材料，通过印刷、黏合、拼装等加工程序后制成用于保护和说明及宣传被包装</w:t>
      </w:r>
    </w:p>
    <w:p>
      <w:pPr>
        <w:pStyle w:val="BodyText"/>
        <w:spacing w:line="309" w:lineRule="auto" w:before="2"/>
        <w:ind w:right="1129"/>
        <w:jc w:val="both"/>
      </w:pPr>
      <w:r>
        <w:rPr>
          <w:spacing w:val="-2"/>
        </w:rPr>
        <w:t>物的一种产品，公司此类产品主要运用于电子产品包装、化妆品包装、消费类产品个性化定制包装及精品烟酒外包装。在现</w:t>
      </w:r>
      <w:r>
        <w:rPr>
          <w:spacing w:val="-66"/>
        </w:rPr>
        <w:t> </w:t>
      </w:r>
      <w:r>
        <w:rPr>
          <w:spacing w:val="-66"/>
        </w:rPr>
      </w:r>
      <w:r>
        <w:rPr/>
        <w:t>有的新型包装产业基础上，公司积极探索技术多元化路径，力求通过在包装产品中应用更多前沿的</w:t>
      </w:r>
      <w:r>
        <w:rPr>
          <w:rFonts w:ascii="Times New Roman" w:hAnsi="Times New Roman" w:cs="Times New Roman" w:eastAsia="Times New Roman" w:hint="default"/>
        </w:rPr>
        <w:t>RFID</w:t>
      </w:r>
      <w:r>
        <w:rPr/>
        <w:t>、大数据物联网等</w:t>
      </w:r>
      <w:r>
        <w:rPr>
          <w:spacing w:val="-45"/>
        </w:rPr>
        <w:t> </w:t>
      </w:r>
      <w:r>
        <w:rPr>
          <w:spacing w:val="-45"/>
        </w:rPr>
      </w:r>
      <w:r>
        <w:rPr/>
        <w:t>技术，使包装成为互联网、物联网的重要组成部分，促使公司产品技术和业务模式不断向智能化纵深领域拓展。</w:t>
      </w:r>
    </w:p>
    <w:p>
      <w:pPr>
        <w:pStyle w:val="BodyText"/>
        <w:spacing w:line="319" w:lineRule="auto" w:before="62"/>
        <w:ind w:right="1131" w:firstLine="360"/>
        <w:jc w:val="both"/>
      </w:pPr>
      <w:r>
        <w:rPr>
          <w:spacing w:val="-2"/>
        </w:rPr>
        <w:t>对于中高端纸质印刷包装产品，公司采用的经营模式为订单式销售模式。此类订单均服务于特定客户的特定产品，一般</w:t>
      </w:r>
      <w:r>
        <w:rPr/>
        <w:t> </w:t>
      </w:r>
      <w:r>
        <w:rPr>
          <w:spacing w:val="-2"/>
        </w:rPr>
        <w:t>不作产品储备。公司多部门协同合作根据客户的具体需求提供一体化整体解决方案，在维护既有客户的基础上，不断扩充产</w:t>
      </w:r>
      <w:r>
        <w:rPr>
          <w:spacing w:val="-65"/>
        </w:rPr>
        <w:t> </w:t>
      </w:r>
      <w:r>
        <w:rPr>
          <w:spacing w:val="-65"/>
        </w:rPr>
      </w:r>
      <w:r>
        <w:rPr/>
        <w:t>能并完善高附加值延伸服务，积极拓展优质新客户。</w:t>
      </w:r>
    </w:p>
    <w:p>
      <w:pPr>
        <w:pStyle w:val="Heading4"/>
        <w:spacing w:line="240" w:lineRule="auto" w:before="58"/>
        <w:ind w:left="154" w:right="0"/>
        <w:jc w:val="left"/>
        <w:rPr>
          <w:b w:val="0"/>
          <w:bCs w:val="0"/>
        </w:rPr>
      </w:pPr>
      <w:r>
        <w:rPr/>
        <w:t>（二）行业发展及周期性特点</w:t>
      </w:r>
      <w:r>
        <w:rPr>
          <w:b w:val="0"/>
          <w:bCs w:val="0"/>
        </w:rPr>
      </w:r>
    </w:p>
    <w:p>
      <w:pPr>
        <w:pStyle w:val="BodyText"/>
        <w:spacing w:line="338" w:lineRule="auto" w:before="116"/>
        <w:ind w:left="514" w:right="1118"/>
        <w:jc w:val="left"/>
      </w:pPr>
      <w:r>
        <w:rPr>
          <w:rFonts w:ascii="Times New Roman" w:hAnsi="Times New Roman" w:cs="Times New Roman" w:eastAsia="Times New Roman" w:hint="default"/>
        </w:rPr>
        <w:t>1</w:t>
      </w:r>
      <w:r>
        <w:rPr/>
        <w:t>、烟标行业 </w:t>
      </w:r>
      <w:r>
        <w:rPr>
          <w:spacing w:val="-2"/>
        </w:rPr>
        <w:t>公司所处的烟标印刷行业是印刷包装行业下的细分行业，由于对原材料、印刷技术、产品用途都有较高要求，在行业中</w:t>
      </w:r>
    </w:p>
    <w:p>
      <w:pPr>
        <w:pStyle w:val="BodyText"/>
        <w:spacing w:line="357" w:lineRule="auto" w:before="4"/>
        <w:ind w:left="514" w:right="1118" w:hanging="360"/>
        <w:jc w:val="left"/>
      </w:pPr>
      <w:r>
        <w:rPr/>
        <w:t>占有重要地位。 为深化调整卷烟产品结构，国家烟草专卖局多次调整卷烟分类标准以促进中高档卷烟产品的生产。随着</w:t>
      </w:r>
      <w:r>
        <w:rPr>
          <w:rFonts w:ascii="Times New Roman" w:hAnsi="Times New Roman" w:cs="Times New Roman" w:eastAsia="Times New Roman" w:hint="default"/>
        </w:rPr>
        <w:t>“</w:t>
      </w:r>
      <w:r>
        <w:rPr/>
        <w:t>卷烟上水平战</w:t>
      </w:r>
    </w:p>
    <w:p>
      <w:pPr>
        <w:pStyle w:val="BodyText"/>
        <w:spacing w:line="213" w:lineRule="exact"/>
        <w:ind w:right="0"/>
        <w:jc w:val="left"/>
      </w:pPr>
      <w:r>
        <w:rPr/>
        <w:t>略</w:t>
      </w:r>
      <w:r>
        <w:rPr>
          <w:rFonts w:ascii="Times New Roman" w:hAnsi="Times New Roman" w:cs="Times New Roman" w:eastAsia="Times New Roman" w:hint="default"/>
        </w:rPr>
        <w:t>”</w:t>
      </w:r>
      <w:r>
        <w:rPr/>
        <w:t>的实施，品牌总量不断减少，卷烟产品不断向中高端聚集，卷烟行业的进一步规范、品牌集中度的不断提高，设计服务</w:t>
      </w:r>
    </w:p>
    <w:p>
      <w:pPr>
        <w:pStyle w:val="BodyText"/>
        <w:spacing w:line="319" w:lineRule="auto" w:before="63"/>
        <w:ind w:right="0"/>
        <w:jc w:val="left"/>
      </w:pPr>
      <w:r>
        <w:rPr>
          <w:spacing w:val="-2"/>
        </w:rPr>
        <w:t>能力强、印刷工艺水平高、防伪性强、符合节能环保理念的烟标企业的竞争优势进一步凸显，烟标印刷行业的市场集中度将</w:t>
      </w:r>
      <w:r>
        <w:rPr>
          <w:spacing w:val="-66"/>
        </w:rPr>
        <w:t> </w:t>
      </w:r>
      <w:r>
        <w:rPr>
          <w:spacing w:val="-66"/>
        </w:rPr>
      </w:r>
      <w:r>
        <w:rPr/>
        <w:t>逐步提高，未来几年，烟标生产企业存在进一步整合的市场机会。</w:t>
      </w:r>
    </w:p>
    <w:p>
      <w:pPr>
        <w:pStyle w:val="BodyText"/>
        <w:spacing w:line="319" w:lineRule="auto" w:before="56"/>
        <w:ind w:right="1132" w:firstLine="360"/>
        <w:jc w:val="both"/>
      </w:pPr>
      <w:r>
        <w:rPr>
          <w:spacing w:val="-2"/>
        </w:rPr>
        <w:t>公司在行业内具有明显的品牌效应和技术研发的竞争优势。公司凭借着在烟标印刷行业拥有的多年生产和服务经验，已</w:t>
      </w:r>
      <w:r>
        <w:rPr/>
        <w:t> </w:t>
      </w:r>
      <w:r>
        <w:rPr>
          <w:spacing w:val="-2"/>
        </w:rPr>
        <w:t>与全国多数烟草工业公司建立并保持稳定合作关系。公司是国内烟标印刷行业的领军企业，在烟标印刷行业占有重要的市场</w:t>
      </w:r>
      <w:r>
        <w:rPr>
          <w:spacing w:val="-64"/>
        </w:rPr>
        <w:t> </w:t>
      </w:r>
      <w:r>
        <w:rPr>
          <w:spacing w:val="-64"/>
        </w:rPr>
      </w:r>
      <w:r>
        <w:rPr/>
        <w:t>地位。</w:t>
      </w:r>
    </w:p>
    <w:p>
      <w:pPr>
        <w:spacing w:after="0" w:line="319" w:lineRule="auto"/>
        <w:jc w:val="both"/>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9" w:lineRule="auto" w:before="44"/>
        <w:ind w:right="1132" w:firstLine="360"/>
        <w:jc w:val="both"/>
      </w:pPr>
      <w:r>
        <w:rPr>
          <w:spacing w:val="-2"/>
        </w:rPr>
        <w:t>烟标印刷行业发展与卷烟行业发展息息相关，其自身没有明显的周期性。烟标是为卷烟提供配套的产品，卷烟厂商出于</w:t>
      </w:r>
      <w:r>
        <w:rPr/>
        <w:t> </w:t>
      </w:r>
      <w:r>
        <w:rPr>
          <w:spacing w:val="-2"/>
        </w:rPr>
        <w:t>生产的便利性、服务的及时性等因素考虑，往往倾向于就近选择配套的烟标厂商提供服务，因而烟标行业表现出一定的区域</w:t>
      </w:r>
      <w:r>
        <w:rPr>
          <w:spacing w:val="-65"/>
        </w:rPr>
        <w:t> </w:t>
      </w:r>
      <w:r>
        <w:rPr>
          <w:spacing w:val="-65"/>
        </w:rPr>
      </w:r>
      <w:r>
        <w:rPr/>
        <w:t>性特点。</w:t>
      </w:r>
    </w:p>
    <w:p>
      <w:pPr>
        <w:pStyle w:val="BodyText"/>
        <w:spacing w:line="338" w:lineRule="auto" w:before="56"/>
        <w:ind w:left="514" w:right="0"/>
        <w:jc w:val="left"/>
      </w:pPr>
      <w:r>
        <w:rPr>
          <w:rFonts w:ascii="Times New Roman" w:hAnsi="Times New Roman" w:cs="Times New Roman" w:eastAsia="Times New Roman" w:hint="default"/>
        </w:rPr>
        <w:t>2</w:t>
      </w:r>
      <w:r>
        <w:rPr/>
        <w:t>、中高端纸质印刷包装产品 </w:t>
      </w:r>
      <w:r>
        <w:rPr>
          <w:spacing w:val="-2"/>
        </w:rPr>
        <w:t>从整体来看，我国包装企业数量多而规模小，行业集中度不高，重复建设的现象较严重，行业核心竞争力不强，相对于</w:t>
      </w:r>
    </w:p>
    <w:p>
      <w:pPr>
        <w:pStyle w:val="BodyText"/>
        <w:spacing w:line="319" w:lineRule="auto" w:before="2"/>
        <w:ind w:right="1133"/>
        <w:jc w:val="both"/>
      </w:pPr>
      <w:r>
        <w:rPr>
          <w:spacing w:val="-2"/>
        </w:rPr>
        <w:t>世界发达国家而言，我国的纸质印刷包装行业的产业结构和技术水平仍较为落后。纸质印刷包装行业中，低端包装领域竞争</w:t>
      </w:r>
      <w:r>
        <w:rPr>
          <w:spacing w:val="-66"/>
        </w:rPr>
        <w:t> </w:t>
      </w:r>
      <w:r>
        <w:rPr>
          <w:spacing w:val="-66"/>
        </w:rPr>
      </w:r>
      <w:r>
        <w:rPr>
          <w:spacing w:val="-2"/>
        </w:rPr>
        <w:t>尤为激烈；而在高端领域，拥有高端品牌客户、高精生产技术、高服务质量的优质大型企业相对较少，行业集中度相对于国</w:t>
      </w:r>
      <w:r>
        <w:rPr>
          <w:spacing w:val="-66"/>
        </w:rPr>
        <w:t> </w:t>
      </w:r>
      <w:r>
        <w:rPr>
          <w:spacing w:val="-66"/>
        </w:rPr>
      </w:r>
      <w:r>
        <w:rPr/>
        <w:t>内低端包装略高，但相较于发达国家包装行业集中度而言仍偏低。</w:t>
      </w:r>
    </w:p>
    <w:p>
      <w:pPr>
        <w:pStyle w:val="BodyText"/>
        <w:spacing w:line="319" w:lineRule="auto" w:before="55"/>
        <w:ind w:right="1032" w:firstLine="360"/>
        <w:jc w:val="left"/>
      </w:pPr>
      <w:r>
        <w:rPr/>
        <w:t>纸质印刷包装行业是下游消费产品的配套行业，根据下游行业的经营情况及需求情况等，呈现相应的周期性、区域性。 </w:t>
      </w:r>
      <w:r>
        <w:rPr>
          <w:spacing w:val="-2"/>
        </w:rPr>
        <w:t>随着国家经济的增长，国民生活条件的改善，消费者对消费类电子产品、精品烟酒、高档化妆品的需求也在不断升级，作为</w:t>
      </w:r>
      <w:r>
        <w:rPr>
          <w:spacing w:val="-66"/>
        </w:rPr>
        <w:t> </w:t>
      </w:r>
      <w:r>
        <w:rPr>
          <w:spacing w:val="-66"/>
        </w:rPr>
      </w:r>
      <w:r>
        <w:rPr/>
        <w:t>展现品质、传递品牌价值的重要载体，纸质包装产业也将逐步向高端化、精品化演进。</w:t>
      </w:r>
    </w:p>
    <w:p>
      <w:pPr>
        <w:pStyle w:val="BodyText"/>
        <w:spacing w:line="319" w:lineRule="auto" w:before="55"/>
        <w:ind w:right="0" w:firstLine="360"/>
        <w:jc w:val="left"/>
      </w:pPr>
      <w:r>
        <w:rPr>
          <w:spacing w:val="-4"/>
        </w:rPr>
        <w:t>经过近年公司在纸质印刷包装行业的投入，有效实现产业链拓展和延伸，一定程度上提升公司精品包装产品的市场覆盖，</w:t>
      </w:r>
      <w:r>
        <w:rPr/>
        <w:t> </w:t>
      </w:r>
      <w:r>
        <w:rPr>
          <w:spacing w:val="-2"/>
        </w:rPr>
        <w:t>通过进一步技术改造、新型设备的购置和原有设备的替换，持续扩大产能，不断提高公司技术创新实力，抓住包装前沿领域</w:t>
      </w:r>
      <w:r>
        <w:rPr>
          <w:spacing w:val="-66"/>
        </w:rPr>
        <w:t> </w:t>
      </w:r>
      <w:r>
        <w:rPr>
          <w:spacing w:val="-66"/>
        </w:rPr>
      </w:r>
      <w:r>
        <w:rPr/>
        <w:t>的技术方向，不断提升产品质量，努力满足市场的增长和客户的多样化需求。</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2"/>
        <w:spacing w:line="240" w:lineRule="auto" w:before="150"/>
        <w:ind w:right="0"/>
        <w:jc w:val="both"/>
        <w:rPr>
          <w:b w:val="0"/>
          <w:bCs w:val="0"/>
        </w:rPr>
      </w:pPr>
      <w:bookmarkStart w:name="二、主要资产重大变化情况" w:id="18"/>
      <w:bookmarkEnd w:id="18"/>
      <w:r>
        <w:rPr>
          <w:b w:val="0"/>
          <w:bCs w:val="0"/>
        </w:rPr>
      </w:r>
      <w:r>
        <w:rPr/>
        <w:t>二、主要资产重大变化情况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both"/>
        <w:rPr>
          <w:b w:val="0"/>
          <w:bCs w:val="0"/>
        </w:rPr>
      </w:pPr>
      <w:bookmarkStart w:name="1、主要资产重大变化情况" w:id="19"/>
      <w:bookmarkEnd w:id="19"/>
      <w:r>
        <w:rPr>
          <w:b w:val="0"/>
          <w:bCs w:val="0"/>
        </w:rPr>
      </w:r>
      <w:r>
        <w:rPr>
          <w:rFonts w:ascii="Times New Roman" w:hAnsi="Times New Roman" w:cs="Times New Roman" w:eastAsia="Times New Roman" w:hint="default"/>
        </w:rPr>
        <w:t>1</w:t>
      </w:r>
      <w:r>
        <w:rPr/>
        <w:t>、主要资产重大变化情况</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3041"/>
        <w:gridCol w:w="6517"/>
      </w:tblGrid>
      <w:tr>
        <w:trPr>
          <w:trHeight w:val="186" w:hRule="exact"/>
        </w:trPr>
        <w:tc>
          <w:tcPr>
            <w:tcW w:w="3041" w:type="dxa"/>
            <w:tcBorders>
              <w:top w:val="single" w:sz="4" w:space="0" w:color="000000"/>
              <w:left w:val="single" w:sz="4" w:space="0" w:color="000000"/>
              <w:bottom w:val="nil" w:sz="6" w:space="0" w:color="auto"/>
              <w:right w:val="single" w:sz="4" w:space="0" w:color="000000"/>
            </w:tcBorders>
            <w:shd w:val="clear" w:color="auto" w:fill="D2D2D2"/>
          </w:tcPr>
          <w:p>
            <w:pPr/>
          </w:p>
        </w:tc>
        <w:tc>
          <w:tcPr>
            <w:tcW w:w="6517"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3" w:hRule="exact"/>
        </w:trPr>
        <w:tc>
          <w:tcPr>
            <w:tcW w:w="304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159"/>
              <w:jc w:val="right"/>
              <w:rPr>
                <w:rFonts w:ascii="宋体" w:hAnsi="宋体" w:cs="宋体" w:eastAsia="宋体" w:hint="default"/>
                <w:sz w:val="18"/>
                <w:szCs w:val="18"/>
              </w:rPr>
            </w:pPr>
            <w:r>
              <w:rPr>
                <w:rFonts w:ascii="宋体" w:hAnsi="宋体" w:cs="宋体" w:eastAsia="宋体" w:hint="default"/>
                <w:sz w:val="18"/>
                <w:szCs w:val="18"/>
              </w:rPr>
              <w:t>主要资产</w:t>
            </w:r>
          </w:p>
        </w:tc>
        <w:tc>
          <w:tcPr>
            <w:tcW w:w="651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重大变化说明</w:t>
            </w:r>
          </w:p>
        </w:tc>
      </w:tr>
      <w:tr>
        <w:trPr>
          <w:trHeight w:val="185" w:hRule="exact"/>
        </w:trPr>
        <w:tc>
          <w:tcPr>
            <w:tcW w:w="3041" w:type="dxa"/>
            <w:tcBorders>
              <w:top w:val="nil" w:sz="6" w:space="0" w:color="auto"/>
              <w:left w:val="single" w:sz="4" w:space="0" w:color="000000"/>
              <w:bottom w:val="single" w:sz="4" w:space="0" w:color="000000"/>
              <w:right w:val="single" w:sz="4" w:space="0" w:color="000000"/>
            </w:tcBorders>
            <w:shd w:val="clear" w:color="auto" w:fill="D2D2D2"/>
          </w:tcPr>
          <w:p>
            <w:pPr/>
          </w:p>
        </w:tc>
        <w:tc>
          <w:tcPr>
            <w:tcW w:w="6517"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3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159"/>
              <w:jc w:val="right"/>
              <w:rPr>
                <w:rFonts w:ascii="宋体" w:hAnsi="宋体" w:cs="宋体" w:eastAsia="宋体" w:hint="default"/>
                <w:sz w:val="18"/>
                <w:szCs w:val="18"/>
              </w:rPr>
            </w:pPr>
            <w:r>
              <w:rPr>
                <w:rFonts w:ascii="宋体" w:hAnsi="宋体" w:cs="宋体" w:eastAsia="宋体" w:hint="default"/>
                <w:sz w:val="18"/>
                <w:szCs w:val="18"/>
              </w:rPr>
              <w:t>股权资产</w:t>
            </w:r>
          </w:p>
        </w:tc>
        <w:tc>
          <w:tcPr>
            <w:tcW w:w="65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10" w:right="0"/>
              <w:jc w:val="left"/>
              <w:rPr>
                <w:rFonts w:ascii="宋体" w:hAnsi="宋体" w:cs="宋体" w:eastAsia="宋体" w:hint="default"/>
                <w:sz w:val="18"/>
                <w:szCs w:val="18"/>
              </w:rPr>
            </w:pPr>
            <w:r>
              <w:rPr>
                <w:rFonts w:ascii="宋体" w:hAnsi="宋体" w:cs="宋体" w:eastAsia="宋体" w:hint="default"/>
                <w:sz w:val="18"/>
                <w:szCs w:val="18"/>
              </w:rPr>
              <w:t>报告期未发生重大变化。</w:t>
            </w:r>
          </w:p>
        </w:tc>
      </w:tr>
      <w:tr>
        <w:trPr>
          <w:trHeight w:val="402" w:hRule="exact"/>
        </w:trPr>
        <w:tc>
          <w:tcPr>
            <w:tcW w:w="3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159"/>
              <w:jc w:val="right"/>
              <w:rPr>
                <w:rFonts w:ascii="宋体" w:hAnsi="宋体" w:cs="宋体" w:eastAsia="宋体" w:hint="default"/>
                <w:sz w:val="18"/>
                <w:szCs w:val="18"/>
              </w:rPr>
            </w:pPr>
            <w:r>
              <w:rPr>
                <w:rFonts w:ascii="宋体" w:hAnsi="宋体" w:cs="宋体" w:eastAsia="宋体" w:hint="default"/>
                <w:sz w:val="18"/>
                <w:szCs w:val="18"/>
              </w:rPr>
              <w:t>固定资产</w:t>
            </w:r>
          </w:p>
        </w:tc>
        <w:tc>
          <w:tcPr>
            <w:tcW w:w="65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10" w:right="0"/>
              <w:jc w:val="left"/>
              <w:rPr>
                <w:rFonts w:ascii="宋体" w:hAnsi="宋体" w:cs="宋体" w:eastAsia="宋体" w:hint="default"/>
                <w:sz w:val="18"/>
                <w:szCs w:val="18"/>
              </w:rPr>
            </w:pPr>
            <w:r>
              <w:rPr>
                <w:rFonts w:ascii="宋体" w:hAnsi="宋体" w:cs="宋体" w:eastAsia="宋体" w:hint="default"/>
                <w:sz w:val="18"/>
                <w:szCs w:val="18"/>
              </w:rPr>
              <w:t>报告期未发生重大变化。</w:t>
            </w:r>
          </w:p>
        </w:tc>
      </w:tr>
      <w:tr>
        <w:trPr>
          <w:trHeight w:val="402" w:hRule="exact"/>
        </w:trPr>
        <w:tc>
          <w:tcPr>
            <w:tcW w:w="3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159"/>
              <w:jc w:val="right"/>
              <w:rPr>
                <w:rFonts w:ascii="宋体" w:hAnsi="宋体" w:cs="宋体" w:eastAsia="宋体" w:hint="default"/>
                <w:sz w:val="18"/>
                <w:szCs w:val="18"/>
              </w:rPr>
            </w:pPr>
            <w:r>
              <w:rPr>
                <w:rFonts w:ascii="宋体" w:hAnsi="宋体" w:cs="宋体" w:eastAsia="宋体" w:hint="default"/>
                <w:sz w:val="18"/>
                <w:szCs w:val="18"/>
              </w:rPr>
              <w:t>无形资产</w:t>
            </w:r>
          </w:p>
        </w:tc>
        <w:tc>
          <w:tcPr>
            <w:tcW w:w="65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10" w:right="0"/>
              <w:jc w:val="left"/>
              <w:rPr>
                <w:rFonts w:ascii="宋体" w:hAnsi="宋体" w:cs="宋体" w:eastAsia="宋体" w:hint="default"/>
                <w:sz w:val="18"/>
                <w:szCs w:val="18"/>
              </w:rPr>
            </w:pPr>
            <w:r>
              <w:rPr>
                <w:rFonts w:ascii="宋体" w:hAnsi="宋体" w:cs="宋体" w:eastAsia="宋体" w:hint="default"/>
                <w:sz w:val="18"/>
                <w:szCs w:val="18"/>
              </w:rPr>
              <w:t>报告期未发生重大变化。</w:t>
            </w:r>
          </w:p>
        </w:tc>
      </w:tr>
      <w:tr>
        <w:trPr>
          <w:trHeight w:val="402" w:hRule="exact"/>
        </w:trPr>
        <w:tc>
          <w:tcPr>
            <w:tcW w:w="3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159"/>
              <w:jc w:val="right"/>
              <w:rPr>
                <w:rFonts w:ascii="宋体" w:hAnsi="宋体" w:cs="宋体" w:eastAsia="宋体" w:hint="default"/>
                <w:sz w:val="18"/>
                <w:szCs w:val="18"/>
              </w:rPr>
            </w:pPr>
            <w:r>
              <w:rPr>
                <w:rFonts w:ascii="宋体" w:hAnsi="宋体" w:cs="宋体" w:eastAsia="宋体" w:hint="default"/>
                <w:sz w:val="18"/>
                <w:szCs w:val="18"/>
              </w:rPr>
              <w:t>在建工程</w:t>
            </w:r>
          </w:p>
        </w:tc>
        <w:tc>
          <w:tcPr>
            <w:tcW w:w="65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10" w:right="0"/>
              <w:jc w:val="left"/>
              <w:rPr>
                <w:rFonts w:ascii="宋体" w:hAnsi="宋体" w:cs="宋体" w:eastAsia="宋体" w:hint="default"/>
                <w:sz w:val="18"/>
                <w:szCs w:val="18"/>
              </w:rPr>
            </w:pPr>
            <w:r>
              <w:rPr>
                <w:rFonts w:ascii="宋体" w:hAnsi="宋体" w:cs="宋体" w:eastAsia="宋体" w:hint="default"/>
                <w:sz w:val="18"/>
                <w:szCs w:val="18"/>
              </w:rPr>
              <w:t>报告期公司松岗工业园四期、中丰田厂房、贵州劲嘉厂房投资建设增加所致。</w:t>
            </w:r>
          </w:p>
        </w:tc>
      </w:tr>
      <w:tr>
        <w:trPr>
          <w:trHeight w:val="403" w:hRule="exact"/>
        </w:trPr>
        <w:tc>
          <w:tcPr>
            <w:tcW w:w="304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right="1159"/>
              <w:jc w:val="right"/>
              <w:rPr>
                <w:rFonts w:ascii="宋体" w:hAnsi="宋体" w:cs="宋体" w:eastAsia="宋体" w:hint="default"/>
                <w:sz w:val="18"/>
                <w:szCs w:val="18"/>
              </w:rPr>
            </w:pPr>
            <w:r>
              <w:rPr>
                <w:rFonts w:ascii="宋体" w:hAnsi="宋体" w:cs="宋体" w:eastAsia="宋体" w:hint="default"/>
                <w:sz w:val="18"/>
                <w:szCs w:val="18"/>
              </w:rPr>
              <w:t>货币资金</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报告期回购股份及募投项目使用募集资金导致货币资金减少所致。</w:t>
            </w:r>
          </w:p>
        </w:tc>
      </w:tr>
    </w:tbl>
    <w:p>
      <w:pPr>
        <w:spacing w:line="240" w:lineRule="auto" w:before="2"/>
        <w:rPr>
          <w:rFonts w:ascii="宋体" w:hAnsi="宋体" w:cs="宋体" w:eastAsia="宋体" w:hint="default"/>
          <w:b/>
          <w:bCs/>
          <w:sz w:val="19"/>
          <w:szCs w:val="19"/>
        </w:rPr>
      </w:pPr>
    </w:p>
    <w:p>
      <w:pPr>
        <w:pStyle w:val="Heading3"/>
        <w:spacing w:line="240" w:lineRule="auto" w:before="35"/>
        <w:ind w:right="0"/>
        <w:jc w:val="left"/>
        <w:rPr>
          <w:b w:val="0"/>
          <w:bCs w:val="0"/>
        </w:rPr>
      </w:pPr>
      <w:bookmarkStart w:name="2、主要境外资产情况" w:id="20"/>
      <w:bookmarkEnd w:id="20"/>
      <w:r>
        <w:rPr>
          <w:b w:val="0"/>
          <w:bCs w:val="0"/>
        </w:rPr>
      </w:r>
      <w:r>
        <w:rPr>
          <w:rFonts w:ascii="Times New Roman" w:hAnsi="Times New Roman" w:cs="Times New Roman" w:eastAsia="Times New Roman" w:hint="default"/>
        </w:rPr>
        <w:t>2</w:t>
      </w:r>
      <w:r>
        <w:rPr/>
        <w:t>、主要境外资产情况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三、核心竞争力分析" w:id="21"/>
      <w:bookmarkEnd w:id="21"/>
      <w:r>
        <w:rPr>
          <w:b w:val="0"/>
          <w:bCs w:val="0"/>
        </w:rPr>
      </w:r>
      <w:r>
        <w:rPr/>
        <w:t>三、核心竞争力分析</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right="7692"/>
        <w:jc w:val="left"/>
      </w:pPr>
      <w:r>
        <w:rPr/>
        <w:t>公司是否需要遵守特殊行业的披露要求 否</w:t>
      </w:r>
    </w:p>
    <w:p>
      <w:pPr>
        <w:pStyle w:val="BodyText"/>
        <w:spacing w:line="300" w:lineRule="auto" w:before="28"/>
        <w:ind w:left="514" w:right="0" w:firstLine="1"/>
        <w:jc w:val="left"/>
      </w:pPr>
      <w:r>
        <w:rPr>
          <w:rFonts w:ascii="Times New Roman" w:hAnsi="Times New Roman" w:cs="Times New Roman" w:eastAsia="Times New Roman" w:hint="default"/>
          <w:b/>
          <w:bCs/>
        </w:rPr>
        <w:t>1</w:t>
      </w:r>
      <w:r>
        <w:rPr>
          <w:rFonts w:ascii="宋体" w:hAnsi="宋体" w:cs="宋体" w:eastAsia="宋体" w:hint="default"/>
          <w:b/>
          <w:bCs/>
        </w:rPr>
        <w:t>、市场竞争优势</w:t>
      </w:r>
      <w:r>
        <w:rPr>
          <w:rFonts w:ascii="宋体" w:hAnsi="宋体" w:cs="宋体" w:eastAsia="宋体" w:hint="default"/>
          <w:b/>
          <w:bCs/>
          <w:w w:val="99"/>
        </w:rPr>
        <w:t> </w:t>
      </w:r>
      <w:r>
        <w:rPr>
          <w:spacing w:val="-2"/>
        </w:rPr>
        <w:t>报告期内，全国卷烟产品结构不断优化，重点品牌发展态势良好。公司作为烟标行业的领军企业，在烟草重点区域的市</w:t>
      </w:r>
    </w:p>
    <w:p>
      <w:pPr>
        <w:pStyle w:val="BodyText"/>
        <w:spacing w:line="316" w:lineRule="auto" w:before="32"/>
        <w:ind w:right="1131"/>
        <w:jc w:val="both"/>
      </w:pPr>
      <w:r>
        <w:rPr>
          <w:spacing w:val="-2"/>
        </w:rPr>
        <w:t>场布局已经显现成效，在安徽、云南、贵州、川渝、江西、江苏的下属子公司生产的烟标基本覆盖了国内烟草行业的规模品</w:t>
      </w:r>
      <w:r>
        <w:rPr>
          <w:spacing w:val="-70"/>
        </w:rPr>
        <w:t> </w:t>
      </w:r>
      <w:r>
        <w:rPr>
          <w:spacing w:val="-70"/>
        </w:rPr>
      </w:r>
      <w:r>
        <w:rPr>
          <w:spacing w:val="-2"/>
        </w:rPr>
        <w:t>牌，具备明显的竞争优势；公司彩盒包装的客户开拓情况良好，彩盒包装产能持续扩张及智能生产自动化的应用，为公司彩</w:t>
      </w:r>
      <w:r>
        <w:rPr>
          <w:spacing w:val="-66"/>
        </w:rPr>
        <w:t> </w:t>
      </w:r>
      <w:r>
        <w:rPr>
          <w:spacing w:val="-66"/>
        </w:rPr>
      </w:r>
      <w:r>
        <w:rPr/>
        <w:t>盒包装的拓展奠定基础。</w:t>
      </w:r>
    </w:p>
    <w:p>
      <w:pPr>
        <w:pStyle w:val="Heading4"/>
        <w:spacing w:line="240" w:lineRule="auto" w:before="19"/>
        <w:ind w:right="0"/>
        <w:jc w:val="left"/>
        <w:rPr>
          <w:b w:val="0"/>
          <w:bCs w:val="0"/>
        </w:rPr>
      </w:pPr>
      <w:r>
        <w:rPr>
          <w:rFonts w:ascii="Times New Roman" w:hAnsi="Times New Roman" w:cs="Times New Roman" w:eastAsia="Times New Roman" w:hint="default"/>
        </w:rPr>
        <w:t>2</w:t>
      </w:r>
      <w:r>
        <w:rPr/>
        <w:t>、技术领先优势</w:t>
      </w:r>
      <w:r>
        <w:rPr>
          <w:b w:val="0"/>
          <w:bCs w:val="0"/>
        </w:rPr>
      </w:r>
    </w:p>
    <w:p>
      <w:pPr>
        <w:spacing w:after="0" w:line="240" w:lineRule="auto"/>
        <w:jc w:val="left"/>
        <w:sectPr>
          <w:pgSz w:w="11910" w:h="16840"/>
          <w:pgMar w:header="747" w:footer="979" w:top="1060" w:bottom="1160" w:left="980" w:right="0"/>
        </w:sectPr>
      </w:pPr>
    </w:p>
    <w:p>
      <w:pPr>
        <w:spacing w:line="240" w:lineRule="auto" w:before="12"/>
        <w:rPr>
          <w:rFonts w:ascii="宋体" w:hAnsi="宋体" w:cs="宋体" w:eastAsia="宋体" w:hint="default"/>
          <w:b/>
          <w:bCs/>
          <w:sz w:val="25"/>
          <w:szCs w:val="25"/>
        </w:rPr>
      </w:pPr>
    </w:p>
    <w:p>
      <w:pPr>
        <w:pStyle w:val="BodyText"/>
        <w:spacing w:line="307" w:lineRule="auto" w:before="44"/>
        <w:ind w:right="0" w:firstLine="360"/>
        <w:jc w:val="left"/>
      </w:pPr>
      <w:r>
        <w:rPr>
          <w:spacing w:val="-2"/>
        </w:rPr>
        <w:t>公司作为烟标行业的标准制定者，在行业内具有技术研发和品牌效应的竞争优势。报告期内，公司继续发扬抓技改、求</w:t>
      </w:r>
      <w:r>
        <w:rPr/>
        <w:t> </w:t>
      </w:r>
      <w:r>
        <w:rPr>
          <w:spacing w:val="-2"/>
        </w:rPr>
        <w:t>创新、增效益的优良传统，公司（含合并报表范围内子公司）新申请专利</w:t>
      </w:r>
      <w:r>
        <w:rPr>
          <w:rFonts w:ascii="Times New Roman" w:hAnsi="Times New Roman" w:cs="Times New Roman" w:eastAsia="Times New Roman" w:hint="default"/>
          <w:spacing w:val="-2"/>
        </w:rPr>
        <w:t>124</w:t>
      </w:r>
      <w:r>
        <w:rPr>
          <w:spacing w:val="-2"/>
        </w:rPr>
        <w:t>项，其中发明专利</w:t>
      </w:r>
      <w:r>
        <w:rPr>
          <w:rFonts w:ascii="Times New Roman" w:hAnsi="Times New Roman" w:cs="Times New Roman" w:eastAsia="Times New Roman" w:hint="default"/>
          <w:spacing w:val="-2"/>
        </w:rPr>
        <w:t>40</w:t>
      </w:r>
      <w:r>
        <w:rPr>
          <w:spacing w:val="-2"/>
        </w:rPr>
        <w:t>项；新获得专利授权</w:t>
      </w:r>
      <w:r>
        <w:rPr>
          <w:rFonts w:ascii="Times New Roman" w:hAnsi="Times New Roman" w:cs="Times New Roman" w:eastAsia="Times New Roman" w:hint="default"/>
          <w:spacing w:val="-2"/>
        </w:rPr>
        <w:t>64</w:t>
      </w:r>
      <w:r>
        <w:rPr>
          <w:spacing w:val="-2"/>
        </w:rPr>
        <w:t>项，</w:t>
      </w:r>
      <w:r>
        <w:rPr>
          <w:spacing w:val="-63"/>
        </w:rPr>
        <w:t> </w:t>
      </w:r>
      <w:r>
        <w:rPr>
          <w:spacing w:val="-2"/>
        </w:rPr>
        <w:t>其中发明专利</w:t>
      </w:r>
      <w:r>
        <w:rPr>
          <w:rFonts w:ascii="Times New Roman" w:hAnsi="Times New Roman" w:cs="Times New Roman" w:eastAsia="Times New Roman" w:hint="default"/>
          <w:spacing w:val="-2"/>
        </w:rPr>
        <w:t>12</w:t>
      </w:r>
      <w:r>
        <w:rPr>
          <w:spacing w:val="-2"/>
        </w:rPr>
        <w:t>项，外观设计</w:t>
      </w:r>
      <w:r>
        <w:rPr>
          <w:rFonts w:ascii="Times New Roman" w:hAnsi="Times New Roman" w:cs="Times New Roman" w:eastAsia="Times New Roman" w:hint="default"/>
          <w:spacing w:val="-2"/>
        </w:rPr>
        <w:t>3</w:t>
      </w:r>
      <w:r>
        <w:rPr>
          <w:spacing w:val="-2"/>
        </w:rPr>
        <w:t>项。截至本报告期末，公司（含合并报表范围内子公司）已累计获得专利授权</w:t>
      </w:r>
      <w:r>
        <w:rPr>
          <w:rFonts w:ascii="Times New Roman" w:hAnsi="Times New Roman" w:cs="Times New Roman" w:eastAsia="Times New Roman" w:hint="default"/>
          <w:spacing w:val="-2"/>
        </w:rPr>
        <w:t>565</w:t>
      </w:r>
      <w:r>
        <w:rPr>
          <w:spacing w:val="-2"/>
        </w:rPr>
        <w:t>项，其中发</w:t>
      </w:r>
      <w:r>
        <w:rPr>
          <w:spacing w:val="-63"/>
        </w:rPr>
        <w:t> </w:t>
      </w:r>
      <w:r>
        <w:rPr>
          <w:spacing w:val="-63"/>
        </w:rPr>
      </w:r>
      <w:r>
        <w:rPr/>
        <w:t>明专利</w:t>
      </w:r>
      <w:r>
        <w:rPr>
          <w:rFonts w:ascii="Times New Roman" w:hAnsi="Times New Roman" w:cs="Times New Roman" w:eastAsia="Times New Roman" w:hint="default"/>
        </w:rPr>
        <w:t>93</w:t>
      </w:r>
      <w:r>
        <w:rPr/>
        <w:t>项，外观设计</w:t>
      </w:r>
      <w:r>
        <w:rPr>
          <w:rFonts w:ascii="Times New Roman" w:hAnsi="Times New Roman" w:cs="Times New Roman" w:eastAsia="Times New Roman" w:hint="default"/>
        </w:rPr>
        <w:t>6</w:t>
      </w:r>
      <w:r>
        <w:rPr/>
        <w:t>项，继续保持公司在行业中的领先地位和竞争优势。</w:t>
      </w:r>
    </w:p>
    <w:p>
      <w:pPr>
        <w:pStyle w:val="BodyText"/>
        <w:spacing w:line="300" w:lineRule="auto" w:before="7"/>
        <w:ind w:left="514" w:right="0" w:firstLine="1"/>
        <w:jc w:val="left"/>
      </w:pPr>
      <w:r>
        <w:rPr>
          <w:rFonts w:ascii="Times New Roman" w:hAnsi="Times New Roman" w:cs="Times New Roman" w:eastAsia="Times New Roman" w:hint="default"/>
          <w:b/>
          <w:bCs/>
        </w:rPr>
        <w:t>3</w:t>
      </w:r>
      <w:r>
        <w:rPr>
          <w:rFonts w:ascii="宋体" w:hAnsi="宋体" w:cs="宋体" w:eastAsia="宋体" w:hint="default"/>
          <w:b/>
          <w:bCs/>
        </w:rPr>
        <w:t>、生产规模优势</w:t>
      </w:r>
      <w:r>
        <w:rPr>
          <w:rFonts w:ascii="宋体" w:hAnsi="宋体" w:cs="宋体" w:eastAsia="宋体" w:hint="default"/>
          <w:b/>
          <w:bCs/>
          <w:w w:val="99"/>
        </w:rPr>
        <w:t> </w:t>
      </w:r>
      <w:r>
        <w:rPr>
          <w:spacing w:val="-2"/>
        </w:rPr>
        <w:t>随着烟草行业的重组，品牌集中度进一步提高，烟草客户对烟标配套生产企业将提出更高的要求，具有规模化的烟标生</w:t>
      </w:r>
    </w:p>
    <w:p>
      <w:pPr>
        <w:pStyle w:val="BodyText"/>
        <w:spacing w:line="316" w:lineRule="auto" w:before="31"/>
        <w:ind w:right="0"/>
        <w:jc w:val="left"/>
      </w:pPr>
      <w:r>
        <w:rPr>
          <w:spacing w:val="-2"/>
        </w:rPr>
        <w:t>产企业将具备更强的竞争优势。公司生产规模、生产工艺、生产能力均具有领先优势，不断提高生产效率降低成本，以获取</w:t>
      </w:r>
      <w:r>
        <w:rPr>
          <w:spacing w:val="-66"/>
        </w:rPr>
        <w:t> </w:t>
      </w:r>
      <w:r>
        <w:rPr>
          <w:spacing w:val="-66"/>
        </w:rPr>
      </w:r>
      <w:r>
        <w:rPr/>
        <w:t>较好的规模效益。</w:t>
      </w:r>
    </w:p>
    <w:p>
      <w:pPr>
        <w:pStyle w:val="BodyText"/>
        <w:spacing w:line="300" w:lineRule="auto" w:before="19"/>
        <w:ind w:left="514" w:right="1032" w:firstLine="1"/>
        <w:jc w:val="left"/>
      </w:pPr>
      <w:r>
        <w:rPr>
          <w:rFonts w:ascii="Times New Roman" w:hAnsi="Times New Roman" w:cs="Times New Roman" w:eastAsia="Times New Roman" w:hint="default"/>
          <w:b/>
          <w:bCs/>
        </w:rPr>
        <w:t>4</w:t>
      </w:r>
      <w:r>
        <w:rPr>
          <w:rFonts w:ascii="宋体" w:hAnsi="宋体" w:cs="宋体" w:eastAsia="宋体" w:hint="default"/>
          <w:b/>
          <w:bCs/>
        </w:rPr>
        <w:t>、人才优势</w:t>
      </w:r>
      <w:r>
        <w:rPr>
          <w:rFonts w:ascii="宋体" w:hAnsi="宋体" w:cs="宋体" w:eastAsia="宋体" w:hint="default"/>
          <w:b/>
          <w:bCs/>
          <w:w w:val="99"/>
        </w:rPr>
        <w:t> </w:t>
      </w:r>
      <w:r>
        <w:rPr/>
        <w:t>随着公司的发展，凝聚了一批具有较高忠诚度、专业性和开拓性的高层经营管理团队、核心技术人员和市场销售人员，</w:t>
      </w:r>
    </w:p>
    <w:p>
      <w:pPr>
        <w:pStyle w:val="BodyText"/>
        <w:spacing w:line="240" w:lineRule="auto" w:before="31"/>
        <w:ind w:right="0"/>
        <w:jc w:val="left"/>
      </w:pPr>
      <w:r>
        <w:rPr/>
        <w:t>塑造了公司的人才优势。</w:t>
      </w:r>
    </w:p>
    <w:p>
      <w:pPr>
        <w:pStyle w:val="BodyText"/>
        <w:spacing w:line="300" w:lineRule="auto" w:before="76"/>
        <w:ind w:left="514" w:right="1032"/>
        <w:jc w:val="left"/>
      </w:pPr>
      <w:r>
        <w:rPr>
          <w:rFonts w:ascii="Times New Roman" w:hAnsi="Times New Roman" w:cs="Times New Roman" w:eastAsia="Times New Roman" w:hint="default"/>
          <w:b/>
          <w:bCs/>
        </w:rPr>
        <w:t>5</w:t>
      </w:r>
      <w:r>
        <w:rPr>
          <w:rFonts w:ascii="宋体" w:hAnsi="宋体" w:cs="宋体" w:eastAsia="宋体" w:hint="default"/>
          <w:b/>
          <w:bCs/>
        </w:rPr>
        <w:t>、成本控制优势</w:t>
      </w:r>
      <w:r>
        <w:rPr>
          <w:rFonts w:ascii="宋体" w:hAnsi="宋体" w:cs="宋体" w:eastAsia="宋体" w:hint="default"/>
          <w:b/>
          <w:bCs/>
          <w:w w:val="99"/>
        </w:rPr>
        <w:t> </w:t>
      </w:r>
      <w:r>
        <w:rPr/>
        <w:t>面对卷烟生产企业控制生产成本的要求，具有规模化竞争优势的企业，可以通过规模化生产和集中采购降低生产成本。</w:t>
      </w:r>
    </w:p>
    <w:p>
      <w:pPr>
        <w:pStyle w:val="BodyText"/>
        <w:spacing w:line="316" w:lineRule="auto" w:before="31"/>
        <w:ind w:right="0"/>
        <w:jc w:val="left"/>
      </w:pPr>
      <w:r>
        <w:rPr>
          <w:spacing w:val="-2"/>
        </w:rPr>
        <w:t>公司将充分利用在生产规模上的优势，通过集中采购，管理体系的各项优化措施，积极降低生产成本，同时积极推行供应链</w:t>
      </w:r>
      <w:r>
        <w:rPr>
          <w:spacing w:val="-66"/>
        </w:rPr>
        <w:t> </w:t>
      </w:r>
      <w:r>
        <w:rPr>
          <w:spacing w:val="-66"/>
        </w:rPr>
      </w:r>
      <w:r>
        <w:rPr/>
        <w:t>金融服务，保持竞争优势。</w:t>
      </w:r>
    </w:p>
    <w:p>
      <w:pPr>
        <w:spacing w:after="0" w:line="316"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left="2966" w:right="0"/>
        <w:jc w:val="left"/>
        <w:rPr>
          <w:b w:val="0"/>
          <w:bCs w:val="0"/>
        </w:rPr>
      </w:pPr>
      <w:bookmarkStart w:name="第四节 经营情况讨论与分析" w:id="22"/>
      <w:bookmarkEnd w:id="22"/>
      <w:r>
        <w:rPr>
          <w:b w:val="0"/>
          <w:bCs w:val="0"/>
        </w:rPr>
      </w:r>
      <w:bookmarkStart w:name="_bookmark2" w:id="23"/>
      <w:bookmarkEnd w:id="23"/>
      <w:r>
        <w:rPr>
          <w:b w:val="0"/>
          <w:bCs w:val="0"/>
        </w:rPr>
      </w:r>
      <w:r>
        <w:rPr/>
        <w:t>第四节</w:t>
      </w:r>
      <w:r>
        <w:rPr>
          <w:spacing w:val="-10"/>
        </w:rPr>
        <w:t> </w:t>
      </w:r>
      <w:r>
        <w:rPr/>
        <w:t>经营情况讨论与分析</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both"/>
        <w:rPr>
          <w:b w:val="0"/>
          <w:bCs w:val="0"/>
        </w:rPr>
      </w:pPr>
      <w:bookmarkStart w:name="一、概述" w:id="24"/>
      <w:bookmarkEnd w:id="24"/>
      <w:r>
        <w:rPr>
          <w:b w:val="0"/>
          <w:bCs w:val="0"/>
        </w:rPr>
      </w:r>
      <w:r>
        <w:rPr/>
        <w:t>一、概述</w:t>
      </w:r>
      <w:r>
        <w:rPr>
          <w:b w:val="0"/>
          <w:bCs w:val="0"/>
        </w:rPr>
      </w:r>
    </w:p>
    <w:p>
      <w:pPr>
        <w:spacing w:line="240" w:lineRule="auto" w:before="7"/>
        <w:rPr>
          <w:rFonts w:ascii="宋体" w:hAnsi="宋体" w:cs="宋体" w:eastAsia="宋体" w:hint="default"/>
          <w:b/>
          <w:bCs/>
          <w:sz w:val="26"/>
          <w:szCs w:val="26"/>
        </w:rPr>
      </w:pPr>
    </w:p>
    <w:p>
      <w:pPr>
        <w:pStyle w:val="BodyText"/>
        <w:spacing w:line="314" w:lineRule="auto"/>
        <w:ind w:right="1032" w:firstLine="360"/>
        <w:jc w:val="left"/>
      </w:pPr>
      <w:r>
        <w:rPr>
          <w:rFonts w:ascii="Times New Roman" w:hAnsi="Times New Roman" w:cs="Times New Roman" w:eastAsia="Times New Roman" w:hint="default"/>
          <w:spacing w:val="-2"/>
        </w:rPr>
        <w:t>2018</w:t>
      </w:r>
      <w:r>
        <w:rPr>
          <w:spacing w:val="-2"/>
        </w:rPr>
        <w:t>年我国经济运行总体平稳，烟草行业发展取得了积极成效，公司在董事会的带领下，正确分析烟标行业及市场的形</w:t>
      </w:r>
      <w:r>
        <w:rPr/>
        <w:t> </w:t>
      </w:r>
      <w:r>
        <w:rPr>
          <w:spacing w:val="-2"/>
        </w:rPr>
        <w:t>势，紧跟客户需求优化产品结构，实现烟标主业的稳定发展；在彩盒产品方面，在提高生产效率的同时，不断提供更高附加</w:t>
      </w:r>
      <w:r>
        <w:rPr>
          <w:spacing w:val="-66"/>
        </w:rPr>
        <w:t> </w:t>
      </w:r>
      <w:r>
        <w:rPr>
          <w:spacing w:val="-66"/>
        </w:rPr>
      </w:r>
      <w:r>
        <w:rPr/>
        <w:t>值并增强客户黏性，在精品烟酒包装、电子产品包装、快消品包装等彩盒包装领域取得良好成绩。通过不断强化防伪溯源、 个性定制、设计创意、数字营销等在包装产品上的运用，</w:t>
      </w:r>
      <w:r>
        <w:rPr>
          <w:spacing w:val="-8"/>
        </w:rPr>
        <w:t> </w:t>
      </w:r>
      <w:r>
        <w:rPr/>
        <w:t>进一步增强大包装产业的市场竞争优势。不断扩大及满足集团内</w:t>
      </w:r>
      <w:r>
        <w:rPr>
          <w:spacing w:val="-80"/>
        </w:rPr>
        <w:t> </w:t>
      </w:r>
      <w:r>
        <w:rPr>
          <w:spacing w:val="-80"/>
        </w:rPr>
      </w:r>
      <w:r>
        <w:rPr/>
        <w:t>部对于镭射纸膜等包装印刷生产原料的需求，为公司在成本和质量控制方面提供了强有力的保障。</w:t>
      </w:r>
    </w:p>
    <w:p>
      <w:pPr>
        <w:pStyle w:val="BodyText"/>
        <w:spacing w:line="240" w:lineRule="auto" w:before="20"/>
        <w:ind w:left="514" w:right="0"/>
        <w:jc w:val="left"/>
      </w:pPr>
      <w:r>
        <w:rPr/>
        <w:t>报告期内，公司主要完成工作情况如下：</w:t>
      </w:r>
    </w:p>
    <w:p>
      <w:pPr>
        <w:pStyle w:val="Heading4"/>
        <w:spacing w:line="240" w:lineRule="auto" w:before="76"/>
        <w:ind w:right="0"/>
        <w:jc w:val="left"/>
        <w:rPr>
          <w:b w:val="0"/>
          <w:bCs w:val="0"/>
        </w:rPr>
      </w:pPr>
      <w:r>
        <w:rPr>
          <w:rFonts w:ascii="Times New Roman" w:hAnsi="Times New Roman" w:cs="Times New Roman" w:eastAsia="Times New Roman" w:hint="default"/>
        </w:rPr>
        <w:t>1</w:t>
      </w:r>
      <w:r>
        <w:rPr/>
        <w:t>、着力聚焦烟标主业发展，持续彰显综合优势</w:t>
      </w:r>
      <w:r>
        <w:rPr>
          <w:b w:val="0"/>
          <w:bCs w:val="0"/>
        </w:rPr>
      </w:r>
    </w:p>
    <w:p>
      <w:pPr>
        <w:pStyle w:val="BodyText"/>
        <w:spacing w:line="300" w:lineRule="auto" w:before="63"/>
        <w:ind w:right="1032" w:firstLine="360"/>
        <w:jc w:val="left"/>
      </w:pPr>
      <w:r>
        <w:rPr>
          <w:rFonts w:ascii="Times New Roman" w:hAnsi="Times New Roman" w:cs="Times New Roman" w:eastAsia="Times New Roman" w:hint="default"/>
        </w:rPr>
        <w:t>2018</w:t>
      </w:r>
      <w:r>
        <w:rPr/>
        <w:t>年，烟草市场状态持续好转，品牌培育实现新突破，结构优化取得新进展，细分品类中细支烟、中支烟、短支烟、 爆珠烟等均保持高速增长</w:t>
      </w:r>
      <w:r>
        <w:rPr>
          <w:rFonts w:ascii="Times New Roman" w:hAnsi="Times New Roman" w:cs="Times New Roman" w:eastAsia="Times New Roman" w:hint="default"/>
        </w:rPr>
        <w:t>,</w:t>
      </w:r>
      <w:r>
        <w:rPr/>
        <w:t>行业改革发展取得新的成效，根据国家烟草专卖局数据，全年实现税利总额</w:t>
      </w:r>
      <w:r>
        <w:rPr>
          <w:rFonts w:ascii="Times New Roman" w:hAnsi="Times New Roman" w:cs="Times New Roman" w:eastAsia="Times New Roman" w:hint="default"/>
        </w:rPr>
        <w:t>11,556.2</w:t>
      </w:r>
      <w:r>
        <w:rPr/>
        <w:t>亿元，同比增 长</w:t>
      </w:r>
      <w:r>
        <w:rPr>
          <w:rFonts w:ascii="Times New Roman" w:hAnsi="Times New Roman" w:cs="Times New Roman" w:eastAsia="Times New Roman" w:hint="default"/>
        </w:rPr>
        <w:t>3.69%</w:t>
      </w:r>
      <w:r>
        <w:rPr/>
        <w:t>；上缴国家财政总额</w:t>
      </w:r>
      <w:r>
        <w:rPr>
          <w:rFonts w:ascii="Times New Roman" w:hAnsi="Times New Roman" w:cs="Times New Roman" w:eastAsia="Times New Roman" w:hint="default"/>
        </w:rPr>
        <w:t>10,000.8</w:t>
      </w:r>
      <w:r>
        <w:rPr/>
        <w:t>亿元，同比增长</w:t>
      </w:r>
      <w:r>
        <w:rPr>
          <w:rFonts w:ascii="Times New Roman" w:hAnsi="Times New Roman" w:cs="Times New Roman" w:eastAsia="Times New Roman" w:hint="default"/>
        </w:rPr>
        <w:t>3.37%</w:t>
      </w:r>
      <w:r>
        <w:rPr/>
        <w:t>。</w:t>
      </w:r>
    </w:p>
    <w:p>
      <w:pPr>
        <w:pStyle w:val="BodyText"/>
        <w:spacing w:line="316" w:lineRule="auto" w:before="13"/>
        <w:ind w:right="1049" w:firstLine="360"/>
        <w:jc w:val="both"/>
      </w:pPr>
      <w:r>
        <w:rPr/>
        <w:t>报告期内，公司紧紧抓住烟草行业稳中向好、卷烟品牌结构性升级的机遇，围绕客户的需求不断加大设计与研发能力， 持续改进生产工艺，继续优化公司产品结构，大力拓展新市场及新产品，在不合并重庆宏声、重庆宏劲烟标销量的情况下， 实现烟标销量比上年同期增长</w:t>
      </w:r>
      <w:r>
        <w:rPr>
          <w:rFonts w:ascii="Times New Roman" w:hAnsi="Times New Roman" w:cs="Times New Roman" w:eastAsia="Times New Roman" w:hint="default"/>
        </w:rPr>
        <w:t>7.97%</w:t>
      </w:r>
      <w:r>
        <w:rPr/>
        <w:t>。</w:t>
      </w:r>
    </w:p>
    <w:p>
      <w:pPr>
        <w:pStyle w:val="BodyText"/>
        <w:spacing w:line="300" w:lineRule="auto"/>
        <w:ind w:right="1132" w:firstLine="360"/>
        <w:jc w:val="both"/>
      </w:pPr>
      <w:r>
        <w:rPr>
          <w:spacing w:val="3"/>
        </w:rPr>
        <w:t>本报告期，公司共实现营业总收入</w:t>
      </w:r>
      <w:r>
        <w:rPr>
          <w:rFonts w:ascii="Times New Roman" w:hAnsi="Times New Roman" w:cs="Times New Roman" w:eastAsia="Times New Roman" w:hint="default"/>
          <w:spacing w:val="3"/>
        </w:rPr>
        <w:t>3,374,004,791.26</w:t>
      </w:r>
      <w:r>
        <w:rPr>
          <w:spacing w:val="3"/>
        </w:rPr>
        <w:t>元，比上年同期增长</w:t>
      </w:r>
      <w:r>
        <w:rPr>
          <w:rFonts w:ascii="Times New Roman" w:hAnsi="Times New Roman" w:cs="Times New Roman" w:eastAsia="Times New Roman" w:hint="default"/>
          <w:spacing w:val="3"/>
        </w:rPr>
        <w:t>14.56%</w:t>
      </w:r>
      <w:r>
        <w:rPr>
          <w:spacing w:val="3"/>
        </w:rPr>
        <w:t>；实现归属于上市公司股东的净利润</w:t>
      </w:r>
      <w:r>
        <w:rPr/>
        <w:t> </w:t>
      </w:r>
      <w:r>
        <w:rPr>
          <w:rFonts w:ascii="Times New Roman" w:hAnsi="Times New Roman" w:cs="Times New Roman" w:eastAsia="Times New Roman" w:hint="default"/>
          <w:spacing w:val="-1"/>
        </w:rPr>
        <w:t>725,308,104.74</w:t>
      </w:r>
      <w:r>
        <w:rPr>
          <w:spacing w:val="-1"/>
        </w:rPr>
        <w:t>元，比上年同期增长</w:t>
      </w:r>
      <w:r>
        <w:rPr>
          <w:rFonts w:ascii="Times New Roman" w:hAnsi="Times New Roman" w:cs="Times New Roman" w:eastAsia="Times New Roman" w:hint="default"/>
          <w:spacing w:val="-1"/>
        </w:rPr>
        <w:t>26.27%</w:t>
      </w:r>
      <w:r>
        <w:rPr>
          <w:spacing w:val="-1"/>
        </w:rPr>
        <w:t>；实现归属于上市公司股东的扣除非经常性损益的净利润</w:t>
      </w:r>
      <w:r>
        <w:rPr>
          <w:rFonts w:ascii="Times New Roman" w:hAnsi="Times New Roman" w:cs="Times New Roman" w:eastAsia="Times New Roman" w:hint="default"/>
          <w:spacing w:val="-1"/>
        </w:rPr>
        <w:t>692,189,290.04</w:t>
      </w:r>
      <w:r>
        <w:rPr>
          <w:spacing w:val="-1"/>
        </w:rPr>
        <w:t>元，比上</w:t>
      </w:r>
      <w:r>
        <w:rPr>
          <w:spacing w:val="-36"/>
        </w:rPr>
        <w:t> </w:t>
      </w:r>
      <w:r>
        <w:rPr>
          <w:spacing w:val="-36"/>
        </w:rPr>
      </w:r>
      <w:r>
        <w:rPr>
          <w:spacing w:val="-1"/>
        </w:rPr>
        <w:t>年同期增长</w:t>
      </w:r>
      <w:r>
        <w:rPr>
          <w:rFonts w:ascii="Times New Roman" w:hAnsi="Times New Roman" w:cs="Times New Roman" w:eastAsia="Times New Roman" w:hint="default"/>
          <w:spacing w:val="-1"/>
        </w:rPr>
        <w:t>26.45%</w:t>
      </w:r>
      <w:r>
        <w:rPr>
          <w:spacing w:val="-1"/>
        </w:rPr>
        <w:t>；截至</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日，公司总资产</w:t>
      </w:r>
      <w:r>
        <w:rPr>
          <w:rFonts w:ascii="Times New Roman" w:hAnsi="Times New Roman" w:cs="Times New Roman" w:eastAsia="Times New Roman" w:hint="default"/>
          <w:spacing w:val="-1"/>
        </w:rPr>
        <w:t>8,203,580,899.26</w:t>
      </w:r>
      <w:r>
        <w:rPr>
          <w:spacing w:val="-1"/>
        </w:rPr>
        <w:t>元，比上年同期增加</w:t>
      </w:r>
      <w:r>
        <w:rPr>
          <w:rFonts w:ascii="Times New Roman" w:hAnsi="Times New Roman" w:cs="Times New Roman" w:eastAsia="Times New Roman" w:hint="default"/>
          <w:spacing w:val="-1"/>
        </w:rPr>
        <w:t>0.98%</w:t>
      </w:r>
      <w:r>
        <w:rPr>
          <w:spacing w:val="-1"/>
        </w:rPr>
        <w:t>，归属于上市公司股东的</w:t>
      </w:r>
      <w:r>
        <w:rPr>
          <w:spacing w:val="-48"/>
        </w:rPr>
        <w:t> </w:t>
      </w:r>
      <w:r>
        <w:rPr>
          <w:spacing w:val="-48"/>
        </w:rPr>
      </w:r>
      <w:r>
        <w:rPr/>
        <w:t>所有者权益为</w:t>
      </w:r>
      <w:r>
        <w:rPr>
          <w:rFonts w:ascii="Times New Roman" w:hAnsi="Times New Roman" w:cs="Times New Roman" w:eastAsia="Times New Roman" w:hint="default"/>
        </w:rPr>
        <w:t>6,492,800,613.47</w:t>
      </w:r>
      <w:r>
        <w:rPr/>
        <w:t>元，比上年同期增长</w:t>
      </w:r>
      <w:r>
        <w:rPr>
          <w:rFonts w:ascii="Times New Roman" w:hAnsi="Times New Roman" w:cs="Times New Roman" w:eastAsia="Times New Roman" w:hint="default"/>
        </w:rPr>
        <w:t>0.68%</w:t>
      </w:r>
      <w:r>
        <w:rPr/>
        <w:t>。</w:t>
      </w:r>
    </w:p>
    <w:p>
      <w:pPr>
        <w:spacing w:line="300" w:lineRule="auto" w:before="13"/>
        <w:ind w:left="515" w:right="0"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、多维度布局，打造彩盒包装核心竞争力</w:t>
      </w:r>
      <w:r>
        <w:rPr>
          <w:rFonts w:ascii="宋体" w:hAnsi="宋体" w:cs="宋体" w:eastAsia="宋体" w:hint="default"/>
          <w:b/>
          <w:bCs/>
          <w:w w:val="99"/>
          <w:sz w:val="18"/>
          <w:szCs w:val="18"/>
        </w:rPr>
        <w:t> </w:t>
      </w:r>
      <w:r>
        <w:rPr>
          <w:rFonts w:ascii="宋体" w:hAnsi="宋体" w:cs="宋体" w:eastAsia="宋体" w:hint="default"/>
          <w:spacing w:val="-2"/>
          <w:sz w:val="18"/>
          <w:szCs w:val="18"/>
        </w:rPr>
        <w:t>在彩盒产品方面，公司通过强化印后制造能力，持续提升自动化智能设备的性能，推进精品包装产品的发展及其智能化</w:t>
      </w:r>
    </w:p>
    <w:p>
      <w:pPr>
        <w:pStyle w:val="BodyText"/>
        <w:spacing w:line="304" w:lineRule="auto" w:before="31"/>
        <w:ind w:right="1128"/>
        <w:jc w:val="both"/>
      </w:pPr>
      <w:r>
        <w:rPr/>
        <w:t>进程，产能效率得以不断提升，不断拓展精品烟酒、电子产品等产品的彩盒包装，在保持</w:t>
      </w:r>
      <w:r>
        <w:rPr>
          <w:rFonts w:ascii="Times New Roman" w:hAnsi="Times New Roman" w:cs="Times New Roman" w:eastAsia="Times New Roman" w:hint="default"/>
        </w:rPr>
        <w:t>“</w:t>
      </w:r>
      <w:r>
        <w:rPr/>
        <w:t>中华（金中支）</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南京（九五</w:t>
      </w:r>
      <w:r>
        <w:rPr>
          <w:spacing w:val="-55"/>
        </w:rPr>
        <w:t> </w:t>
      </w:r>
      <w:r>
        <w:rPr>
          <w:spacing w:val="-55"/>
        </w:rPr>
      </w:r>
      <w:r>
        <w:rPr/>
        <w:t>之尊）</w:t>
      </w:r>
      <w:r>
        <w:rPr>
          <w:rFonts w:ascii="Times New Roman" w:hAnsi="Times New Roman" w:cs="Times New Roman" w:eastAsia="Times New Roman" w:hint="default"/>
        </w:rPr>
        <w:t>”</w:t>
      </w:r>
      <w:r>
        <w:rPr/>
        <w:t>、</w:t>
      </w:r>
      <w:r>
        <w:rPr>
          <w:spacing w:val="-16"/>
        </w:rPr>
        <w:t> </w:t>
      </w:r>
      <w:r>
        <w:rPr>
          <w:rFonts w:ascii="Times New Roman" w:hAnsi="Times New Roman" w:cs="Times New Roman" w:eastAsia="Times New Roman" w:hint="default"/>
        </w:rPr>
        <w:t>“</w:t>
      </w:r>
      <w:r>
        <w:rPr/>
        <w:t>云烟（大重九）</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茅台醇</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洋河</w:t>
      </w:r>
      <w:r>
        <w:rPr>
          <w:rFonts w:ascii="Times New Roman" w:hAnsi="Times New Roman" w:cs="Times New Roman" w:eastAsia="Times New Roman" w:hint="default"/>
        </w:rPr>
        <w:t>”</w:t>
      </w:r>
      <w:r>
        <w:rPr/>
        <w:t>等知名烟酒品牌的精品彩盒包装市场份额的同时，持续加大市场、产品开 </w:t>
      </w:r>
      <w:r>
        <w:rPr>
          <w:spacing w:val="-2"/>
        </w:rPr>
        <w:t>发力度，不断引入新客户拓展新产品，主要有多款新型烟草彩盒包装，如取得英美烟草、雷诺烟草、菲莫国际、悦刻等知名</w:t>
      </w:r>
      <w:r>
        <w:rPr>
          <w:spacing w:val="-68"/>
        </w:rPr>
        <w:t> </w:t>
      </w:r>
      <w:r>
        <w:rPr>
          <w:spacing w:val="-68"/>
        </w:rPr>
      </w:r>
      <w:r>
        <w:rPr>
          <w:spacing w:val="-1"/>
        </w:rPr>
        <w:t>品牌的新型烟草产品的合格供应商资格；知名白酒品牌如</w:t>
      </w:r>
      <w:r>
        <w:rPr>
          <w:rFonts w:ascii="Times New Roman" w:hAnsi="Times New Roman" w:cs="Times New Roman" w:eastAsia="Times New Roman" w:hint="default"/>
          <w:spacing w:val="-1"/>
        </w:rPr>
        <w:t>“</w:t>
      </w:r>
      <w:r>
        <w:rPr>
          <w:spacing w:val="-1"/>
        </w:rPr>
        <w:t>劲酒</w:t>
      </w:r>
      <w:r>
        <w:rPr>
          <w:rFonts w:ascii="Times New Roman" w:hAnsi="Times New Roman" w:cs="Times New Roman" w:eastAsia="Times New Roman" w:hint="default"/>
          <w:spacing w:val="-1"/>
        </w:rPr>
        <w:t>”</w:t>
      </w:r>
      <w:r>
        <w:rPr>
          <w:spacing w:val="-1"/>
        </w:rPr>
        <w:t>、</w:t>
      </w:r>
      <w:r>
        <w:rPr>
          <w:rFonts w:ascii="Times New Roman" w:hAnsi="Times New Roman" w:cs="Times New Roman" w:eastAsia="Times New Roman" w:hint="default"/>
          <w:spacing w:val="-1"/>
        </w:rPr>
        <w:t>“</w:t>
      </w:r>
      <w:r>
        <w:rPr>
          <w:spacing w:val="-1"/>
        </w:rPr>
        <w:t>红星二锅头</w:t>
      </w:r>
      <w:r>
        <w:rPr>
          <w:rFonts w:ascii="Times New Roman" w:hAnsi="Times New Roman" w:cs="Times New Roman" w:eastAsia="Times New Roman" w:hint="default"/>
          <w:spacing w:val="-1"/>
        </w:rPr>
        <w:t>”</w:t>
      </w:r>
      <w:r>
        <w:rPr>
          <w:spacing w:val="-1"/>
        </w:rPr>
        <w:t>、</w:t>
      </w:r>
      <w:r>
        <w:rPr>
          <w:rFonts w:ascii="Times New Roman" w:hAnsi="Times New Roman" w:cs="Times New Roman" w:eastAsia="Times New Roman" w:hint="default"/>
          <w:spacing w:val="-1"/>
        </w:rPr>
        <w:t>“</w:t>
      </w:r>
      <w:r>
        <w:rPr>
          <w:spacing w:val="-1"/>
        </w:rPr>
        <w:t>江小白</w:t>
      </w:r>
      <w:r>
        <w:rPr>
          <w:rFonts w:ascii="Times New Roman" w:hAnsi="Times New Roman" w:cs="Times New Roman" w:eastAsia="Times New Roman" w:hint="default"/>
          <w:spacing w:val="-1"/>
        </w:rPr>
        <w:t>”</w:t>
      </w:r>
      <w:r>
        <w:rPr>
          <w:spacing w:val="-1"/>
        </w:rPr>
        <w:t>的外包装等。本报告期，公司彩</w:t>
      </w:r>
      <w:r>
        <w:rPr>
          <w:spacing w:val="-59"/>
        </w:rPr>
        <w:t> </w:t>
      </w:r>
      <w:r>
        <w:rPr>
          <w:spacing w:val="-59"/>
        </w:rPr>
      </w:r>
      <w:r>
        <w:rPr/>
        <w:t>盒产品营业收入比上年同期增长</w:t>
      </w:r>
      <w:r>
        <w:rPr>
          <w:rFonts w:ascii="Times New Roman" w:hAnsi="Times New Roman" w:cs="Times New Roman" w:eastAsia="Times New Roman" w:hint="default"/>
        </w:rPr>
        <w:t>67.09%</w:t>
      </w:r>
      <w:r>
        <w:rPr/>
        <w:t>。</w:t>
      </w:r>
    </w:p>
    <w:p>
      <w:pPr>
        <w:spacing w:line="300" w:lineRule="auto" w:before="9"/>
        <w:ind w:left="514" w:right="0" w:firstLine="1"/>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3</w:t>
      </w:r>
      <w:r>
        <w:rPr>
          <w:rFonts w:ascii="宋体" w:hAnsi="宋体" w:cs="宋体" w:eastAsia="宋体" w:hint="default"/>
          <w:b/>
          <w:bCs/>
          <w:sz w:val="18"/>
          <w:szCs w:val="18"/>
        </w:rPr>
        <w:t>、深入国企混改，白酒包装发力前进</w:t>
      </w:r>
      <w:r>
        <w:rPr>
          <w:rFonts w:ascii="宋体" w:hAnsi="宋体" w:cs="宋体" w:eastAsia="宋体" w:hint="default"/>
          <w:b/>
          <w:bCs/>
          <w:w w:val="99"/>
          <w:sz w:val="18"/>
          <w:szCs w:val="18"/>
        </w:rPr>
        <w:t> </w:t>
      </w:r>
      <w:r>
        <w:rPr>
          <w:rFonts w:ascii="宋体" w:hAnsi="宋体" w:cs="宋体" w:eastAsia="宋体" w:hint="default"/>
          <w:sz w:val="18"/>
          <w:szCs w:val="18"/>
        </w:rPr>
        <w:t>公司以</w:t>
      </w:r>
      <w:r>
        <w:rPr>
          <w:rFonts w:ascii="Times New Roman" w:hAnsi="Times New Roman" w:cs="Times New Roman" w:eastAsia="Times New Roman" w:hint="default"/>
          <w:sz w:val="18"/>
          <w:szCs w:val="18"/>
        </w:rPr>
        <w:t>8,320</w:t>
      </w:r>
      <w:r>
        <w:rPr>
          <w:rFonts w:ascii="宋体" w:hAnsi="宋体" w:cs="宋体" w:eastAsia="宋体" w:hint="default"/>
          <w:sz w:val="18"/>
          <w:szCs w:val="18"/>
        </w:rPr>
        <w:t>万元对参股子公司申仁包装进行增资，上海仁彩以</w:t>
      </w:r>
      <w:r>
        <w:rPr>
          <w:rFonts w:ascii="Times New Roman" w:hAnsi="Times New Roman" w:cs="Times New Roman" w:eastAsia="Times New Roman" w:hint="default"/>
          <w:sz w:val="18"/>
          <w:szCs w:val="18"/>
        </w:rPr>
        <w:t>2,080</w:t>
      </w:r>
      <w:r>
        <w:rPr>
          <w:rFonts w:ascii="宋体" w:hAnsi="宋体" w:cs="宋体" w:eastAsia="宋体" w:hint="default"/>
          <w:sz w:val="18"/>
          <w:szCs w:val="18"/>
        </w:rPr>
        <w:t>万元对申仁包装进行增资，合计增资</w:t>
      </w:r>
      <w:r>
        <w:rPr>
          <w:rFonts w:ascii="Times New Roman" w:hAnsi="Times New Roman" w:cs="Times New Roman" w:eastAsia="Times New Roman" w:hint="default"/>
          <w:sz w:val="18"/>
          <w:szCs w:val="18"/>
        </w:rPr>
        <w:t>1.04</w:t>
      </w:r>
      <w:r>
        <w:rPr>
          <w:rFonts w:ascii="宋体" w:hAnsi="宋体" w:cs="宋体" w:eastAsia="宋体" w:hint="default"/>
          <w:sz w:val="18"/>
          <w:szCs w:val="18"/>
        </w:rPr>
        <w:t>亿元，资</w:t>
      </w:r>
    </w:p>
    <w:p>
      <w:pPr>
        <w:pStyle w:val="BodyText"/>
        <w:spacing w:line="316" w:lineRule="auto" w:before="13"/>
        <w:ind w:right="1131"/>
        <w:jc w:val="both"/>
      </w:pPr>
      <w:r>
        <w:rPr>
          <w:spacing w:val="-2"/>
        </w:rPr>
        <w:t>金主要用于申仁包装的厂房建设、生产经营及后续发展，加快实现申仁包装产能的扩建和升级，公司通过直接及间接持股的</w:t>
      </w:r>
      <w:r>
        <w:rPr>
          <w:spacing w:val="-66"/>
        </w:rPr>
        <w:t> </w:t>
      </w:r>
      <w:r>
        <w:rPr>
          <w:spacing w:val="-66"/>
        </w:rPr>
      </w:r>
      <w:r>
        <w:rPr>
          <w:spacing w:val="-2"/>
        </w:rPr>
        <w:t>方式，成为申仁包装的第二大股东，有利于深化与战略合作伙伴茅台技开司的资源共享机制，实现优势互补，把握住高端白</w:t>
      </w:r>
      <w:r>
        <w:rPr>
          <w:spacing w:val="-66"/>
        </w:rPr>
        <w:t> </w:t>
      </w:r>
      <w:r>
        <w:rPr>
          <w:spacing w:val="-66"/>
        </w:rPr>
      </w:r>
      <w:r>
        <w:rPr/>
        <w:t>酒持续增长的机遇，拓展酒类包装及其他社会包装品业务，增厚公司业绩。</w:t>
      </w:r>
    </w:p>
    <w:p>
      <w:pPr>
        <w:spacing w:line="300" w:lineRule="auto" w:before="19"/>
        <w:ind w:left="514" w:right="0" w:firstLine="1"/>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4</w:t>
      </w:r>
      <w:r>
        <w:rPr>
          <w:rFonts w:ascii="宋体" w:hAnsi="宋体" w:cs="宋体" w:eastAsia="宋体" w:hint="default"/>
          <w:b/>
          <w:bCs/>
          <w:sz w:val="18"/>
          <w:szCs w:val="18"/>
        </w:rPr>
        <w:t>、新材料不断突破，助力大包装稳健发展</w:t>
      </w:r>
      <w:r>
        <w:rPr>
          <w:rFonts w:ascii="宋体" w:hAnsi="宋体" w:cs="宋体" w:eastAsia="宋体" w:hint="default"/>
          <w:b/>
          <w:bCs/>
          <w:w w:val="99"/>
          <w:sz w:val="18"/>
          <w:szCs w:val="18"/>
        </w:rPr>
        <w:t> </w:t>
      </w:r>
      <w:r>
        <w:rPr>
          <w:rFonts w:ascii="宋体" w:hAnsi="宋体" w:cs="宋体" w:eastAsia="宋体" w:hint="default"/>
          <w:spacing w:val="-2"/>
          <w:sz w:val="18"/>
          <w:szCs w:val="18"/>
        </w:rPr>
        <w:t>公司全资子公司中丰田依托集团优势，有序推进募投项目之一</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中丰田光电科技改扩建项目</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，不断推进信息技术与制造</w:t>
      </w:r>
    </w:p>
    <w:p>
      <w:pPr>
        <w:pStyle w:val="BodyText"/>
        <w:spacing w:line="316" w:lineRule="auto" w:before="13"/>
        <w:ind w:right="1042"/>
        <w:jc w:val="both"/>
      </w:pPr>
      <w:r>
        <w:rPr>
          <w:spacing w:val="-2"/>
        </w:rPr>
        <w:t>技术深度融合，加强自主研发水平，增强新产品开发能力，提高包装材料产品技术含量和附加值，产能不断扩充，在满足集</w:t>
      </w:r>
      <w:r>
        <w:rPr>
          <w:spacing w:val="-66"/>
        </w:rPr>
        <w:t> </w:t>
      </w:r>
      <w:r>
        <w:rPr>
          <w:spacing w:val="-66"/>
        </w:rPr>
      </w:r>
      <w:r>
        <w:rPr>
          <w:spacing w:val="-2"/>
        </w:rPr>
        <w:t>团内部镭射纸膜等包装材料供应稳定性的同时，积极拓展外延客户，实现新型防伪包装材料销量的增长，有效满足客户对产</w:t>
      </w:r>
      <w:r>
        <w:rPr>
          <w:spacing w:val="-66"/>
        </w:rPr>
        <w:t> </w:t>
      </w:r>
      <w:r>
        <w:rPr>
          <w:spacing w:val="-66"/>
        </w:rPr>
      </w:r>
      <w:r>
        <w:rPr>
          <w:spacing w:val="-4"/>
        </w:rPr>
        <w:t>品质量的要求，不断提升公司在大包装产业的竞争优势。本报告期，中丰田实现净利润</w:t>
      </w:r>
      <w:r>
        <w:rPr>
          <w:rFonts w:ascii="Times New Roman" w:hAnsi="Times New Roman" w:cs="Times New Roman" w:eastAsia="Times New Roman" w:hint="default"/>
          <w:spacing w:val="-4"/>
        </w:rPr>
        <w:t>6,899.11</w:t>
      </w:r>
      <w:r>
        <w:rPr>
          <w:spacing w:val="-4"/>
        </w:rPr>
        <w:t>万元，比上年同期增长</w:t>
      </w:r>
      <w:r>
        <w:rPr>
          <w:rFonts w:ascii="Times New Roman" w:hAnsi="Times New Roman" w:cs="Times New Roman" w:eastAsia="Times New Roman" w:hint="default"/>
          <w:spacing w:val="-4"/>
        </w:rPr>
        <w:t>7.64%</w:t>
      </w:r>
      <w:r>
        <w:rPr>
          <w:spacing w:val="-4"/>
        </w:rPr>
        <w:t>。</w:t>
      </w:r>
    </w:p>
    <w:p>
      <w:pPr>
        <w:spacing w:line="300" w:lineRule="auto" w:before="0"/>
        <w:ind w:left="514" w:right="0" w:firstLine="1"/>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5</w:t>
      </w:r>
      <w:r>
        <w:rPr>
          <w:rFonts w:ascii="宋体" w:hAnsi="宋体" w:cs="宋体" w:eastAsia="宋体" w:hint="default"/>
          <w:b/>
          <w:bCs/>
          <w:sz w:val="18"/>
          <w:szCs w:val="18"/>
        </w:rPr>
        <w:t>、增值服务持续升级，提高公司综合实力</w:t>
      </w:r>
      <w:r>
        <w:rPr>
          <w:rFonts w:ascii="宋体" w:hAnsi="宋体" w:cs="宋体" w:eastAsia="宋体" w:hint="default"/>
          <w:b/>
          <w:bCs/>
          <w:w w:val="99"/>
          <w:sz w:val="18"/>
          <w:szCs w:val="18"/>
        </w:rPr>
        <w:t> </w:t>
      </w:r>
      <w:r>
        <w:rPr>
          <w:rFonts w:ascii="宋体" w:hAnsi="宋体" w:cs="宋体" w:eastAsia="宋体" w:hint="default"/>
          <w:spacing w:val="-2"/>
          <w:sz w:val="18"/>
          <w:szCs w:val="18"/>
        </w:rPr>
        <w:t>公司依据客户需求，提供包括鉴真、防伪溯源、创意设计、互动营销等增值服务，不断延伸产业链的上下游。包装产品</w:t>
      </w:r>
    </w:p>
    <w:p>
      <w:pPr>
        <w:pStyle w:val="BodyText"/>
        <w:spacing w:line="316" w:lineRule="auto" w:before="31"/>
        <w:ind w:right="1131"/>
        <w:jc w:val="both"/>
      </w:pPr>
      <w:r>
        <w:rPr>
          <w:spacing w:val="-2"/>
        </w:rPr>
        <w:t>防伪溯源方面，公司子公司盒知科技实现基于智能包装的物联网全球鉴真溯源平台、酒企个性化定制服务两大平台贯通，与</w:t>
      </w:r>
      <w:r>
        <w:rPr>
          <w:spacing w:val="-66"/>
        </w:rPr>
        <w:t> </w:t>
      </w:r>
      <w:r>
        <w:rPr>
          <w:spacing w:val="-66"/>
        </w:rPr>
      </w:r>
      <w:r>
        <w:rPr>
          <w:spacing w:val="-2"/>
        </w:rPr>
        <w:t>蚂蚁金服区块链共同打造</w:t>
      </w:r>
      <w:r>
        <w:rPr>
          <w:rFonts w:ascii="Times New Roman" w:hAnsi="Times New Roman" w:cs="Times New Roman" w:eastAsia="Times New Roman" w:hint="default"/>
          <w:spacing w:val="-2"/>
        </w:rPr>
        <w:t>“</w:t>
      </w:r>
      <w:r>
        <w:rPr>
          <w:spacing w:val="-2"/>
        </w:rPr>
        <w:t>劲嘉区块链</w:t>
      </w:r>
      <w:r>
        <w:rPr>
          <w:rFonts w:ascii="Times New Roman" w:hAnsi="Times New Roman" w:cs="Times New Roman" w:eastAsia="Times New Roman" w:hint="default"/>
          <w:spacing w:val="-2"/>
        </w:rPr>
        <w:t>”</w:t>
      </w:r>
      <w:r>
        <w:rPr>
          <w:spacing w:val="-2"/>
        </w:rPr>
        <w:t>，形成了互联互通互用的生态型行业应用服务平台；参股子公司华大北斗助力公司有</w:t>
      </w:r>
    </w:p>
    <w:p>
      <w:pPr>
        <w:spacing w:after="0" w:line="316" w:lineRule="auto"/>
        <w:jc w:val="both"/>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6" w:lineRule="auto" w:before="44"/>
        <w:ind w:right="1131"/>
        <w:jc w:val="both"/>
      </w:pPr>
      <w:r>
        <w:rPr>
          <w:spacing w:val="-2"/>
        </w:rPr>
        <w:t>针对性的为不同的客户提供个性化定制的加密解决方案，推动大包装业务转型升级；包装产品设计创意方面，公司子公司蓝</w:t>
      </w:r>
      <w:r>
        <w:rPr>
          <w:spacing w:val="-66"/>
        </w:rPr>
        <w:t> </w:t>
      </w:r>
      <w:r>
        <w:rPr>
          <w:spacing w:val="-66"/>
        </w:rPr>
      </w:r>
      <w:r>
        <w:rPr>
          <w:spacing w:val="-2"/>
        </w:rPr>
        <w:t>莓文化作为公司独立运营的设计创意板块，不断强化设计创意、数字营销等在包装产品上的运用，提升公司软实力，推进公</w:t>
      </w:r>
      <w:r>
        <w:rPr>
          <w:spacing w:val="-66"/>
        </w:rPr>
        <w:t> </w:t>
      </w:r>
      <w:r>
        <w:rPr>
          <w:spacing w:val="-66"/>
        </w:rPr>
      </w:r>
      <w:r>
        <w:rPr/>
        <w:t>司的可持续发展。</w:t>
      </w:r>
    </w:p>
    <w:p>
      <w:pPr>
        <w:spacing w:line="300" w:lineRule="auto" w:before="19"/>
        <w:ind w:left="514" w:right="0" w:firstLine="1"/>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6</w:t>
      </w:r>
      <w:r>
        <w:rPr>
          <w:rFonts w:ascii="宋体" w:hAnsi="宋体" w:cs="宋体" w:eastAsia="宋体" w:hint="default"/>
          <w:b/>
          <w:bCs/>
          <w:sz w:val="18"/>
          <w:szCs w:val="18"/>
        </w:rPr>
        <w:t>、新型烟草布局稳健，打造利润增长点</w:t>
      </w:r>
      <w:r>
        <w:rPr>
          <w:rFonts w:ascii="宋体" w:hAnsi="宋体" w:cs="宋体" w:eastAsia="宋体" w:hint="default"/>
          <w:b/>
          <w:bCs/>
          <w:w w:val="99"/>
          <w:sz w:val="18"/>
          <w:szCs w:val="18"/>
        </w:rPr>
        <w:t> </w:t>
      </w:r>
      <w:r>
        <w:rPr>
          <w:rFonts w:ascii="宋体" w:hAnsi="宋体" w:cs="宋体" w:eastAsia="宋体" w:hint="default"/>
          <w:spacing w:val="-2"/>
          <w:sz w:val="18"/>
          <w:szCs w:val="18"/>
        </w:rPr>
        <w:t>公司密切关注新型烟草行业的发展及相关政策的动态，在生产、技术、人才等方面提前做好布局，公司子公司劲嘉科技</w:t>
      </w:r>
    </w:p>
    <w:p>
      <w:pPr>
        <w:pStyle w:val="BodyText"/>
        <w:spacing w:line="314" w:lineRule="auto" w:before="31"/>
        <w:ind w:right="0"/>
        <w:jc w:val="left"/>
      </w:pPr>
      <w:r>
        <w:rPr>
          <w:spacing w:val="-2"/>
        </w:rPr>
        <w:t>积极将其产品向烟草企业推介，目前已与云南、上海、河南、山东、广西、重庆等中烟公司展开合作；公司全资子公司深圳</w:t>
      </w:r>
      <w:r>
        <w:rPr>
          <w:spacing w:val="-72"/>
        </w:rPr>
        <w:t> </w:t>
      </w:r>
      <w:r>
        <w:rPr>
          <w:spacing w:val="-72"/>
        </w:rPr>
      </w:r>
      <w:r>
        <w:rPr>
          <w:spacing w:val="-2"/>
        </w:rPr>
        <w:t>劲嘉健康与复星集团控股子公司深圳前海复星瑞哲资产管理有限公司设立合资公司，推进新型烟草及健康科技领域优质标的</w:t>
      </w:r>
      <w:r>
        <w:rPr>
          <w:spacing w:val="-64"/>
        </w:rPr>
        <w:t> </w:t>
      </w:r>
      <w:r>
        <w:rPr>
          <w:spacing w:val="-64"/>
        </w:rPr>
      </w:r>
      <w:r>
        <w:rPr>
          <w:spacing w:val="-3"/>
        </w:rPr>
        <w:t>的投资并购；公司与北京米物科技有限公司、深圳市南桥前海创新基金合伙企业</w:t>
      </w:r>
      <w:r>
        <w:rPr>
          <w:rFonts w:ascii="Times New Roman" w:hAnsi="Times New Roman" w:cs="Times New Roman" w:eastAsia="Times New Roman" w:hint="default"/>
          <w:spacing w:val="-3"/>
        </w:rPr>
        <w:t>(</w:t>
      </w:r>
      <w:r>
        <w:rPr>
          <w:spacing w:val="-3"/>
        </w:rPr>
        <w:t>有限合伙</w:t>
      </w:r>
      <w:r>
        <w:rPr>
          <w:rFonts w:ascii="Times New Roman" w:hAnsi="Times New Roman" w:cs="Times New Roman" w:eastAsia="Times New Roman" w:hint="default"/>
          <w:spacing w:val="-3"/>
        </w:rPr>
        <w:t>)</w:t>
      </w:r>
      <w:r>
        <w:rPr>
          <w:spacing w:val="-3"/>
        </w:rPr>
        <w:t>设立合资公司，利用各方的技术、</w:t>
      </w:r>
      <w:r>
        <w:rPr>
          <w:spacing w:val="-36"/>
        </w:rPr>
        <w:t> </w:t>
      </w:r>
      <w:r>
        <w:rPr>
          <w:spacing w:val="-36"/>
        </w:rPr>
      </w:r>
      <w:r>
        <w:rPr>
          <w:spacing w:val="-2"/>
        </w:rPr>
        <w:t>资金等各方面优势，推进新型烟草制品的发展进程；公司与云南中烟工业有限责任公司签署战略合作框架协议，共同推进双</w:t>
      </w:r>
      <w:r>
        <w:rPr>
          <w:spacing w:val="-66"/>
        </w:rPr>
        <w:t> </w:t>
      </w:r>
      <w:r>
        <w:rPr>
          <w:spacing w:val="-66"/>
        </w:rPr>
      </w:r>
      <w:r>
        <w:rPr>
          <w:spacing w:val="-2"/>
        </w:rPr>
        <w:t>方在新型烟草制品领域的技术研发、产品生产及销售推广，劲嘉科技与其下属子公司深圳市华玉科技发展有限公司共同出资</w:t>
      </w:r>
      <w:r>
        <w:rPr>
          <w:spacing w:val="-64"/>
        </w:rPr>
        <w:t> </w:t>
      </w:r>
      <w:r>
        <w:rPr>
          <w:spacing w:val="-64"/>
        </w:rPr>
      </w:r>
      <w:r>
        <w:rPr/>
        <w:t>设立合资公司，实现战略合作的落地。</w:t>
      </w:r>
    </w:p>
    <w:p>
      <w:pPr>
        <w:pStyle w:val="BodyText"/>
        <w:spacing w:line="316" w:lineRule="auto" w:before="20"/>
        <w:ind w:right="0" w:firstLine="360"/>
        <w:jc w:val="left"/>
      </w:pPr>
      <w:r>
        <w:rPr>
          <w:spacing w:val="-2"/>
        </w:rPr>
        <w:t>公司在严格遵照国内外新型烟草领域的政策、法律法规及行业标准的前提下，与合作方积极把握新型烟草快速发展的良</w:t>
      </w:r>
      <w:r>
        <w:rPr/>
        <w:t> 好势头，在新型烟草领域开展深入合作，加速相关领域的探索与加大投资力度，争取打造成为公司新的利润增长点。</w:t>
      </w:r>
    </w:p>
    <w:p>
      <w:pPr>
        <w:spacing w:line="300" w:lineRule="auto" w:before="19"/>
        <w:ind w:left="51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w:t>
      </w:r>
      <w:r>
        <w:rPr>
          <w:rFonts w:ascii="宋体" w:hAnsi="宋体" w:cs="宋体" w:eastAsia="宋体" w:hint="default"/>
          <w:b/>
          <w:bCs/>
          <w:sz w:val="18"/>
          <w:szCs w:val="18"/>
        </w:rPr>
        <w:t>实施股份回购彰显信心，资本运作富有成效</w:t>
      </w:r>
      <w:r>
        <w:rPr>
          <w:rFonts w:ascii="宋体" w:hAnsi="宋体" w:cs="宋体" w:eastAsia="宋体" w:hint="default"/>
          <w:b/>
          <w:bCs/>
          <w:w w:val="99"/>
          <w:sz w:val="18"/>
          <w:szCs w:val="18"/>
        </w:rPr>
        <w:t> </w:t>
      </w:r>
      <w:r>
        <w:rPr>
          <w:rFonts w:ascii="宋体" w:hAnsi="宋体" w:cs="宋体" w:eastAsia="宋体" w:hint="default"/>
          <w:spacing w:val="-2"/>
          <w:sz w:val="18"/>
          <w:szCs w:val="18"/>
        </w:rPr>
        <w:t>基于对公司未来发展的信心，同时为维护广大投资者利益，增强投资者对公司的投资信心，公司使用自有资金累计回购</w:t>
      </w:r>
    </w:p>
    <w:p>
      <w:pPr>
        <w:pStyle w:val="BodyText"/>
        <w:spacing w:line="300" w:lineRule="auto" w:before="31"/>
        <w:ind w:right="0"/>
        <w:jc w:val="left"/>
      </w:pPr>
      <w:r>
        <w:rPr/>
        <w:t>股份</w:t>
      </w:r>
      <w:r>
        <w:rPr>
          <w:rFonts w:ascii="Times New Roman" w:hAnsi="Times New Roman" w:cs="Times New Roman" w:eastAsia="Times New Roman" w:hint="default"/>
        </w:rPr>
        <w:t>29,963,932</w:t>
      </w:r>
      <w:r>
        <w:rPr/>
        <w:t>股，占公司截止至回购完毕之日的总股本的</w:t>
      </w:r>
      <w:r>
        <w:rPr>
          <w:rFonts w:ascii="Times New Roman" w:hAnsi="Times New Roman" w:cs="Times New Roman" w:eastAsia="Times New Roman" w:hint="default"/>
        </w:rPr>
        <w:t>2.0045%</w:t>
      </w:r>
      <w:r>
        <w:rPr/>
        <w:t>，截止本报告披露之日，该部分回购股份已完成注销工</w:t>
      </w:r>
      <w:r>
        <w:rPr>
          <w:spacing w:val="-21"/>
        </w:rPr>
        <w:t> </w:t>
      </w:r>
      <w:r>
        <w:rPr>
          <w:spacing w:val="-21"/>
        </w:rPr>
      </w:r>
      <w:r>
        <w:rPr/>
        <w:t>作，有效提升公司每股收益指标。</w:t>
      </w:r>
    </w:p>
    <w:p>
      <w:pPr>
        <w:spacing w:line="340" w:lineRule="auto" w:before="31"/>
        <w:ind w:left="514" w:right="1122" w:firstLine="1"/>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8</w:t>
      </w:r>
      <w:r>
        <w:rPr>
          <w:rFonts w:ascii="宋体" w:hAnsi="宋体" w:cs="宋体" w:eastAsia="宋体" w:hint="default"/>
          <w:b/>
          <w:bCs/>
          <w:sz w:val="18"/>
          <w:szCs w:val="18"/>
        </w:rPr>
        <w:t>、技术创新引领行业，竞争优势持续积淀</w:t>
      </w:r>
      <w:r>
        <w:rPr>
          <w:rFonts w:ascii="宋体" w:hAnsi="宋体" w:cs="宋体" w:eastAsia="宋体" w:hint="default"/>
          <w:b/>
          <w:bCs/>
          <w:w w:val="99"/>
          <w:sz w:val="18"/>
          <w:szCs w:val="18"/>
        </w:rPr>
        <w:t> </w:t>
      </w:r>
      <w:r>
        <w:rPr>
          <w:rFonts w:ascii="宋体" w:hAnsi="宋体" w:cs="宋体" w:eastAsia="宋体" w:hint="default"/>
          <w:sz w:val="18"/>
          <w:szCs w:val="18"/>
        </w:rPr>
        <w:t>报告期内，公司继续发扬抓技改、求创新、增效益的优良传统，公司（含合并报表范围内子公司）新申请专利</w:t>
      </w:r>
      <w:r>
        <w:rPr>
          <w:rFonts w:ascii="Times New Roman" w:hAnsi="Times New Roman" w:cs="Times New Roman" w:eastAsia="Times New Roman" w:hint="default"/>
          <w:sz w:val="18"/>
          <w:szCs w:val="18"/>
        </w:rPr>
        <w:t>124</w:t>
      </w:r>
      <w:r>
        <w:rPr>
          <w:rFonts w:ascii="宋体" w:hAnsi="宋体" w:cs="宋体" w:eastAsia="宋体" w:hint="default"/>
          <w:sz w:val="18"/>
          <w:szCs w:val="18"/>
        </w:rPr>
        <w:t>项，</w:t>
      </w:r>
    </w:p>
    <w:p>
      <w:pPr>
        <w:pStyle w:val="BodyText"/>
        <w:spacing w:line="227" w:lineRule="exact"/>
        <w:ind w:right="0"/>
        <w:jc w:val="left"/>
      </w:pPr>
      <w:r>
        <w:rPr/>
        <w:t>其中发明专利</w:t>
      </w:r>
      <w:r>
        <w:rPr>
          <w:rFonts w:ascii="Times New Roman" w:hAnsi="Times New Roman" w:cs="Times New Roman" w:eastAsia="Times New Roman" w:hint="default"/>
        </w:rPr>
        <w:t>40</w:t>
      </w:r>
      <w:r>
        <w:rPr/>
        <w:t>项；新获得专利授权</w:t>
      </w:r>
      <w:r>
        <w:rPr>
          <w:rFonts w:ascii="Times New Roman" w:hAnsi="Times New Roman" w:cs="Times New Roman" w:eastAsia="Times New Roman" w:hint="default"/>
        </w:rPr>
        <w:t>64</w:t>
      </w:r>
      <w:r>
        <w:rPr/>
        <w:t>项，其中发明专利</w:t>
      </w:r>
      <w:r>
        <w:rPr>
          <w:rFonts w:ascii="Times New Roman" w:hAnsi="Times New Roman" w:cs="Times New Roman" w:eastAsia="Times New Roman" w:hint="default"/>
        </w:rPr>
        <w:t>12</w:t>
      </w:r>
      <w:r>
        <w:rPr/>
        <w:t>项，外观设计</w:t>
      </w:r>
      <w:r>
        <w:rPr>
          <w:rFonts w:ascii="Times New Roman" w:hAnsi="Times New Roman" w:cs="Times New Roman" w:eastAsia="Times New Roman" w:hint="default"/>
        </w:rPr>
        <w:t>3</w:t>
      </w:r>
      <w:r>
        <w:rPr/>
        <w:t>项。截至本报告期末，公司（含合并报表范围内</w:t>
      </w:r>
    </w:p>
    <w:p>
      <w:pPr>
        <w:pStyle w:val="BodyText"/>
        <w:spacing w:line="240" w:lineRule="auto" w:before="64"/>
        <w:ind w:right="0"/>
        <w:jc w:val="left"/>
      </w:pPr>
      <w:r>
        <w:rPr/>
        <w:t>子公司）已累计获得专利授权</w:t>
      </w:r>
      <w:r>
        <w:rPr>
          <w:rFonts w:ascii="Times New Roman" w:hAnsi="Times New Roman" w:cs="Times New Roman" w:eastAsia="Times New Roman" w:hint="default"/>
        </w:rPr>
        <w:t>565</w:t>
      </w:r>
      <w:r>
        <w:rPr/>
        <w:t>项，其中发明专利</w:t>
      </w:r>
      <w:r>
        <w:rPr>
          <w:rFonts w:ascii="Times New Roman" w:hAnsi="Times New Roman" w:cs="Times New Roman" w:eastAsia="Times New Roman" w:hint="default"/>
        </w:rPr>
        <w:t>93</w:t>
      </w:r>
      <w:r>
        <w:rPr/>
        <w:t>项，外观设计</w:t>
      </w:r>
      <w:r>
        <w:rPr>
          <w:rFonts w:ascii="Times New Roman" w:hAnsi="Times New Roman" w:cs="Times New Roman" w:eastAsia="Times New Roman" w:hint="default"/>
        </w:rPr>
        <w:t>6</w:t>
      </w:r>
      <w:r>
        <w:rPr/>
        <w:t>项；继续保持公司在行业中的领先地位和竞争优势。</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5"/>
          <w:szCs w:val="15"/>
        </w:rPr>
      </w:pPr>
    </w:p>
    <w:p>
      <w:pPr>
        <w:pStyle w:val="Heading2"/>
        <w:spacing w:line="240" w:lineRule="auto"/>
        <w:ind w:right="0"/>
        <w:jc w:val="left"/>
        <w:rPr>
          <w:b w:val="0"/>
          <w:bCs w:val="0"/>
        </w:rPr>
      </w:pPr>
      <w:bookmarkStart w:name="二、主营业务分析" w:id="25"/>
      <w:bookmarkEnd w:id="25"/>
      <w:r>
        <w:rPr>
          <w:b w:val="0"/>
          <w:bCs w:val="0"/>
        </w:rPr>
      </w:r>
      <w:r>
        <w:rPr/>
        <w:t>二、主营业务分析</w:t>
      </w:r>
      <w:r>
        <w:rPr>
          <w:b w:val="0"/>
          <w:bCs w:val="0"/>
        </w:rPr>
      </w:r>
    </w:p>
    <w:p>
      <w:pPr>
        <w:spacing w:line="240" w:lineRule="auto" w:before="8"/>
        <w:rPr>
          <w:rFonts w:ascii="宋体" w:hAnsi="宋体" w:cs="宋体" w:eastAsia="宋体" w:hint="default"/>
          <w:b/>
          <w:bCs/>
          <w:sz w:val="24"/>
          <w:szCs w:val="24"/>
        </w:rPr>
      </w:pPr>
    </w:p>
    <w:p>
      <w:pPr>
        <w:spacing w:line="544" w:lineRule="auto" w:before="0"/>
        <w:ind w:left="154" w:right="6472" w:firstLine="0"/>
        <w:jc w:val="left"/>
        <w:rPr>
          <w:rFonts w:ascii="宋体" w:hAnsi="宋体" w:cs="宋体" w:eastAsia="宋体" w:hint="default"/>
          <w:sz w:val="21"/>
          <w:szCs w:val="21"/>
        </w:rPr>
      </w:pPr>
      <w:bookmarkStart w:name="1、概述" w:id="26"/>
      <w:bookmarkEnd w:id="26"/>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、概述</w:t>
      </w:r>
      <w:r>
        <w:rPr>
          <w:rFonts w:ascii="宋体" w:hAnsi="宋体" w:cs="宋体" w:eastAsia="宋体" w:hint="default"/>
          <w:b/>
          <w:bCs/>
          <w:spacing w:val="1"/>
          <w:w w:val="99"/>
          <w:sz w:val="21"/>
          <w:szCs w:val="21"/>
        </w:rPr>
        <w:t> </w:t>
      </w:r>
      <w:r>
        <w:rPr>
          <w:rFonts w:ascii="宋体" w:hAnsi="宋体" w:cs="宋体" w:eastAsia="宋体" w:hint="default"/>
          <w:sz w:val="18"/>
          <w:szCs w:val="18"/>
        </w:rPr>
        <w:t>参见</w:t>
      </w:r>
      <w:r>
        <w:rPr>
          <w:rFonts w:ascii="Times New Roman" w:hAnsi="Times New Roman" w:cs="Times New Roman" w:eastAsia="Times New Roman" w:hint="default"/>
          <w:sz w:val="18"/>
          <w:szCs w:val="18"/>
        </w:rPr>
        <w:t>“</w:t>
      </w:r>
      <w:r>
        <w:rPr>
          <w:rFonts w:ascii="宋体" w:hAnsi="宋体" w:cs="宋体" w:eastAsia="宋体" w:hint="default"/>
          <w:sz w:val="18"/>
          <w:szCs w:val="18"/>
        </w:rPr>
        <w:t>经营情况讨论与分析</w:t>
      </w:r>
      <w:r>
        <w:rPr>
          <w:rFonts w:ascii="Times New Roman" w:hAnsi="Times New Roman" w:cs="Times New Roman" w:eastAsia="Times New Roman" w:hint="default"/>
          <w:sz w:val="18"/>
          <w:szCs w:val="18"/>
        </w:rPr>
        <w:t>”</w:t>
      </w:r>
      <w:r>
        <w:rPr>
          <w:rFonts w:ascii="宋体" w:hAnsi="宋体" w:cs="宋体" w:eastAsia="宋体" w:hint="default"/>
          <w:sz w:val="18"/>
          <w:szCs w:val="18"/>
        </w:rPr>
        <w:t>中的</w:t>
      </w:r>
      <w:r>
        <w:rPr>
          <w:rFonts w:ascii="Times New Roman" w:hAnsi="Times New Roman" w:cs="Times New Roman" w:eastAsia="Times New Roman" w:hint="default"/>
          <w:sz w:val="18"/>
          <w:szCs w:val="18"/>
        </w:rPr>
        <w:t>“</w:t>
      </w:r>
      <w:r>
        <w:rPr>
          <w:rFonts w:ascii="宋体" w:hAnsi="宋体" w:cs="宋体" w:eastAsia="宋体" w:hint="default"/>
          <w:sz w:val="18"/>
          <w:szCs w:val="18"/>
        </w:rPr>
        <w:t>一、概述</w:t>
      </w:r>
      <w:r>
        <w:rPr>
          <w:rFonts w:ascii="Times New Roman" w:hAnsi="Times New Roman" w:cs="Times New Roman" w:eastAsia="Times New Roman" w:hint="default"/>
          <w:sz w:val="18"/>
          <w:szCs w:val="18"/>
        </w:rPr>
        <w:t>”</w:t>
      </w:r>
      <w:r>
        <w:rPr>
          <w:rFonts w:ascii="宋体" w:hAnsi="宋体" w:cs="宋体" w:eastAsia="宋体" w:hint="default"/>
          <w:sz w:val="18"/>
          <w:szCs w:val="18"/>
        </w:rPr>
        <w:t>相关内容。 </w:t>
      </w:r>
      <w:bookmarkStart w:name="2、收入与成本" w:id="27"/>
      <w:bookmarkEnd w:id="27"/>
      <w:r>
        <w:rPr>
          <w:rFonts w:ascii="宋体" w:hAnsi="宋体" w:cs="宋体" w:eastAsia="宋体" w:hint="default"/>
          <w:sz w:val="18"/>
          <w:szCs w:val="18"/>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、收入与成本</w:t>
      </w:r>
      <w:r>
        <w:rPr>
          <w:rFonts w:ascii="宋体" w:hAnsi="宋体" w:cs="宋体" w:eastAsia="宋体" w:hint="default"/>
          <w:sz w:val="21"/>
          <w:szCs w:val="21"/>
        </w:rPr>
      </w:r>
    </w:p>
    <w:p>
      <w:pPr>
        <w:pStyle w:val="Heading3"/>
        <w:spacing w:line="240" w:lineRule="auto" w:before="28"/>
        <w:ind w:right="0"/>
        <w:jc w:val="left"/>
        <w:rPr>
          <w:b w:val="0"/>
          <w:bCs w:val="0"/>
        </w:rPr>
      </w:pPr>
      <w:bookmarkStart w:name="（1）营业收入构成" w:id="28"/>
      <w:bookmarkEnd w:id="28"/>
      <w:r>
        <w:rPr>
          <w:b w:val="0"/>
          <w:bCs w:val="0"/>
        </w:rPr>
      </w:r>
      <w:r>
        <w:rPr/>
        <w:t>（</w:t>
      </w:r>
      <w:r>
        <w:rPr>
          <w:rFonts w:ascii="Times New Roman" w:hAnsi="Times New Roman" w:cs="Times New Roman" w:eastAsia="Times New Roman" w:hint="default"/>
        </w:rPr>
        <w:t>1</w:t>
      </w:r>
      <w:r>
        <w:rPr/>
        <w:t>）营业收入构成</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596"/>
        <w:gridCol w:w="1600"/>
        <w:gridCol w:w="1589"/>
        <w:gridCol w:w="1600"/>
        <w:gridCol w:w="1583"/>
        <w:gridCol w:w="1601"/>
      </w:tblGrid>
      <w:tr>
        <w:trPr>
          <w:trHeight w:val="206" w:hRule="exact"/>
        </w:trPr>
        <w:tc>
          <w:tcPr>
            <w:tcW w:w="1596" w:type="dxa"/>
            <w:tcBorders>
              <w:top w:val="single" w:sz="4" w:space="0" w:color="000000"/>
              <w:left w:val="single" w:sz="4" w:space="0" w:color="000000"/>
              <w:bottom w:val="nil" w:sz="6" w:space="0" w:color="auto"/>
              <w:right w:val="single" w:sz="4" w:space="0" w:color="000000"/>
            </w:tcBorders>
            <w:shd w:val="clear" w:color="auto" w:fill="D2D2D2"/>
          </w:tcPr>
          <w:p>
            <w:pPr/>
          </w:p>
        </w:tc>
        <w:tc>
          <w:tcPr>
            <w:tcW w:w="318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8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01"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6" w:hRule="exact"/>
        </w:trPr>
        <w:tc>
          <w:tcPr>
            <w:tcW w:w="1596" w:type="dxa"/>
            <w:vMerge w:val="restart"/>
            <w:tcBorders>
              <w:top w:val="nil" w:sz="6" w:space="0" w:color="auto"/>
              <w:left w:val="single" w:sz="4" w:space="0" w:color="000000"/>
              <w:right w:val="single" w:sz="4" w:space="0" w:color="000000"/>
            </w:tcBorders>
            <w:shd w:val="clear" w:color="auto" w:fill="D2D2D2"/>
          </w:tcPr>
          <w:p>
            <w:pPr/>
          </w:p>
        </w:tc>
        <w:tc>
          <w:tcPr>
            <w:tcW w:w="3188" w:type="dxa"/>
            <w:gridSpan w:val="2"/>
            <w:vMerge/>
            <w:tcBorders>
              <w:left w:val="single" w:sz="4" w:space="0" w:color="000000"/>
              <w:bottom w:val="single" w:sz="4" w:space="0" w:color="000000"/>
              <w:right w:val="single" w:sz="4" w:space="0" w:color="000000"/>
            </w:tcBorders>
            <w:shd w:val="clear" w:color="auto" w:fill="D2D2D2"/>
          </w:tcPr>
          <w:p>
            <w:pPr/>
          </w:p>
        </w:tc>
        <w:tc>
          <w:tcPr>
            <w:tcW w:w="3182" w:type="dxa"/>
            <w:gridSpan w:val="2"/>
            <w:vMerge/>
            <w:tcBorders>
              <w:left w:val="single" w:sz="4" w:space="0" w:color="000000"/>
              <w:bottom w:val="single" w:sz="4" w:space="0" w:color="000000"/>
              <w:right w:val="single" w:sz="4" w:space="0" w:color="000000"/>
            </w:tcBorders>
            <w:shd w:val="clear" w:color="auto" w:fill="D2D2D2"/>
          </w:tcPr>
          <w:p>
            <w:pPr/>
          </w:p>
        </w:tc>
        <w:tc>
          <w:tcPr>
            <w:tcW w:w="160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438"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196" w:hRule="exact"/>
        </w:trPr>
        <w:tc>
          <w:tcPr>
            <w:tcW w:w="1596" w:type="dxa"/>
            <w:vMerge/>
            <w:tcBorders>
              <w:left w:val="single" w:sz="4" w:space="0" w:color="000000"/>
              <w:bottom w:val="nil" w:sz="6" w:space="0" w:color="auto"/>
              <w:right w:val="single" w:sz="4" w:space="0" w:color="000000"/>
            </w:tcBorders>
            <w:shd w:val="clear" w:color="auto" w:fill="D2D2D2"/>
          </w:tcPr>
          <w:p>
            <w:pPr/>
          </w:p>
        </w:tc>
        <w:tc>
          <w:tcPr>
            <w:tcW w:w="160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5"/>
              <w:jc w:val="center"/>
              <w:rPr>
                <w:rFonts w:ascii="宋体" w:hAnsi="宋体" w:cs="宋体" w:eastAsia="宋体" w:hint="default"/>
                <w:sz w:val="18"/>
                <w:szCs w:val="18"/>
              </w:rPr>
            </w:pPr>
            <w:r>
              <w:rPr>
                <w:rFonts w:ascii="宋体" w:hAnsi="宋体" w:cs="宋体" w:eastAsia="宋体" w:hint="default"/>
                <w:sz w:val="18"/>
                <w:szCs w:val="18"/>
              </w:rPr>
              <w:t>金额</w:t>
            </w:r>
          </w:p>
        </w:tc>
        <w:tc>
          <w:tcPr>
            <w:tcW w:w="158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57"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60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3"/>
              <w:jc w:val="center"/>
              <w:rPr>
                <w:rFonts w:ascii="宋体" w:hAnsi="宋体" w:cs="宋体" w:eastAsia="宋体" w:hint="default"/>
                <w:sz w:val="18"/>
                <w:szCs w:val="18"/>
              </w:rPr>
            </w:pPr>
            <w:r>
              <w:rPr>
                <w:rFonts w:ascii="宋体" w:hAnsi="宋体" w:cs="宋体" w:eastAsia="宋体" w:hint="default"/>
                <w:sz w:val="18"/>
                <w:szCs w:val="18"/>
              </w:rPr>
              <w:t>金额</w:t>
            </w:r>
          </w:p>
        </w:tc>
        <w:tc>
          <w:tcPr>
            <w:tcW w:w="158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56"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601" w:type="dxa"/>
            <w:vMerge/>
            <w:tcBorders>
              <w:left w:val="single" w:sz="4" w:space="0" w:color="000000"/>
              <w:bottom w:val="nil" w:sz="6" w:space="0" w:color="auto"/>
              <w:right w:val="single" w:sz="4" w:space="0" w:color="000000"/>
            </w:tcBorders>
            <w:shd w:val="clear" w:color="auto" w:fill="D2D2D2"/>
          </w:tcPr>
          <w:p>
            <w:pPr/>
          </w:p>
        </w:tc>
      </w:tr>
      <w:tr>
        <w:trPr>
          <w:trHeight w:val="205" w:hRule="exact"/>
        </w:trPr>
        <w:tc>
          <w:tcPr>
            <w:tcW w:w="15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600" w:type="dxa"/>
            <w:vMerge/>
            <w:tcBorders>
              <w:left w:val="single" w:sz="4" w:space="0" w:color="000000"/>
              <w:bottom w:val="single" w:sz="4" w:space="0" w:color="000000"/>
              <w:right w:val="single" w:sz="4" w:space="0" w:color="000000"/>
            </w:tcBorders>
            <w:shd w:val="clear" w:color="auto" w:fill="D2D2D2"/>
          </w:tcPr>
          <w:p>
            <w:pPr/>
          </w:p>
        </w:tc>
        <w:tc>
          <w:tcPr>
            <w:tcW w:w="1589" w:type="dxa"/>
            <w:vMerge/>
            <w:tcBorders>
              <w:left w:val="single" w:sz="4" w:space="0" w:color="000000"/>
              <w:bottom w:val="single" w:sz="4" w:space="0" w:color="000000"/>
              <w:right w:val="single" w:sz="4" w:space="0" w:color="000000"/>
            </w:tcBorders>
            <w:shd w:val="clear" w:color="auto" w:fill="D2D2D2"/>
          </w:tcPr>
          <w:p>
            <w:pPr/>
          </w:p>
        </w:tc>
        <w:tc>
          <w:tcPr>
            <w:tcW w:w="1600" w:type="dxa"/>
            <w:vMerge/>
            <w:tcBorders>
              <w:left w:val="single" w:sz="4" w:space="0" w:color="000000"/>
              <w:bottom w:val="single" w:sz="4" w:space="0" w:color="000000"/>
              <w:right w:val="single" w:sz="4" w:space="0" w:color="000000"/>
            </w:tcBorders>
            <w:shd w:val="clear" w:color="auto" w:fill="D2D2D2"/>
          </w:tcPr>
          <w:p>
            <w:pPr/>
          </w:p>
        </w:tc>
        <w:tc>
          <w:tcPr>
            <w:tcW w:w="1583" w:type="dxa"/>
            <w:vMerge/>
            <w:tcBorders>
              <w:left w:val="single" w:sz="4" w:space="0" w:color="000000"/>
              <w:bottom w:val="single" w:sz="4" w:space="0" w:color="000000"/>
              <w:right w:val="single" w:sz="4" w:space="0" w:color="000000"/>
            </w:tcBorders>
            <w:shd w:val="clear" w:color="auto" w:fill="D2D2D2"/>
          </w:tcPr>
          <w:p>
            <w:pPr/>
          </w:p>
        </w:tc>
        <w:tc>
          <w:tcPr>
            <w:tcW w:w="1601"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8"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营业收入合计</w:t>
            </w:r>
          </w:p>
        </w:tc>
        <w:tc>
          <w:tcPr>
            <w:tcW w:w="1600" w:type="dxa"/>
            <w:tcBorders>
              <w:top w:val="single" w:sz="4" w:space="0" w:color="000000"/>
              <w:left w:val="single" w:sz="13" w:space="0" w:color="D2D2D2"/>
              <w:bottom w:val="single" w:sz="4" w:space="0" w:color="000000"/>
              <w:right w:val="single" w:sz="10" w:space="0" w:color="D2D2D2"/>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3,374,004,791.26</w:t>
            </w:r>
          </w:p>
        </w:tc>
        <w:tc>
          <w:tcPr>
            <w:tcW w:w="15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1600" w:type="dxa"/>
            <w:tcBorders>
              <w:top w:val="single" w:sz="4" w:space="0" w:color="000000"/>
              <w:left w:val="single" w:sz="13" w:space="0" w:color="D2D2D2"/>
              <w:bottom w:val="single" w:sz="4" w:space="0" w:color="000000"/>
              <w:right w:val="single" w:sz="9" w:space="0" w:color="D2D2D2"/>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2,945,293,524.27</w:t>
            </w:r>
          </w:p>
        </w:tc>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5"/>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16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14.56%</w:t>
            </w:r>
          </w:p>
        </w:tc>
      </w:tr>
      <w:tr>
        <w:trPr>
          <w:trHeight w:val="396"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包装印刷</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7"/>
              <w:jc w:val="right"/>
              <w:rPr>
                <w:rFonts w:ascii="Times New Roman" w:hAnsi="Times New Roman" w:cs="Times New Roman" w:eastAsia="Times New Roman" w:hint="default"/>
                <w:sz w:val="18"/>
                <w:szCs w:val="18"/>
              </w:rPr>
            </w:pPr>
            <w:r>
              <w:rPr>
                <w:rFonts w:ascii="Times New Roman"/>
                <w:spacing w:val="-1"/>
                <w:sz w:val="18"/>
              </w:rPr>
              <w:t>3,074,825,992.84</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91.13%</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7"/>
              <w:jc w:val="right"/>
              <w:rPr>
                <w:rFonts w:ascii="Times New Roman" w:hAnsi="Times New Roman" w:cs="Times New Roman" w:eastAsia="Times New Roman" w:hint="default"/>
                <w:sz w:val="18"/>
                <w:szCs w:val="18"/>
              </w:rPr>
            </w:pPr>
            <w:r>
              <w:rPr>
                <w:rFonts w:ascii="Times New Roman"/>
                <w:spacing w:val="-1"/>
                <w:sz w:val="18"/>
              </w:rPr>
              <w:t>2,690,855,033.20</w:t>
            </w:r>
          </w:p>
        </w:tc>
        <w:tc>
          <w:tcPr>
            <w:tcW w:w="1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4"/>
              <w:jc w:val="right"/>
              <w:rPr>
                <w:rFonts w:ascii="Times New Roman" w:hAnsi="Times New Roman" w:cs="Times New Roman" w:eastAsia="Times New Roman" w:hint="default"/>
                <w:sz w:val="18"/>
                <w:szCs w:val="18"/>
              </w:rPr>
            </w:pPr>
            <w:r>
              <w:rPr>
                <w:rFonts w:ascii="Times New Roman"/>
                <w:sz w:val="18"/>
              </w:rPr>
              <w:t>91.36%</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14.27%</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镭射包装材料</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6"/>
              <w:jc w:val="right"/>
              <w:rPr>
                <w:rFonts w:ascii="Times New Roman" w:hAnsi="Times New Roman" w:cs="Times New Roman" w:eastAsia="Times New Roman" w:hint="default"/>
                <w:sz w:val="18"/>
                <w:szCs w:val="18"/>
              </w:rPr>
            </w:pPr>
            <w:r>
              <w:rPr>
                <w:rFonts w:ascii="Times New Roman"/>
                <w:spacing w:val="-1"/>
                <w:sz w:val="18"/>
              </w:rPr>
              <w:t>608,456,923.43</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18.03%</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6"/>
              <w:jc w:val="right"/>
              <w:rPr>
                <w:rFonts w:ascii="Times New Roman" w:hAnsi="Times New Roman" w:cs="Times New Roman" w:eastAsia="Times New Roman" w:hint="default"/>
                <w:sz w:val="18"/>
                <w:szCs w:val="18"/>
              </w:rPr>
            </w:pPr>
            <w:r>
              <w:rPr>
                <w:rFonts w:ascii="Times New Roman"/>
                <w:spacing w:val="-1"/>
                <w:sz w:val="18"/>
              </w:rPr>
              <w:t>581,583,694.56</w:t>
            </w:r>
          </w:p>
        </w:tc>
        <w:tc>
          <w:tcPr>
            <w:tcW w:w="1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4"/>
              <w:jc w:val="right"/>
              <w:rPr>
                <w:rFonts w:ascii="Times New Roman" w:hAnsi="Times New Roman" w:cs="Times New Roman" w:eastAsia="Times New Roman" w:hint="default"/>
                <w:sz w:val="18"/>
                <w:szCs w:val="18"/>
              </w:rPr>
            </w:pPr>
            <w:r>
              <w:rPr>
                <w:rFonts w:ascii="Times New Roman"/>
                <w:sz w:val="18"/>
              </w:rPr>
              <w:t>19.75%</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4.62%</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物业管理</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6"/>
              <w:jc w:val="right"/>
              <w:rPr>
                <w:rFonts w:ascii="Times New Roman" w:hAnsi="Times New Roman" w:cs="Times New Roman" w:eastAsia="Times New Roman" w:hint="default"/>
                <w:sz w:val="18"/>
                <w:szCs w:val="18"/>
              </w:rPr>
            </w:pPr>
            <w:r>
              <w:rPr>
                <w:rFonts w:ascii="Times New Roman"/>
                <w:spacing w:val="-1"/>
                <w:sz w:val="18"/>
              </w:rPr>
              <w:t>12,718,294.55</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0.38%</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6"/>
              <w:jc w:val="right"/>
              <w:rPr>
                <w:rFonts w:ascii="Times New Roman" w:hAnsi="Times New Roman" w:cs="Times New Roman" w:eastAsia="Times New Roman" w:hint="default"/>
                <w:sz w:val="18"/>
                <w:szCs w:val="18"/>
              </w:rPr>
            </w:pPr>
            <w:r>
              <w:rPr>
                <w:rFonts w:ascii="Times New Roman"/>
                <w:spacing w:val="-1"/>
                <w:sz w:val="18"/>
              </w:rPr>
              <w:t>12,771,728.69</w:t>
            </w:r>
          </w:p>
        </w:tc>
        <w:tc>
          <w:tcPr>
            <w:tcW w:w="1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4"/>
              <w:jc w:val="right"/>
              <w:rPr>
                <w:rFonts w:ascii="Times New Roman" w:hAnsi="Times New Roman" w:cs="Times New Roman" w:eastAsia="Times New Roman" w:hint="default"/>
                <w:sz w:val="18"/>
                <w:szCs w:val="18"/>
              </w:rPr>
            </w:pPr>
            <w:r>
              <w:rPr>
                <w:rFonts w:ascii="Times New Roman"/>
                <w:sz w:val="18"/>
              </w:rPr>
              <w:t>0.43%</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-0.42%</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其他行业</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6"/>
              <w:jc w:val="right"/>
              <w:rPr>
                <w:rFonts w:ascii="Times New Roman" w:hAnsi="Times New Roman" w:cs="Times New Roman" w:eastAsia="Times New Roman" w:hint="default"/>
                <w:sz w:val="18"/>
                <w:szCs w:val="18"/>
              </w:rPr>
            </w:pPr>
            <w:r>
              <w:rPr>
                <w:rFonts w:ascii="Times New Roman"/>
                <w:spacing w:val="-1"/>
                <w:sz w:val="18"/>
              </w:rPr>
              <w:t>354,230,056.25</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10.50%</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6"/>
              <w:jc w:val="right"/>
              <w:rPr>
                <w:rFonts w:ascii="Times New Roman" w:hAnsi="Times New Roman" w:cs="Times New Roman" w:eastAsia="Times New Roman" w:hint="default"/>
                <w:sz w:val="18"/>
                <w:szCs w:val="18"/>
              </w:rPr>
            </w:pPr>
            <w:r>
              <w:rPr>
                <w:rFonts w:ascii="Times New Roman"/>
                <w:spacing w:val="-1"/>
                <w:sz w:val="18"/>
              </w:rPr>
              <w:t>278,134,885.00</w:t>
            </w:r>
          </w:p>
        </w:tc>
        <w:tc>
          <w:tcPr>
            <w:tcW w:w="1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4"/>
              <w:jc w:val="right"/>
              <w:rPr>
                <w:rFonts w:ascii="Times New Roman" w:hAnsi="Times New Roman" w:cs="Times New Roman" w:eastAsia="Times New Roman" w:hint="default"/>
                <w:sz w:val="18"/>
                <w:szCs w:val="18"/>
              </w:rPr>
            </w:pPr>
            <w:r>
              <w:rPr>
                <w:rFonts w:ascii="Times New Roman"/>
                <w:sz w:val="18"/>
              </w:rPr>
              <w:t>9.44%</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27.36%</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行业之间抵消</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-676,226,475.81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-618,051,817.18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-20.98%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9.41%</w:t>
            </w:r>
          </w:p>
        </w:tc>
      </w:tr>
      <w:tr>
        <w:trPr>
          <w:trHeight w:val="402"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烟标</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2,566,315,859.21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76.06%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2,375,023,556.03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80.64%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8.05%</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镭射包装材料</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608,456,923.43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18.03%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581,583,694.56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19.75%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4.62%</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彩盒</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446,351,946.54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13.23%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267,130,747.00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9.07%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67.09%</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其他产品</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429,106,537.89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12.72%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339,607,343.86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11.53%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26.35%</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产品之间抵消</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-676,226,475.81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-618,051,817.18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-20.98%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9.41%</w:t>
            </w:r>
          </w:p>
        </w:tc>
      </w:tr>
      <w:tr>
        <w:trPr>
          <w:trHeight w:val="402"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华东地区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1,595,138,342.75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47.28%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1,346,687,702.69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45.72%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18.45%</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华南地区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280,028,454.33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8.30%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274,922,163.43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9.33%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1.86%</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西南地区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947,315,937.61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28.08%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871,482,246.97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29.59%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8.70%</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551,522,056.57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16.35%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452,201,411.18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15.35%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21.96%</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占公司营业收入或营业利润10%以上的行业、产品或地区情况" w:id="29"/>
      <w:bookmarkEnd w:id="29"/>
      <w:r>
        <w:rPr>
          <w:b w:val="0"/>
          <w:bCs w:val="0"/>
        </w:rPr>
      </w:r>
      <w:r>
        <w:rPr/>
        <w:t>（</w:t>
      </w:r>
      <w:r>
        <w:rPr>
          <w:rFonts w:ascii="Times New Roman" w:hAnsi="Times New Roman" w:cs="Times New Roman" w:eastAsia="Times New Roman" w:hint="default"/>
        </w:rPr>
        <w:t>2</w:t>
      </w:r>
      <w:r>
        <w:rPr/>
        <w:t>）占公司营业收入或营业利润</w:t>
      </w:r>
      <w:r>
        <w:rPr>
          <w:spacing w:val="-59"/>
        </w:rPr>
        <w:t> </w:t>
      </w:r>
      <w:r>
        <w:rPr>
          <w:rFonts w:ascii="Times New Roman" w:hAnsi="Times New Roman" w:cs="Times New Roman" w:eastAsia="Times New Roman" w:hint="default"/>
        </w:rPr>
        <w:t>10%</w:t>
      </w:r>
      <w:r>
        <w:rPr/>
        <w:t>以上的行业、产品或地区情况</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980" w:right="0"/>
        </w:sectPr>
      </w:pPr>
    </w:p>
    <w:p>
      <w:pPr>
        <w:pStyle w:val="BodyText"/>
        <w:spacing w:line="348" w:lineRule="auto" w:before="44"/>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公司是否需要遵守特殊行业的披露要求 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58"/>
        <w:ind w:left="153" w:right="0"/>
        <w:jc w:val="left"/>
      </w:pPr>
      <w:r>
        <w:rPr/>
        <w:t>单位：元</w:t>
      </w:r>
    </w:p>
    <w:p>
      <w:pPr>
        <w:spacing w:after="0" w:line="240" w:lineRule="auto"/>
        <w:jc w:val="left"/>
        <w:sectPr>
          <w:type w:val="continuous"/>
          <w:pgSz w:w="11910" w:h="16840"/>
          <w:pgMar w:top="1060" w:bottom="1160" w:left="980" w:right="0"/>
          <w:cols w:num="2" w:equalWidth="0">
            <w:col w:w="3215" w:space="5705"/>
            <w:col w:w="2010"/>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7"/>
        <w:gridCol w:w="1366"/>
        <w:gridCol w:w="1367"/>
        <w:gridCol w:w="1367"/>
        <w:gridCol w:w="1367"/>
        <w:gridCol w:w="1372"/>
      </w:tblGrid>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17" w:right="47" w:hanging="270"/>
              <w:jc w:val="left"/>
              <w:rPr>
                <w:rFonts w:ascii="宋体" w:hAnsi="宋体" w:cs="宋体" w:eastAsia="宋体" w:hint="default"/>
                <w:sz w:val="18"/>
                <w:szCs w:val="18"/>
              </w:rPr>
            </w:pPr>
            <w:r>
              <w:rPr>
                <w:rFonts w:ascii="宋体" w:hAnsi="宋体" w:cs="宋体" w:eastAsia="宋体" w:hint="default"/>
                <w:sz w:val="18"/>
                <w:szCs w:val="18"/>
              </w:rPr>
              <w:t>营业收入比上年 同期增减</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18" w:right="47" w:hanging="271"/>
              <w:jc w:val="left"/>
              <w:rPr>
                <w:rFonts w:ascii="宋体" w:hAnsi="宋体" w:cs="宋体" w:eastAsia="宋体" w:hint="default"/>
                <w:sz w:val="18"/>
                <w:szCs w:val="18"/>
              </w:rPr>
            </w:pPr>
            <w:r>
              <w:rPr>
                <w:rFonts w:ascii="宋体" w:hAnsi="宋体" w:cs="宋体" w:eastAsia="宋体" w:hint="default"/>
                <w:sz w:val="18"/>
                <w:szCs w:val="18"/>
              </w:rPr>
              <w:t>营业成本比上年 同期增减</w:t>
            </w:r>
          </w:p>
        </w:tc>
        <w:tc>
          <w:tcPr>
            <w:tcW w:w="1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11" w:right="48" w:hanging="360"/>
              <w:jc w:val="left"/>
              <w:rPr>
                <w:rFonts w:ascii="宋体" w:hAnsi="宋体" w:cs="宋体" w:eastAsia="宋体" w:hint="default"/>
                <w:sz w:val="18"/>
                <w:szCs w:val="18"/>
              </w:rPr>
            </w:pPr>
            <w:r>
              <w:rPr>
                <w:rFonts w:ascii="宋体" w:hAnsi="宋体" w:cs="宋体" w:eastAsia="宋体" w:hint="default"/>
                <w:sz w:val="18"/>
                <w:szCs w:val="18"/>
              </w:rPr>
              <w:t>毛利率比上年同 期增减</w:t>
            </w:r>
          </w:p>
        </w:tc>
      </w:tr>
      <w:tr>
        <w:trPr>
          <w:trHeight w:val="402"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包装印刷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3,074,825,992.84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1,803,696,512.54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41.34%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14.27%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15.30%</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-0.53%</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镭射包装材料</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608,456,923.43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467,617,842.47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23.15%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4.62%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4.54%</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0.06%</w:t>
            </w:r>
          </w:p>
        </w:tc>
      </w:tr>
      <w:tr>
        <w:trPr>
          <w:trHeight w:val="402"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烟标</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2,566,315,859.21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1,409,840,879.80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45.06%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8.05%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7.80%</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0.13%</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镭射包装材料</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608,456,923.43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467,617,842.47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23.15%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4.62%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4.54%</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0.06%</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彩盒</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446,351,946.54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341,363,363.66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23.52%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67.09%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56.19%</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5.34%</w:t>
            </w:r>
          </w:p>
        </w:tc>
      </w:tr>
      <w:tr>
        <w:trPr>
          <w:trHeight w:val="402"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华东地区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1,595,138,342.75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839,261,442.38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47.39%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18.45%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23.28%</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-2.06%</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西南地区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947,315,937.61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546,362,202.33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42.33%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8.70%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9.54%</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-0.44%</w:t>
            </w:r>
          </w:p>
        </w:tc>
      </w:tr>
    </w:tbl>
    <w:p>
      <w:pPr>
        <w:pStyle w:val="BodyText"/>
        <w:spacing w:line="240" w:lineRule="auto" w:before="51"/>
        <w:ind w:right="0"/>
        <w:jc w:val="left"/>
      </w:pPr>
      <w:r>
        <w:rPr/>
        <w:t>公司主营业务数据统计口径在报告期发生调整的情况下，公司最近</w:t>
      </w:r>
      <w:r>
        <w:rPr>
          <w:spacing w:val="-45"/>
        </w:rPr>
        <w:t> </w:t>
      </w:r>
      <w:r>
        <w:rPr>
          <w:rFonts w:ascii="Times New Roman" w:hAnsi="Times New Roman" w:cs="Times New Roman" w:eastAsia="Times New Roman" w:hint="default"/>
        </w:rPr>
        <w:t>1 </w:t>
      </w:r>
      <w:r>
        <w:rPr/>
        <w:t>年按报告期末口径调整后的主营业务数据</w:t>
      </w:r>
    </w:p>
    <w:p>
      <w:pPr>
        <w:pStyle w:val="BodyText"/>
        <w:spacing w:line="240" w:lineRule="auto" w:before="103"/>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3）公司实物销售收入是否大于劳务收入" w:id="30"/>
      <w:bookmarkEnd w:id="30"/>
      <w:r>
        <w:rPr>
          <w:b w:val="0"/>
          <w:bCs w:val="0"/>
        </w:rPr>
      </w:r>
      <w:r>
        <w:rPr/>
        <w:t>（</w:t>
      </w:r>
      <w:r>
        <w:rPr>
          <w:rFonts w:ascii="Times New Roman" w:hAnsi="Times New Roman" w:cs="Times New Roman" w:eastAsia="Times New Roman" w:hint="default"/>
        </w:rPr>
        <w:t>3</w:t>
      </w:r>
      <w:r>
        <w:rPr/>
        <w:t>）公司实物销售收入是否大于劳务收入</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after="0" w:line="240" w:lineRule="auto"/>
        <w:jc w:val="left"/>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608"/>
        <w:gridCol w:w="1571"/>
        <w:gridCol w:w="1607"/>
        <w:gridCol w:w="1594"/>
        <w:gridCol w:w="1594"/>
        <w:gridCol w:w="1595"/>
      </w:tblGrid>
      <w:tr>
        <w:trPr>
          <w:trHeight w:val="402" w:hRule="exact"/>
        </w:trPr>
        <w:tc>
          <w:tcPr>
            <w:tcW w:w="16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单位</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608" w:type="dxa"/>
            <w:vMerge w:val="restart"/>
            <w:tcBorders>
              <w:top w:val="single" w:sz="4" w:space="0" w:color="000000"/>
              <w:left w:val="single" w:sz="4" w:space="0" w:color="000000"/>
              <w:right w:val="single" w:sz="13"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烟标印刷</w:t>
            </w: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6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万大箱</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353.07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7.97%</w:t>
            </w:r>
          </w:p>
        </w:tc>
      </w:tr>
      <w:tr>
        <w:trPr>
          <w:trHeight w:val="402" w:hRule="exact"/>
        </w:trPr>
        <w:tc>
          <w:tcPr>
            <w:tcW w:w="1608" w:type="dxa"/>
            <w:vMerge/>
            <w:tcBorders>
              <w:left w:val="single" w:sz="4" w:space="0" w:color="000000"/>
              <w:right w:val="single" w:sz="13" w:space="0" w:color="D2D2D2"/>
            </w:tcBorders>
          </w:tcPr>
          <w:p>
            <w:pP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生产量</w:t>
            </w:r>
          </w:p>
        </w:tc>
        <w:tc>
          <w:tcPr>
            <w:tcW w:w="16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万大箱</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339.65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334.38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1.58%</w:t>
            </w:r>
          </w:p>
        </w:tc>
      </w:tr>
      <w:tr>
        <w:trPr>
          <w:trHeight w:val="402" w:hRule="exact"/>
        </w:trPr>
        <w:tc>
          <w:tcPr>
            <w:tcW w:w="1608" w:type="dxa"/>
            <w:vMerge/>
            <w:tcBorders>
              <w:left w:val="single" w:sz="4" w:space="0" w:color="000000"/>
              <w:bottom w:val="single" w:sz="4" w:space="0" w:color="000000"/>
              <w:right w:val="single" w:sz="13" w:space="0" w:color="D2D2D2"/>
            </w:tcBorders>
          </w:tcPr>
          <w:p>
            <w:pP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库存量</w:t>
            </w:r>
          </w:p>
        </w:tc>
        <w:tc>
          <w:tcPr>
            <w:tcW w:w="16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万大箱</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83.22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96.63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-13.88%</w:t>
            </w:r>
          </w:p>
        </w:tc>
      </w:tr>
      <w:tr>
        <w:trPr>
          <w:trHeight w:val="402" w:hRule="exact"/>
        </w:trPr>
        <w:tc>
          <w:tcPr>
            <w:tcW w:w="1608" w:type="dxa"/>
            <w:vMerge w:val="restart"/>
            <w:tcBorders>
              <w:top w:val="single" w:sz="4" w:space="0" w:color="000000"/>
              <w:left w:val="single" w:sz="4" w:space="0" w:color="000000"/>
              <w:right w:val="single" w:sz="13"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镭射膜</w:t>
            </w: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6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万平方米</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10,622.94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12,386.12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-14.24%</w:t>
            </w:r>
          </w:p>
        </w:tc>
      </w:tr>
      <w:tr>
        <w:trPr>
          <w:trHeight w:val="402" w:hRule="exact"/>
        </w:trPr>
        <w:tc>
          <w:tcPr>
            <w:tcW w:w="1608" w:type="dxa"/>
            <w:vMerge/>
            <w:tcBorders>
              <w:left w:val="single" w:sz="4" w:space="0" w:color="000000"/>
              <w:right w:val="single" w:sz="13" w:space="0" w:color="D2D2D2"/>
            </w:tcBorders>
          </w:tcPr>
          <w:p>
            <w:pP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生产量</w:t>
            </w:r>
          </w:p>
        </w:tc>
        <w:tc>
          <w:tcPr>
            <w:tcW w:w="16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万平方米</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9,952.51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11,376.29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-12.52%</w:t>
            </w:r>
          </w:p>
        </w:tc>
      </w:tr>
      <w:tr>
        <w:trPr>
          <w:trHeight w:val="402" w:hRule="exact"/>
        </w:trPr>
        <w:tc>
          <w:tcPr>
            <w:tcW w:w="1608" w:type="dxa"/>
            <w:vMerge/>
            <w:tcBorders>
              <w:left w:val="single" w:sz="4" w:space="0" w:color="000000"/>
              <w:bottom w:val="single" w:sz="4" w:space="0" w:color="000000"/>
              <w:right w:val="single" w:sz="13" w:space="0" w:color="D2D2D2"/>
            </w:tcBorders>
          </w:tcPr>
          <w:p>
            <w:pP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库存量</w:t>
            </w:r>
          </w:p>
        </w:tc>
        <w:tc>
          <w:tcPr>
            <w:tcW w:w="16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万平方米</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3,183.47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3,106.84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2.47%</w:t>
            </w:r>
          </w:p>
        </w:tc>
      </w:tr>
      <w:tr>
        <w:trPr>
          <w:trHeight w:val="402" w:hRule="exact"/>
        </w:trPr>
        <w:tc>
          <w:tcPr>
            <w:tcW w:w="1608" w:type="dxa"/>
            <w:vMerge w:val="restart"/>
            <w:tcBorders>
              <w:top w:val="single" w:sz="4" w:space="0" w:color="000000"/>
              <w:left w:val="single" w:sz="4" w:space="0" w:color="000000"/>
              <w:right w:val="single" w:sz="13"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镭射纸</w:t>
            </w: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6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吨</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31,407.21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28,612.27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9.77%</w:t>
            </w:r>
          </w:p>
        </w:tc>
      </w:tr>
      <w:tr>
        <w:trPr>
          <w:trHeight w:val="402" w:hRule="exact"/>
        </w:trPr>
        <w:tc>
          <w:tcPr>
            <w:tcW w:w="1608" w:type="dxa"/>
            <w:vMerge/>
            <w:tcBorders>
              <w:left w:val="single" w:sz="4" w:space="0" w:color="000000"/>
              <w:right w:val="single" w:sz="13" w:space="0" w:color="D2D2D2"/>
            </w:tcBorders>
          </w:tcPr>
          <w:p>
            <w:pP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生产量</w:t>
            </w:r>
          </w:p>
        </w:tc>
        <w:tc>
          <w:tcPr>
            <w:tcW w:w="16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吨</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18,722.45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16,613.66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12.69%</w:t>
            </w:r>
          </w:p>
        </w:tc>
      </w:tr>
      <w:tr>
        <w:trPr>
          <w:trHeight w:val="402" w:hRule="exact"/>
        </w:trPr>
        <w:tc>
          <w:tcPr>
            <w:tcW w:w="1608" w:type="dxa"/>
            <w:vMerge/>
            <w:tcBorders>
              <w:left w:val="single" w:sz="4" w:space="0" w:color="000000"/>
              <w:bottom w:val="single" w:sz="4" w:space="0" w:color="000000"/>
              <w:right w:val="single" w:sz="13" w:space="0" w:color="D2D2D2"/>
            </w:tcBorders>
          </w:tcPr>
          <w:p>
            <w:pP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库存量</w:t>
            </w:r>
          </w:p>
        </w:tc>
        <w:tc>
          <w:tcPr>
            <w:tcW w:w="16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吨</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5,216.8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5,639.83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-7.50%</w:t>
            </w:r>
          </w:p>
        </w:tc>
      </w:tr>
    </w:tbl>
    <w:p>
      <w:pPr>
        <w:pStyle w:val="BodyText"/>
        <w:spacing w:line="240" w:lineRule="auto" w:before="51"/>
        <w:ind w:right="0"/>
        <w:jc w:val="left"/>
      </w:pPr>
      <w:r>
        <w:rPr/>
        <w:t>相关数据同比发生变动</w:t>
      </w:r>
      <w:r>
        <w:rPr>
          <w:spacing w:val="-46"/>
        </w:rPr>
        <w:t> </w:t>
      </w:r>
      <w:r>
        <w:rPr>
          <w:rFonts w:ascii="Times New Roman" w:hAnsi="Times New Roman" w:cs="Times New Roman" w:eastAsia="Times New Roman" w:hint="default"/>
        </w:rPr>
        <w:t>30%</w:t>
      </w:r>
      <w:r>
        <w:rPr/>
        <w:t>以上的原因说明</w:t>
      </w:r>
    </w:p>
    <w:p>
      <w:pPr>
        <w:pStyle w:val="BodyText"/>
        <w:spacing w:line="240" w:lineRule="auto" w:before="103"/>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4）公司已签订的重大销售合同截至本报告期的履行情况" w:id="31"/>
      <w:bookmarkEnd w:id="31"/>
      <w:r>
        <w:rPr>
          <w:b w:val="0"/>
          <w:bCs w:val="0"/>
        </w:rPr>
      </w:r>
      <w:r>
        <w:rPr/>
        <w:t>（</w:t>
      </w:r>
      <w:r>
        <w:rPr>
          <w:rFonts w:ascii="Times New Roman" w:hAnsi="Times New Roman" w:cs="Times New Roman" w:eastAsia="Times New Roman" w:hint="default"/>
        </w:rPr>
        <w:t>4</w:t>
      </w:r>
      <w:r>
        <w:rPr/>
        <w:t>）公司已签订的重大销售合同截至本报告期的履行情况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5）营业成本构成" w:id="32"/>
      <w:bookmarkEnd w:id="32"/>
      <w:r>
        <w:rPr>
          <w:b w:val="0"/>
          <w:bCs w:val="0"/>
        </w:rPr>
      </w:r>
      <w:r>
        <w:rPr/>
        <w:t>（</w:t>
      </w:r>
      <w:r>
        <w:rPr>
          <w:rFonts w:ascii="Times New Roman" w:hAnsi="Times New Roman" w:cs="Times New Roman" w:eastAsia="Times New Roman" w:hint="default"/>
        </w:rPr>
        <w:t>5</w:t>
      </w:r>
      <w:r>
        <w:rPr/>
        <w:t>）营业成本构成</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0"/>
        <w:jc w:val="left"/>
      </w:pPr>
      <w:r>
        <w:rPr/>
        <w:t>行业分类</w:t>
      </w:r>
    </w:p>
    <w:p>
      <w:pPr>
        <w:pStyle w:val="BodyText"/>
        <w:spacing w:line="240" w:lineRule="auto" w:before="116"/>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402" w:hRule="exact"/>
        </w:trPr>
        <w:tc>
          <w:tcPr>
            <w:tcW w:w="13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370"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包装印刷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主营业务成本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1,803,696,512.54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94.88%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1,564,327,431.08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95.03%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15.30%</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镭射包装材料</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主营业务成本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467,617,842.47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24.60%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447,325,113.37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27.17%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4.54%</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物业管理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主营业务成本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8,113,514.78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0.43%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8,904,601.64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0.54%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-8.88%</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其他行业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主营业务成本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233,862,731.72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12.30%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198,963,373.12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12.09%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17.54%</w:t>
            </w:r>
          </w:p>
        </w:tc>
      </w:tr>
    </w:tbl>
    <w:p>
      <w:pPr>
        <w:pStyle w:val="BodyText"/>
        <w:spacing w:line="338" w:lineRule="auto" w:before="51"/>
        <w:ind w:right="1118"/>
        <w:jc w:val="left"/>
      </w:pPr>
      <w:r>
        <w:rPr/>
        <w:t>说明 </w:t>
      </w:r>
      <w:r>
        <w:rPr>
          <w:spacing w:val="-2"/>
        </w:rPr>
        <w:t>报告期公司紧抓生产精细化管理工作，强化产品质量管理，通过精细化、规模化管理生产及创新产品工艺流程等方式加强成</w:t>
      </w:r>
      <w:r>
        <w:rPr>
          <w:spacing w:val="-66"/>
        </w:rPr>
        <w:t> </w:t>
      </w:r>
      <w:r>
        <w:rPr>
          <w:spacing w:val="-66"/>
        </w:rPr>
      </w:r>
      <w:r>
        <w:rPr/>
        <w:t>本控制，提升企业经济效益。报告期公司产品成本没有大的变化。</w:t>
      </w:r>
    </w:p>
    <w:p>
      <w:pPr>
        <w:spacing w:line="240" w:lineRule="auto" w:before="4"/>
        <w:rPr>
          <w:rFonts w:ascii="宋体" w:hAnsi="宋体" w:cs="宋体" w:eastAsia="宋体" w:hint="default"/>
          <w:sz w:val="21"/>
          <w:szCs w:val="21"/>
        </w:rPr>
      </w:pPr>
    </w:p>
    <w:p>
      <w:pPr>
        <w:pStyle w:val="Heading3"/>
        <w:spacing w:line="240" w:lineRule="auto"/>
        <w:ind w:right="0"/>
        <w:jc w:val="left"/>
        <w:rPr>
          <w:b w:val="0"/>
          <w:bCs w:val="0"/>
        </w:rPr>
      </w:pPr>
      <w:bookmarkStart w:name="（6）报告期内合并范围是否发生变动" w:id="33"/>
      <w:bookmarkEnd w:id="33"/>
      <w:r>
        <w:rPr>
          <w:b w:val="0"/>
          <w:bCs w:val="0"/>
        </w:rPr>
      </w:r>
      <w:r>
        <w:rPr/>
        <w:t>（</w:t>
      </w:r>
      <w:r>
        <w:rPr>
          <w:rFonts w:ascii="Times New Roman" w:hAnsi="Times New Roman" w:cs="Times New Roman" w:eastAsia="Times New Roman" w:hint="default"/>
        </w:rPr>
        <w:t>6</w:t>
      </w:r>
      <w:r>
        <w:rPr/>
        <w:t>）报告期内合并范围是否发生变动</w:t>
      </w:r>
      <w:r>
        <w:rPr>
          <w:b w:val="0"/>
          <w:bCs w:val="0"/>
        </w:rPr>
      </w:r>
    </w:p>
    <w:p>
      <w:pPr>
        <w:spacing w:line="240" w:lineRule="auto" w:before="8"/>
        <w:rPr>
          <w:rFonts w:ascii="宋体" w:hAnsi="宋体" w:cs="宋体" w:eastAsia="宋体" w:hint="default"/>
          <w:b/>
          <w:bCs/>
          <w:sz w:val="26"/>
          <w:szCs w:val="26"/>
        </w:rPr>
      </w:pPr>
    </w:p>
    <w:p>
      <w:pPr>
        <w:pStyle w:val="BodyText"/>
        <w:spacing w:line="338" w:lineRule="auto"/>
        <w:ind w:right="627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详见本报告第十一节财务报告之</w:t>
      </w:r>
      <w:r>
        <w:rPr>
          <w:rFonts w:ascii="Times New Roman" w:hAnsi="Times New Roman" w:cs="Times New Roman" w:eastAsia="Times New Roman" w:hint="default"/>
        </w:rPr>
        <w:t>“</w:t>
      </w:r>
      <w:r>
        <w:rPr/>
        <w:t>八、合并范围的变更</w:t>
      </w:r>
      <w:r>
        <w:rPr>
          <w:rFonts w:ascii="Times New Roman" w:hAnsi="Times New Roman" w:cs="Times New Roman" w:eastAsia="Times New Roman" w:hint="default"/>
        </w:rPr>
        <w:t>”</w:t>
      </w:r>
      <w:r>
        <w:rPr/>
        <w:t>。</w:t>
      </w:r>
    </w:p>
    <w:p>
      <w:pPr>
        <w:spacing w:after="0" w:line="338" w:lineRule="auto"/>
        <w:jc w:val="left"/>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right="0"/>
        <w:jc w:val="left"/>
        <w:rPr>
          <w:b w:val="0"/>
          <w:bCs w:val="0"/>
        </w:rPr>
      </w:pPr>
      <w:bookmarkStart w:name="（7）公司报告期内业务、产品或服务发生重大变化或调整有关情况" w:id="34"/>
      <w:bookmarkEnd w:id="34"/>
      <w:r>
        <w:rPr>
          <w:b w:val="0"/>
          <w:bCs w:val="0"/>
        </w:rPr>
      </w:r>
      <w:r>
        <w:rPr/>
        <w:t>（</w:t>
      </w:r>
      <w:r>
        <w:rPr>
          <w:rFonts w:ascii="Times New Roman" w:hAnsi="Times New Roman" w:cs="Times New Roman" w:eastAsia="Times New Roman" w:hint="default"/>
        </w:rPr>
        <w:t>7</w:t>
      </w:r>
      <w:r>
        <w:rPr/>
        <w:t>）公司报告期内业务、产品或服务发生重大变化或调整有关情况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8）主要销售客户和主要供应商情况" w:id="35"/>
      <w:bookmarkEnd w:id="35"/>
      <w:r>
        <w:rPr>
          <w:b w:val="0"/>
          <w:bCs w:val="0"/>
        </w:rPr>
      </w:r>
      <w:r>
        <w:rPr/>
        <w:t>（</w:t>
      </w:r>
      <w:r>
        <w:rPr>
          <w:rFonts w:ascii="Times New Roman" w:hAnsi="Times New Roman" w:cs="Times New Roman" w:eastAsia="Times New Roman" w:hint="default"/>
        </w:rPr>
        <w:t>8</w:t>
      </w:r>
      <w:r>
        <w:rPr/>
        <w:t>）主要销售客户和主要供应商情况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公司主要销售客户情况</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258"/>
        <w:gridCol w:w="5311"/>
      </w:tblGrid>
      <w:tr>
        <w:trPr>
          <w:trHeight w:val="403"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1,717,375,982.83</w:t>
            </w:r>
          </w:p>
        </w:tc>
      </w:tr>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50.90%</w:t>
            </w:r>
          </w:p>
        </w:tc>
      </w:tr>
      <w:tr>
        <w:trPr>
          <w:trHeight w:val="715"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83"/>
              <w:jc w:val="left"/>
              <w:rPr>
                <w:rFonts w:ascii="宋体" w:hAnsi="宋体" w:cs="宋体" w:eastAsia="宋体" w:hint="default"/>
                <w:sz w:val="18"/>
                <w:szCs w:val="18"/>
              </w:rPr>
            </w:pPr>
            <w:r>
              <w:rPr>
                <w:rFonts w:ascii="宋体" w:hAnsi="宋体" w:cs="宋体" w:eastAsia="宋体" w:hint="default"/>
                <w:sz w:val="18"/>
                <w:szCs w:val="18"/>
              </w:rPr>
              <w:t>前五名客户销售额中关联方销售额占年度销售总额比 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51"/>
        <w:ind w:right="0"/>
        <w:jc w:val="left"/>
      </w:pPr>
      <w:r>
        <w:rPr/>
        <w:t>公司前</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大客户资料</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791"/>
        <w:gridCol w:w="3313"/>
        <w:gridCol w:w="2322"/>
        <w:gridCol w:w="3143"/>
      </w:tblGrid>
      <w:tr>
        <w:trPr>
          <w:trHeight w:val="401"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15"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15" w:right="0"/>
              <w:jc w:val="left"/>
              <w:rPr>
                <w:rFonts w:ascii="宋体" w:hAnsi="宋体" w:cs="宋体" w:eastAsia="宋体" w:hint="default"/>
                <w:sz w:val="18"/>
                <w:szCs w:val="18"/>
              </w:rPr>
            </w:pPr>
            <w:r>
              <w:rPr>
                <w:rFonts w:ascii="宋体" w:hAnsi="宋体" w:cs="宋体" w:eastAsia="宋体" w:hint="default"/>
                <w:sz w:val="18"/>
                <w:szCs w:val="18"/>
              </w:rPr>
              <w:t>销售额（元）</w:t>
            </w:r>
          </w:p>
        </w:tc>
        <w:tc>
          <w:tcPr>
            <w:tcW w:w="31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56" w:right="0"/>
              <w:jc w:val="left"/>
              <w:rPr>
                <w:rFonts w:ascii="宋体" w:hAnsi="宋体" w:cs="宋体" w:eastAsia="宋体" w:hint="default"/>
                <w:sz w:val="18"/>
                <w:szCs w:val="18"/>
              </w:rPr>
            </w:pPr>
            <w:r>
              <w:rPr>
                <w:rFonts w:ascii="宋体" w:hAnsi="宋体" w:cs="宋体" w:eastAsia="宋体" w:hint="default"/>
                <w:sz w:val="18"/>
                <w:szCs w:val="18"/>
              </w:rPr>
              <w:t>占年度销售总额比例</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553,819,526.11</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16.41%</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416,170,543.28</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12.33%</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3</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388,375,597.28</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2"/>
                <w:sz w:val="18"/>
              </w:rPr>
              <w:t>11.51%</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4</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204,329,212.97</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6.06%</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5</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154,681,103.19</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4.58%</w:t>
            </w:r>
          </w:p>
        </w:tc>
      </w:tr>
      <w:tr>
        <w:trPr>
          <w:trHeight w:val="403"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2" w:right="0"/>
              <w:jc w:val="center"/>
              <w:rPr>
                <w:rFonts w:ascii="Times New Roman" w:hAnsi="Times New Roman" w:cs="Times New Roman" w:eastAsia="Times New Roman" w:hint="default"/>
                <w:sz w:val="18"/>
                <w:szCs w:val="18"/>
              </w:rPr>
            </w:pPr>
            <w:r>
              <w:rPr>
                <w:rFonts w:ascii="Times New Roman"/>
                <w:sz w:val="18"/>
              </w:rPr>
              <w:t>--</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1,717,375,982.83</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50.90%</w:t>
            </w:r>
          </w:p>
        </w:tc>
      </w:tr>
    </w:tbl>
    <w:p>
      <w:pPr>
        <w:pStyle w:val="BodyText"/>
        <w:spacing w:line="240" w:lineRule="auto" w:before="51"/>
        <w:ind w:right="0"/>
        <w:jc w:val="left"/>
      </w:pPr>
      <w:r>
        <w:rPr/>
        <w:t>主要客户其他情况说明</w:t>
      </w:r>
    </w:p>
    <w:p>
      <w:pPr>
        <w:pStyle w:val="BodyText"/>
        <w:spacing w:line="340" w:lineRule="auto" w:before="116"/>
        <w:ind w:right="913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公司主要供应商情况</w:t>
      </w:r>
    </w:p>
    <w:p>
      <w:pPr>
        <w:spacing w:line="240" w:lineRule="auto" w:before="3"/>
        <w:rPr>
          <w:rFonts w:ascii="宋体" w:hAnsi="宋体" w:cs="宋体" w:eastAsia="宋体" w:hint="default"/>
          <w:sz w:val="2"/>
          <w:szCs w:val="2"/>
        </w:rPr>
      </w:pPr>
    </w:p>
    <w:tbl>
      <w:tblPr>
        <w:tblW w:w="0" w:type="auto"/>
        <w:jc w:val="left"/>
        <w:tblInd w:w="149" w:type="dxa"/>
        <w:tblLayout w:type="fixed"/>
        <w:tblCellMar>
          <w:top w:w="0" w:type="dxa"/>
          <w:left w:w="0" w:type="dxa"/>
          <w:bottom w:w="0" w:type="dxa"/>
          <w:right w:w="0" w:type="dxa"/>
        </w:tblCellMar>
        <w:tblLook w:val="01E0"/>
      </w:tblPr>
      <w:tblGrid>
        <w:gridCol w:w="4258"/>
        <w:gridCol w:w="5311"/>
      </w:tblGrid>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364,871,965.74</w:t>
            </w:r>
          </w:p>
        </w:tc>
      </w:tr>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前五名供应商合计采购金额占年度采购总额比例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15.49%</w:t>
            </w:r>
          </w:p>
        </w:tc>
      </w:tr>
      <w:tr>
        <w:trPr>
          <w:trHeight w:val="714"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83"/>
              <w:jc w:val="left"/>
              <w:rPr>
                <w:rFonts w:ascii="宋体" w:hAnsi="宋体" w:cs="宋体" w:eastAsia="宋体" w:hint="default"/>
                <w:sz w:val="18"/>
                <w:szCs w:val="18"/>
              </w:rPr>
            </w:pPr>
            <w:r>
              <w:rPr>
                <w:rFonts w:ascii="宋体" w:hAnsi="宋体" w:cs="宋体" w:eastAsia="宋体" w:hint="default"/>
                <w:sz w:val="18"/>
                <w:szCs w:val="18"/>
              </w:rPr>
              <w:t>前五名供应商采购额中关联方采购额占年度采购总额 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3.18%</w:t>
            </w:r>
          </w:p>
        </w:tc>
      </w:tr>
    </w:tbl>
    <w:p>
      <w:pPr>
        <w:pStyle w:val="BodyText"/>
        <w:spacing w:line="240" w:lineRule="auto" w:before="51"/>
        <w:ind w:right="0"/>
        <w:jc w:val="left"/>
      </w:pPr>
      <w:r>
        <w:rPr/>
        <w:t>公司前</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名供应商资料</w:t>
      </w:r>
    </w:p>
    <w:p>
      <w:pPr>
        <w:spacing w:line="240" w:lineRule="auto" w:before="0"/>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912"/>
        <w:gridCol w:w="3180"/>
        <w:gridCol w:w="2322"/>
        <w:gridCol w:w="3143"/>
      </w:tblGrid>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70"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2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15" w:right="0"/>
              <w:jc w:val="left"/>
              <w:rPr>
                <w:rFonts w:ascii="宋体" w:hAnsi="宋体" w:cs="宋体" w:eastAsia="宋体" w:hint="default"/>
                <w:sz w:val="18"/>
                <w:szCs w:val="18"/>
              </w:rPr>
            </w:pPr>
            <w:r>
              <w:rPr>
                <w:rFonts w:ascii="宋体" w:hAnsi="宋体" w:cs="宋体" w:eastAsia="宋体" w:hint="default"/>
                <w:sz w:val="18"/>
                <w:szCs w:val="18"/>
              </w:rPr>
              <w:t>采购额（元）</w:t>
            </w:r>
          </w:p>
        </w:tc>
        <w:tc>
          <w:tcPr>
            <w:tcW w:w="31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6" w:right="0"/>
              <w:jc w:val="left"/>
              <w:rPr>
                <w:rFonts w:ascii="宋体" w:hAnsi="宋体" w:cs="宋体" w:eastAsia="宋体" w:hint="default"/>
                <w:sz w:val="18"/>
                <w:szCs w:val="18"/>
              </w:rPr>
            </w:pPr>
            <w:r>
              <w:rPr>
                <w:rFonts w:ascii="宋体" w:hAnsi="宋体" w:cs="宋体" w:eastAsia="宋体" w:hint="default"/>
                <w:sz w:val="18"/>
                <w:szCs w:val="18"/>
              </w:rPr>
              <w:t>占年度采购总额比例</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1</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102,967,262.32</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4.37%</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2</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74,825,540.93</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3.18%</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3</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72,485,949.66</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3.08%</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4</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64,324,761.83</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2.73%</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5</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50,268,451.00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2.13%</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w:t>
            </w:r>
          </w:p>
        </w:tc>
        <w:tc>
          <w:tcPr>
            <w:tcW w:w="23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364,871,965.74</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15.49%</w:t>
            </w:r>
          </w:p>
        </w:tc>
      </w:tr>
    </w:tbl>
    <w:p>
      <w:pPr>
        <w:pStyle w:val="BodyText"/>
        <w:spacing w:line="240" w:lineRule="auto" w:before="51"/>
        <w:ind w:right="0"/>
        <w:jc w:val="left"/>
      </w:pPr>
      <w:r>
        <w:rPr/>
        <w:t>主要供应商其他情况说明</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left="214" w:right="1032"/>
        <w:jc w:val="left"/>
        <w:rPr>
          <w:b w:val="0"/>
          <w:bCs w:val="0"/>
        </w:rPr>
      </w:pPr>
      <w:bookmarkStart w:name="3、费用" w:id="36"/>
      <w:bookmarkEnd w:id="36"/>
      <w:r>
        <w:rPr>
          <w:b w:val="0"/>
          <w:bCs w:val="0"/>
        </w:rPr>
      </w:r>
      <w:r>
        <w:rPr>
          <w:rFonts w:ascii="Times New Roman" w:hAnsi="Times New Roman" w:cs="Times New Roman" w:eastAsia="Times New Roman" w:hint="default"/>
        </w:rPr>
        <w:t>3</w:t>
      </w:r>
      <w:r>
        <w:rPr/>
        <w:t>、费用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220" w:type="dxa"/>
        <w:tblLayout w:type="fixed"/>
        <w:tblCellMar>
          <w:top w:w="0" w:type="dxa"/>
          <w:left w:w="0" w:type="dxa"/>
          <w:bottom w:w="0" w:type="dxa"/>
          <w:right w:w="0" w:type="dxa"/>
        </w:tblCellMar>
        <w:tblLook w:val="01E0"/>
      </w:tblPr>
      <w:tblGrid>
        <w:gridCol w:w="1892"/>
        <w:gridCol w:w="1649"/>
        <w:gridCol w:w="1637"/>
        <w:gridCol w:w="1462"/>
        <w:gridCol w:w="2918"/>
      </w:tblGrid>
      <w:tr>
        <w:trPr>
          <w:trHeight w:val="402"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3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64" w:right="0"/>
              <w:jc w:val="left"/>
              <w:rPr>
                <w:rFonts w:ascii="宋体" w:hAnsi="宋体" w:cs="宋体" w:eastAsia="宋体" w:hint="default"/>
                <w:sz w:val="18"/>
                <w:szCs w:val="18"/>
              </w:rPr>
            </w:pPr>
            <w:r>
              <w:rPr>
                <w:rFonts w:ascii="宋体" w:hAnsi="宋体" w:cs="宋体" w:eastAsia="宋体" w:hint="default"/>
                <w:sz w:val="18"/>
                <w:szCs w:val="18"/>
              </w:rPr>
              <w:t>同比增减</w:t>
            </w:r>
          </w:p>
        </w:tc>
        <w:tc>
          <w:tcPr>
            <w:tcW w:w="2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13"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402"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64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117,203,689.64</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80" w:right="0"/>
              <w:jc w:val="left"/>
              <w:rPr>
                <w:rFonts w:ascii="Times New Roman" w:hAnsi="Times New Roman" w:cs="Times New Roman" w:eastAsia="Times New Roman" w:hint="default"/>
                <w:sz w:val="18"/>
                <w:szCs w:val="18"/>
              </w:rPr>
            </w:pPr>
            <w:r>
              <w:rPr>
                <w:rFonts w:ascii="Times New Roman"/>
                <w:sz w:val="18"/>
              </w:rPr>
              <w:t>105,059,750.64</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2"/>
                <w:sz w:val="18"/>
              </w:rPr>
              <w:t>11.56%</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报告期未发生重大变化。</w:t>
            </w:r>
          </w:p>
        </w:tc>
      </w:tr>
      <w:tr>
        <w:trPr>
          <w:trHeight w:val="402"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64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287,256,965.56</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80" w:right="0"/>
              <w:jc w:val="left"/>
              <w:rPr>
                <w:rFonts w:ascii="Times New Roman" w:hAnsi="Times New Roman" w:cs="Times New Roman" w:eastAsia="Times New Roman" w:hint="default"/>
                <w:sz w:val="18"/>
                <w:szCs w:val="18"/>
              </w:rPr>
            </w:pPr>
            <w:r>
              <w:rPr>
                <w:rFonts w:ascii="Times New Roman"/>
                <w:sz w:val="18"/>
              </w:rPr>
              <w:t>264,276,859.66</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8.70%</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报告期未发生重大变化。</w:t>
            </w:r>
          </w:p>
        </w:tc>
      </w:tr>
      <w:tr>
        <w:trPr>
          <w:trHeight w:val="402"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64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-5,904,399.22</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70" w:right="0"/>
              <w:jc w:val="left"/>
              <w:rPr>
                <w:rFonts w:ascii="Times New Roman" w:hAnsi="Times New Roman" w:cs="Times New Roman" w:eastAsia="Times New Roman" w:hint="default"/>
                <w:sz w:val="18"/>
                <w:szCs w:val="18"/>
              </w:rPr>
            </w:pPr>
            <w:r>
              <w:rPr>
                <w:rFonts w:ascii="Times New Roman"/>
                <w:sz w:val="18"/>
              </w:rPr>
              <w:t>10,013,182.80</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w w:val="95"/>
                <w:sz w:val="18"/>
              </w:rPr>
              <w:t>-158.97%</w:t>
            </w:r>
            <w:r>
              <w:rPr>
                <w:rFonts w:ascii="Times New Roman"/>
                <w:sz w:val="18"/>
              </w:rPr>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报告期利息支出减少所致。</w:t>
            </w:r>
          </w:p>
        </w:tc>
      </w:tr>
      <w:tr>
        <w:trPr>
          <w:trHeight w:val="403"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164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140,312,981.76</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80" w:right="0"/>
              <w:jc w:val="left"/>
              <w:rPr>
                <w:rFonts w:ascii="Times New Roman" w:hAnsi="Times New Roman" w:cs="Times New Roman" w:eastAsia="Times New Roman" w:hint="default"/>
                <w:sz w:val="18"/>
                <w:szCs w:val="18"/>
              </w:rPr>
            </w:pPr>
            <w:r>
              <w:rPr>
                <w:rFonts w:ascii="Times New Roman"/>
                <w:sz w:val="18"/>
              </w:rPr>
              <w:t>126,600,230.24</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10.83%</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报告期未发生重大变化。</w:t>
            </w:r>
          </w:p>
        </w:tc>
      </w:tr>
    </w:tbl>
    <w:p>
      <w:pPr>
        <w:spacing w:line="240" w:lineRule="auto" w:before="2"/>
        <w:rPr>
          <w:rFonts w:ascii="宋体" w:hAnsi="宋体" w:cs="宋体" w:eastAsia="宋体" w:hint="default"/>
          <w:sz w:val="19"/>
          <w:szCs w:val="19"/>
        </w:rPr>
      </w:pPr>
    </w:p>
    <w:p>
      <w:pPr>
        <w:pStyle w:val="Heading3"/>
        <w:spacing w:line="240" w:lineRule="auto" w:before="35"/>
        <w:ind w:left="214" w:right="1032"/>
        <w:jc w:val="left"/>
        <w:rPr>
          <w:b w:val="0"/>
          <w:bCs w:val="0"/>
        </w:rPr>
      </w:pPr>
      <w:bookmarkStart w:name="4、研发投入" w:id="37"/>
      <w:bookmarkEnd w:id="37"/>
      <w:r>
        <w:rPr>
          <w:b w:val="0"/>
          <w:bCs w:val="0"/>
        </w:rPr>
      </w:r>
      <w:r>
        <w:rPr>
          <w:rFonts w:ascii="Times New Roman" w:hAnsi="Times New Roman" w:cs="Times New Roman" w:eastAsia="Times New Roman" w:hint="default"/>
        </w:rPr>
        <w:t>4</w:t>
      </w:r>
      <w:r>
        <w:rPr/>
        <w:t>、研发投入</w:t>
      </w:r>
      <w:r>
        <w:rPr>
          <w:b w:val="0"/>
          <w:bCs w:val="0"/>
        </w:rPr>
      </w:r>
    </w:p>
    <w:p>
      <w:pPr>
        <w:spacing w:line="240" w:lineRule="auto" w:before="8"/>
        <w:rPr>
          <w:rFonts w:ascii="宋体" w:hAnsi="宋体" w:cs="宋体" w:eastAsia="宋体" w:hint="default"/>
          <w:b/>
          <w:bCs/>
          <w:sz w:val="26"/>
          <w:szCs w:val="26"/>
        </w:rPr>
      </w:pPr>
    </w:p>
    <w:p>
      <w:pPr>
        <w:pStyle w:val="BodyText"/>
        <w:spacing w:line="328" w:lineRule="auto"/>
        <w:ind w:left="214" w:right="103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w:t>
      </w:r>
      <w:r>
        <w:rPr>
          <w:spacing w:val="-2"/>
        </w:rPr>
        <w:t>公司研发项目的目的是进一步提升公司在主营业务上的竞争优势，利用技术创新持续改进产品性能，更好地满足客户和市场</w:t>
      </w:r>
      <w:r>
        <w:rPr>
          <w:spacing w:val="-64"/>
        </w:rPr>
        <w:t> </w:t>
      </w:r>
      <w:r>
        <w:rPr>
          <w:spacing w:val="-64"/>
        </w:rPr>
      </w:r>
      <w:r>
        <w:rPr/>
        <w:t>的需求，有利于巩固公司在行业内技术领先的地位，对公司未来发展有积极影响。</w:t>
      </w:r>
    </w:p>
    <w:p>
      <w:pPr>
        <w:spacing w:line="240" w:lineRule="auto" w:before="0"/>
        <w:rPr>
          <w:rFonts w:ascii="宋体" w:hAnsi="宋体" w:cs="宋体" w:eastAsia="宋体" w:hint="default"/>
          <w:sz w:val="18"/>
          <w:szCs w:val="18"/>
        </w:rPr>
      </w:pPr>
    </w:p>
    <w:p>
      <w:pPr>
        <w:pStyle w:val="BodyText"/>
        <w:spacing w:line="240" w:lineRule="auto" w:before="127"/>
        <w:ind w:left="214" w:right="1032"/>
        <w:jc w:val="left"/>
      </w:pPr>
      <w:r>
        <w:rPr/>
        <w:t>公司研发投入情况</w:t>
      </w:r>
    </w:p>
    <w:p>
      <w:pPr>
        <w:spacing w:line="240" w:lineRule="auto" w:before="1"/>
        <w:rPr>
          <w:rFonts w:ascii="宋体" w:hAnsi="宋体" w:cs="宋体" w:eastAsia="宋体" w:hint="default"/>
          <w:sz w:val="8"/>
          <w:szCs w:val="8"/>
        </w:rPr>
      </w:pPr>
    </w:p>
    <w:tbl>
      <w:tblPr>
        <w:tblW w:w="0" w:type="auto"/>
        <w:jc w:val="left"/>
        <w:tblInd w:w="220" w:type="dxa"/>
        <w:tblLayout w:type="fixed"/>
        <w:tblCellMar>
          <w:top w:w="0" w:type="dxa"/>
          <w:left w:w="0" w:type="dxa"/>
          <w:bottom w:w="0" w:type="dxa"/>
          <w:right w:w="0" w:type="dxa"/>
        </w:tblCellMar>
        <w:tblLook w:val="01E0"/>
      </w:tblPr>
      <w:tblGrid>
        <w:gridCol w:w="2369"/>
        <w:gridCol w:w="2405"/>
        <w:gridCol w:w="2392"/>
        <w:gridCol w:w="2392"/>
      </w:tblGrid>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变动比例</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研发人员数量（人）</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492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469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4.90%</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研发人员数量占比</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11.17%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11.43%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-0.26%</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研发投入金额（元）</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140,312,981.76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126,600,230.24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10.83%</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研发投入占营业收入比例</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4.16%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4.30%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-0.14%</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研发投入资本化的金额（元）</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86"/>
              <w:jc w:val="left"/>
              <w:rPr>
                <w:rFonts w:ascii="宋体" w:hAnsi="宋体" w:cs="宋体" w:eastAsia="宋体" w:hint="default"/>
                <w:sz w:val="18"/>
                <w:szCs w:val="18"/>
              </w:rPr>
            </w:pPr>
            <w:r>
              <w:rPr>
                <w:rFonts w:ascii="宋体" w:hAnsi="宋体" w:cs="宋体" w:eastAsia="宋体" w:hint="default"/>
                <w:sz w:val="18"/>
                <w:szCs w:val="18"/>
              </w:rPr>
              <w:t>资本化研发投入占研发投入 的比例</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51"/>
        <w:ind w:left="214" w:right="1032"/>
        <w:jc w:val="left"/>
      </w:pPr>
      <w:r>
        <w:rPr/>
        <w:t>研发投入总额占营业收入的比重较上年发生显著变化的原因</w:t>
      </w:r>
    </w:p>
    <w:p>
      <w:pPr>
        <w:pStyle w:val="BodyText"/>
        <w:spacing w:line="338" w:lineRule="auto" w:before="117"/>
        <w:ind w:left="214" w:right="67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研发投入资本化率大幅变动的原因及其合理性说明</w:t>
      </w:r>
    </w:p>
    <w:p>
      <w:pPr>
        <w:pStyle w:val="BodyText"/>
        <w:spacing w:line="240" w:lineRule="auto" w:before="42"/>
        <w:ind w:left="214" w:right="103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214" w:right="1032"/>
        <w:jc w:val="left"/>
      </w:pPr>
      <w:r>
        <w:rPr/>
        <w:t>公司（含合并报表范围内子公司）新申请专利</w:t>
      </w:r>
      <w:r>
        <w:rPr>
          <w:spacing w:val="-46"/>
        </w:rPr>
        <w:t> </w:t>
      </w:r>
      <w:r>
        <w:rPr>
          <w:rFonts w:ascii="Times New Roman" w:hAnsi="Times New Roman" w:cs="Times New Roman" w:eastAsia="Times New Roman" w:hint="default"/>
        </w:rPr>
        <w:t>124</w:t>
      </w:r>
      <w:r>
        <w:rPr>
          <w:rFonts w:ascii="Times New Roman" w:hAnsi="Times New Roman" w:cs="Times New Roman" w:eastAsia="Times New Roman" w:hint="default"/>
          <w:spacing w:val="-1"/>
        </w:rPr>
        <w:t> </w:t>
      </w:r>
      <w:r>
        <w:rPr/>
        <w:t>项，其中发明专利</w:t>
      </w:r>
      <w:r>
        <w:rPr>
          <w:spacing w:val="-46"/>
        </w:rPr>
        <w:t> </w:t>
      </w:r>
      <w:r>
        <w:rPr>
          <w:rFonts w:ascii="Times New Roman" w:hAnsi="Times New Roman" w:cs="Times New Roman" w:eastAsia="Times New Roman" w:hint="default"/>
        </w:rPr>
        <w:t>40</w:t>
      </w:r>
      <w:r>
        <w:rPr>
          <w:rFonts w:ascii="Times New Roman" w:hAnsi="Times New Roman" w:cs="Times New Roman" w:eastAsia="Times New Roman" w:hint="default"/>
          <w:spacing w:val="-1"/>
        </w:rPr>
        <w:t> </w:t>
      </w:r>
      <w:r>
        <w:rPr/>
        <w:t>项；新获得专利授权</w:t>
      </w:r>
      <w:r>
        <w:rPr>
          <w:spacing w:val="-46"/>
        </w:rPr>
        <w:t> </w:t>
      </w:r>
      <w:r>
        <w:rPr>
          <w:rFonts w:ascii="Times New Roman" w:hAnsi="Times New Roman" w:cs="Times New Roman" w:eastAsia="Times New Roman" w:hint="default"/>
        </w:rPr>
        <w:t>64</w:t>
      </w:r>
      <w:r>
        <w:rPr>
          <w:rFonts w:ascii="Times New Roman" w:hAnsi="Times New Roman" w:cs="Times New Roman" w:eastAsia="Times New Roman" w:hint="default"/>
          <w:spacing w:val="-1"/>
        </w:rPr>
        <w:t> </w:t>
      </w:r>
      <w:r>
        <w:rPr/>
        <w:t>项，其中发明专利</w:t>
      </w:r>
      <w:r>
        <w:rPr>
          <w:spacing w:val="-46"/>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项，</w:t>
      </w:r>
    </w:p>
    <w:p>
      <w:pPr>
        <w:pStyle w:val="BodyText"/>
        <w:spacing w:line="240" w:lineRule="auto" w:before="64"/>
        <w:ind w:left="214" w:right="1032"/>
        <w:jc w:val="left"/>
      </w:pPr>
      <w:r>
        <w:rPr/>
        <w:t>外观设计</w:t>
      </w:r>
      <w:r>
        <w:rPr>
          <w:spacing w:val="-45"/>
        </w:rPr>
        <w:t> </w:t>
      </w:r>
      <w:r>
        <w:rPr>
          <w:rFonts w:ascii="Times New Roman" w:hAnsi="Times New Roman" w:cs="Times New Roman" w:eastAsia="Times New Roman" w:hint="default"/>
        </w:rPr>
        <w:t>3 </w:t>
      </w:r>
      <w:r>
        <w:rPr/>
        <w:t>项。</w:t>
      </w:r>
    </w:p>
    <w:p>
      <w:pPr>
        <w:pStyle w:val="BodyText"/>
        <w:tabs>
          <w:tab w:pos="934" w:val="left" w:leader="none"/>
        </w:tabs>
        <w:spacing w:line="240" w:lineRule="auto" w:before="102"/>
        <w:ind w:left="214" w:right="1032"/>
        <w:jc w:val="left"/>
      </w:pPr>
      <w:r>
        <w:rPr/>
        <w:t>（</w:t>
      </w:r>
      <w:r>
        <w:rPr>
          <w:rFonts w:ascii="Times New Roman" w:hAnsi="Times New Roman" w:cs="Times New Roman" w:eastAsia="Times New Roman" w:hint="default"/>
        </w:rPr>
        <w:t>1</w:t>
      </w:r>
      <w:r>
        <w:rPr/>
        <w:t>）</w:t>
        <w:tab/>
        <w:t>报告期内新申请的专利</w:t>
      </w:r>
    </w:p>
    <w:p>
      <w:pPr>
        <w:spacing w:line="240" w:lineRule="auto" w:before="13"/>
        <w:rPr>
          <w:rFonts w:ascii="宋体" w:hAnsi="宋体" w:cs="宋体" w:eastAsia="宋体" w:hint="default"/>
          <w:sz w:val="6"/>
          <w:szCs w:val="6"/>
        </w:rPr>
      </w:pPr>
    </w:p>
    <w:tbl>
      <w:tblPr>
        <w:tblW w:w="0" w:type="auto"/>
        <w:jc w:val="left"/>
        <w:tblInd w:w="101" w:type="dxa"/>
        <w:tblLayout w:type="fixed"/>
        <w:tblCellMar>
          <w:top w:w="0" w:type="dxa"/>
          <w:left w:w="0" w:type="dxa"/>
          <w:bottom w:w="0" w:type="dxa"/>
          <w:right w:w="0" w:type="dxa"/>
        </w:tblCellMar>
        <w:tblLook w:val="01E0"/>
      </w:tblPr>
      <w:tblGrid>
        <w:gridCol w:w="556"/>
        <w:gridCol w:w="3381"/>
        <w:gridCol w:w="1133"/>
        <w:gridCol w:w="1703"/>
        <w:gridCol w:w="2033"/>
        <w:gridCol w:w="1050"/>
      </w:tblGrid>
      <w:tr>
        <w:trPr>
          <w:trHeight w:val="634" w:hRule="exact"/>
        </w:trPr>
        <w:tc>
          <w:tcPr>
            <w:tcW w:w="55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85" w:lineRule="auto"/>
              <w:ind w:left="172" w:right="170"/>
              <w:jc w:val="left"/>
              <w:rPr>
                <w:rFonts w:ascii="宋体" w:hAnsi="宋体" w:cs="宋体" w:eastAsia="宋体" w:hint="default"/>
                <w:sz w:val="20"/>
                <w:szCs w:val="20"/>
              </w:rPr>
            </w:pPr>
            <w:r>
              <w:rPr>
                <w:rFonts w:ascii="宋体" w:hAnsi="宋体" w:cs="宋体" w:eastAsia="宋体" w:hint="default"/>
                <w:sz w:val="20"/>
                <w:szCs w:val="20"/>
              </w:rPr>
              <w:t>序</w:t>
            </w:r>
            <w:r>
              <w:rPr>
                <w:rFonts w:ascii="宋体" w:hAnsi="宋体" w:cs="宋体" w:eastAsia="宋体" w:hint="default"/>
                <w:w w:val="100"/>
                <w:sz w:val="20"/>
                <w:szCs w:val="20"/>
              </w:rPr>
              <w:t> </w:t>
            </w:r>
            <w:r>
              <w:rPr>
                <w:rFonts w:ascii="宋体" w:hAnsi="宋体" w:cs="宋体" w:eastAsia="宋体" w:hint="default"/>
                <w:sz w:val="20"/>
                <w:szCs w:val="20"/>
              </w:rPr>
              <w:t>号</w:t>
            </w:r>
          </w:p>
        </w:tc>
        <w:tc>
          <w:tcPr>
            <w:tcW w:w="338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51"/>
              <w:ind w:left="1" w:right="0"/>
              <w:jc w:val="center"/>
              <w:rPr>
                <w:rFonts w:ascii="宋体" w:hAnsi="宋体" w:cs="宋体" w:eastAsia="宋体" w:hint="default"/>
                <w:sz w:val="20"/>
                <w:szCs w:val="20"/>
              </w:rPr>
            </w:pPr>
            <w:r>
              <w:rPr>
                <w:rFonts w:ascii="宋体" w:hAnsi="宋体" w:cs="宋体" w:eastAsia="宋体" w:hint="default"/>
                <w:sz w:val="20"/>
                <w:szCs w:val="20"/>
              </w:rPr>
              <w:t>专利名称</w:t>
            </w:r>
          </w:p>
        </w:tc>
        <w:tc>
          <w:tcPr>
            <w:tcW w:w="113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51"/>
              <w:ind w:right="0"/>
              <w:jc w:val="center"/>
              <w:rPr>
                <w:rFonts w:ascii="宋体" w:hAnsi="宋体" w:cs="宋体" w:eastAsia="宋体" w:hint="default"/>
                <w:sz w:val="20"/>
                <w:szCs w:val="20"/>
              </w:rPr>
            </w:pPr>
            <w:r>
              <w:rPr>
                <w:rFonts w:ascii="宋体" w:hAnsi="宋体" w:cs="宋体" w:eastAsia="宋体" w:hint="default"/>
                <w:sz w:val="20"/>
                <w:szCs w:val="20"/>
              </w:rPr>
              <w:t>专利类型</w:t>
            </w:r>
          </w:p>
        </w:tc>
        <w:tc>
          <w:tcPr>
            <w:tcW w:w="170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51"/>
              <w:ind w:right="0"/>
              <w:jc w:val="center"/>
              <w:rPr>
                <w:rFonts w:ascii="宋体" w:hAnsi="宋体" w:cs="宋体" w:eastAsia="宋体" w:hint="default"/>
                <w:sz w:val="20"/>
                <w:szCs w:val="20"/>
              </w:rPr>
            </w:pPr>
            <w:r>
              <w:rPr>
                <w:rFonts w:ascii="宋体" w:hAnsi="宋体" w:cs="宋体" w:eastAsia="宋体" w:hint="default"/>
                <w:sz w:val="20"/>
                <w:szCs w:val="20"/>
              </w:rPr>
              <w:t>申请号</w:t>
            </w:r>
          </w:p>
        </w:tc>
        <w:tc>
          <w:tcPr>
            <w:tcW w:w="203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51"/>
              <w:ind w:right="0"/>
              <w:jc w:val="center"/>
              <w:rPr>
                <w:rFonts w:ascii="宋体" w:hAnsi="宋体" w:cs="宋体" w:eastAsia="宋体" w:hint="default"/>
                <w:sz w:val="20"/>
                <w:szCs w:val="20"/>
              </w:rPr>
            </w:pPr>
            <w:r>
              <w:rPr>
                <w:rFonts w:ascii="宋体" w:hAnsi="宋体" w:cs="宋体" w:eastAsia="宋体" w:hint="default"/>
                <w:sz w:val="20"/>
                <w:szCs w:val="20"/>
              </w:rPr>
              <w:t>申请日</w:t>
            </w:r>
          </w:p>
        </w:tc>
        <w:tc>
          <w:tcPr>
            <w:tcW w:w="105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85" w:lineRule="auto"/>
              <w:ind w:left="420" w:right="116" w:hanging="300"/>
              <w:jc w:val="left"/>
              <w:rPr>
                <w:rFonts w:ascii="宋体" w:hAnsi="宋体" w:cs="宋体" w:eastAsia="宋体" w:hint="default"/>
                <w:sz w:val="20"/>
                <w:szCs w:val="20"/>
              </w:rPr>
            </w:pPr>
            <w:r>
              <w:rPr>
                <w:rFonts w:ascii="宋体" w:hAnsi="宋体" w:cs="宋体" w:eastAsia="宋体" w:hint="default"/>
                <w:sz w:val="20"/>
                <w:szCs w:val="20"/>
              </w:rPr>
              <w:t>专利申请</w:t>
            </w:r>
            <w:r>
              <w:rPr>
                <w:rFonts w:ascii="宋体" w:hAnsi="宋体" w:cs="宋体" w:eastAsia="宋体" w:hint="default"/>
                <w:w w:val="100"/>
                <w:sz w:val="20"/>
                <w:szCs w:val="20"/>
              </w:rPr>
              <w:t> </w:t>
            </w:r>
            <w:r>
              <w:rPr>
                <w:rFonts w:ascii="宋体" w:hAnsi="宋体" w:cs="宋体" w:eastAsia="宋体" w:hint="default"/>
                <w:sz w:val="20"/>
                <w:szCs w:val="20"/>
              </w:rPr>
              <w:t>人</w:t>
            </w:r>
          </w:p>
        </w:tc>
      </w:tr>
      <w:tr>
        <w:trPr>
          <w:trHeight w:val="370" w:hRule="exact"/>
        </w:trPr>
        <w:tc>
          <w:tcPr>
            <w:tcW w:w="55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0"/>
              <w:jc w:val="center"/>
              <w:rPr>
                <w:rFonts w:ascii="宋体" w:hAnsi="宋体" w:cs="宋体" w:eastAsia="宋体" w:hint="default"/>
                <w:sz w:val="20"/>
                <w:szCs w:val="20"/>
              </w:rPr>
            </w:pPr>
            <w:r>
              <w:rPr>
                <w:rFonts w:ascii="宋体"/>
                <w:w w:val="100"/>
                <w:sz w:val="20"/>
              </w:rPr>
              <w:t>1</w:t>
            </w:r>
          </w:p>
        </w:tc>
        <w:tc>
          <w:tcPr>
            <w:tcW w:w="3381"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一种模切烫金机可调节吹风装置</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0"/>
              <w:jc w:val="center"/>
              <w:rPr>
                <w:rFonts w:ascii="宋体" w:hAnsi="宋体" w:cs="宋体" w:eastAsia="宋体" w:hint="default"/>
                <w:sz w:val="20"/>
                <w:szCs w:val="20"/>
              </w:rPr>
            </w:pPr>
            <w:r>
              <w:rPr>
                <w:rFonts w:ascii="宋体" w:hAnsi="宋体" w:cs="宋体" w:eastAsia="宋体" w:hint="default"/>
                <w:sz w:val="20"/>
                <w:szCs w:val="20"/>
              </w:rPr>
              <w:t>发明</w:t>
            </w:r>
          </w:p>
        </w:tc>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0"/>
              <w:jc w:val="center"/>
              <w:rPr>
                <w:rFonts w:ascii="宋体" w:hAnsi="宋体" w:cs="宋体" w:eastAsia="宋体" w:hint="default"/>
                <w:sz w:val="20"/>
                <w:szCs w:val="20"/>
              </w:rPr>
            </w:pPr>
            <w:r>
              <w:rPr>
                <w:rFonts w:ascii="宋体"/>
                <w:sz w:val="20"/>
              </w:rPr>
              <w:t>201811630055.5</w:t>
            </w: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0"/>
              <w:jc w:val="center"/>
              <w:rPr>
                <w:rFonts w:ascii="宋体" w:hAnsi="宋体" w:cs="宋体" w:eastAsia="宋体" w:hint="default"/>
                <w:sz w:val="20"/>
                <w:szCs w:val="20"/>
              </w:rPr>
            </w:pPr>
            <w:r>
              <w:rPr>
                <w:rFonts w:ascii="宋体" w:hAnsi="宋体" w:cs="宋体" w:eastAsia="宋体" w:hint="default"/>
                <w:sz w:val="20"/>
                <w:szCs w:val="20"/>
              </w:rPr>
              <w:t>2018</w:t>
            </w:r>
            <w:r>
              <w:rPr>
                <w:rFonts w:ascii="宋体" w:hAnsi="宋体" w:cs="宋体" w:eastAsia="宋体" w:hint="default"/>
                <w:spacing w:val="-51"/>
                <w:sz w:val="20"/>
                <w:szCs w:val="20"/>
              </w:rPr>
              <w:t> </w:t>
            </w:r>
            <w:r>
              <w:rPr>
                <w:rFonts w:ascii="宋体" w:hAnsi="宋体" w:cs="宋体" w:eastAsia="宋体" w:hint="default"/>
                <w:sz w:val="20"/>
                <w:szCs w:val="20"/>
              </w:rPr>
              <w:t>年</w:t>
            </w:r>
            <w:r>
              <w:rPr>
                <w:rFonts w:ascii="宋体" w:hAnsi="宋体" w:cs="宋体" w:eastAsia="宋体" w:hint="default"/>
                <w:spacing w:val="-50"/>
                <w:sz w:val="20"/>
                <w:szCs w:val="20"/>
              </w:rPr>
              <w:t> </w:t>
            </w:r>
            <w:r>
              <w:rPr>
                <w:rFonts w:ascii="宋体" w:hAnsi="宋体" w:cs="宋体" w:eastAsia="宋体" w:hint="default"/>
                <w:sz w:val="20"/>
                <w:szCs w:val="20"/>
              </w:rPr>
              <w:t>11</w:t>
            </w:r>
            <w:r>
              <w:rPr>
                <w:rFonts w:ascii="宋体" w:hAnsi="宋体" w:cs="宋体" w:eastAsia="宋体" w:hint="default"/>
                <w:spacing w:val="-51"/>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宋体" w:hAnsi="宋体" w:cs="宋体" w:eastAsia="宋体" w:hint="default"/>
                <w:sz w:val="20"/>
                <w:szCs w:val="20"/>
              </w:rPr>
              <w:t>12</w:t>
            </w:r>
            <w:r>
              <w:rPr>
                <w:rFonts w:ascii="宋体" w:hAnsi="宋体" w:cs="宋体" w:eastAsia="宋体" w:hint="default"/>
                <w:spacing w:val="-49"/>
                <w:sz w:val="20"/>
                <w:szCs w:val="20"/>
              </w:rPr>
              <w:t> </w:t>
            </w:r>
            <w:r>
              <w:rPr>
                <w:rFonts w:ascii="宋体" w:hAnsi="宋体" w:cs="宋体" w:eastAsia="宋体" w:hint="default"/>
                <w:sz w:val="20"/>
                <w:szCs w:val="20"/>
              </w:rPr>
              <w:t>日</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安徽安泰</w:t>
            </w:r>
          </w:p>
        </w:tc>
      </w:tr>
      <w:tr>
        <w:trPr>
          <w:trHeight w:val="634" w:hRule="exact"/>
        </w:trPr>
        <w:tc>
          <w:tcPr>
            <w:tcW w:w="55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0"/>
              <w:jc w:val="center"/>
              <w:rPr>
                <w:rFonts w:ascii="宋体" w:hAnsi="宋体" w:cs="宋体" w:eastAsia="宋体" w:hint="default"/>
                <w:sz w:val="20"/>
                <w:szCs w:val="20"/>
              </w:rPr>
            </w:pPr>
            <w:r>
              <w:rPr>
                <w:rFonts w:ascii="宋体"/>
                <w:w w:val="100"/>
                <w:sz w:val="20"/>
              </w:rPr>
              <w:t>2</w:t>
            </w:r>
          </w:p>
        </w:tc>
        <w:tc>
          <w:tcPr>
            <w:tcW w:w="3381"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264"/>
              <w:jc w:val="left"/>
              <w:rPr>
                <w:rFonts w:ascii="宋体" w:hAnsi="宋体" w:cs="宋体" w:eastAsia="宋体" w:hint="default"/>
                <w:sz w:val="20"/>
                <w:szCs w:val="20"/>
              </w:rPr>
            </w:pPr>
            <w:r>
              <w:rPr>
                <w:rFonts w:ascii="宋体" w:hAnsi="宋体" w:cs="宋体" w:eastAsia="宋体" w:hint="default"/>
                <w:sz w:val="20"/>
                <w:szCs w:val="20"/>
              </w:rPr>
              <w:t>一种自动卸纸机测出纸自动测出装</w:t>
            </w:r>
            <w:r>
              <w:rPr>
                <w:rFonts w:ascii="宋体" w:hAnsi="宋体" w:cs="宋体" w:eastAsia="宋体" w:hint="default"/>
                <w:w w:val="100"/>
                <w:sz w:val="20"/>
                <w:szCs w:val="20"/>
              </w:rPr>
              <w:t> </w:t>
            </w:r>
            <w:r>
              <w:rPr>
                <w:rFonts w:ascii="宋体" w:hAnsi="宋体" w:cs="宋体" w:eastAsia="宋体" w:hint="default"/>
                <w:sz w:val="20"/>
                <w:szCs w:val="20"/>
              </w:rPr>
              <w:t>置</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0"/>
              <w:jc w:val="center"/>
              <w:rPr>
                <w:rFonts w:ascii="宋体" w:hAnsi="宋体" w:cs="宋体" w:eastAsia="宋体" w:hint="default"/>
                <w:sz w:val="20"/>
                <w:szCs w:val="20"/>
              </w:rPr>
            </w:pPr>
            <w:r>
              <w:rPr>
                <w:rFonts w:ascii="宋体" w:hAnsi="宋体" w:cs="宋体" w:eastAsia="宋体" w:hint="default"/>
                <w:sz w:val="20"/>
                <w:szCs w:val="20"/>
              </w:rPr>
              <w:t>发明</w:t>
            </w:r>
          </w:p>
        </w:tc>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0"/>
              <w:jc w:val="center"/>
              <w:rPr>
                <w:rFonts w:ascii="宋体" w:hAnsi="宋体" w:cs="宋体" w:eastAsia="宋体" w:hint="default"/>
                <w:sz w:val="20"/>
                <w:szCs w:val="20"/>
              </w:rPr>
            </w:pPr>
            <w:r>
              <w:rPr>
                <w:rFonts w:ascii="宋体"/>
                <w:sz w:val="20"/>
              </w:rPr>
              <w:t>201811629961.3</w:t>
            </w: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0"/>
              <w:jc w:val="center"/>
              <w:rPr>
                <w:rFonts w:ascii="宋体" w:hAnsi="宋体" w:cs="宋体" w:eastAsia="宋体" w:hint="default"/>
                <w:sz w:val="20"/>
                <w:szCs w:val="20"/>
              </w:rPr>
            </w:pPr>
            <w:r>
              <w:rPr>
                <w:rFonts w:ascii="宋体" w:hAnsi="宋体" w:cs="宋体" w:eastAsia="宋体" w:hint="default"/>
                <w:sz w:val="20"/>
                <w:szCs w:val="20"/>
              </w:rPr>
              <w:t>2018</w:t>
            </w:r>
            <w:r>
              <w:rPr>
                <w:rFonts w:ascii="宋体" w:hAnsi="宋体" w:cs="宋体" w:eastAsia="宋体" w:hint="default"/>
                <w:spacing w:val="-51"/>
                <w:sz w:val="20"/>
                <w:szCs w:val="20"/>
              </w:rPr>
              <w:t> </w:t>
            </w:r>
            <w:r>
              <w:rPr>
                <w:rFonts w:ascii="宋体" w:hAnsi="宋体" w:cs="宋体" w:eastAsia="宋体" w:hint="default"/>
                <w:sz w:val="20"/>
                <w:szCs w:val="20"/>
              </w:rPr>
              <w:t>年</w:t>
            </w:r>
            <w:r>
              <w:rPr>
                <w:rFonts w:ascii="宋体" w:hAnsi="宋体" w:cs="宋体" w:eastAsia="宋体" w:hint="default"/>
                <w:spacing w:val="-50"/>
                <w:sz w:val="20"/>
                <w:szCs w:val="20"/>
              </w:rPr>
              <w:t> </w:t>
            </w:r>
            <w:r>
              <w:rPr>
                <w:rFonts w:ascii="宋体" w:hAnsi="宋体" w:cs="宋体" w:eastAsia="宋体" w:hint="default"/>
                <w:sz w:val="20"/>
                <w:szCs w:val="20"/>
              </w:rPr>
              <w:t>11</w:t>
            </w:r>
            <w:r>
              <w:rPr>
                <w:rFonts w:ascii="宋体" w:hAnsi="宋体" w:cs="宋体" w:eastAsia="宋体" w:hint="default"/>
                <w:spacing w:val="-51"/>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宋体" w:hAnsi="宋体" w:cs="宋体" w:eastAsia="宋体" w:hint="default"/>
                <w:sz w:val="20"/>
                <w:szCs w:val="20"/>
              </w:rPr>
              <w:t>12</w:t>
            </w:r>
            <w:r>
              <w:rPr>
                <w:rFonts w:ascii="宋体" w:hAnsi="宋体" w:cs="宋体" w:eastAsia="宋体" w:hint="default"/>
                <w:spacing w:val="-49"/>
                <w:sz w:val="20"/>
                <w:szCs w:val="20"/>
              </w:rPr>
              <w:t> </w:t>
            </w:r>
            <w:r>
              <w:rPr>
                <w:rFonts w:ascii="宋体" w:hAnsi="宋体" w:cs="宋体" w:eastAsia="宋体" w:hint="default"/>
                <w:sz w:val="20"/>
                <w:szCs w:val="20"/>
              </w:rPr>
              <w:t>日</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安徽安泰</w:t>
            </w:r>
          </w:p>
        </w:tc>
      </w:tr>
      <w:tr>
        <w:trPr>
          <w:trHeight w:val="635" w:hRule="exact"/>
        </w:trPr>
        <w:tc>
          <w:tcPr>
            <w:tcW w:w="556"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0"/>
              <w:jc w:val="center"/>
              <w:rPr>
                <w:rFonts w:ascii="宋体" w:hAnsi="宋体" w:cs="宋体" w:eastAsia="宋体" w:hint="default"/>
                <w:sz w:val="20"/>
                <w:szCs w:val="20"/>
              </w:rPr>
            </w:pPr>
            <w:r>
              <w:rPr>
                <w:rFonts w:ascii="宋体"/>
                <w:w w:val="100"/>
                <w:sz w:val="20"/>
              </w:rPr>
              <w:t>3</w:t>
            </w:r>
          </w:p>
        </w:tc>
        <w:tc>
          <w:tcPr>
            <w:tcW w:w="3381"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100"/>
              <w:jc w:val="left"/>
              <w:rPr>
                <w:rFonts w:ascii="宋体" w:hAnsi="宋体" w:cs="宋体" w:eastAsia="宋体" w:hint="default"/>
                <w:sz w:val="20"/>
                <w:szCs w:val="20"/>
              </w:rPr>
            </w:pPr>
            <w:r>
              <w:rPr>
                <w:rFonts w:ascii="宋体" w:hAnsi="宋体" w:cs="宋体" w:eastAsia="宋体" w:hint="default"/>
                <w:spacing w:val="-3"/>
                <w:sz w:val="20"/>
                <w:szCs w:val="20"/>
              </w:rPr>
              <w:t>一种凹印版辊检测设备、检测系统及</w:t>
            </w:r>
            <w:r>
              <w:rPr>
                <w:rFonts w:ascii="宋体" w:hAnsi="宋体" w:cs="宋体" w:eastAsia="宋体" w:hint="default"/>
                <w:spacing w:val="-91"/>
                <w:sz w:val="20"/>
                <w:szCs w:val="20"/>
              </w:rPr>
              <w:t> </w:t>
            </w:r>
            <w:r>
              <w:rPr>
                <w:rFonts w:ascii="宋体" w:hAnsi="宋体" w:cs="宋体" w:eastAsia="宋体" w:hint="default"/>
                <w:spacing w:val="-91"/>
                <w:sz w:val="20"/>
                <w:szCs w:val="20"/>
              </w:rPr>
            </w:r>
            <w:r>
              <w:rPr>
                <w:rFonts w:ascii="宋体" w:hAnsi="宋体" w:cs="宋体" w:eastAsia="宋体" w:hint="default"/>
                <w:sz w:val="20"/>
                <w:szCs w:val="20"/>
              </w:rPr>
              <w:t>其检测方法</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0"/>
              <w:jc w:val="center"/>
              <w:rPr>
                <w:rFonts w:ascii="宋体" w:hAnsi="宋体" w:cs="宋体" w:eastAsia="宋体" w:hint="default"/>
                <w:sz w:val="20"/>
                <w:szCs w:val="20"/>
              </w:rPr>
            </w:pPr>
            <w:r>
              <w:rPr>
                <w:rFonts w:ascii="宋体" w:hAnsi="宋体" w:cs="宋体" w:eastAsia="宋体" w:hint="default"/>
                <w:sz w:val="20"/>
                <w:szCs w:val="20"/>
              </w:rPr>
              <w:t>发明</w:t>
            </w:r>
          </w:p>
        </w:tc>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0"/>
              <w:jc w:val="center"/>
              <w:rPr>
                <w:rFonts w:ascii="宋体" w:hAnsi="宋体" w:cs="宋体" w:eastAsia="宋体" w:hint="default"/>
                <w:sz w:val="20"/>
                <w:szCs w:val="20"/>
              </w:rPr>
            </w:pPr>
            <w:r>
              <w:rPr>
                <w:rFonts w:ascii="宋体"/>
                <w:sz w:val="20"/>
              </w:rPr>
              <w:t>201810388224.2</w:t>
            </w: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0"/>
              <w:jc w:val="center"/>
              <w:rPr>
                <w:rFonts w:ascii="宋体" w:hAnsi="宋体" w:cs="宋体" w:eastAsia="宋体" w:hint="default"/>
                <w:sz w:val="20"/>
                <w:szCs w:val="20"/>
              </w:rPr>
            </w:pPr>
            <w:r>
              <w:rPr>
                <w:rFonts w:ascii="宋体" w:hAnsi="宋体" w:cs="宋体" w:eastAsia="宋体" w:hint="default"/>
                <w:sz w:val="20"/>
                <w:szCs w:val="20"/>
              </w:rPr>
              <w:t>2018</w:t>
            </w:r>
            <w:r>
              <w:rPr>
                <w:rFonts w:ascii="宋体" w:hAnsi="宋体" w:cs="宋体" w:eastAsia="宋体" w:hint="default"/>
                <w:spacing w:val="-51"/>
                <w:sz w:val="20"/>
                <w:szCs w:val="20"/>
              </w:rPr>
              <w:t> </w:t>
            </w:r>
            <w:r>
              <w:rPr>
                <w:rFonts w:ascii="宋体" w:hAnsi="宋体" w:cs="宋体" w:eastAsia="宋体" w:hint="default"/>
                <w:sz w:val="20"/>
                <w:szCs w:val="20"/>
              </w:rPr>
              <w:t>年</w:t>
            </w:r>
            <w:r>
              <w:rPr>
                <w:rFonts w:ascii="宋体" w:hAnsi="宋体" w:cs="宋体" w:eastAsia="宋体" w:hint="default"/>
                <w:spacing w:val="-50"/>
                <w:sz w:val="20"/>
                <w:szCs w:val="20"/>
              </w:rPr>
              <w:t> </w:t>
            </w:r>
            <w:r>
              <w:rPr>
                <w:rFonts w:ascii="宋体" w:hAnsi="宋体" w:cs="宋体" w:eastAsia="宋体" w:hint="default"/>
                <w:sz w:val="20"/>
                <w:szCs w:val="20"/>
              </w:rPr>
              <w:t>04</w:t>
            </w:r>
            <w:r>
              <w:rPr>
                <w:rFonts w:ascii="宋体" w:hAnsi="宋体" w:cs="宋体" w:eastAsia="宋体" w:hint="default"/>
                <w:spacing w:val="-51"/>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宋体" w:hAnsi="宋体" w:cs="宋体" w:eastAsia="宋体" w:hint="default"/>
                <w:sz w:val="20"/>
                <w:szCs w:val="20"/>
              </w:rPr>
              <w:t>27</w:t>
            </w:r>
            <w:r>
              <w:rPr>
                <w:rFonts w:ascii="宋体" w:hAnsi="宋体" w:cs="宋体" w:eastAsia="宋体" w:hint="default"/>
                <w:spacing w:val="-49"/>
                <w:sz w:val="20"/>
                <w:szCs w:val="20"/>
              </w:rPr>
              <w:t> </w:t>
            </w:r>
            <w:r>
              <w:rPr>
                <w:rFonts w:ascii="宋体" w:hAnsi="宋体" w:cs="宋体" w:eastAsia="宋体" w:hint="default"/>
                <w:sz w:val="20"/>
                <w:szCs w:val="20"/>
              </w:rPr>
              <w:t>日</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0"/>
                <w:szCs w:val="20"/>
              </w:rPr>
            </w:pPr>
            <w:r>
              <w:rPr>
                <w:rFonts w:ascii="宋体" w:hAnsi="宋体" w:cs="宋体" w:eastAsia="宋体" w:hint="default"/>
                <w:sz w:val="20"/>
                <w:szCs w:val="20"/>
              </w:rPr>
              <w:t>本公司</w:t>
            </w:r>
          </w:p>
        </w:tc>
      </w:tr>
      <w:tr>
        <w:trPr>
          <w:trHeight w:val="370" w:hRule="exact"/>
        </w:trPr>
        <w:tc>
          <w:tcPr>
            <w:tcW w:w="55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0"/>
              <w:jc w:val="center"/>
              <w:rPr>
                <w:rFonts w:ascii="宋体" w:hAnsi="宋体" w:cs="宋体" w:eastAsia="宋体" w:hint="default"/>
                <w:sz w:val="20"/>
                <w:szCs w:val="20"/>
              </w:rPr>
            </w:pPr>
            <w:r>
              <w:rPr>
                <w:rFonts w:ascii="宋体"/>
                <w:w w:val="100"/>
                <w:sz w:val="20"/>
              </w:rPr>
              <w:t>4</w:t>
            </w:r>
          </w:p>
        </w:tc>
        <w:tc>
          <w:tcPr>
            <w:tcW w:w="3381"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pacing w:val="-3"/>
                <w:sz w:val="20"/>
                <w:szCs w:val="20"/>
              </w:rPr>
              <w:t>一种凹版印刷机、干燥系统及其控制</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0"/>
              <w:jc w:val="center"/>
              <w:rPr>
                <w:rFonts w:ascii="宋体" w:hAnsi="宋体" w:cs="宋体" w:eastAsia="宋体" w:hint="default"/>
                <w:sz w:val="20"/>
                <w:szCs w:val="20"/>
              </w:rPr>
            </w:pPr>
            <w:r>
              <w:rPr>
                <w:rFonts w:ascii="宋体" w:hAnsi="宋体" w:cs="宋体" w:eastAsia="宋体" w:hint="default"/>
                <w:sz w:val="20"/>
                <w:szCs w:val="20"/>
              </w:rPr>
              <w:t>发明</w:t>
            </w:r>
          </w:p>
        </w:tc>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0"/>
              <w:jc w:val="center"/>
              <w:rPr>
                <w:rFonts w:ascii="宋体" w:hAnsi="宋体" w:cs="宋体" w:eastAsia="宋体" w:hint="default"/>
                <w:sz w:val="20"/>
                <w:szCs w:val="20"/>
              </w:rPr>
            </w:pPr>
            <w:r>
              <w:rPr>
                <w:rFonts w:ascii="宋体"/>
                <w:sz w:val="20"/>
              </w:rPr>
              <w:t>201810395183.X</w:t>
            </w: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0"/>
              <w:jc w:val="center"/>
              <w:rPr>
                <w:rFonts w:ascii="宋体" w:hAnsi="宋体" w:cs="宋体" w:eastAsia="宋体" w:hint="default"/>
                <w:sz w:val="20"/>
                <w:szCs w:val="20"/>
              </w:rPr>
            </w:pPr>
            <w:r>
              <w:rPr>
                <w:rFonts w:ascii="宋体" w:hAnsi="宋体" w:cs="宋体" w:eastAsia="宋体" w:hint="default"/>
                <w:sz w:val="20"/>
                <w:szCs w:val="20"/>
              </w:rPr>
              <w:t>2018</w:t>
            </w:r>
            <w:r>
              <w:rPr>
                <w:rFonts w:ascii="宋体" w:hAnsi="宋体" w:cs="宋体" w:eastAsia="宋体" w:hint="default"/>
                <w:spacing w:val="-51"/>
                <w:sz w:val="20"/>
                <w:szCs w:val="20"/>
              </w:rPr>
              <w:t> </w:t>
            </w:r>
            <w:r>
              <w:rPr>
                <w:rFonts w:ascii="宋体" w:hAnsi="宋体" w:cs="宋体" w:eastAsia="宋体" w:hint="default"/>
                <w:sz w:val="20"/>
                <w:szCs w:val="20"/>
              </w:rPr>
              <w:t>年</w:t>
            </w:r>
            <w:r>
              <w:rPr>
                <w:rFonts w:ascii="宋体" w:hAnsi="宋体" w:cs="宋体" w:eastAsia="宋体" w:hint="default"/>
                <w:spacing w:val="-50"/>
                <w:sz w:val="20"/>
                <w:szCs w:val="20"/>
              </w:rPr>
              <w:t> </w:t>
            </w:r>
            <w:r>
              <w:rPr>
                <w:rFonts w:ascii="宋体" w:hAnsi="宋体" w:cs="宋体" w:eastAsia="宋体" w:hint="default"/>
                <w:sz w:val="20"/>
                <w:szCs w:val="20"/>
              </w:rPr>
              <w:t>04</w:t>
            </w:r>
            <w:r>
              <w:rPr>
                <w:rFonts w:ascii="宋体" w:hAnsi="宋体" w:cs="宋体" w:eastAsia="宋体" w:hint="default"/>
                <w:spacing w:val="-51"/>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宋体" w:hAnsi="宋体" w:cs="宋体" w:eastAsia="宋体" w:hint="default"/>
                <w:sz w:val="20"/>
                <w:szCs w:val="20"/>
              </w:rPr>
              <w:t>27</w:t>
            </w:r>
            <w:r>
              <w:rPr>
                <w:rFonts w:ascii="宋体" w:hAnsi="宋体" w:cs="宋体" w:eastAsia="宋体" w:hint="default"/>
                <w:spacing w:val="-49"/>
                <w:sz w:val="20"/>
                <w:szCs w:val="20"/>
              </w:rPr>
              <w:t> </w:t>
            </w:r>
            <w:r>
              <w:rPr>
                <w:rFonts w:ascii="宋体" w:hAnsi="宋体" w:cs="宋体" w:eastAsia="宋体" w:hint="default"/>
                <w:sz w:val="20"/>
                <w:szCs w:val="20"/>
              </w:rPr>
              <w:t>日</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本公司</w:t>
            </w:r>
          </w:p>
        </w:tc>
      </w:tr>
    </w:tbl>
    <w:p>
      <w:pPr>
        <w:spacing w:after="0" w:line="256" w:lineRule="exact"/>
        <w:jc w:val="left"/>
        <w:rPr>
          <w:rFonts w:ascii="宋体" w:hAnsi="宋体" w:cs="宋体" w:eastAsia="宋体" w:hint="default"/>
          <w:sz w:val="20"/>
          <w:szCs w:val="20"/>
        </w:rPr>
        <w:sectPr>
          <w:pgSz w:w="11910" w:h="16840"/>
          <w:pgMar w:header="747" w:footer="979" w:top="1060" w:bottom="1160" w:left="92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01" w:type="dxa"/>
        <w:tblLayout w:type="fixed"/>
        <w:tblCellMar>
          <w:top w:w="0" w:type="dxa"/>
          <w:left w:w="0" w:type="dxa"/>
          <w:bottom w:w="0" w:type="dxa"/>
          <w:right w:w="0" w:type="dxa"/>
        </w:tblCellMar>
        <w:tblLook w:val="01E0"/>
      </w:tblPr>
      <w:tblGrid>
        <w:gridCol w:w="556"/>
        <w:gridCol w:w="3381"/>
        <w:gridCol w:w="1133"/>
        <w:gridCol w:w="1703"/>
        <w:gridCol w:w="2033"/>
        <w:gridCol w:w="1050"/>
      </w:tblGrid>
      <w:tr>
        <w:trPr>
          <w:trHeight w:val="370" w:hRule="exact"/>
        </w:trPr>
        <w:tc>
          <w:tcPr>
            <w:tcW w:w="556" w:type="dxa"/>
            <w:tcBorders>
              <w:top w:val="single" w:sz="4" w:space="0" w:color="000000"/>
              <w:left w:val="single" w:sz="4" w:space="0" w:color="000000"/>
              <w:bottom w:val="single" w:sz="4" w:space="0" w:color="000000"/>
              <w:right w:val="single" w:sz="4" w:space="0" w:color="000000"/>
            </w:tcBorders>
          </w:tcPr>
          <w:p>
            <w:pPr/>
          </w:p>
        </w:tc>
        <w:tc>
          <w:tcPr>
            <w:tcW w:w="3381"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方法</w:t>
            </w:r>
          </w:p>
        </w:tc>
        <w:tc>
          <w:tcPr>
            <w:tcW w:w="1133" w:type="dxa"/>
            <w:tcBorders>
              <w:top w:val="single" w:sz="4" w:space="0" w:color="000000"/>
              <w:left w:val="single" w:sz="4" w:space="0" w:color="000000"/>
              <w:bottom w:val="single" w:sz="4" w:space="0" w:color="000000"/>
              <w:right w:val="single" w:sz="4" w:space="0" w:color="000000"/>
            </w:tcBorders>
          </w:tcPr>
          <w:p>
            <w:pPr/>
          </w:p>
        </w:tc>
        <w:tc>
          <w:tcPr>
            <w:tcW w:w="1703" w:type="dxa"/>
            <w:tcBorders>
              <w:top w:val="single" w:sz="4" w:space="0" w:color="000000"/>
              <w:left w:val="single" w:sz="4" w:space="0" w:color="000000"/>
              <w:bottom w:val="single" w:sz="4" w:space="0" w:color="000000"/>
              <w:right w:val="single" w:sz="4" w:space="0" w:color="000000"/>
            </w:tcBorders>
          </w:tcPr>
          <w:p>
            <w:pPr/>
          </w:p>
        </w:tc>
        <w:tc>
          <w:tcPr>
            <w:tcW w:w="2033" w:type="dxa"/>
            <w:tcBorders>
              <w:top w:val="single" w:sz="4" w:space="0" w:color="000000"/>
              <w:left w:val="single" w:sz="4" w:space="0" w:color="000000"/>
              <w:bottom w:val="single" w:sz="4" w:space="0" w:color="000000"/>
              <w:right w:val="single" w:sz="4" w:space="0" w:color="000000"/>
            </w:tcBorders>
          </w:tcPr>
          <w:p>
            <w:pPr/>
          </w:p>
        </w:tc>
        <w:tc>
          <w:tcPr>
            <w:tcW w:w="1050" w:type="dxa"/>
            <w:tcBorders>
              <w:top w:val="single" w:sz="4" w:space="0" w:color="000000"/>
              <w:left w:val="single" w:sz="4" w:space="0" w:color="000000"/>
              <w:bottom w:val="single" w:sz="4" w:space="0" w:color="000000"/>
              <w:right w:val="single" w:sz="4" w:space="0" w:color="000000"/>
            </w:tcBorders>
          </w:tcPr>
          <w:p>
            <w:pPr/>
          </w:p>
        </w:tc>
      </w:tr>
      <w:tr>
        <w:trPr>
          <w:trHeight w:val="635" w:hRule="exact"/>
        </w:trPr>
        <w:tc>
          <w:tcPr>
            <w:tcW w:w="556"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0"/>
              <w:jc w:val="center"/>
              <w:rPr>
                <w:rFonts w:ascii="宋体" w:hAnsi="宋体" w:cs="宋体" w:eastAsia="宋体" w:hint="default"/>
                <w:sz w:val="20"/>
                <w:szCs w:val="20"/>
              </w:rPr>
            </w:pPr>
            <w:r>
              <w:rPr>
                <w:rFonts w:ascii="宋体"/>
                <w:w w:val="100"/>
                <w:sz w:val="20"/>
              </w:rPr>
              <w:t>5</w:t>
            </w:r>
          </w:p>
        </w:tc>
        <w:tc>
          <w:tcPr>
            <w:tcW w:w="3381"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264"/>
              <w:jc w:val="left"/>
              <w:rPr>
                <w:rFonts w:ascii="宋体" w:hAnsi="宋体" w:cs="宋体" w:eastAsia="宋体" w:hint="default"/>
                <w:sz w:val="20"/>
                <w:szCs w:val="20"/>
              </w:rPr>
            </w:pPr>
            <w:r>
              <w:rPr>
                <w:rFonts w:ascii="宋体" w:hAnsi="宋体" w:cs="宋体" w:eastAsia="宋体" w:hint="default"/>
                <w:sz w:val="20"/>
                <w:szCs w:val="20"/>
              </w:rPr>
              <w:t>一种重构光谱并进行复制的方法以</w:t>
            </w:r>
            <w:r>
              <w:rPr>
                <w:rFonts w:ascii="宋体" w:hAnsi="宋体" w:cs="宋体" w:eastAsia="宋体" w:hint="default"/>
                <w:w w:val="100"/>
                <w:sz w:val="20"/>
                <w:szCs w:val="20"/>
              </w:rPr>
              <w:t> </w:t>
            </w:r>
            <w:r>
              <w:rPr>
                <w:rFonts w:ascii="宋体" w:hAnsi="宋体" w:cs="宋体" w:eastAsia="宋体" w:hint="default"/>
                <w:sz w:val="20"/>
                <w:szCs w:val="20"/>
              </w:rPr>
              <w:t>及电子设备</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359"/>
              <w:jc w:val="right"/>
              <w:rPr>
                <w:rFonts w:ascii="宋体" w:hAnsi="宋体" w:cs="宋体" w:eastAsia="宋体" w:hint="default"/>
                <w:sz w:val="20"/>
                <w:szCs w:val="20"/>
              </w:rPr>
            </w:pPr>
            <w:r>
              <w:rPr>
                <w:rFonts w:ascii="宋体" w:hAnsi="宋体" w:cs="宋体" w:eastAsia="宋体" w:hint="default"/>
                <w:sz w:val="20"/>
                <w:szCs w:val="20"/>
              </w:rPr>
              <w:t>发明</w:t>
            </w:r>
          </w:p>
        </w:tc>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144"/>
              <w:jc w:val="right"/>
              <w:rPr>
                <w:rFonts w:ascii="宋体" w:hAnsi="宋体" w:cs="宋体" w:eastAsia="宋体" w:hint="default"/>
                <w:sz w:val="20"/>
                <w:szCs w:val="20"/>
              </w:rPr>
            </w:pPr>
            <w:r>
              <w:rPr>
                <w:rFonts w:ascii="宋体"/>
                <w:spacing w:val="-1"/>
                <w:sz w:val="20"/>
              </w:rPr>
              <w:t>201810314254.9</w:t>
            </w: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185"/>
              <w:jc w:val="right"/>
              <w:rPr>
                <w:rFonts w:ascii="宋体" w:hAnsi="宋体" w:cs="宋体" w:eastAsia="宋体" w:hint="default"/>
                <w:sz w:val="20"/>
                <w:szCs w:val="20"/>
              </w:rPr>
            </w:pPr>
            <w:r>
              <w:rPr>
                <w:rFonts w:ascii="宋体" w:hAnsi="宋体" w:cs="宋体" w:eastAsia="宋体" w:hint="default"/>
                <w:sz w:val="20"/>
                <w:szCs w:val="20"/>
              </w:rPr>
              <w:t>2018</w:t>
            </w:r>
            <w:r>
              <w:rPr>
                <w:rFonts w:ascii="宋体" w:hAnsi="宋体" w:cs="宋体" w:eastAsia="宋体" w:hint="default"/>
                <w:spacing w:val="-51"/>
                <w:sz w:val="20"/>
                <w:szCs w:val="20"/>
              </w:rPr>
              <w:t> </w:t>
            </w:r>
            <w:r>
              <w:rPr>
                <w:rFonts w:ascii="宋体" w:hAnsi="宋体" w:cs="宋体" w:eastAsia="宋体" w:hint="default"/>
                <w:sz w:val="20"/>
                <w:szCs w:val="20"/>
              </w:rPr>
              <w:t>年</w:t>
            </w:r>
            <w:r>
              <w:rPr>
                <w:rFonts w:ascii="宋体" w:hAnsi="宋体" w:cs="宋体" w:eastAsia="宋体" w:hint="default"/>
                <w:spacing w:val="-50"/>
                <w:sz w:val="20"/>
                <w:szCs w:val="20"/>
              </w:rPr>
              <w:t> </w:t>
            </w:r>
            <w:r>
              <w:rPr>
                <w:rFonts w:ascii="宋体" w:hAnsi="宋体" w:cs="宋体" w:eastAsia="宋体" w:hint="default"/>
                <w:sz w:val="20"/>
                <w:szCs w:val="20"/>
              </w:rPr>
              <w:t>04</w:t>
            </w:r>
            <w:r>
              <w:rPr>
                <w:rFonts w:ascii="宋体" w:hAnsi="宋体" w:cs="宋体" w:eastAsia="宋体" w:hint="default"/>
                <w:spacing w:val="-51"/>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宋体" w:hAnsi="宋体" w:cs="宋体" w:eastAsia="宋体" w:hint="default"/>
                <w:sz w:val="20"/>
                <w:szCs w:val="20"/>
              </w:rPr>
              <w:t>27</w:t>
            </w:r>
            <w:r>
              <w:rPr>
                <w:rFonts w:ascii="宋体" w:hAnsi="宋体" w:cs="宋体" w:eastAsia="宋体" w:hint="default"/>
                <w:spacing w:val="-49"/>
                <w:sz w:val="20"/>
                <w:szCs w:val="20"/>
              </w:rPr>
              <w:t> </w:t>
            </w:r>
            <w:r>
              <w:rPr>
                <w:rFonts w:ascii="宋体" w:hAnsi="宋体" w:cs="宋体" w:eastAsia="宋体" w:hint="default"/>
                <w:sz w:val="20"/>
                <w:szCs w:val="20"/>
              </w:rPr>
              <w:t>日</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0"/>
                <w:szCs w:val="20"/>
              </w:rPr>
            </w:pPr>
            <w:r>
              <w:rPr>
                <w:rFonts w:ascii="宋体" w:hAnsi="宋体" w:cs="宋体" w:eastAsia="宋体" w:hint="default"/>
                <w:sz w:val="20"/>
                <w:szCs w:val="20"/>
              </w:rPr>
              <w:t>本公司</w:t>
            </w:r>
          </w:p>
        </w:tc>
      </w:tr>
      <w:tr>
        <w:trPr>
          <w:trHeight w:val="634" w:hRule="exact"/>
        </w:trPr>
        <w:tc>
          <w:tcPr>
            <w:tcW w:w="55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0"/>
              <w:jc w:val="center"/>
              <w:rPr>
                <w:rFonts w:ascii="宋体" w:hAnsi="宋体" w:cs="宋体" w:eastAsia="宋体" w:hint="default"/>
                <w:sz w:val="20"/>
                <w:szCs w:val="20"/>
              </w:rPr>
            </w:pPr>
            <w:r>
              <w:rPr>
                <w:rFonts w:ascii="宋体"/>
                <w:w w:val="100"/>
                <w:sz w:val="20"/>
              </w:rPr>
              <w:t>6</w:t>
            </w:r>
          </w:p>
        </w:tc>
        <w:tc>
          <w:tcPr>
            <w:tcW w:w="3381"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264"/>
              <w:jc w:val="left"/>
              <w:rPr>
                <w:rFonts w:ascii="宋体" w:hAnsi="宋体" w:cs="宋体" w:eastAsia="宋体" w:hint="default"/>
                <w:sz w:val="20"/>
                <w:szCs w:val="20"/>
              </w:rPr>
            </w:pPr>
            <w:r>
              <w:rPr>
                <w:rFonts w:ascii="宋体" w:hAnsi="宋体" w:cs="宋体" w:eastAsia="宋体" w:hint="default"/>
                <w:sz w:val="20"/>
                <w:szCs w:val="20"/>
              </w:rPr>
              <w:t>一种基于光谱反射率倒数的油墨组</w:t>
            </w:r>
            <w:r>
              <w:rPr>
                <w:rFonts w:ascii="宋体" w:hAnsi="宋体" w:cs="宋体" w:eastAsia="宋体" w:hint="default"/>
                <w:w w:val="100"/>
                <w:sz w:val="20"/>
                <w:szCs w:val="20"/>
              </w:rPr>
              <w:t> </w:t>
            </w:r>
            <w:r>
              <w:rPr>
                <w:rFonts w:ascii="宋体" w:hAnsi="宋体" w:cs="宋体" w:eastAsia="宋体" w:hint="default"/>
                <w:sz w:val="20"/>
                <w:szCs w:val="20"/>
              </w:rPr>
              <w:t>份比例预测方法及设备</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359"/>
              <w:jc w:val="right"/>
              <w:rPr>
                <w:rFonts w:ascii="宋体" w:hAnsi="宋体" w:cs="宋体" w:eastAsia="宋体" w:hint="default"/>
                <w:sz w:val="20"/>
                <w:szCs w:val="20"/>
              </w:rPr>
            </w:pPr>
            <w:r>
              <w:rPr>
                <w:rFonts w:ascii="宋体" w:hAnsi="宋体" w:cs="宋体" w:eastAsia="宋体" w:hint="default"/>
                <w:sz w:val="20"/>
                <w:szCs w:val="20"/>
              </w:rPr>
              <w:t>发明</w:t>
            </w:r>
          </w:p>
        </w:tc>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44"/>
              <w:jc w:val="right"/>
              <w:rPr>
                <w:rFonts w:ascii="宋体" w:hAnsi="宋体" w:cs="宋体" w:eastAsia="宋体" w:hint="default"/>
                <w:sz w:val="20"/>
                <w:szCs w:val="20"/>
              </w:rPr>
            </w:pPr>
            <w:r>
              <w:rPr>
                <w:rFonts w:ascii="宋体"/>
                <w:spacing w:val="-1"/>
                <w:sz w:val="20"/>
              </w:rPr>
              <w:t>201810747072.0</w:t>
            </w: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85"/>
              <w:jc w:val="right"/>
              <w:rPr>
                <w:rFonts w:ascii="宋体" w:hAnsi="宋体" w:cs="宋体" w:eastAsia="宋体" w:hint="default"/>
                <w:sz w:val="20"/>
                <w:szCs w:val="20"/>
              </w:rPr>
            </w:pPr>
            <w:r>
              <w:rPr>
                <w:rFonts w:ascii="宋体" w:hAnsi="宋体" w:cs="宋体" w:eastAsia="宋体" w:hint="default"/>
                <w:sz w:val="20"/>
                <w:szCs w:val="20"/>
              </w:rPr>
              <w:t>2018</w:t>
            </w:r>
            <w:r>
              <w:rPr>
                <w:rFonts w:ascii="宋体" w:hAnsi="宋体" w:cs="宋体" w:eastAsia="宋体" w:hint="default"/>
                <w:spacing w:val="-51"/>
                <w:sz w:val="20"/>
                <w:szCs w:val="20"/>
              </w:rPr>
              <w:t> </w:t>
            </w:r>
            <w:r>
              <w:rPr>
                <w:rFonts w:ascii="宋体" w:hAnsi="宋体" w:cs="宋体" w:eastAsia="宋体" w:hint="default"/>
                <w:sz w:val="20"/>
                <w:szCs w:val="20"/>
              </w:rPr>
              <w:t>年</w:t>
            </w:r>
            <w:r>
              <w:rPr>
                <w:rFonts w:ascii="宋体" w:hAnsi="宋体" w:cs="宋体" w:eastAsia="宋体" w:hint="default"/>
                <w:spacing w:val="-50"/>
                <w:sz w:val="20"/>
                <w:szCs w:val="20"/>
              </w:rPr>
              <w:t> </w:t>
            </w:r>
            <w:r>
              <w:rPr>
                <w:rFonts w:ascii="宋体" w:hAnsi="宋体" w:cs="宋体" w:eastAsia="宋体" w:hint="default"/>
                <w:sz w:val="20"/>
                <w:szCs w:val="20"/>
              </w:rPr>
              <w:t>07</w:t>
            </w:r>
            <w:r>
              <w:rPr>
                <w:rFonts w:ascii="宋体" w:hAnsi="宋体" w:cs="宋体" w:eastAsia="宋体" w:hint="default"/>
                <w:spacing w:val="-51"/>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宋体" w:hAnsi="宋体" w:cs="宋体" w:eastAsia="宋体" w:hint="default"/>
                <w:sz w:val="20"/>
                <w:szCs w:val="20"/>
              </w:rPr>
              <w:t>09</w:t>
            </w:r>
            <w:r>
              <w:rPr>
                <w:rFonts w:ascii="宋体" w:hAnsi="宋体" w:cs="宋体" w:eastAsia="宋体" w:hint="default"/>
                <w:spacing w:val="-49"/>
                <w:sz w:val="20"/>
                <w:szCs w:val="20"/>
              </w:rPr>
              <w:t> </w:t>
            </w:r>
            <w:r>
              <w:rPr>
                <w:rFonts w:ascii="宋体" w:hAnsi="宋体" w:cs="宋体" w:eastAsia="宋体" w:hint="default"/>
                <w:sz w:val="20"/>
                <w:szCs w:val="20"/>
              </w:rPr>
              <w:t>日</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本公司</w:t>
            </w:r>
          </w:p>
        </w:tc>
      </w:tr>
      <w:tr>
        <w:trPr>
          <w:trHeight w:val="634" w:hRule="exact"/>
        </w:trPr>
        <w:tc>
          <w:tcPr>
            <w:tcW w:w="55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0"/>
              <w:jc w:val="center"/>
              <w:rPr>
                <w:rFonts w:ascii="宋体" w:hAnsi="宋体" w:cs="宋体" w:eastAsia="宋体" w:hint="default"/>
                <w:sz w:val="20"/>
                <w:szCs w:val="20"/>
              </w:rPr>
            </w:pPr>
            <w:r>
              <w:rPr>
                <w:rFonts w:ascii="宋体"/>
                <w:w w:val="100"/>
                <w:sz w:val="20"/>
              </w:rPr>
              <w:t>7</w:t>
            </w:r>
          </w:p>
        </w:tc>
        <w:tc>
          <w:tcPr>
            <w:tcW w:w="3381"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264"/>
              <w:jc w:val="left"/>
              <w:rPr>
                <w:rFonts w:ascii="宋体" w:hAnsi="宋体" w:cs="宋体" w:eastAsia="宋体" w:hint="default"/>
                <w:sz w:val="20"/>
                <w:szCs w:val="20"/>
              </w:rPr>
            </w:pPr>
            <w:r>
              <w:rPr>
                <w:rFonts w:ascii="宋体" w:hAnsi="宋体" w:cs="宋体" w:eastAsia="宋体" w:hint="default"/>
                <w:sz w:val="20"/>
                <w:szCs w:val="20"/>
              </w:rPr>
              <w:t>一种压纹印刷设备及其压纹处理方</w:t>
            </w:r>
            <w:r>
              <w:rPr>
                <w:rFonts w:ascii="宋体" w:hAnsi="宋体" w:cs="宋体" w:eastAsia="宋体" w:hint="default"/>
                <w:w w:val="100"/>
                <w:sz w:val="20"/>
                <w:szCs w:val="20"/>
              </w:rPr>
              <w:t> </w:t>
            </w:r>
            <w:r>
              <w:rPr>
                <w:rFonts w:ascii="宋体" w:hAnsi="宋体" w:cs="宋体" w:eastAsia="宋体" w:hint="default"/>
                <w:sz w:val="20"/>
                <w:szCs w:val="20"/>
              </w:rPr>
              <w:t>法</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359"/>
              <w:jc w:val="right"/>
              <w:rPr>
                <w:rFonts w:ascii="宋体" w:hAnsi="宋体" w:cs="宋体" w:eastAsia="宋体" w:hint="default"/>
                <w:sz w:val="20"/>
                <w:szCs w:val="20"/>
              </w:rPr>
            </w:pPr>
            <w:r>
              <w:rPr>
                <w:rFonts w:ascii="宋体" w:hAnsi="宋体" w:cs="宋体" w:eastAsia="宋体" w:hint="default"/>
                <w:sz w:val="20"/>
                <w:szCs w:val="20"/>
              </w:rPr>
              <w:t>发明</w:t>
            </w:r>
          </w:p>
        </w:tc>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44"/>
              <w:jc w:val="right"/>
              <w:rPr>
                <w:rFonts w:ascii="宋体" w:hAnsi="宋体" w:cs="宋体" w:eastAsia="宋体" w:hint="default"/>
                <w:sz w:val="20"/>
                <w:szCs w:val="20"/>
              </w:rPr>
            </w:pPr>
            <w:r>
              <w:rPr>
                <w:rFonts w:ascii="宋体"/>
                <w:spacing w:val="-1"/>
                <w:sz w:val="20"/>
              </w:rPr>
              <w:t>201811044186.5</w:t>
            </w: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85"/>
              <w:jc w:val="right"/>
              <w:rPr>
                <w:rFonts w:ascii="宋体" w:hAnsi="宋体" w:cs="宋体" w:eastAsia="宋体" w:hint="default"/>
                <w:sz w:val="20"/>
                <w:szCs w:val="20"/>
              </w:rPr>
            </w:pPr>
            <w:r>
              <w:rPr>
                <w:rFonts w:ascii="宋体" w:hAnsi="宋体" w:cs="宋体" w:eastAsia="宋体" w:hint="default"/>
                <w:sz w:val="20"/>
                <w:szCs w:val="20"/>
              </w:rPr>
              <w:t>2018</w:t>
            </w:r>
            <w:r>
              <w:rPr>
                <w:rFonts w:ascii="宋体" w:hAnsi="宋体" w:cs="宋体" w:eastAsia="宋体" w:hint="default"/>
                <w:spacing w:val="-51"/>
                <w:sz w:val="20"/>
                <w:szCs w:val="20"/>
              </w:rPr>
              <w:t> </w:t>
            </w:r>
            <w:r>
              <w:rPr>
                <w:rFonts w:ascii="宋体" w:hAnsi="宋体" w:cs="宋体" w:eastAsia="宋体" w:hint="default"/>
                <w:sz w:val="20"/>
                <w:szCs w:val="20"/>
              </w:rPr>
              <w:t>年</w:t>
            </w:r>
            <w:r>
              <w:rPr>
                <w:rFonts w:ascii="宋体" w:hAnsi="宋体" w:cs="宋体" w:eastAsia="宋体" w:hint="default"/>
                <w:spacing w:val="-50"/>
                <w:sz w:val="20"/>
                <w:szCs w:val="20"/>
              </w:rPr>
              <w:t> </w:t>
            </w:r>
            <w:r>
              <w:rPr>
                <w:rFonts w:ascii="宋体" w:hAnsi="宋体" w:cs="宋体" w:eastAsia="宋体" w:hint="default"/>
                <w:sz w:val="20"/>
                <w:szCs w:val="20"/>
              </w:rPr>
              <w:t>09</w:t>
            </w:r>
            <w:r>
              <w:rPr>
                <w:rFonts w:ascii="宋体" w:hAnsi="宋体" w:cs="宋体" w:eastAsia="宋体" w:hint="default"/>
                <w:spacing w:val="-51"/>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宋体" w:hAnsi="宋体" w:cs="宋体" w:eastAsia="宋体" w:hint="default"/>
                <w:sz w:val="20"/>
                <w:szCs w:val="20"/>
              </w:rPr>
              <w:t>07</w:t>
            </w:r>
            <w:r>
              <w:rPr>
                <w:rFonts w:ascii="宋体" w:hAnsi="宋体" w:cs="宋体" w:eastAsia="宋体" w:hint="default"/>
                <w:spacing w:val="-49"/>
                <w:sz w:val="20"/>
                <w:szCs w:val="20"/>
              </w:rPr>
              <w:t> </w:t>
            </w:r>
            <w:r>
              <w:rPr>
                <w:rFonts w:ascii="宋体" w:hAnsi="宋体" w:cs="宋体" w:eastAsia="宋体" w:hint="default"/>
                <w:sz w:val="20"/>
                <w:szCs w:val="20"/>
              </w:rPr>
              <w:t>日</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本公司</w:t>
            </w:r>
          </w:p>
        </w:tc>
      </w:tr>
      <w:tr>
        <w:trPr>
          <w:trHeight w:val="635" w:hRule="exact"/>
        </w:trPr>
        <w:tc>
          <w:tcPr>
            <w:tcW w:w="556"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0"/>
              <w:jc w:val="center"/>
              <w:rPr>
                <w:rFonts w:ascii="宋体" w:hAnsi="宋体" w:cs="宋体" w:eastAsia="宋体" w:hint="default"/>
                <w:sz w:val="20"/>
                <w:szCs w:val="20"/>
              </w:rPr>
            </w:pPr>
            <w:r>
              <w:rPr>
                <w:rFonts w:ascii="宋体"/>
                <w:w w:val="100"/>
                <w:sz w:val="20"/>
              </w:rPr>
              <w:t>8</w:t>
            </w:r>
          </w:p>
        </w:tc>
        <w:tc>
          <w:tcPr>
            <w:tcW w:w="3381"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164"/>
              <w:jc w:val="left"/>
              <w:rPr>
                <w:rFonts w:ascii="宋体" w:hAnsi="宋体" w:cs="宋体" w:eastAsia="宋体" w:hint="default"/>
                <w:sz w:val="20"/>
                <w:szCs w:val="20"/>
              </w:rPr>
            </w:pPr>
            <w:r>
              <w:rPr>
                <w:rFonts w:ascii="宋体" w:hAnsi="宋体" w:cs="宋体" w:eastAsia="宋体" w:hint="default"/>
                <w:sz w:val="20"/>
                <w:szCs w:val="20"/>
              </w:rPr>
              <w:t>一种</w:t>
            </w:r>
            <w:r>
              <w:rPr>
                <w:rFonts w:ascii="宋体" w:hAnsi="宋体" w:cs="宋体" w:eastAsia="宋体" w:hint="default"/>
                <w:spacing w:val="-52"/>
                <w:sz w:val="20"/>
                <w:szCs w:val="20"/>
              </w:rPr>
              <w:t> </w:t>
            </w:r>
            <w:r>
              <w:rPr>
                <w:rFonts w:ascii="宋体" w:hAnsi="宋体" w:cs="宋体" w:eastAsia="宋体" w:hint="default"/>
                <w:sz w:val="20"/>
                <w:szCs w:val="20"/>
              </w:rPr>
              <w:t>UV</w:t>
            </w:r>
            <w:r>
              <w:rPr>
                <w:rFonts w:ascii="宋体" w:hAnsi="宋体" w:cs="宋体" w:eastAsia="宋体" w:hint="default"/>
                <w:spacing w:val="-50"/>
                <w:sz w:val="20"/>
                <w:szCs w:val="20"/>
              </w:rPr>
              <w:t> </w:t>
            </w:r>
            <w:r>
              <w:rPr>
                <w:rFonts w:ascii="宋体" w:hAnsi="宋体" w:cs="宋体" w:eastAsia="宋体" w:hint="default"/>
                <w:sz w:val="20"/>
                <w:szCs w:val="20"/>
              </w:rPr>
              <w:t>油墨固化程度的检测设备、</w:t>
            </w:r>
            <w:r>
              <w:rPr>
                <w:rFonts w:ascii="宋体" w:hAnsi="宋体" w:cs="宋体" w:eastAsia="宋体" w:hint="default"/>
                <w:w w:val="100"/>
                <w:sz w:val="20"/>
                <w:szCs w:val="20"/>
              </w:rPr>
              <w:t> </w:t>
            </w:r>
            <w:r>
              <w:rPr>
                <w:rFonts w:ascii="宋体" w:hAnsi="宋体" w:cs="宋体" w:eastAsia="宋体" w:hint="default"/>
                <w:sz w:val="20"/>
                <w:szCs w:val="20"/>
              </w:rPr>
              <w:t>胶印机及其检测方法</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359"/>
              <w:jc w:val="right"/>
              <w:rPr>
                <w:rFonts w:ascii="宋体" w:hAnsi="宋体" w:cs="宋体" w:eastAsia="宋体" w:hint="default"/>
                <w:sz w:val="20"/>
                <w:szCs w:val="20"/>
              </w:rPr>
            </w:pPr>
            <w:r>
              <w:rPr>
                <w:rFonts w:ascii="宋体" w:hAnsi="宋体" w:cs="宋体" w:eastAsia="宋体" w:hint="default"/>
                <w:sz w:val="20"/>
                <w:szCs w:val="20"/>
              </w:rPr>
              <w:t>发明</w:t>
            </w:r>
          </w:p>
        </w:tc>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144"/>
              <w:jc w:val="right"/>
              <w:rPr>
                <w:rFonts w:ascii="宋体" w:hAnsi="宋体" w:cs="宋体" w:eastAsia="宋体" w:hint="default"/>
                <w:sz w:val="20"/>
                <w:szCs w:val="20"/>
              </w:rPr>
            </w:pPr>
            <w:r>
              <w:rPr>
                <w:rFonts w:ascii="宋体"/>
                <w:spacing w:val="-1"/>
                <w:sz w:val="20"/>
              </w:rPr>
              <w:t>201811495311.4</w:t>
            </w: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185"/>
              <w:jc w:val="right"/>
              <w:rPr>
                <w:rFonts w:ascii="宋体" w:hAnsi="宋体" w:cs="宋体" w:eastAsia="宋体" w:hint="default"/>
                <w:sz w:val="20"/>
                <w:szCs w:val="20"/>
              </w:rPr>
            </w:pPr>
            <w:r>
              <w:rPr>
                <w:rFonts w:ascii="宋体" w:hAnsi="宋体" w:cs="宋体" w:eastAsia="宋体" w:hint="default"/>
                <w:sz w:val="20"/>
                <w:szCs w:val="20"/>
              </w:rPr>
              <w:t>2018</w:t>
            </w:r>
            <w:r>
              <w:rPr>
                <w:rFonts w:ascii="宋体" w:hAnsi="宋体" w:cs="宋体" w:eastAsia="宋体" w:hint="default"/>
                <w:spacing w:val="-51"/>
                <w:sz w:val="20"/>
                <w:szCs w:val="20"/>
              </w:rPr>
              <w:t> </w:t>
            </w:r>
            <w:r>
              <w:rPr>
                <w:rFonts w:ascii="宋体" w:hAnsi="宋体" w:cs="宋体" w:eastAsia="宋体" w:hint="default"/>
                <w:sz w:val="20"/>
                <w:szCs w:val="20"/>
              </w:rPr>
              <w:t>年</w:t>
            </w:r>
            <w:r>
              <w:rPr>
                <w:rFonts w:ascii="宋体" w:hAnsi="宋体" w:cs="宋体" w:eastAsia="宋体" w:hint="default"/>
                <w:spacing w:val="-50"/>
                <w:sz w:val="20"/>
                <w:szCs w:val="20"/>
              </w:rPr>
              <w:t> </w:t>
            </w:r>
            <w:r>
              <w:rPr>
                <w:rFonts w:ascii="宋体" w:hAnsi="宋体" w:cs="宋体" w:eastAsia="宋体" w:hint="default"/>
                <w:sz w:val="20"/>
                <w:szCs w:val="20"/>
              </w:rPr>
              <w:t>12</w:t>
            </w:r>
            <w:r>
              <w:rPr>
                <w:rFonts w:ascii="宋体" w:hAnsi="宋体" w:cs="宋体" w:eastAsia="宋体" w:hint="default"/>
                <w:spacing w:val="-51"/>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宋体" w:hAnsi="宋体" w:cs="宋体" w:eastAsia="宋体" w:hint="default"/>
                <w:sz w:val="20"/>
                <w:szCs w:val="20"/>
              </w:rPr>
              <w:t>07</w:t>
            </w:r>
            <w:r>
              <w:rPr>
                <w:rFonts w:ascii="宋体" w:hAnsi="宋体" w:cs="宋体" w:eastAsia="宋体" w:hint="default"/>
                <w:spacing w:val="-49"/>
                <w:sz w:val="20"/>
                <w:szCs w:val="20"/>
              </w:rPr>
              <w:t> </w:t>
            </w:r>
            <w:r>
              <w:rPr>
                <w:rFonts w:ascii="宋体" w:hAnsi="宋体" w:cs="宋体" w:eastAsia="宋体" w:hint="default"/>
                <w:sz w:val="20"/>
                <w:szCs w:val="20"/>
              </w:rPr>
              <w:t>日</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0"/>
                <w:szCs w:val="20"/>
              </w:rPr>
            </w:pPr>
            <w:r>
              <w:rPr>
                <w:rFonts w:ascii="宋体" w:hAnsi="宋体" w:cs="宋体" w:eastAsia="宋体" w:hint="default"/>
                <w:sz w:val="20"/>
                <w:szCs w:val="20"/>
              </w:rPr>
              <w:t>本公司</w:t>
            </w:r>
          </w:p>
        </w:tc>
      </w:tr>
      <w:tr>
        <w:trPr>
          <w:trHeight w:val="946" w:hRule="exact"/>
        </w:trPr>
        <w:tc>
          <w:tcPr>
            <w:tcW w:w="55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0"/>
              <w:jc w:val="center"/>
              <w:rPr>
                <w:rFonts w:ascii="宋体" w:hAnsi="宋体" w:cs="宋体" w:eastAsia="宋体" w:hint="default"/>
                <w:sz w:val="20"/>
                <w:szCs w:val="20"/>
              </w:rPr>
            </w:pPr>
            <w:r>
              <w:rPr>
                <w:rFonts w:ascii="宋体"/>
                <w:w w:val="100"/>
                <w:sz w:val="20"/>
              </w:rPr>
              <w:t>9</w:t>
            </w:r>
          </w:p>
        </w:tc>
        <w:tc>
          <w:tcPr>
            <w:tcW w:w="3381"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264"/>
              <w:jc w:val="left"/>
              <w:rPr>
                <w:rFonts w:ascii="宋体" w:hAnsi="宋体" w:cs="宋体" w:eastAsia="宋体" w:hint="default"/>
                <w:sz w:val="20"/>
                <w:szCs w:val="20"/>
              </w:rPr>
            </w:pPr>
            <w:r>
              <w:rPr>
                <w:rFonts w:ascii="宋体" w:hAnsi="宋体" w:cs="宋体" w:eastAsia="宋体" w:hint="default"/>
                <w:sz w:val="20"/>
                <w:szCs w:val="20"/>
              </w:rPr>
              <w:t>一种嵌入式反切同步压痕模切板及</w:t>
            </w:r>
            <w:r>
              <w:rPr>
                <w:rFonts w:ascii="宋体" w:hAnsi="宋体" w:cs="宋体" w:eastAsia="宋体" w:hint="default"/>
                <w:w w:val="100"/>
                <w:sz w:val="20"/>
                <w:szCs w:val="20"/>
              </w:rPr>
              <w:t> </w:t>
            </w:r>
            <w:r>
              <w:rPr>
                <w:rFonts w:ascii="宋体" w:hAnsi="宋体" w:cs="宋体" w:eastAsia="宋体" w:hint="default"/>
                <w:sz w:val="20"/>
                <w:szCs w:val="20"/>
              </w:rPr>
              <w:t>其实现方法</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359"/>
              <w:jc w:val="right"/>
              <w:rPr>
                <w:rFonts w:ascii="宋体" w:hAnsi="宋体" w:cs="宋体" w:eastAsia="宋体" w:hint="default"/>
                <w:sz w:val="20"/>
                <w:szCs w:val="20"/>
              </w:rPr>
            </w:pPr>
            <w:r>
              <w:rPr>
                <w:rFonts w:ascii="宋体" w:hAnsi="宋体" w:cs="宋体" w:eastAsia="宋体" w:hint="default"/>
                <w:sz w:val="20"/>
                <w:szCs w:val="20"/>
              </w:rPr>
              <w:t>发明</w:t>
            </w:r>
          </w:p>
        </w:tc>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44"/>
              <w:jc w:val="right"/>
              <w:rPr>
                <w:rFonts w:ascii="宋体" w:hAnsi="宋体" w:cs="宋体" w:eastAsia="宋体" w:hint="default"/>
                <w:sz w:val="20"/>
                <w:szCs w:val="20"/>
              </w:rPr>
            </w:pPr>
            <w:r>
              <w:rPr>
                <w:rFonts w:ascii="宋体"/>
                <w:spacing w:val="-1"/>
                <w:sz w:val="20"/>
              </w:rPr>
              <w:t>201811346233.1</w:t>
            </w: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85"/>
              <w:jc w:val="right"/>
              <w:rPr>
                <w:rFonts w:ascii="宋体" w:hAnsi="宋体" w:cs="宋体" w:eastAsia="宋体" w:hint="default"/>
                <w:sz w:val="20"/>
                <w:szCs w:val="20"/>
              </w:rPr>
            </w:pPr>
            <w:r>
              <w:rPr>
                <w:rFonts w:ascii="宋体" w:hAnsi="宋体" w:cs="宋体" w:eastAsia="宋体" w:hint="default"/>
                <w:sz w:val="20"/>
                <w:szCs w:val="20"/>
              </w:rPr>
              <w:t>2018</w:t>
            </w:r>
            <w:r>
              <w:rPr>
                <w:rFonts w:ascii="宋体" w:hAnsi="宋体" w:cs="宋体" w:eastAsia="宋体" w:hint="default"/>
                <w:spacing w:val="-51"/>
                <w:sz w:val="20"/>
                <w:szCs w:val="20"/>
              </w:rPr>
              <w:t> </w:t>
            </w:r>
            <w:r>
              <w:rPr>
                <w:rFonts w:ascii="宋体" w:hAnsi="宋体" w:cs="宋体" w:eastAsia="宋体" w:hint="default"/>
                <w:sz w:val="20"/>
                <w:szCs w:val="20"/>
              </w:rPr>
              <w:t>年</w:t>
            </w:r>
            <w:r>
              <w:rPr>
                <w:rFonts w:ascii="宋体" w:hAnsi="宋体" w:cs="宋体" w:eastAsia="宋体" w:hint="default"/>
                <w:spacing w:val="-50"/>
                <w:sz w:val="20"/>
                <w:szCs w:val="20"/>
              </w:rPr>
              <w:t> </w:t>
            </w:r>
            <w:r>
              <w:rPr>
                <w:rFonts w:ascii="宋体" w:hAnsi="宋体" w:cs="宋体" w:eastAsia="宋体" w:hint="default"/>
                <w:sz w:val="20"/>
                <w:szCs w:val="20"/>
              </w:rPr>
              <w:t>11</w:t>
            </w:r>
            <w:r>
              <w:rPr>
                <w:rFonts w:ascii="宋体" w:hAnsi="宋体" w:cs="宋体" w:eastAsia="宋体" w:hint="default"/>
                <w:spacing w:val="-51"/>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宋体" w:hAnsi="宋体" w:cs="宋体" w:eastAsia="宋体" w:hint="default"/>
                <w:sz w:val="20"/>
                <w:szCs w:val="20"/>
              </w:rPr>
              <w:t>13</w:t>
            </w:r>
            <w:r>
              <w:rPr>
                <w:rFonts w:ascii="宋体" w:hAnsi="宋体" w:cs="宋体" w:eastAsia="宋体" w:hint="default"/>
                <w:spacing w:val="-49"/>
                <w:sz w:val="20"/>
                <w:szCs w:val="20"/>
              </w:rPr>
              <w:t> </w:t>
            </w:r>
            <w:r>
              <w:rPr>
                <w:rFonts w:ascii="宋体" w:hAnsi="宋体" w:cs="宋体" w:eastAsia="宋体" w:hint="default"/>
                <w:sz w:val="20"/>
                <w:szCs w:val="20"/>
              </w:rPr>
              <w:t>日</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133"/>
              <w:jc w:val="both"/>
              <w:rPr>
                <w:rFonts w:ascii="宋体" w:hAnsi="宋体" w:cs="宋体" w:eastAsia="宋体" w:hint="default"/>
                <w:sz w:val="20"/>
                <w:szCs w:val="20"/>
              </w:rPr>
            </w:pPr>
            <w:r>
              <w:rPr>
                <w:rFonts w:ascii="宋体" w:hAnsi="宋体" w:cs="宋体" w:eastAsia="宋体" w:hint="default"/>
                <w:sz w:val="20"/>
                <w:szCs w:val="20"/>
              </w:rPr>
              <w:t>本公司、</w:t>
            </w:r>
            <w:r>
              <w:rPr>
                <w:rFonts w:ascii="宋体" w:hAnsi="宋体" w:cs="宋体" w:eastAsia="宋体" w:hint="default"/>
                <w:w w:val="100"/>
                <w:sz w:val="20"/>
                <w:szCs w:val="20"/>
              </w:rPr>
              <w:t> </w:t>
            </w:r>
            <w:r>
              <w:rPr>
                <w:rFonts w:ascii="宋体" w:hAnsi="宋体" w:cs="宋体" w:eastAsia="宋体" w:hint="default"/>
                <w:sz w:val="20"/>
                <w:szCs w:val="20"/>
              </w:rPr>
              <w:t>深圳金兴</w:t>
            </w:r>
            <w:r>
              <w:rPr>
                <w:rFonts w:ascii="宋体" w:hAnsi="宋体" w:cs="宋体" w:eastAsia="宋体" w:hint="default"/>
                <w:w w:val="100"/>
                <w:sz w:val="20"/>
                <w:szCs w:val="20"/>
              </w:rPr>
              <w:t> </w:t>
            </w:r>
            <w:r>
              <w:rPr>
                <w:rFonts w:ascii="宋体" w:hAnsi="宋体" w:cs="宋体" w:eastAsia="宋体" w:hint="default"/>
                <w:sz w:val="20"/>
                <w:szCs w:val="20"/>
              </w:rPr>
              <w:t>盛</w:t>
            </w:r>
          </w:p>
        </w:tc>
      </w:tr>
      <w:tr>
        <w:trPr>
          <w:trHeight w:val="370" w:hRule="exact"/>
        </w:trPr>
        <w:tc>
          <w:tcPr>
            <w:tcW w:w="55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 w:right="0"/>
              <w:jc w:val="center"/>
              <w:rPr>
                <w:rFonts w:ascii="宋体" w:hAnsi="宋体" w:cs="宋体" w:eastAsia="宋体" w:hint="default"/>
                <w:sz w:val="20"/>
                <w:szCs w:val="20"/>
              </w:rPr>
            </w:pPr>
            <w:r>
              <w:rPr>
                <w:rFonts w:ascii="宋体"/>
                <w:sz w:val="20"/>
              </w:rPr>
              <w:t>10</w:t>
            </w:r>
          </w:p>
        </w:tc>
        <w:tc>
          <w:tcPr>
            <w:tcW w:w="3381"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一种卷筒纸双面印刷装置</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359"/>
              <w:jc w:val="right"/>
              <w:rPr>
                <w:rFonts w:ascii="宋体" w:hAnsi="宋体" w:cs="宋体" w:eastAsia="宋体" w:hint="default"/>
                <w:sz w:val="20"/>
                <w:szCs w:val="20"/>
              </w:rPr>
            </w:pPr>
            <w:r>
              <w:rPr>
                <w:rFonts w:ascii="宋体" w:hAnsi="宋体" w:cs="宋体" w:eastAsia="宋体" w:hint="default"/>
                <w:sz w:val="20"/>
                <w:szCs w:val="20"/>
              </w:rPr>
              <w:t>发明</w:t>
            </w:r>
          </w:p>
        </w:tc>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44"/>
              <w:jc w:val="right"/>
              <w:rPr>
                <w:rFonts w:ascii="宋体" w:hAnsi="宋体" w:cs="宋体" w:eastAsia="宋体" w:hint="default"/>
                <w:sz w:val="20"/>
                <w:szCs w:val="20"/>
              </w:rPr>
            </w:pPr>
            <w:r>
              <w:rPr>
                <w:rFonts w:ascii="宋体"/>
                <w:spacing w:val="-1"/>
                <w:sz w:val="20"/>
              </w:rPr>
              <w:t>201811398310.8</w:t>
            </w: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85"/>
              <w:jc w:val="right"/>
              <w:rPr>
                <w:rFonts w:ascii="宋体" w:hAnsi="宋体" w:cs="宋体" w:eastAsia="宋体" w:hint="default"/>
                <w:sz w:val="20"/>
                <w:szCs w:val="20"/>
              </w:rPr>
            </w:pPr>
            <w:r>
              <w:rPr>
                <w:rFonts w:ascii="宋体" w:hAnsi="宋体" w:cs="宋体" w:eastAsia="宋体" w:hint="default"/>
                <w:sz w:val="20"/>
                <w:szCs w:val="20"/>
              </w:rPr>
              <w:t>2018</w:t>
            </w:r>
            <w:r>
              <w:rPr>
                <w:rFonts w:ascii="宋体" w:hAnsi="宋体" w:cs="宋体" w:eastAsia="宋体" w:hint="default"/>
                <w:spacing w:val="-51"/>
                <w:sz w:val="20"/>
                <w:szCs w:val="20"/>
              </w:rPr>
              <w:t> </w:t>
            </w:r>
            <w:r>
              <w:rPr>
                <w:rFonts w:ascii="宋体" w:hAnsi="宋体" w:cs="宋体" w:eastAsia="宋体" w:hint="default"/>
                <w:sz w:val="20"/>
                <w:szCs w:val="20"/>
              </w:rPr>
              <w:t>年</w:t>
            </w:r>
            <w:r>
              <w:rPr>
                <w:rFonts w:ascii="宋体" w:hAnsi="宋体" w:cs="宋体" w:eastAsia="宋体" w:hint="default"/>
                <w:spacing w:val="-50"/>
                <w:sz w:val="20"/>
                <w:szCs w:val="20"/>
              </w:rPr>
              <w:t> </w:t>
            </w:r>
            <w:r>
              <w:rPr>
                <w:rFonts w:ascii="宋体" w:hAnsi="宋体" w:cs="宋体" w:eastAsia="宋体" w:hint="default"/>
                <w:sz w:val="20"/>
                <w:szCs w:val="20"/>
              </w:rPr>
              <w:t>11</w:t>
            </w:r>
            <w:r>
              <w:rPr>
                <w:rFonts w:ascii="宋体" w:hAnsi="宋体" w:cs="宋体" w:eastAsia="宋体" w:hint="default"/>
                <w:spacing w:val="-51"/>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宋体" w:hAnsi="宋体" w:cs="宋体" w:eastAsia="宋体" w:hint="default"/>
                <w:sz w:val="20"/>
                <w:szCs w:val="20"/>
              </w:rPr>
              <w:t>22</w:t>
            </w:r>
            <w:r>
              <w:rPr>
                <w:rFonts w:ascii="宋体" w:hAnsi="宋体" w:cs="宋体" w:eastAsia="宋体" w:hint="default"/>
                <w:spacing w:val="-49"/>
                <w:sz w:val="20"/>
                <w:szCs w:val="20"/>
              </w:rPr>
              <w:t> </w:t>
            </w:r>
            <w:r>
              <w:rPr>
                <w:rFonts w:ascii="宋体" w:hAnsi="宋体" w:cs="宋体" w:eastAsia="宋体" w:hint="default"/>
                <w:sz w:val="20"/>
                <w:szCs w:val="20"/>
              </w:rPr>
              <w:t>日</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贵州劲嘉</w:t>
            </w:r>
          </w:p>
        </w:tc>
      </w:tr>
      <w:tr>
        <w:trPr>
          <w:trHeight w:val="635" w:hRule="exact"/>
        </w:trPr>
        <w:tc>
          <w:tcPr>
            <w:tcW w:w="556"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 w:right="0"/>
              <w:jc w:val="center"/>
              <w:rPr>
                <w:rFonts w:ascii="宋体" w:hAnsi="宋体" w:cs="宋体" w:eastAsia="宋体" w:hint="default"/>
                <w:sz w:val="20"/>
                <w:szCs w:val="20"/>
              </w:rPr>
            </w:pPr>
            <w:r>
              <w:rPr>
                <w:rFonts w:ascii="宋体"/>
                <w:sz w:val="20"/>
              </w:rPr>
              <w:t>11</w:t>
            </w:r>
          </w:p>
        </w:tc>
        <w:tc>
          <w:tcPr>
            <w:tcW w:w="3381"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164"/>
              <w:jc w:val="left"/>
              <w:rPr>
                <w:rFonts w:ascii="宋体" w:hAnsi="宋体" w:cs="宋体" w:eastAsia="宋体" w:hint="default"/>
                <w:sz w:val="20"/>
                <w:szCs w:val="20"/>
              </w:rPr>
            </w:pPr>
            <w:r>
              <w:rPr>
                <w:rFonts w:ascii="宋体" w:hAnsi="宋体" w:cs="宋体" w:eastAsia="宋体" w:hint="default"/>
                <w:sz w:val="20"/>
                <w:szCs w:val="20"/>
              </w:rPr>
              <w:t>一种实现无芯片</w:t>
            </w:r>
            <w:r>
              <w:rPr>
                <w:rFonts w:ascii="宋体" w:hAnsi="宋体" w:cs="宋体" w:eastAsia="宋体" w:hint="default"/>
                <w:spacing w:val="-52"/>
                <w:sz w:val="20"/>
                <w:szCs w:val="20"/>
              </w:rPr>
              <w:t> </w:t>
            </w:r>
            <w:r>
              <w:rPr>
                <w:rFonts w:ascii="宋体" w:hAnsi="宋体" w:cs="宋体" w:eastAsia="宋体" w:hint="default"/>
                <w:sz w:val="20"/>
                <w:szCs w:val="20"/>
              </w:rPr>
              <w:t>RFID</w:t>
            </w:r>
            <w:r>
              <w:rPr>
                <w:rFonts w:ascii="宋体" w:hAnsi="宋体" w:cs="宋体" w:eastAsia="宋体" w:hint="default"/>
                <w:spacing w:val="-51"/>
                <w:sz w:val="20"/>
                <w:szCs w:val="20"/>
              </w:rPr>
              <w:t> </w:t>
            </w:r>
            <w:r>
              <w:rPr>
                <w:rFonts w:ascii="宋体" w:hAnsi="宋体" w:cs="宋体" w:eastAsia="宋体" w:hint="default"/>
                <w:sz w:val="20"/>
                <w:szCs w:val="20"/>
              </w:rPr>
              <w:t>电子标签的生</w:t>
            </w:r>
            <w:r>
              <w:rPr>
                <w:rFonts w:ascii="宋体" w:hAnsi="宋体" w:cs="宋体" w:eastAsia="宋体" w:hint="default"/>
                <w:w w:val="100"/>
                <w:sz w:val="20"/>
                <w:szCs w:val="20"/>
              </w:rPr>
              <w:t> </w:t>
            </w:r>
            <w:r>
              <w:rPr>
                <w:rFonts w:ascii="宋体" w:hAnsi="宋体" w:cs="宋体" w:eastAsia="宋体" w:hint="default"/>
                <w:sz w:val="20"/>
                <w:szCs w:val="20"/>
              </w:rPr>
              <w:t>产方法</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359"/>
              <w:jc w:val="right"/>
              <w:rPr>
                <w:rFonts w:ascii="宋体" w:hAnsi="宋体" w:cs="宋体" w:eastAsia="宋体" w:hint="default"/>
                <w:sz w:val="20"/>
                <w:szCs w:val="20"/>
              </w:rPr>
            </w:pPr>
            <w:r>
              <w:rPr>
                <w:rFonts w:ascii="宋体" w:hAnsi="宋体" w:cs="宋体" w:eastAsia="宋体" w:hint="default"/>
                <w:sz w:val="20"/>
                <w:szCs w:val="20"/>
              </w:rPr>
              <w:t>发明</w:t>
            </w:r>
          </w:p>
        </w:tc>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144"/>
              <w:jc w:val="right"/>
              <w:rPr>
                <w:rFonts w:ascii="宋体" w:hAnsi="宋体" w:cs="宋体" w:eastAsia="宋体" w:hint="default"/>
                <w:sz w:val="20"/>
                <w:szCs w:val="20"/>
              </w:rPr>
            </w:pPr>
            <w:r>
              <w:rPr>
                <w:rFonts w:ascii="宋体"/>
                <w:spacing w:val="-1"/>
                <w:sz w:val="20"/>
              </w:rPr>
              <w:t>201811612984.3</w:t>
            </w: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185"/>
              <w:jc w:val="right"/>
              <w:rPr>
                <w:rFonts w:ascii="宋体" w:hAnsi="宋体" w:cs="宋体" w:eastAsia="宋体" w:hint="default"/>
                <w:sz w:val="20"/>
                <w:szCs w:val="20"/>
              </w:rPr>
            </w:pPr>
            <w:r>
              <w:rPr>
                <w:rFonts w:ascii="宋体" w:hAnsi="宋体" w:cs="宋体" w:eastAsia="宋体" w:hint="default"/>
                <w:sz w:val="20"/>
                <w:szCs w:val="20"/>
              </w:rPr>
              <w:t>2018</w:t>
            </w:r>
            <w:r>
              <w:rPr>
                <w:rFonts w:ascii="宋体" w:hAnsi="宋体" w:cs="宋体" w:eastAsia="宋体" w:hint="default"/>
                <w:spacing w:val="-51"/>
                <w:sz w:val="20"/>
                <w:szCs w:val="20"/>
              </w:rPr>
              <w:t> </w:t>
            </w:r>
            <w:r>
              <w:rPr>
                <w:rFonts w:ascii="宋体" w:hAnsi="宋体" w:cs="宋体" w:eastAsia="宋体" w:hint="default"/>
                <w:sz w:val="20"/>
                <w:szCs w:val="20"/>
              </w:rPr>
              <w:t>年</w:t>
            </w:r>
            <w:r>
              <w:rPr>
                <w:rFonts w:ascii="宋体" w:hAnsi="宋体" w:cs="宋体" w:eastAsia="宋体" w:hint="default"/>
                <w:spacing w:val="-50"/>
                <w:sz w:val="20"/>
                <w:szCs w:val="20"/>
              </w:rPr>
              <w:t> </w:t>
            </w:r>
            <w:r>
              <w:rPr>
                <w:rFonts w:ascii="宋体" w:hAnsi="宋体" w:cs="宋体" w:eastAsia="宋体" w:hint="default"/>
                <w:sz w:val="20"/>
                <w:szCs w:val="20"/>
              </w:rPr>
              <w:t>12</w:t>
            </w:r>
            <w:r>
              <w:rPr>
                <w:rFonts w:ascii="宋体" w:hAnsi="宋体" w:cs="宋体" w:eastAsia="宋体" w:hint="default"/>
                <w:spacing w:val="-51"/>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宋体" w:hAnsi="宋体" w:cs="宋体" w:eastAsia="宋体" w:hint="default"/>
                <w:sz w:val="20"/>
                <w:szCs w:val="20"/>
              </w:rPr>
              <w:t>27</w:t>
            </w:r>
            <w:r>
              <w:rPr>
                <w:rFonts w:ascii="宋体" w:hAnsi="宋体" w:cs="宋体" w:eastAsia="宋体" w:hint="default"/>
                <w:spacing w:val="-49"/>
                <w:sz w:val="20"/>
                <w:szCs w:val="20"/>
              </w:rPr>
              <w:t> </w:t>
            </w:r>
            <w:r>
              <w:rPr>
                <w:rFonts w:ascii="宋体" w:hAnsi="宋体" w:cs="宋体" w:eastAsia="宋体" w:hint="default"/>
                <w:sz w:val="20"/>
                <w:szCs w:val="20"/>
              </w:rPr>
              <w:t>日</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0"/>
                <w:szCs w:val="20"/>
              </w:rPr>
            </w:pPr>
            <w:r>
              <w:rPr>
                <w:rFonts w:ascii="宋体" w:hAnsi="宋体" w:cs="宋体" w:eastAsia="宋体" w:hint="default"/>
                <w:sz w:val="20"/>
                <w:szCs w:val="20"/>
              </w:rPr>
              <w:t>贵州劲嘉</w:t>
            </w:r>
          </w:p>
        </w:tc>
      </w:tr>
      <w:tr>
        <w:trPr>
          <w:trHeight w:val="370" w:hRule="exact"/>
        </w:trPr>
        <w:tc>
          <w:tcPr>
            <w:tcW w:w="55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 w:right="0"/>
              <w:jc w:val="center"/>
              <w:rPr>
                <w:rFonts w:ascii="宋体" w:hAnsi="宋体" w:cs="宋体" w:eastAsia="宋体" w:hint="default"/>
                <w:sz w:val="20"/>
                <w:szCs w:val="20"/>
              </w:rPr>
            </w:pPr>
            <w:r>
              <w:rPr>
                <w:rFonts w:ascii="宋体"/>
                <w:sz w:val="20"/>
              </w:rPr>
              <w:t>12</w:t>
            </w:r>
          </w:p>
        </w:tc>
        <w:tc>
          <w:tcPr>
            <w:tcW w:w="3381"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一种膜压磨砂工艺的印刷方法</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359"/>
              <w:jc w:val="right"/>
              <w:rPr>
                <w:rFonts w:ascii="宋体" w:hAnsi="宋体" w:cs="宋体" w:eastAsia="宋体" w:hint="default"/>
                <w:sz w:val="20"/>
                <w:szCs w:val="20"/>
              </w:rPr>
            </w:pPr>
            <w:r>
              <w:rPr>
                <w:rFonts w:ascii="宋体" w:hAnsi="宋体" w:cs="宋体" w:eastAsia="宋体" w:hint="default"/>
                <w:sz w:val="20"/>
                <w:szCs w:val="20"/>
              </w:rPr>
              <w:t>发明</w:t>
            </w:r>
          </w:p>
        </w:tc>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44"/>
              <w:jc w:val="right"/>
              <w:rPr>
                <w:rFonts w:ascii="宋体" w:hAnsi="宋体" w:cs="宋体" w:eastAsia="宋体" w:hint="default"/>
                <w:sz w:val="20"/>
                <w:szCs w:val="20"/>
              </w:rPr>
            </w:pPr>
            <w:r>
              <w:rPr>
                <w:rFonts w:ascii="宋体"/>
                <w:spacing w:val="-1"/>
                <w:sz w:val="20"/>
              </w:rPr>
              <w:t>201811612985.8</w:t>
            </w: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85"/>
              <w:jc w:val="right"/>
              <w:rPr>
                <w:rFonts w:ascii="宋体" w:hAnsi="宋体" w:cs="宋体" w:eastAsia="宋体" w:hint="default"/>
                <w:sz w:val="20"/>
                <w:szCs w:val="20"/>
              </w:rPr>
            </w:pPr>
            <w:r>
              <w:rPr>
                <w:rFonts w:ascii="宋体" w:hAnsi="宋体" w:cs="宋体" w:eastAsia="宋体" w:hint="default"/>
                <w:sz w:val="20"/>
                <w:szCs w:val="20"/>
              </w:rPr>
              <w:t>2018</w:t>
            </w:r>
            <w:r>
              <w:rPr>
                <w:rFonts w:ascii="宋体" w:hAnsi="宋体" w:cs="宋体" w:eastAsia="宋体" w:hint="default"/>
                <w:spacing w:val="-51"/>
                <w:sz w:val="20"/>
                <w:szCs w:val="20"/>
              </w:rPr>
              <w:t> </w:t>
            </w:r>
            <w:r>
              <w:rPr>
                <w:rFonts w:ascii="宋体" w:hAnsi="宋体" w:cs="宋体" w:eastAsia="宋体" w:hint="default"/>
                <w:sz w:val="20"/>
                <w:szCs w:val="20"/>
              </w:rPr>
              <w:t>年</w:t>
            </w:r>
            <w:r>
              <w:rPr>
                <w:rFonts w:ascii="宋体" w:hAnsi="宋体" w:cs="宋体" w:eastAsia="宋体" w:hint="default"/>
                <w:spacing w:val="-50"/>
                <w:sz w:val="20"/>
                <w:szCs w:val="20"/>
              </w:rPr>
              <w:t> </w:t>
            </w:r>
            <w:r>
              <w:rPr>
                <w:rFonts w:ascii="宋体" w:hAnsi="宋体" w:cs="宋体" w:eastAsia="宋体" w:hint="default"/>
                <w:sz w:val="20"/>
                <w:szCs w:val="20"/>
              </w:rPr>
              <w:t>12</w:t>
            </w:r>
            <w:r>
              <w:rPr>
                <w:rFonts w:ascii="宋体" w:hAnsi="宋体" w:cs="宋体" w:eastAsia="宋体" w:hint="default"/>
                <w:spacing w:val="-51"/>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宋体" w:hAnsi="宋体" w:cs="宋体" w:eastAsia="宋体" w:hint="default"/>
                <w:sz w:val="20"/>
                <w:szCs w:val="20"/>
              </w:rPr>
              <w:t>27</w:t>
            </w:r>
            <w:r>
              <w:rPr>
                <w:rFonts w:ascii="宋体" w:hAnsi="宋体" w:cs="宋体" w:eastAsia="宋体" w:hint="default"/>
                <w:spacing w:val="-49"/>
                <w:sz w:val="20"/>
                <w:szCs w:val="20"/>
              </w:rPr>
              <w:t> </w:t>
            </w:r>
            <w:r>
              <w:rPr>
                <w:rFonts w:ascii="宋体" w:hAnsi="宋体" w:cs="宋体" w:eastAsia="宋体" w:hint="default"/>
                <w:sz w:val="20"/>
                <w:szCs w:val="20"/>
              </w:rPr>
              <w:t>日</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贵州劲嘉</w:t>
            </w:r>
          </w:p>
        </w:tc>
      </w:tr>
      <w:tr>
        <w:trPr>
          <w:trHeight w:val="634" w:hRule="exact"/>
        </w:trPr>
        <w:tc>
          <w:tcPr>
            <w:tcW w:w="55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 w:right="0"/>
              <w:jc w:val="center"/>
              <w:rPr>
                <w:rFonts w:ascii="宋体" w:hAnsi="宋体" w:cs="宋体" w:eastAsia="宋体" w:hint="default"/>
                <w:sz w:val="20"/>
                <w:szCs w:val="20"/>
              </w:rPr>
            </w:pPr>
            <w:r>
              <w:rPr>
                <w:rFonts w:ascii="宋体"/>
                <w:sz w:val="20"/>
              </w:rPr>
              <w:t>13</w:t>
            </w:r>
          </w:p>
        </w:tc>
        <w:tc>
          <w:tcPr>
            <w:tcW w:w="3381"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264"/>
              <w:jc w:val="left"/>
              <w:rPr>
                <w:rFonts w:ascii="宋体" w:hAnsi="宋体" w:cs="宋体" w:eastAsia="宋体" w:hint="default"/>
                <w:sz w:val="20"/>
                <w:szCs w:val="20"/>
              </w:rPr>
            </w:pPr>
            <w:r>
              <w:rPr>
                <w:rFonts w:ascii="宋体" w:hAnsi="宋体" w:cs="宋体" w:eastAsia="宋体" w:hint="default"/>
                <w:sz w:val="20"/>
                <w:szCs w:val="20"/>
              </w:rPr>
              <w:t>一种带密封功能的包装盒的印刷方</w:t>
            </w:r>
            <w:r>
              <w:rPr>
                <w:rFonts w:ascii="宋体" w:hAnsi="宋体" w:cs="宋体" w:eastAsia="宋体" w:hint="default"/>
                <w:w w:val="100"/>
                <w:sz w:val="20"/>
                <w:szCs w:val="20"/>
              </w:rPr>
              <w:t> </w:t>
            </w:r>
            <w:r>
              <w:rPr>
                <w:rFonts w:ascii="宋体" w:hAnsi="宋体" w:cs="宋体" w:eastAsia="宋体" w:hint="default"/>
                <w:sz w:val="20"/>
                <w:szCs w:val="20"/>
              </w:rPr>
              <w:t>法</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359"/>
              <w:jc w:val="right"/>
              <w:rPr>
                <w:rFonts w:ascii="宋体" w:hAnsi="宋体" w:cs="宋体" w:eastAsia="宋体" w:hint="default"/>
                <w:sz w:val="20"/>
                <w:szCs w:val="20"/>
              </w:rPr>
            </w:pPr>
            <w:r>
              <w:rPr>
                <w:rFonts w:ascii="宋体" w:hAnsi="宋体" w:cs="宋体" w:eastAsia="宋体" w:hint="default"/>
                <w:sz w:val="20"/>
                <w:szCs w:val="20"/>
              </w:rPr>
              <w:t>发明</w:t>
            </w:r>
          </w:p>
        </w:tc>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44"/>
              <w:jc w:val="right"/>
              <w:rPr>
                <w:rFonts w:ascii="宋体" w:hAnsi="宋体" w:cs="宋体" w:eastAsia="宋体" w:hint="default"/>
                <w:sz w:val="20"/>
                <w:szCs w:val="20"/>
              </w:rPr>
            </w:pPr>
            <w:r>
              <w:rPr>
                <w:rFonts w:ascii="宋体"/>
                <w:spacing w:val="-1"/>
                <w:sz w:val="20"/>
              </w:rPr>
              <w:t>201811615247.9</w:t>
            </w: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85"/>
              <w:jc w:val="right"/>
              <w:rPr>
                <w:rFonts w:ascii="宋体" w:hAnsi="宋体" w:cs="宋体" w:eastAsia="宋体" w:hint="default"/>
                <w:sz w:val="20"/>
                <w:szCs w:val="20"/>
              </w:rPr>
            </w:pPr>
            <w:r>
              <w:rPr>
                <w:rFonts w:ascii="宋体" w:hAnsi="宋体" w:cs="宋体" w:eastAsia="宋体" w:hint="default"/>
                <w:sz w:val="20"/>
                <w:szCs w:val="20"/>
              </w:rPr>
              <w:t>2018</w:t>
            </w:r>
            <w:r>
              <w:rPr>
                <w:rFonts w:ascii="宋体" w:hAnsi="宋体" w:cs="宋体" w:eastAsia="宋体" w:hint="default"/>
                <w:spacing w:val="-51"/>
                <w:sz w:val="20"/>
                <w:szCs w:val="20"/>
              </w:rPr>
              <w:t> </w:t>
            </w:r>
            <w:r>
              <w:rPr>
                <w:rFonts w:ascii="宋体" w:hAnsi="宋体" w:cs="宋体" w:eastAsia="宋体" w:hint="default"/>
                <w:sz w:val="20"/>
                <w:szCs w:val="20"/>
              </w:rPr>
              <w:t>年</w:t>
            </w:r>
            <w:r>
              <w:rPr>
                <w:rFonts w:ascii="宋体" w:hAnsi="宋体" w:cs="宋体" w:eastAsia="宋体" w:hint="default"/>
                <w:spacing w:val="-50"/>
                <w:sz w:val="20"/>
                <w:szCs w:val="20"/>
              </w:rPr>
              <w:t> </w:t>
            </w:r>
            <w:r>
              <w:rPr>
                <w:rFonts w:ascii="宋体" w:hAnsi="宋体" w:cs="宋体" w:eastAsia="宋体" w:hint="default"/>
                <w:sz w:val="20"/>
                <w:szCs w:val="20"/>
              </w:rPr>
              <w:t>12</w:t>
            </w:r>
            <w:r>
              <w:rPr>
                <w:rFonts w:ascii="宋体" w:hAnsi="宋体" w:cs="宋体" w:eastAsia="宋体" w:hint="default"/>
                <w:spacing w:val="-51"/>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宋体" w:hAnsi="宋体" w:cs="宋体" w:eastAsia="宋体" w:hint="default"/>
                <w:sz w:val="20"/>
                <w:szCs w:val="20"/>
              </w:rPr>
              <w:t>27</w:t>
            </w:r>
            <w:r>
              <w:rPr>
                <w:rFonts w:ascii="宋体" w:hAnsi="宋体" w:cs="宋体" w:eastAsia="宋体" w:hint="default"/>
                <w:spacing w:val="-49"/>
                <w:sz w:val="20"/>
                <w:szCs w:val="20"/>
              </w:rPr>
              <w:t> </w:t>
            </w:r>
            <w:r>
              <w:rPr>
                <w:rFonts w:ascii="宋体" w:hAnsi="宋体" w:cs="宋体" w:eastAsia="宋体" w:hint="default"/>
                <w:sz w:val="20"/>
                <w:szCs w:val="20"/>
              </w:rPr>
              <w:t>日</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贵州劲嘉</w:t>
            </w:r>
          </w:p>
        </w:tc>
      </w:tr>
      <w:tr>
        <w:trPr>
          <w:trHeight w:val="635" w:hRule="exact"/>
        </w:trPr>
        <w:tc>
          <w:tcPr>
            <w:tcW w:w="556"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 w:right="0"/>
              <w:jc w:val="center"/>
              <w:rPr>
                <w:rFonts w:ascii="宋体" w:hAnsi="宋体" w:cs="宋体" w:eastAsia="宋体" w:hint="default"/>
                <w:sz w:val="20"/>
                <w:szCs w:val="20"/>
              </w:rPr>
            </w:pPr>
            <w:r>
              <w:rPr>
                <w:rFonts w:ascii="宋体"/>
                <w:sz w:val="20"/>
              </w:rPr>
              <w:t>14</w:t>
            </w:r>
          </w:p>
        </w:tc>
        <w:tc>
          <w:tcPr>
            <w:tcW w:w="3381"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264"/>
              <w:jc w:val="left"/>
              <w:rPr>
                <w:rFonts w:ascii="宋体" w:hAnsi="宋体" w:cs="宋体" w:eastAsia="宋体" w:hint="default"/>
                <w:sz w:val="20"/>
                <w:szCs w:val="20"/>
              </w:rPr>
            </w:pPr>
            <w:r>
              <w:rPr>
                <w:rFonts w:ascii="宋体" w:hAnsi="宋体" w:cs="宋体" w:eastAsia="宋体" w:hint="default"/>
                <w:sz w:val="20"/>
                <w:szCs w:val="20"/>
              </w:rPr>
              <w:t>一种可提高油墨转移率的凹印油墨</w:t>
            </w:r>
            <w:r>
              <w:rPr>
                <w:rFonts w:ascii="宋体" w:hAnsi="宋体" w:cs="宋体" w:eastAsia="宋体" w:hint="default"/>
                <w:w w:val="100"/>
                <w:sz w:val="20"/>
                <w:szCs w:val="20"/>
              </w:rPr>
              <w:t> </w:t>
            </w:r>
            <w:r>
              <w:rPr>
                <w:rFonts w:ascii="宋体" w:hAnsi="宋体" w:cs="宋体" w:eastAsia="宋体" w:hint="default"/>
                <w:sz w:val="20"/>
                <w:szCs w:val="20"/>
              </w:rPr>
              <w:t>槽</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359"/>
              <w:jc w:val="right"/>
              <w:rPr>
                <w:rFonts w:ascii="宋体" w:hAnsi="宋体" w:cs="宋体" w:eastAsia="宋体" w:hint="default"/>
                <w:sz w:val="20"/>
                <w:szCs w:val="20"/>
              </w:rPr>
            </w:pPr>
            <w:r>
              <w:rPr>
                <w:rFonts w:ascii="宋体" w:hAnsi="宋体" w:cs="宋体" w:eastAsia="宋体" w:hint="default"/>
                <w:sz w:val="20"/>
                <w:szCs w:val="20"/>
              </w:rPr>
              <w:t>发明</w:t>
            </w:r>
          </w:p>
        </w:tc>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144"/>
              <w:jc w:val="right"/>
              <w:rPr>
                <w:rFonts w:ascii="宋体" w:hAnsi="宋体" w:cs="宋体" w:eastAsia="宋体" w:hint="default"/>
                <w:sz w:val="20"/>
                <w:szCs w:val="20"/>
              </w:rPr>
            </w:pPr>
            <w:r>
              <w:rPr>
                <w:rFonts w:ascii="宋体"/>
                <w:spacing w:val="-1"/>
                <w:sz w:val="20"/>
              </w:rPr>
              <w:t>201811612976.9</w:t>
            </w: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185"/>
              <w:jc w:val="right"/>
              <w:rPr>
                <w:rFonts w:ascii="宋体" w:hAnsi="宋体" w:cs="宋体" w:eastAsia="宋体" w:hint="default"/>
                <w:sz w:val="20"/>
                <w:szCs w:val="20"/>
              </w:rPr>
            </w:pPr>
            <w:r>
              <w:rPr>
                <w:rFonts w:ascii="宋体" w:hAnsi="宋体" w:cs="宋体" w:eastAsia="宋体" w:hint="default"/>
                <w:sz w:val="20"/>
                <w:szCs w:val="20"/>
              </w:rPr>
              <w:t>2018</w:t>
            </w:r>
            <w:r>
              <w:rPr>
                <w:rFonts w:ascii="宋体" w:hAnsi="宋体" w:cs="宋体" w:eastAsia="宋体" w:hint="default"/>
                <w:spacing w:val="-51"/>
                <w:sz w:val="20"/>
                <w:szCs w:val="20"/>
              </w:rPr>
              <w:t> </w:t>
            </w:r>
            <w:r>
              <w:rPr>
                <w:rFonts w:ascii="宋体" w:hAnsi="宋体" w:cs="宋体" w:eastAsia="宋体" w:hint="default"/>
                <w:sz w:val="20"/>
                <w:szCs w:val="20"/>
              </w:rPr>
              <w:t>年</w:t>
            </w:r>
            <w:r>
              <w:rPr>
                <w:rFonts w:ascii="宋体" w:hAnsi="宋体" w:cs="宋体" w:eastAsia="宋体" w:hint="default"/>
                <w:spacing w:val="-50"/>
                <w:sz w:val="20"/>
                <w:szCs w:val="20"/>
              </w:rPr>
              <w:t> </w:t>
            </w:r>
            <w:r>
              <w:rPr>
                <w:rFonts w:ascii="宋体" w:hAnsi="宋体" w:cs="宋体" w:eastAsia="宋体" w:hint="default"/>
                <w:sz w:val="20"/>
                <w:szCs w:val="20"/>
              </w:rPr>
              <w:t>12</w:t>
            </w:r>
            <w:r>
              <w:rPr>
                <w:rFonts w:ascii="宋体" w:hAnsi="宋体" w:cs="宋体" w:eastAsia="宋体" w:hint="default"/>
                <w:spacing w:val="-51"/>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宋体" w:hAnsi="宋体" w:cs="宋体" w:eastAsia="宋体" w:hint="default"/>
                <w:sz w:val="20"/>
                <w:szCs w:val="20"/>
              </w:rPr>
              <w:t>27</w:t>
            </w:r>
            <w:r>
              <w:rPr>
                <w:rFonts w:ascii="宋体" w:hAnsi="宋体" w:cs="宋体" w:eastAsia="宋体" w:hint="default"/>
                <w:spacing w:val="-49"/>
                <w:sz w:val="20"/>
                <w:szCs w:val="20"/>
              </w:rPr>
              <w:t> </w:t>
            </w:r>
            <w:r>
              <w:rPr>
                <w:rFonts w:ascii="宋体" w:hAnsi="宋体" w:cs="宋体" w:eastAsia="宋体" w:hint="default"/>
                <w:sz w:val="20"/>
                <w:szCs w:val="20"/>
              </w:rPr>
              <w:t>日</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0"/>
                <w:szCs w:val="20"/>
              </w:rPr>
            </w:pPr>
            <w:r>
              <w:rPr>
                <w:rFonts w:ascii="宋体" w:hAnsi="宋体" w:cs="宋体" w:eastAsia="宋体" w:hint="default"/>
                <w:sz w:val="20"/>
                <w:szCs w:val="20"/>
              </w:rPr>
              <w:t>贵州劲嘉</w:t>
            </w:r>
          </w:p>
        </w:tc>
      </w:tr>
      <w:tr>
        <w:trPr>
          <w:trHeight w:val="634" w:hRule="exact"/>
        </w:trPr>
        <w:tc>
          <w:tcPr>
            <w:tcW w:w="55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 w:right="0"/>
              <w:jc w:val="center"/>
              <w:rPr>
                <w:rFonts w:ascii="宋体" w:hAnsi="宋体" w:cs="宋体" w:eastAsia="宋体" w:hint="default"/>
                <w:sz w:val="20"/>
                <w:szCs w:val="20"/>
              </w:rPr>
            </w:pPr>
            <w:r>
              <w:rPr>
                <w:rFonts w:ascii="宋体"/>
                <w:sz w:val="20"/>
              </w:rPr>
              <w:t>15</w:t>
            </w:r>
          </w:p>
        </w:tc>
        <w:tc>
          <w:tcPr>
            <w:tcW w:w="3381"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264"/>
              <w:jc w:val="left"/>
              <w:rPr>
                <w:rFonts w:ascii="宋体" w:hAnsi="宋体" w:cs="宋体" w:eastAsia="宋体" w:hint="default"/>
                <w:sz w:val="20"/>
                <w:szCs w:val="20"/>
              </w:rPr>
            </w:pPr>
            <w:r>
              <w:rPr>
                <w:rFonts w:ascii="宋体" w:hAnsi="宋体" w:cs="宋体" w:eastAsia="宋体" w:hint="default"/>
                <w:sz w:val="20"/>
                <w:szCs w:val="20"/>
              </w:rPr>
              <w:t>一种实现包装盒重复开合密封性能</w:t>
            </w:r>
            <w:r>
              <w:rPr>
                <w:rFonts w:ascii="宋体" w:hAnsi="宋体" w:cs="宋体" w:eastAsia="宋体" w:hint="default"/>
                <w:w w:val="100"/>
                <w:sz w:val="20"/>
                <w:szCs w:val="20"/>
              </w:rPr>
              <w:t> </w:t>
            </w:r>
            <w:r>
              <w:rPr>
                <w:rFonts w:ascii="宋体" w:hAnsi="宋体" w:cs="宋体" w:eastAsia="宋体" w:hint="default"/>
                <w:sz w:val="20"/>
                <w:szCs w:val="20"/>
              </w:rPr>
              <w:t>的印刷方法</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359"/>
              <w:jc w:val="right"/>
              <w:rPr>
                <w:rFonts w:ascii="宋体" w:hAnsi="宋体" w:cs="宋体" w:eastAsia="宋体" w:hint="default"/>
                <w:sz w:val="20"/>
                <w:szCs w:val="20"/>
              </w:rPr>
            </w:pPr>
            <w:r>
              <w:rPr>
                <w:rFonts w:ascii="宋体" w:hAnsi="宋体" w:cs="宋体" w:eastAsia="宋体" w:hint="default"/>
                <w:sz w:val="20"/>
                <w:szCs w:val="20"/>
              </w:rPr>
              <w:t>发明</w:t>
            </w:r>
          </w:p>
        </w:tc>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44"/>
              <w:jc w:val="right"/>
              <w:rPr>
                <w:rFonts w:ascii="宋体" w:hAnsi="宋体" w:cs="宋体" w:eastAsia="宋体" w:hint="default"/>
                <w:sz w:val="20"/>
                <w:szCs w:val="20"/>
              </w:rPr>
            </w:pPr>
            <w:r>
              <w:rPr>
                <w:rFonts w:ascii="宋体"/>
                <w:spacing w:val="-1"/>
                <w:sz w:val="20"/>
              </w:rPr>
              <w:t>201811612964.6</w:t>
            </w: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85"/>
              <w:jc w:val="right"/>
              <w:rPr>
                <w:rFonts w:ascii="宋体" w:hAnsi="宋体" w:cs="宋体" w:eastAsia="宋体" w:hint="default"/>
                <w:sz w:val="20"/>
                <w:szCs w:val="20"/>
              </w:rPr>
            </w:pPr>
            <w:r>
              <w:rPr>
                <w:rFonts w:ascii="宋体" w:hAnsi="宋体" w:cs="宋体" w:eastAsia="宋体" w:hint="default"/>
                <w:sz w:val="20"/>
                <w:szCs w:val="20"/>
              </w:rPr>
              <w:t>2018</w:t>
            </w:r>
            <w:r>
              <w:rPr>
                <w:rFonts w:ascii="宋体" w:hAnsi="宋体" w:cs="宋体" w:eastAsia="宋体" w:hint="default"/>
                <w:spacing w:val="-51"/>
                <w:sz w:val="20"/>
                <w:szCs w:val="20"/>
              </w:rPr>
              <w:t> </w:t>
            </w:r>
            <w:r>
              <w:rPr>
                <w:rFonts w:ascii="宋体" w:hAnsi="宋体" w:cs="宋体" w:eastAsia="宋体" w:hint="default"/>
                <w:sz w:val="20"/>
                <w:szCs w:val="20"/>
              </w:rPr>
              <w:t>年</w:t>
            </w:r>
            <w:r>
              <w:rPr>
                <w:rFonts w:ascii="宋体" w:hAnsi="宋体" w:cs="宋体" w:eastAsia="宋体" w:hint="default"/>
                <w:spacing w:val="-50"/>
                <w:sz w:val="20"/>
                <w:szCs w:val="20"/>
              </w:rPr>
              <w:t> </w:t>
            </w:r>
            <w:r>
              <w:rPr>
                <w:rFonts w:ascii="宋体" w:hAnsi="宋体" w:cs="宋体" w:eastAsia="宋体" w:hint="default"/>
                <w:sz w:val="20"/>
                <w:szCs w:val="20"/>
              </w:rPr>
              <w:t>12</w:t>
            </w:r>
            <w:r>
              <w:rPr>
                <w:rFonts w:ascii="宋体" w:hAnsi="宋体" w:cs="宋体" w:eastAsia="宋体" w:hint="default"/>
                <w:spacing w:val="-51"/>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宋体" w:hAnsi="宋体" w:cs="宋体" w:eastAsia="宋体" w:hint="default"/>
                <w:sz w:val="20"/>
                <w:szCs w:val="20"/>
              </w:rPr>
              <w:t>27</w:t>
            </w:r>
            <w:r>
              <w:rPr>
                <w:rFonts w:ascii="宋体" w:hAnsi="宋体" w:cs="宋体" w:eastAsia="宋体" w:hint="default"/>
                <w:spacing w:val="-49"/>
                <w:sz w:val="20"/>
                <w:szCs w:val="20"/>
              </w:rPr>
              <w:t> </w:t>
            </w:r>
            <w:r>
              <w:rPr>
                <w:rFonts w:ascii="宋体" w:hAnsi="宋体" w:cs="宋体" w:eastAsia="宋体" w:hint="default"/>
                <w:sz w:val="20"/>
                <w:szCs w:val="20"/>
              </w:rPr>
              <w:t>日</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贵州劲嘉</w:t>
            </w:r>
          </w:p>
        </w:tc>
      </w:tr>
      <w:tr>
        <w:trPr>
          <w:trHeight w:val="634" w:hRule="exact"/>
        </w:trPr>
        <w:tc>
          <w:tcPr>
            <w:tcW w:w="55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 w:right="0"/>
              <w:jc w:val="center"/>
              <w:rPr>
                <w:rFonts w:ascii="宋体" w:hAnsi="宋体" w:cs="宋体" w:eastAsia="宋体" w:hint="default"/>
                <w:sz w:val="20"/>
                <w:szCs w:val="20"/>
              </w:rPr>
            </w:pPr>
            <w:r>
              <w:rPr>
                <w:rFonts w:ascii="宋体"/>
                <w:sz w:val="20"/>
              </w:rPr>
              <w:t>16</w:t>
            </w:r>
          </w:p>
        </w:tc>
        <w:tc>
          <w:tcPr>
            <w:tcW w:w="3381"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165"/>
              <w:jc w:val="left"/>
              <w:rPr>
                <w:rFonts w:ascii="宋体" w:hAnsi="宋体" w:cs="宋体" w:eastAsia="宋体" w:hint="default"/>
                <w:sz w:val="20"/>
                <w:szCs w:val="20"/>
              </w:rPr>
            </w:pPr>
            <w:r>
              <w:rPr>
                <w:rFonts w:ascii="宋体" w:hAnsi="宋体" w:cs="宋体" w:eastAsia="宋体" w:hint="default"/>
                <w:sz w:val="20"/>
                <w:szCs w:val="20"/>
              </w:rPr>
              <w:t>一种凹印连线印刷免打底</w:t>
            </w:r>
            <w:r>
              <w:rPr>
                <w:rFonts w:ascii="宋体" w:hAnsi="宋体" w:cs="宋体" w:eastAsia="宋体" w:hint="default"/>
                <w:spacing w:val="-53"/>
                <w:sz w:val="20"/>
                <w:szCs w:val="20"/>
              </w:rPr>
              <w:t> </w:t>
            </w:r>
            <w:r>
              <w:rPr>
                <w:rFonts w:ascii="宋体" w:hAnsi="宋体" w:cs="宋体" w:eastAsia="宋体" w:hint="default"/>
                <w:sz w:val="20"/>
                <w:szCs w:val="20"/>
              </w:rPr>
              <w:t>UV</w:t>
            </w:r>
            <w:r>
              <w:rPr>
                <w:rFonts w:ascii="宋体" w:hAnsi="宋体" w:cs="宋体" w:eastAsia="宋体" w:hint="default"/>
                <w:spacing w:val="-51"/>
                <w:sz w:val="20"/>
                <w:szCs w:val="20"/>
              </w:rPr>
              <w:t> </w:t>
            </w:r>
            <w:r>
              <w:rPr>
                <w:rFonts w:ascii="宋体" w:hAnsi="宋体" w:cs="宋体" w:eastAsia="宋体" w:hint="default"/>
                <w:sz w:val="20"/>
                <w:szCs w:val="20"/>
              </w:rPr>
              <w:t>上光油</w:t>
            </w:r>
            <w:r>
              <w:rPr>
                <w:rFonts w:ascii="宋体" w:hAnsi="宋体" w:cs="宋体" w:eastAsia="宋体" w:hint="default"/>
                <w:w w:val="100"/>
                <w:sz w:val="20"/>
                <w:szCs w:val="20"/>
              </w:rPr>
              <w:t> </w:t>
            </w:r>
            <w:r>
              <w:rPr>
                <w:rFonts w:ascii="宋体" w:hAnsi="宋体" w:cs="宋体" w:eastAsia="宋体" w:hint="default"/>
                <w:sz w:val="20"/>
                <w:szCs w:val="20"/>
              </w:rPr>
              <w:t>和印刷方法</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359"/>
              <w:jc w:val="right"/>
              <w:rPr>
                <w:rFonts w:ascii="宋体" w:hAnsi="宋体" w:cs="宋体" w:eastAsia="宋体" w:hint="default"/>
                <w:sz w:val="20"/>
                <w:szCs w:val="20"/>
              </w:rPr>
            </w:pPr>
            <w:r>
              <w:rPr>
                <w:rFonts w:ascii="宋体" w:hAnsi="宋体" w:cs="宋体" w:eastAsia="宋体" w:hint="default"/>
                <w:sz w:val="20"/>
                <w:szCs w:val="20"/>
              </w:rPr>
              <w:t>发明</w:t>
            </w:r>
          </w:p>
        </w:tc>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44"/>
              <w:jc w:val="right"/>
              <w:rPr>
                <w:rFonts w:ascii="宋体" w:hAnsi="宋体" w:cs="宋体" w:eastAsia="宋体" w:hint="default"/>
                <w:sz w:val="20"/>
                <w:szCs w:val="20"/>
              </w:rPr>
            </w:pPr>
            <w:r>
              <w:rPr>
                <w:rFonts w:ascii="宋体"/>
                <w:spacing w:val="-1"/>
                <w:sz w:val="20"/>
              </w:rPr>
              <w:t>201811639250.4</w:t>
            </w: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85"/>
              <w:jc w:val="right"/>
              <w:rPr>
                <w:rFonts w:ascii="宋体" w:hAnsi="宋体" w:cs="宋体" w:eastAsia="宋体" w:hint="default"/>
                <w:sz w:val="20"/>
                <w:szCs w:val="20"/>
              </w:rPr>
            </w:pPr>
            <w:r>
              <w:rPr>
                <w:rFonts w:ascii="宋体" w:hAnsi="宋体" w:cs="宋体" w:eastAsia="宋体" w:hint="default"/>
                <w:sz w:val="20"/>
                <w:szCs w:val="20"/>
              </w:rPr>
              <w:t>2018</w:t>
            </w:r>
            <w:r>
              <w:rPr>
                <w:rFonts w:ascii="宋体" w:hAnsi="宋体" w:cs="宋体" w:eastAsia="宋体" w:hint="default"/>
                <w:spacing w:val="-51"/>
                <w:sz w:val="20"/>
                <w:szCs w:val="20"/>
              </w:rPr>
              <w:t> </w:t>
            </w:r>
            <w:r>
              <w:rPr>
                <w:rFonts w:ascii="宋体" w:hAnsi="宋体" w:cs="宋体" w:eastAsia="宋体" w:hint="default"/>
                <w:sz w:val="20"/>
                <w:szCs w:val="20"/>
              </w:rPr>
              <w:t>年</w:t>
            </w:r>
            <w:r>
              <w:rPr>
                <w:rFonts w:ascii="宋体" w:hAnsi="宋体" w:cs="宋体" w:eastAsia="宋体" w:hint="default"/>
                <w:spacing w:val="-50"/>
                <w:sz w:val="20"/>
                <w:szCs w:val="20"/>
              </w:rPr>
              <w:t> </w:t>
            </w:r>
            <w:r>
              <w:rPr>
                <w:rFonts w:ascii="宋体" w:hAnsi="宋体" w:cs="宋体" w:eastAsia="宋体" w:hint="default"/>
                <w:sz w:val="20"/>
                <w:szCs w:val="20"/>
              </w:rPr>
              <w:t>12</w:t>
            </w:r>
            <w:r>
              <w:rPr>
                <w:rFonts w:ascii="宋体" w:hAnsi="宋体" w:cs="宋体" w:eastAsia="宋体" w:hint="default"/>
                <w:spacing w:val="-51"/>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宋体" w:hAnsi="宋体" w:cs="宋体" w:eastAsia="宋体" w:hint="default"/>
                <w:sz w:val="20"/>
                <w:szCs w:val="20"/>
              </w:rPr>
              <w:t>29</w:t>
            </w:r>
            <w:r>
              <w:rPr>
                <w:rFonts w:ascii="宋体" w:hAnsi="宋体" w:cs="宋体" w:eastAsia="宋体" w:hint="default"/>
                <w:spacing w:val="-49"/>
                <w:sz w:val="20"/>
                <w:szCs w:val="20"/>
              </w:rPr>
              <w:t> </w:t>
            </w:r>
            <w:r>
              <w:rPr>
                <w:rFonts w:ascii="宋体" w:hAnsi="宋体" w:cs="宋体" w:eastAsia="宋体" w:hint="default"/>
                <w:sz w:val="20"/>
                <w:szCs w:val="20"/>
              </w:rPr>
              <w:t>日</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贵州劲嘉</w:t>
            </w:r>
          </w:p>
        </w:tc>
      </w:tr>
      <w:tr>
        <w:trPr>
          <w:trHeight w:val="371" w:hRule="exact"/>
        </w:trPr>
        <w:tc>
          <w:tcPr>
            <w:tcW w:w="556"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 w:right="0"/>
              <w:jc w:val="center"/>
              <w:rPr>
                <w:rFonts w:ascii="宋体" w:hAnsi="宋体" w:cs="宋体" w:eastAsia="宋体" w:hint="default"/>
                <w:sz w:val="20"/>
                <w:szCs w:val="20"/>
              </w:rPr>
            </w:pPr>
            <w:r>
              <w:rPr>
                <w:rFonts w:ascii="宋体"/>
                <w:sz w:val="20"/>
              </w:rPr>
              <w:t>17</w:t>
            </w:r>
          </w:p>
        </w:tc>
        <w:tc>
          <w:tcPr>
            <w:tcW w:w="338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0"/>
                <w:szCs w:val="20"/>
              </w:rPr>
            </w:pPr>
            <w:r>
              <w:rPr>
                <w:rFonts w:ascii="宋体" w:hAnsi="宋体" w:cs="宋体" w:eastAsia="宋体" w:hint="default"/>
                <w:sz w:val="20"/>
                <w:szCs w:val="20"/>
              </w:rPr>
              <w:t>一种淡化光刻图案边缘痕迹的方法</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359"/>
              <w:jc w:val="right"/>
              <w:rPr>
                <w:rFonts w:ascii="宋体" w:hAnsi="宋体" w:cs="宋体" w:eastAsia="宋体" w:hint="default"/>
                <w:sz w:val="20"/>
                <w:szCs w:val="20"/>
              </w:rPr>
            </w:pPr>
            <w:r>
              <w:rPr>
                <w:rFonts w:ascii="宋体" w:hAnsi="宋体" w:cs="宋体" w:eastAsia="宋体" w:hint="default"/>
                <w:sz w:val="20"/>
                <w:szCs w:val="20"/>
              </w:rPr>
              <w:t>发明</w:t>
            </w:r>
          </w:p>
        </w:tc>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144"/>
              <w:jc w:val="right"/>
              <w:rPr>
                <w:rFonts w:ascii="宋体" w:hAnsi="宋体" w:cs="宋体" w:eastAsia="宋体" w:hint="default"/>
                <w:sz w:val="20"/>
                <w:szCs w:val="20"/>
              </w:rPr>
            </w:pPr>
            <w:r>
              <w:rPr>
                <w:rFonts w:ascii="宋体"/>
                <w:spacing w:val="-1"/>
                <w:sz w:val="20"/>
              </w:rPr>
              <w:t>201811242387.6</w:t>
            </w: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185"/>
              <w:jc w:val="right"/>
              <w:rPr>
                <w:rFonts w:ascii="宋体" w:hAnsi="宋体" w:cs="宋体" w:eastAsia="宋体" w:hint="default"/>
                <w:sz w:val="20"/>
                <w:szCs w:val="20"/>
              </w:rPr>
            </w:pPr>
            <w:r>
              <w:rPr>
                <w:rFonts w:ascii="宋体" w:hAnsi="宋体" w:cs="宋体" w:eastAsia="宋体" w:hint="default"/>
                <w:sz w:val="20"/>
                <w:szCs w:val="20"/>
              </w:rPr>
              <w:t>2018</w:t>
            </w:r>
            <w:r>
              <w:rPr>
                <w:rFonts w:ascii="宋体" w:hAnsi="宋体" w:cs="宋体" w:eastAsia="宋体" w:hint="default"/>
                <w:spacing w:val="-51"/>
                <w:sz w:val="20"/>
                <w:szCs w:val="20"/>
              </w:rPr>
              <w:t> </w:t>
            </w:r>
            <w:r>
              <w:rPr>
                <w:rFonts w:ascii="宋体" w:hAnsi="宋体" w:cs="宋体" w:eastAsia="宋体" w:hint="default"/>
                <w:sz w:val="20"/>
                <w:szCs w:val="20"/>
              </w:rPr>
              <w:t>年</w:t>
            </w:r>
            <w:r>
              <w:rPr>
                <w:rFonts w:ascii="宋体" w:hAnsi="宋体" w:cs="宋体" w:eastAsia="宋体" w:hint="default"/>
                <w:spacing w:val="-50"/>
                <w:sz w:val="20"/>
                <w:szCs w:val="20"/>
              </w:rPr>
              <w:t> </w:t>
            </w:r>
            <w:r>
              <w:rPr>
                <w:rFonts w:ascii="宋体" w:hAnsi="宋体" w:cs="宋体" w:eastAsia="宋体" w:hint="default"/>
                <w:sz w:val="20"/>
                <w:szCs w:val="20"/>
              </w:rPr>
              <w:t>10</w:t>
            </w:r>
            <w:r>
              <w:rPr>
                <w:rFonts w:ascii="宋体" w:hAnsi="宋体" w:cs="宋体" w:eastAsia="宋体" w:hint="default"/>
                <w:spacing w:val="-51"/>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宋体" w:hAnsi="宋体" w:cs="宋体" w:eastAsia="宋体" w:hint="default"/>
                <w:sz w:val="20"/>
                <w:szCs w:val="20"/>
              </w:rPr>
              <w:t>24</w:t>
            </w:r>
            <w:r>
              <w:rPr>
                <w:rFonts w:ascii="宋体" w:hAnsi="宋体" w:cs="宋体" w:eastAsia="宋体" w:hint="default"/>
                <w:spacing w:val="-49"/>
                <w:sz w:val="20"/>
                <w:szCs w:val="20"/>
              </w:rPr>
              <w:t> </w:t>
            </w:r>
            <w:r>
              <w:rPr>
                <w:rFonts w:ascii="宋体" w:hAnsi="宋体" w:cs="宋体" w:eastAsia="宋体" w:hint="default"/>
                <w:sz w:val="20"/>
                <w:szCs w:val="20"/>
              </w:rPr>
              <w:t>日</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0"/>
                <w:szCs w:val="20"/>
              </w:rPr>
            </w:pPr>
            <w:r>
              <w:rPr>
                <w:rFonts w:ascii="宋体" w:hAnsi="宋体" w:cs="宋体" w:eastAsia="宋体" w:hint="default"/>
                <w:sz w:val="20"/>
                <w:szCs w:val="20"/>
              </w:rPr>
              <w:t>嘉颐泽</w:t>
            </w:r>
          </w:p>
        </w:tc>
      </w:tr>
      <w:tr>
        <w:trPr>
          <w:trHeight w:val="370" w:hRule="exact"/>
        </w:trPr>
        <w:tc>
          <w:tcPr>
            <w:tcW w:w="55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 w:right="0"/>
              <w:jc w:val="center"/>
              <w:rPr>
                <w:rFonts w:ascii="宋体" w:hAnsi="宋体" w:cs="宋体" w:eastAsia="宋体" w:hint="default"/>
                <w:sz w:val="20"/>
                <w:szCs w:val="20"/>
              </w:rPr>
            </w:pPr>
            <w:r>
              <w:rPr>
                <w:rFonts w:ascii="宋体"/>
                <w:sz w:val="20"/>
              </w:rPr>
              <w:t>18</w:t>
            </w:r>
          </w:p>
        </w:tc>
        <w:tc>
          <w:tcPr>
            <w:tcW w:w="3381"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凹印机自动检测多级分料设备</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359"/>
              <w:jc w:val="right"/>
              <w:rPr>
                <w:rFonts w:ascii="宋体" w:hAnsi="宋体" w:cs="宋体" w:eastAsia="宋体" w:hint="default"/>
                <w:sz w:val="20"/>
                <w:szCs w:val="20"/>
              </w:rPr>
            </w:pPr>
            <w:r>
              <w:rPr>
                <w:rFonts w:ascii="宋体" w:hAnsi="宋体" w:cs="宋体" w:eastAsia="宋体" w:hint="default"/>
                <w:sz w:val="20"/>
                <w:szCs w:val="20"/>
              </w:rPr>
              <w:t>发明</w:t>
            </w:r>
          </w:p>
        </w:tc>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44"/>
              <w:jc w:val="right"/>
              <w:rPr>
                <w:rFonts w:ascii="宋体" w:hAnsi="宋体" w:cs="宋体" w:eastAsia="宋体" w:hint="default"/>
                <w:sz w:val="20"/>
                <w:szCs w:val="20"/>
              </w:rPr>
            </w:pPr>
            <w:r>
              <w:rPr>
                <w:rFonts w:ascii="宋体"/>
                <w:spacing w:val="-1"/>
                <w:sz w:val="20"/>
              </w:rPr>
              <w:t>201810008407.7</w:t>
            </w: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85"/>
              <w:jc w:val="right"/>
              <w:rPr>
                <w:rFonts w:ascii="宋体" w:hAnsi="宋体" w:cs="宋体" w:eastAsia="宋体" w:hint="default"/>
                <w:sz w:val="20"/>
                <w:szCs w:val="20"/>
              </w:rPr>
            </w:pPr>
            <w:r>
              <w:rPr>
                <w:rFonts w:ascii="宋体" w:hAnsi="宋体" w:cs="宋体" w:eastAsia="宋体" w:hint="default"/>
                <w:sz w:val="20"/>
                <w:szCs w:val="20"/>
              </w:rPr>
              <w:t>2018</w:t>
            </w:r>
            <w:r>
              <w:rPr>
                <w:rFonts w:ascii="宋体" w:hAnsi="宋体" w:cs="宋体" w:eastAsia="宋体" w:hint="default"/>
                <w:spacing w:val="-51"/>
                <w:sz w:val="20"/>
                <w:szCs w:val="20"/>
              </w:rPr>
              <w:t> </w:t>
            </w:r>
            <w:r>
              <w:rPr>
                <w:rFonts w:ascii="宋体" w:hAnsi="宋体" w:cs="宋体" w:eastAsia="宋体" w:hint="default"/>
                <w:sz w:val="20"/>
                <w:szCs w:val="20"/>
              </w:rPr>
              <w:t>年</w:t>
            </w:r>
            <w:r>
              <w:rPr>
                <w:rFonts w:ascii="宋体" w:hAnsi="宋体" w:cs="宋体" w:eastAsia="宋体" w:hint="default"/>
                <w:spacing w:val="-50"/>
                <w:sz w:val="20"/>
                <w:szCs w:val="20"/>
              </w:rPr>
              <w:t> </w:t>
            </w:r>
            <w:r>
              <w:rPr>
                <w:rFonts w:ascii="宋体" w:hAnsi="宋体" w:cs="宋体" w:eastAsia="宋体" w:hint="default"/>
                <w:sz w:val="20"/>
                <w:szCs w:val="20"/>
              </w:rPr>
              <w:t>01</w:t>
            </w:r>
            <w:r>
              <w:rPr>
                <w:rFonts w:ascii="宋体" w:hAnsi="宋体" w:cs="宋体" w:eastAsia="宋体" w:hint="default"/>
                <w:spacing w:val="-51"/>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宋体" w:hAnsi="宋体" w:cs="宋体" w:eastAsia="宋体" w:hint="default"/>
                <w:sz w:val="20"/>
                <w:szCs w:val="20"/>
              </w:rPr>
              <w:t>04</w:t>
            </w:r>
            <w:r>
              <w:rPr>
                <w:rFonts w:ascii="宋体" w:hAnsi="宋体" w:cs="宋体" w:eastAsia="宋体" w:hint="default"/>
                <w:spacing w:val="-49"/>
                <w:sz w:val="20"/>
                <w:szCs w:val="20"/>
              </w:rPr>
              <w:t> </w:t>
            </w:r>
            <w:r>
              <w:rPr>
                <w:rFonts w:ascii="宋体" w:hAnsi="宋体" w:cs="宋体" w:eastAsia="宋体" w:hint="default"/>
                <w:sz w:val="20"/>
                <w:szCs w:val="20"/>
              </w:rPr>
              <w:t>日</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江苏劲嘉</w:t>
            </w:r>
          </w:p>
        </w:tc>
      </w:tr>
      <w:tr>
        <w:trPr>
          <w:trHeight w:val="370" w:hRule="exact"/>
        </w:trPr>
        <w:tc>
          <w:tcPr>
            <w:tcW w:w="55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 w:right="0"/>
              <w:jc w:val="center"/>
              <w:rPr>
                <w:rFonts w:ascii="宋体" w:hAnsi="宋体" w:cs="宋体" w:eastAsia="宋体" w:hint="default"/>
                <w:sz w:val="20"/>
                <w:szCs w:val="20"/>
              </w:rPr>
            </w:pPr>
            <w:r>
              <w:rPr>
                <w:rFonts w:ascii="宋体"/>
                <w:sz w:val="20"/>
              </w:rPr>
              <w:t>19</w:t>
            </w:r>
          </w:p>
        </w:tc>
        <w:tc>
          <w:tcPr>
            <w:tcW w:w="3381"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一种新型丝网机多用途烘道</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359"/>
              <w:jc w:val="right"/>
              <w:rPr>
                <w:rFonts w:ascii="宋体" w:hAnsi="宋体" w:cs="宋体" w:eastAsia="宋体" w:hint="default"/>
                <w:sz w:val="20"/>
                <w:szCs w:val="20"/>
              </w:rPr>
            </w:pPr>
            <w:r>
              <w:rPr>
                <w:rFonts w:ascii="宋体" w:hAnsi="宋体" w:cs="宋体" w:eastAsia="宋体" w:hint="default"/>
                <w:sz w:val="20"/>
                <w:szCs w:val="20"/>
              </w:rPr>
              <w:t>发明</w:t>
            </w:r>
          </w:p>
        </w:tc>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44"/>
              <w:jc w:val="right"/>
              <w:rPr>
                <w:rFonts w:ascii="宋体" w:hAnsi="宋体" w:cs="宋体" w:eastAsia="宋体" w:hint="default"/>
                <w:sz w:val="20"/>
                <w:szCs w:val="20"/>
              </w:rPr>
            </w:pPr>
            <w:r>
              <w:rPr>
                <w:rFonts w:ascii="宋体"/>
                <w:spacing w:val="-1"/>
                <w:sz w:val="20"/>
              </w:rPr>
              <w:t>201810007194.6</w:t>
            </w: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85"/>
              <w:jc w:val="right"/>
              <w:rPr>
                <w:rFonts w:ascii="宋体" w:hAnsi="宋体" w:cs="宋体" w:eastAsia="宋体" w:hint="default"/>
                <w:sz w:val="20"/>
                <w:szCs w:val="20"/>
              </w:rPr>
            </w:pPr>
            <w:r>
              <w:rPr>
                <w:rFonts w:ascii="宋体" w:hAnsi="宋体" w:cs="宋体" w:eastAsia="宋体" w:hint="default"/>
                <w:sz w:val="20"/>
                <w:szCs w:val="20"/>
              </w:rPr>
              <w:t>2018</w:t>
            </w:r>
            <w:r>
              <w:rPr>
                <w:rFonts w:ascii="宋体" w:hAnsi="宋体" w:cs="宋体" w:eastAsia="宋体" w:hint="default"/>
                <w:spacing w:val="-51"/>
                <w:sz w:val="20"/>
                <w:szCs w:val="20"/>
              </w:rPr>
              <w:t> </w:t>
            </w:r>
            <w:r>
              <w:rPr>
                <w:rFonts w:ascii="宋体" w:hAnsi="宋体" w:cs="宋体" w:eastAsia="宋体" w:hint="default"/>
                <w:sz w:val="20"/>
                <w:szCs w:val="20"/>
              </w:rPr>
              <w:t>年</w:t>
            </w:r>
            <w:r>
              <w:rPr>
                <w:rFonts w:ascii="宋体" w:hAnsi="宋体" w:cs="宋体" w:eastAsia="宋体" w:hint="default"/>
                <w:spacing w:val="-50"/>
                <w:sz w:val="20"/>
                <w:szCs w:val="20"/>
              </w:rPr>
              <w:t> </w:t>
            </w:r>
            <w:r>
              <w:rPr>
                <w:rFonts w:ascii="宋体" w:hAnsi="宋体" w:cs="宋体" w:eastAsia="宋体" w:hint="default"/>
                <w:sz w:val="20"/>
                <w:szCs w:val="20"/>
              </w:rPr>
              <w:t>01</w:t>
            </w:r>
            <w:r>
              <w:rPr>
                <w:rFonts w:ascii="宋体" w:hAnsi="宋体" w:cs="宋体" w:eastAsia="宋体" w:hint="default"/>
                <w:spacing w:val="-51"/>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宋体" w:hAnsi="宋体" w:cs="宋体" w:eastAsia="宋体" w:hint="default"/>
                <w:sz w:val="20"/>
                <w:szCs w:val="20"/>
              </w:rPr>
              <w:t>04</w:t>
            </w:r>
            <w:r>
              <w:rPr>
                <w:rFonts w:ascii="宋体" w:hAnsi="宋体" w:cs="宋体" w:eastAsia="宋体" w:hint="default"/>
                <w:spacing w:val="-49"/>
                <w:sz w:val="20"/>
                <w:szCs w:val="20"/>
              </w:rPr>
              <w:t> </w:t>
            </w:r>
            <w:r>
              <w:rPr>
                <w:rFonts w:ascii="宋体" w:hAnsi="宋体" w:cs="宋体" w:eastAsia="宋体" w:hint="default"/>
                <w:sz w:val="20"/>
                <w:szCs w:val="20"/>
              </w:rPr>
              <w:t>日</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江苏劲嘉</w:t>
            </w:r>
          </w:p>
        </w:tc>
      </w:tr>
      <w:tr>
        <w:trPr>
          <w:trHeight w:val="371" w:hRule="exact"/>
        </w:trPr>
        <w:tc>
          <w:tcPr>
            <w:tcW w:w="556"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 w:right="0"/>
              <w:jc w:val="center"/>
              <w:rPr>
                <w:rFonts w:ascii="宋体" w:hAnsi="宋体" w:cs="宋体" w:eastAsia="宋体" w:hint="default"/>
                <w:sz w:val="20"/>
                <w:szCs w:val="20"/>
              </w:rPr>
            </w:pPr>
            <w:r>
              <w:rPr>
                <w:rFonts w:ascii="宋体"/>
                <w:sz w:val="20"/>
              </w:rPr>
              <w:t>20</w:t>
            </w:r>
          </w:p>
        </w:tc>
        <w:tc>
          <w:tcPr>
            <w:tcW w:w="338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0"/>
                <w:szCs w:val="20"/>
              </w:rPr>
            </w:pPr>
            <w:r>
              <w:rPr>
                <w:rFonts w:ascii="宋体" w:hAnsi="宋体" w:cs="宋体" w:eastAsia="宋体" w:hint="default"/>
                <w:sz w:val="20"/>
                <w:szCs w:val="20"/>
              </w:rPr>
              <w:t>立体凹凸纹的印刷方法</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359"/>
              <w:jc w:val="right"/>
              <w:rPr>
                <w:rFonts w:ascii="宋体" w:hAnsi="宋体" w:cs="宋体" w:eastAsia="宋体" w:hint="default"/>
                <w:sz w:val="20"/>
                <w:szCs w:val="20"/>
              </w:rPr>
            </w:pPr>
            <w:r>
              <w:rPr>
                <w:rFonts w:ascii="宋体" w:hAnsi="宋体" w:cs="宋体" w:eastAsia="宋体" w:hint="default"/>
                <w:sz w:val="20"/>
                <w:szCs w:val="20"/>
              </w:rPr>
              <w:t>发明</w:t>
            </w:r>
          </w:p>
        </w:tc>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144"/>
              <w:jc w:val="right"/>
              <w:rPr>
                <w:rFonts w:ascii="宋体" w:hAnsi="宋体" w:cs="宋体" w:eastAsia="宋体" w:hint="default"/>
                <w:sz w:val="20"/>
                <w:szCs w:val="20"/>
              </w:rPr>
            </w:pPr>
            <w:r>
              <w:rPr>
                <w:rFonts w:ascii="宋体"/>
                <w:spacing w:val="-1"/>
                <w:sz w:val="20"/>
              </w:rPr>
              <w:t>201810122777.3</w:t>
            </w: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185"/>
              <w:jc w:val="right"/>
              <w:rPr>
                <w:rFonts w:ascii="宋体" w:hAnsi="宋体" w:cs="宋体" w:eastAsia="宋体" w:hint="default"/>
                <w:sz w:val="20"/>
                <w:szCs w:val="20"/>
              </w:rPr>
            </w:pPr>
            <w:r>
              <w:rPr>
                <w:rFonts w:ascii="宋体" w:hAnsi="宋体" w:cs="宋体" w:eastAsia="宋体" w:hint="default"/>
                <w:sz w:val="20"/>
                <w:szCs w:val="20"/>
              </w:rPr>
              <w:t>2018</w:t>
            </w:r>
            <w:r>
              <w:rPr>
                <w:rFonts w:ascii="宋体" w:hAnsi="宋体" w:cs="宋体" w:eastAsia="宋体" w:hint="default"/>
                <w:spacing w:val="-51"/>
                <w:sz w:val="20"/>
                <w:szCs w:val="20"/>
              </w:rPr>
              <w:t> </w:t>
            </w:r>
            <w:r>
              <w:rPr>
                <w:rFonts w:ascii="宋体" w:hAnsi="宋体" w:cs="宋体" w:eastAsia="宋体" w:hint="default"/>
                <w:sz w:val="20"/>
                <w:szCs w:val="20"/>
              </w:rPr>
              <w:t>年</w:t>
            </w:r>
            <w:r>
              <w:rPr>
                <w:rFonts w:ascii="宋体" w:hAnsi="宋体" w:cs="宋体" w:eastAsia="宋体" w:hint="default"/>
                <w:spacing w:val="-50"/>
                <w:sz w:val="20"/>
                <w:szCs w:val="20"/>
              </w:rPr>
              <w:t> </w:t>
            </w:r>
            <w:r>
              <w:rPr>
                <w:rFonts w:ascii="宋体" w:hAnsi="宋体" w:cs="宋体" w:eastAsia="宋体" w:hint="default"/>
                <w:sz w:val="20"/>
                <w:szCs w:val="20"/>
              </w:rPr>
              <w:t>02</w:t>
            </w:r>
            <w:r>
              <w:rPr>
                <w:rFonts w:ascii="宋体" w:hAnsi="宋体" w:cs="宋体" w:eastAsia="宋体" w:hint="default"/>
                <w:spacing w:val="-51"/>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宋体" w:hAnsi="宋体" w:cs="宋体" w:eastAsia="宋体" w:hint="default"/>
                <w:sz w:val="20"/>
                <w:szCs w:val="20"/>
              </w:rPr>
              <w:t>07</w:t>
            </w:r>
            <w:r>
              <w:rPr>
                <w:rFonts w:ascii="宋体" w:hAnsi="宋体" w:cs="宋体" w:eastAsia="宋体" w:hint="default"/>
                <w:spacing w:val="-49"/>
                <w:sz w:val="20"/>
                <w:szCs w:val="20"/>
              </w:rPr>
              <w:t> </w:t>
            </w:r>
            <w:r>
              <w:rPr>
                <w:rFonts w:ascii="宋体" w:hAnsi="宋体" w:cs="宋体" w:eastAsia="宋体" w:hint="default"/>
                <w:sz w:val="20"/>
                <w:szCs w:val="20"/>
              </w:rPr>
              <w:t>日</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0"/>
                <w:szCs w:val="20"/>
              </w:rPr>
            </w:pPr>
            <w:r>
              <w:rPr>
                <w:rFonts w:ascii="宋体" w:hAnsi="宋体" w:cs="宋体" w:eastAsia="宋体" w:hint="default"/>
                <w:sz w:val="20"/>
                <w:szCs w:val="20"/>
              </w:rPr>
              <w:t>江苏劲嘉</w:t>
            </w:r>
          </w:p>
        </w:tc>
      </w:tr>
      <w:tr>
        <w:trPr>
          <w:trHeight w:val="370" w:hRule="exact"/>
        </w:trPr>
        <w:tc>
          <w:tcPr>
            <w:tcW w:w="55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 w:right="0"/>
              <w:jc w:val="center"/>
              <w:rPr>
                <w:rFonts w:ascii="宋体" w:hAnsi="宋体" w:cs="宋体" w:eastAsia="宋体" w:hint="default"/>
                <w:sz w:val="20"/>
                <w:szCs w:val="20"/>
              </w:rPr>
            </w:pPr>
            <w:r>
              <w:rPr>
                <w:rFonts w:ascii="宋体"/>
                <w:sz w:val="20"/>
              </w:rPr>
              <w:t>21</w:t>
            </w:r>
          </w:p>
        </w:tc>
        <w:tc>
          <w:tcPr>
            <w:tcW w:w="3381"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检品剔废烫金机</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359"/>
              <w:jc w:val="right"/>
              <w:rPr>
                <w:rFonts w:ascii="宋体" w:hAnsi="宋体" w:cs="宋体" w:eastAsia="宋体" w:hint="default"/>
                <w:sz w:val="20"/>
                <w:szCs w:val="20"/>
              </w:rPr>
            </w:pPr>
            <w:r>
              <w:rPr>
                <w:rFonts w:ascii="宋体" w:hAnsi="宋体" w:cs="宋体" w:eastAsia="宋体" w:hint="default"/>
                <w:sz w:val="20"/>
                <w:szCs w:val="20"/>
              </w:rPr>
              <w:t>发明</w:t>
            </w:r>
          </w:p>
        </w:tc>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44"/>
              <w:jc w:val="right"/>
              <w:rPr>
                <w:rFonts w:ascii="宋体" w:hAnsi="宋体" w:cs="宋体" w:eastAsia="宋体" w:hint="default"/>
                <w:sz w:val="20"/>
                <w:szCs w:val="20"/>
              </w:rPr>
            </w:pPr>
            <w:r>
              <w:rPr>
                <w:rFonts w:ascii="宋体"/>
                <w:spacing w:val="-1"/>
                <w:sz w:val="20"/>
              </w:rPr>
              <w:t>201810122776.9</w:t>
            </w: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85"/>
              <w:jc w:val="right"/>
              <w:rPr>
                <w:rFonts w:ascii="宋体" w:hAnsi="宋体" w:cs="宋体" w:eastAsia="宋体" w:hint="default"/>
                <w:sz w:val="20"/>
                <w:szCs w:val="20"/>
              </w:rPr>
            </w:pPr>
            <w:r>
              <w:rPr>
                <w:rFonts w:ascii="宋体" w:hAnsi="宋体" w:cs="宋体" w:eastAsia="宋体" w:hint="default"/>
                <w:sz w:val="20"/>
                <w:szCs w:val="20"/>
              </w:rPr>
              <w:t>2018</w:t>
            </w:r>
            <w:r>
              <w:rPr>
                <w:rFonts w:ascii="宋体" w:hAnsi="宋体" w:cs="宋体" w:eastAsia="宋体" w:hint="default"/>
                <w:spacing w:val="-51"/>
                <w:sz w:val="20"/>
                <w:szCs w:val="20"/>
              </w:rPr>
              <w:t> </w:t>
            </w:r>
            <w:r>
              <w:rPr>
                <w:rFonts w:ascii="宋体" w:hAnsi="宋体" w:cs="宋体" w:eastAsia="宋体" w:hint="default"/>
                <w:sz w:val="20"/>
                <w:szCs w:val="20"/>
              </w:rPr>
              <w:t>年</w:t>
            </w:r>
            <w:r>
              <w:rPr>
                <w:rFonts w:ascii="宋体" w:hAnsi="宋体" w:cs="宋体" w:eastAsia="宋体" w:hint="default"/>
                <w:spacing w:val="-50"/>
                <w:sz w:val="20"/>
                <w:szCs w:val="20"/>
              </w:rPr>
              <w:t> </w:t>
            </w:r>
            <w:r>
              <w:rPr>
                <w:rFonts w:ascii="宋体" w:hAnsi="宋体" w:cs="宋体" w:eastAsia="宋体" w:hint="default"/>
                <w:sz w:val="20"/>
                <w:szCs w:val="20"/>
              </w:rPr>
              <w:t>02</w:t>
            </w:r>
            <w:r>
              <w:rPr>
                <w:rFonts w:ascii="宋体" w:hAnsi="宋体" w:cs="宋体" w:eastAsia="宋体" w:hint="default"/>
                <w:spacing w:val="-51"/>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宋体" w:hAnsi="宋体" w:cs="宋体" w:eastAsia="宋体" w:hint="default"/>
                <w:sz w:val="20"/>
                <w:szCs w:val="20"/>
              </w:rPr>
              <w:t>07</w:t>
            </w:r>
            <w:r>
              <w:rPr>
                <w:rFonts w:ascii="宋体" w:hAnsi="宋体" w:cs="宋体" w:eastAsia="宋体" w:hint="default"/>
                <w:spacing w:val="-49"/>
                <w:sz w:val="20"/>
                <w:szCs w:val="20"/>
              </w:rPr>
              <w:t> </w:t>
            </w:r>
            <w:r>
              <w:rPr>
                <w:rFonts w:ascii="宋体" w:hAnsi="宋体" w:cs="宋体" w:eastAsia="宋体" w:hint="default"/>
                <w:sz w:val="20"/>
                <w:szCs w:val="20"/>
              </w:rPr>
              <w:t>日</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江苏劲嘉</w:t>
            </w:r>
          </w:p>
        </w:tc>
      </w:tr>
      <w:tr>
        <w:trPr>
          <w:trHeight w:val="370" w:hRule="exact"/>
        </w:trPr>
        <w:tc>
          <w:tcPr>
            <w:tcW w:w="55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 w:right="0"/>
              <w:jc w:val="center"/>
              <w:rPr>
                <w:rFonts w:ascii="宋体" w:hAnsi="宋体" w:cs="宋体" w:eastAsia="宋体" w:hint="default"/>
                <w:sz w:val="20"/>
                <w:szCs w:val="20"/>
              </w:rPr>
            </w:pPr>
            <w:r>
              <w:rPr>
                <w:rFonts w:ascii="宋体"/>
                <w:sz w:val="20"/>
              </w:rPr>
              <w:t>22</w:t>
            </w:r>
          </w:p>
        </w:tc>
        <w:tc>
          <w:tcPr>
            <w:tcW w:w="3381"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新型补压模切机</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359"/>
              <w:jc w:val="right"/>
              <w:rPr>
                <w:rFonts w:ascii="宋体" w:hAnsi="宋体" w:cs="宋体" w:eastAsia="宋体" w:hint="default"/>
                <w:sz w:val="20"/>
                <w:szCs w:val="20"/>
              </w:rPr>
            </w:pPr>
            <w:r>
              <w:rPr>
                <w:rFonts w:ascii="宋体" w:hAnsi="宋体" w:cs="宋体" w:eastAsia="宋体" w:hint="default"/>
                <w:sz w:val="20"/>
                <w:szCs w:val="20"/>
              </w:rPr>
              <w:t>发明</w:t>
            </w:r>
          </w:p>
        </w:tc>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44"/>
              <w:jc w:val="right"/>
              <w:rPr>
                <w:rFonts w:ascii="宋体" w:hAnsi="宋体" w:cs="宋体" w:eastAsia="宋体" w:hint="default"/>
                <w:sz w:val="20"/>
                <w:szCs w:val="20"/>
              </w:rPr>
            </w:pPr>
            <w:r>
              <w:rPr>
                <w:rFonts w:ascii="宋体"/>
                <w:spacing w:val="-1"/>
                <w:sz w:val="20"/>
              </w:rPr>
              <w:t>201810275061.7</w:t>
            </w: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85"/>
              <w:jc w:val="right"/>
              <w:rPr>
                <w:rFonts w:ascii="宋体" w:hAnsi="宋体" w:cs="宋体" w:eastAsia="宋体" w:hint="default"/>
                <w:sz w:val="20"/>
                <w:szCs w:val="20"/>
              </w:rPr>
            </w:pPr>
            <w:r>
              <w:rPr>
                <w:rFonts w:ascii="宋体" w:hAnsi="宋体" w:cs="宋体" w:eastAsia="宋体" w:hint="default"/>
                <w:sz w:val="20"/>
                <w:szCs w:val="20"/>
              </w:rPr>
              <w:t>2018</w:t>
            </w:r>
            <w:r>
              <w:rPr>
                <w:rFonts w:ascii="宋体" w:hAnsi="宋体" w:cs="宋体" w:eastAsia="宋体" w:hint="default"/>
                <w:spacing w:val="-51"/>
                <w:sz w:val="20"/>
                <w:szCs w:val="20"/>
              </w:rPr>
              <w:t> </w:t>
            </w:r>
            <w:r>
              <w:rPr>
                <w:rFonts w:ascii="宋体" w:hAnsi="宋体" w:cs="宋体" w:eastAsia="宋体" w:hint="default"/>
                <w:sz w:val="20"/>
                <w:szCs w:val="20"/>
              </w:rPr>
              <w:t>年</w:t>
            </w:r>
            <w:r>
              <w:rPr>
                <w:rFonts w:ascii="宋体" w:hAnsi="宋体" w:cs="宋体" w:eastAsia="宋体" w:hint="default"/>
                <w:spacing w:val="-50"/>
                <w:sz w:val="20"/>
                <w:szCs w:val="20"/>
              </w:rPr>
              <w:t> </w:t>
            </w:r>
            <w:r>
              <w:rPr>
                <w:rFonts w:ascii="宋体" w:hAnsi="宋体" w:cs="宋体" w:eastAsia="宋体" w:hint="default"/>
                <w:sz w:val="20"/>
                <w:szCs w:val="20"/>
              </w:rPr>
              <w:t>03</w:t>
            </w:r>
            <w:r>
              <w:rPr>
                <w:rFonts w:ascii="宋体" w:hAnsi="宋体" w:cs="宋体" w:eastAsia="宋体" w:hint="default"/>
                <w:spacing w:val="-51"/>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宋体" w:hAnsi="宋体" w:cs="宋体" w:eastAsia="宋体" w:hint="default"/>
                <w:sz w:val="20"/>
                <w:szCs w:val="20"/>
              </w:rPr>
              <w:t>30</w:t>
            </w:r>
            <w:r>
              <w:rPr>
                <w:rFonts w:ascii="宋体" w:hAnsi="宋体" w:cs="宋体" w:eastAsia="宋体" w:hint="default"/>
                <w:spacing w:val="-49"/>
                <w:sz w:val="20"/>
                <w:szCs w:val="20"/>
              </w:rPr>
              <w:t> </w:t>
            </w:r>
            <w:r>
              <w:rPr>
                <w:rFonts w:ascii="宋体" w:hAnsi="宋体" w:cs="宋体" w:eastAsia="宋体" w:hint="default"/>
                <w:sz w:val="20"/>
                <w:szCs w:val="20"/>
              </w:rPr>
              <w:t>日</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江苏劲嘉</w:t>
            </w:r>
          </w:p>
        </w:tc>
      </w:tr>
      <w:tr>
        <w:trPr>
          <w:trHeight w:val="371" w:hRule="exact"/>
        </w:trPr>
        <w:tc>
          <w:tcPr>
            <w:tcW w:w="556"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 w:right="0"/>
              <w:jc w:val="center"/>
              <w:rPr>
                <w:rFonts w:ascii="宋体" w:hAnsi="宋体" w:cs="宋体" w:eastAsia="宋体" w:hint="default"/>
                <w:sz w:val="20"/>
                <w:szCs w:val="20"/>
              </w:rPr>
            </w:pPr>
            <w:r>
              <w:rPr>
                <w:rFonts w:ascii="宋体"/>
                <w:sz w:val="20"/>
              </w:rPr>
              <w:t>23</w:t>
            </w:r>
          </w:p>
        </w:tc>
        <w:tc>
          <w:tcPr>
            <w:tcW w:w="338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0"/>
                <w:szCs w:val="20"/>
              </w:rPr>
            </w:pPr>
            <w:r>
              <w:rPr>
                <w:rFonts w:ascii="宋体" w:hAnsi="宋体" w:cs="宋体" w:eastAsia="宋体" w:hint="default"/>
                <w:sz w:val="20"/>
                <w:szCs w:val="20"/>
              </w:rPr>
              <w:t>环保高耐磨高光泽水性光油</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359"/>
              <w:jc w:val="right"/>
              <w:rPr>
                <w:rFonts w:ascii="宋体" w:hAnsi="宋体" w:cs="宋体" w:eastAsia="宋体" w:hint="default"/>
                <w:sz w:val="20"/>
                <w:szCs w:val="20"/>
              </w:rPr>
            </w:pPr>
            <w:r>
              <w:rPr>
                <w:rFonts w:ascii="宋体" w:hAnsi="宋体" w:cs="宋体" w:eastAsia="宋体" w:hint="default"/>
                <w:sz w:val="20"/>
                <w:szCs w:val="20"/>
              </w:rPr>
              <w:t>发明</w:t>
            </w:r>
          </w:p>
        </w:tc>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144"/>
              <w:jc w:val="right"/>
              <w:rPr>
                <w:rFonts w:ascii="宋体" w:hAnsi="宋体" w:cs="宋体" w:eastAsia="宋体" w:hint="default"/>
                <w:sz w:val="20"/>
                <w:szCs w:val="20"/>
              </w:rPr>
            </w:pPr>
            <w:r>
              <w:rPr>
                <w:rFonts w:ascii="宋体"/>
                <w:spacing w:val="-1"/>
                <w:sz w:val="20"/>
              </w:rPr>
              <w:t>201810275054.7</w:t>
            </w: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185"/>
              <w:jc w:val="right"/>
              <w:rPr>
                <w:rFonts w:ascii="宋体" w:hAnsi="宋体" w:cs="宋体" w:eastAsia="宋体" w:hint="default"/>
                <w:sz w:val="20"/>
                <w:szCs w:val="20"/>
              </w:rPr>
            </w:pPr>
            <w:r>
              <w:rPr>
                <w:rFonts w:ascii="宋体" w:hAnsi="宋体" w:cs="宋体" w:eastAsia="宋体" w:hint="default"/>
                <w:sz w:val="20"/>
                <w:szCs w:val="20"/>
              </w:rPr>
              <w:t>2018</w:t>
            </w:r>
            <w:r>
              <w:rPr>
                <w:rFonts w:ascii="宋体" w:hAnsi="宋体" w:cs="宋体" w:eastAsia="宋体" w:hint="default"/>
                <w:spacing w:val="-51"/>
                <w:sz w:val="20"/>
                <w:szCs w:val="20"/>
              </w:rPr>
              <w:t> </w:t>
            </w:r>
            <w:r>
              <w:rPr>
                <w:rFonts w:ascii="宋体" w:hAnsi="宋体" w:cs="宋体" w:eastAsia="宋体" w:hint="default"/>
                <w:sz w:val="20"/>
                <w:szCs w:val="20"/>
              </w:rPr>
              <w:t>年</w:t>
            </w:r>
            <w:r>
              <w:rPr>
                <w:rFonts w:ascii="宋体" w:hAnsi="宋体" w:cs="宋体" w:eastAsia="宋体" w:hint="default"/>
                <w:spacing w:val="-50"/>
                <w:sz w:val="20"/>
                <w:szCs w:val="20"/>
              </w:rPr>
              <w:t> </w:t>
            </w:r>
            <w:r>
              <w:rPr>
                <w:rFonts w:ascii="宋体" w:hAnsi="宋体" w:cs="宋体" w:eastAsia="宋体" w:hint="default"/>
                <w:sz w:val="20"/>
                <w:szCs w:val="20"/>
              </w:rPr>
              <w:t>03</w:t>
            </w:r>
            <w:r>
              <w:rPr>
                <w:rFonts w:ascii="宋体" w:hAnsi="宋体" w:cs="宋体" w:eastAsia="宋体" w:hint="default"/>
                <w:spacing w:val="-51"/>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宋体" w:hAnsi="宋体" w:cs="宋体" w:eastAsia="宋体" w:hint="default"/>
                <w:sz w:val="20"/>
                <w:szCs w:val="20"/>
              </w:rPr>
              <w:t>30</w:t>
            </w:r>
            <w:r>
              <w:rPr>
                <w:rFonts w:ascii="宋体" w:hAnsi="宋体" w:cs="宋体" w:eastAsia="宋体" w:hint="default"/>
                <w:spacing w:val="-49"/>
                <w:sz w:val="20"/>
                <w:szCs w:val="20"/>
              </w:rPr>
              <w:t> </w:t>
            </w:r>
            <w:r>
              <w:rPr>
                <w:rFonts w:ascii="宋体" w:hAnsi="宋体" w:cs="宋体" w:eastAsia="宋体" w:hint="default"/>
                <w:sz w:val="20"/>
                <w:szCs w:val="20"/>
              </w:rPr>
              <w:t>日</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0"/>
                <w:szCs w:val="20"/>
              </w:rPr>
            </w:pPr>
            <w:r>
              <w:rPr>
                <w:rFonts w:ascii="宋体" w:hAnsi="宋体" w:cs="宋体" w:eastAsia="宋体" w:hint="default"/>
                <w:sz w:val="20"/>
                <w:szCs w:val="20"/>
              </w:rPr>
              <w:t>江苏劲嘉</w:t>
            </w:r>
          </w:p>
        </w:tc>
      </w:tr>
      <w:tr>
        <w:trPr>
          <w:trHeight w:val="370" w:hRule="exact"/>
        </w:trPr>
        <w:tc>
          <w:tcPr>
            <w:tcW w:w="55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 w:right="0"/>
              <w:jc w:val="center"/>
              <w:rPr>
                <w:rFonts w:ascii="宋体" w:hAnsi="宋体" w:cs="宋体" w:eastAsia="宋体" w:hint="default"/>
                <w:sz w:val="20"/>
                <w:szCs w:val="20"/>
              </w:rPr>
            </w:pPr>
            <w:r>
              <w:rPr>
                <w:rFonts w:ascii="宋体"/>
                <w:sz w:val="20"/>
              </w:rPr>
              <w:t>24</w:t>
            </w:r>
          </w:p>
        </w:tc>
        <w:tc>
          <w:tcPr>
            <w:tcW w:w="3381"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丝印环保光学变色油墨</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359"/>
              <w:jc w:val="right"/>
              <w:rPr>
                <w:rFonts w:ascii="宋体" w:hAnsi="宋体" w:cs="宋体" w:eastAsia="宋体" w:hint="default"/>
                <w:sz w:val="20"/>
                <w:szCs w:val="20"/>
              </w:rPr>
            </w:pPr>
            <w:r>
              <w:rPr>
                <w:rFonts w:ascii="宋体" w:hAnsi="宋体" w:cs="宋体" w:eastAsia="宋体" w:hint="default"/>
                <w:sz w:val="20"/>
                <w:szCs w:val="20"/>
              </w:rPr>
              <w:t>发明</w:t>
            </w:r>
          </w:p>
        </w:tc>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44"/>
              <w:jc w:val="right"/>
              <w:rPr>
                <w:rFonts w:ascii="宋体" w:hAnsi="宋体" w:cs="宋体" w:eastAsia="宋体" w:hint="default"/>
                <w:sz w:val="20"/>
                <w:szCs w:val="20"/>
              </w:rPr>
            </w:pPr>
            <w:r>
              <w:rPr>
                <w:rFonts w:ascii="宋体"/>
                <w:spacing w:val="-1"/>
                <w:sz w:val="20"/>
              </w:rPr>
              <w:t>201810275051.3</w:t>
            </w: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85"/>
              <w:jc w:val="right"/>
              <w:rPr>
                <w:rFonts w:ascii="宋体" w:hAnsi="宋体" w:cs="宋体" w:eastAsia="宋体" w:hint="default"/>
                <w:sz w:val="20"/>
                <w:szCs w:val="20"/>
              </w:rPr>
            </w:pPr>
            <w:r>
              <w:rPr>
                <w:rFonts w:ascii="宋体" w:hAnsi="宋体" w:cs="宋体" w:eastAsia="宋体" w:hint="default"/>
                <w:sz w:val="20"/>
                <w:szCs w:val="20"/>
              </w:rPr>
              <w:t>2018</w:t>
            </w:r>
            <w:r>
              <w:rPr>
                <w:rFonts w:ascii="宋体" w:hAnsi="宋体" w:cs="宋体" w:eastAsia="宋体" w:hint="default"/>
                <w:spacing w:val="-51"/>
                <w:sz w:val="20"/>
                <w:szCs w:val="20"/>
              </w:rPr>
              <w:t> </w:t>
            </w:r>
            <w:r>
              <w:rPr>
                <w:rFonts w:ascii="宋体" w:hAnsi="宋体" w:cs="宋体" w:eastAsia="宋体" w:hint="default"/>
                <w:sz w:val="20"/>
                <w:szCs w:val="20"/>
              </w:rPr>
              <w:t>年</w:t>
            </w:r>
            <w:r>
              <w:rPr>
                <w:rFonts w:ascii="宋体" w:hAnsi="宋体" w:cs="宋体" w:eastAsia="宋体" w:hint="default"/>
                <w:spacing w:val="-50"/>
                <w:sz w:val="20"/>
                <w:szCs w:val="20"/>
              </w:rPr>
              <w:t> </w:t>
            </w:r>
            <w:r>
              <w:rPr>
                <w:rFonts w:ascii="宋体" w:hAnsi="宋体" w:cs="宋体" w:eastAsia="宋体" w:hint="default"/>
                <w:sz w:val="20"/>
                <w:szCs w:val="20"/>
              </w:rPr>
              <w:t>03</w:t>
            </w:r>
            <w:r>
              <w:rPr>
                <w:rFonts w:ascii="宋体" w:hAnsi="宋体" w:cs="宋体" w:eastAsia="宋体" w:hint="default"/>
                <w:spacing w:val="-51"/>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宋体" w:hAnsi="宋体" w:cs="宋体" w:eastAsia="宋体" w:hint="default"/>
                <w:sz w:val="20"/>
                <w:szCs w:val="20"/>
              </w:rPr>
              <w:t>30</w:t>
            </w:r>
            <w:r>
              <w:rPr>
                <w:rFonts w:ascii="宋体" w:hAnsi="宋体" w:cs="宋体" w:eastAsia="宋体" w:hint="default"/>
                <w:spacing w:val="-49"/>
                <w:sz w:val="20"/>
                <w:szCs w:val="20"/>
              </w:rPr>
              <w:t> </w:t>
            </w:r>
            <w:r>
              <w:rPr>
                <w:rFonts w:ascii="宋体" w:hAnsi="宋体" w:cs="宋体" w:eastAsia="宋体" w:hint="default"/>
                <w:sz w:val="20"/>
                <w:szCs w:val="20"/>
              </w:rPr>
              <w:t>日</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江苏劲嘉</w:t>
            </w:r>
          </w:p>
        </w:tc>
      </w:tr>
      <w:tr>
        <w:trPr>
          <w:trHeight w:val="370" w:hRule="exact"/>
        </w:trPr>
        <w:tc>
          <w:tcPr>
            <w:tcW w:w="55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 w:right="0"/>
              <w:jc w:val="center"/>
              <w:rPr>
                <w:rFonts w:ascii="宋体" w:hAnsi="宋体" w:cs="宋体" w:eastAsia="宋体" w:hint="default"/>
                <w:sz w:val="20"/>
                <w:szCs w:val="20"/>
              </w:rPr>
            </w:pPr>
            <w:r>
              <w:rPr>
                <w:rFonts w:ascii="宋体"/>
                <w:sz w:val="20"/>
              </w:rPr>
              <w:t>25</w:t>
            </w:r>
          </w:p>
        </w:tc>
        <w:tc>
          <w:tcPr>
            <w:tcW w:w="3381"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盒体与盒盖快速粘合固定设备</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359"/>
              <w:jc w:val="right"/>
              <w:rPr>
                <w:rFonts w:ascii="宋体" w:hAnsi="宋体" w:cs="宋体" w:eastAsia="宋体" w:hint="default"/>
                <w:sz w:val="20"/>
                <w:szCs w:val="20"/>
              </w:rPr>
            </w:pPr>
            <w:r>
              <w:rPr>
                <w:rFonts w:ascii="宋体" w:hAnsi="宋体" w:cs="宋体" w:eastAsia="宋体" w:hint="default"/>
                <w:sz w:val="20"/>
                <w:szCs w:val="20"/>
              </w:rPr>
              <w:t>发明</w:t>
            </w:r>
          </w:p>
        </w:tc>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44"/>
              <w:jc w:val="right"/>
              <w:rPr>
                <w:rFonts w:ascii="宋体" w:hAnsi="宋体" w:cs="宋体" w:eastAsia="宋体" w:hint="default"/>
                <w:sz w:val="20"/>
                <w:szCs w:val="20"/>
              </w:rPr>
            </w:pPr>
            <w:r>
              <w:rPr>
                <w:rFonts w:ascii="宋体"/>
                <w:spacing w:val="-1"/>
                <w:sz w:val="20"/>
              </w:rPr>
              <w:t>201810383619.3</w:t>
            </w: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85"/>
              <w:jc w:val="right"/>
              <w:rPr>
                <w:rFonts w:ascii="宋体" w:hAnsi="宋体" w:cs="宋体" w:eastAsia="宋体" w:hint="default"/>
                <w:sz w:val="20"/>
                <w:szCs w:val="20"/>
              </w:rPr>
            </w:pPr>
            <w:r>
              <w:rPr>
                <w:rFonts w:ascii="宋体" w:hAnsi="宋体" w:cs="宋体" w:eastAsia="宋体" w:hint="default"/>
                <w:sz w:val="20"/>
                <w:szCs w:val="20"/>
              </w:rPr>
              <w:t>2018</w:t>
            </w:r>
            <w:r>
              <w:rPr>
                <w:rFonts w:ascii="宋体" w:hAnsi="宋体" w:cs="宋体" w:eastAsia="宋体" w:hint="default"/>
                <w:spacing w:val="-51"/>
                <w:sz w:val="20"/>
                <w:szCs w:val="20"/>
              </w:rPr>
              <w:t> </w:t>
            </w:r>
            <w:r>
              <w:rPr>
                <w:rFonts w:ascii="宋体" w:hAnsi="宋体" w:cs="宋体" w:eastAsia="宋体" w:hint="default"/>
                <w:sz w:val="20"/>
                <w:szCs w:val="20"/>
              </w:rPr>
              <w:t>年</w:t>
            </w:r>
            <w:r>
              <w:rPr>
                <w:rFonts w:ascii="宋体" w:hAnsi="宋体" w:cs="宋体" w:eastAsia="宋体" w:hint="default"/>
                <w:spacing w:val="-50"/>
                <w:sz w:val="20"/>
                <w:szCs w:val="20"/>
              </w:rPr>
              <w:t> </w:t>
            </w:r>
            <w:r>
              <w:rPr>
                <w:rFonts w:ascii="宋体" w:hAnsi="宋体" w:cs="宋体" w:eastAsia="宋体" w:hint="default"/>
                <w:sz w:val="20"/>
                <w:szCs w:val="20"/>
              </w:rPr>
              <w:t>04</w:t>
            </w:r>
            <w:r>
              <w:rPr>
                <w:rFonts w:ascii="宋体" w:hAnsi="宋体" w:cs="宋体" w:eastAsia="宋体" w:hint="default"/>
                <w:spacing w:val="-51"/>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宋体" w:hAnsi="宋体" w:cs="宋体" w:eastAsia="宋体" w:hint="default"/>
                <w:sz w:val="20"/>
                <w:szCs w:val="20"/>
              </w:rPr>
              <w:t>26</w:t>
            </w:r>
            <w:r>
              <w:rPr>
                <w:rFonts w:ascii="宋体" w:hAnsi="宋体" w:cs="宋体" w:eastAsia="宋体" w:hint="default"/>
                <w:spacing w:val="-49"/>
                <w:sz w:val="20"/>
                <w:szCs w:val="20"/>
              </w:rPr>
              <w:t> </w:t>
            </w:r>
            <w:r>
              <w:rPr>
                <w:rFonts w:ascii="宋体" w:hAnsi="宋体" w:cs="宋体" w:eastAsia="宋体" w:hint="default"/>
                <w:sz w:val="20"/>
                <w:szCs w:val="20"/>
              </w:rPr>
              <w:t>日</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江苏劲嘉</w:t>
            </w:r>
          </w:p>
        </w:tc>
      </w:tr>
      <w:tr>
        <w:trPr>
          <w:trHeight w:val="635" w:hRule="exact"/>
        </w:trPr>
        <w:tc>
          <w:tcPr>
            <w:tcW w:w="556"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 w:right="0"/>
              <w:jc w:val="center"/>
              <w:rPr>
                <w:rFonts w:ascii="宋体" w:hAnsi="宋体" w:cs="宋体" w:eastAsia="宋体" w:hint="default"/>
                <w:sz w:val="20"/>
                <w:szCs w:val="20"/>
              </w:rPr>
            </w:pPr>
            <w:r>
              <w:rPr>
                <w:rFonts w:ascii="宋体"/>
                <w:sz w:val="20"/>
              </w:rPr>
              <w:t>26</w:t>
            </w:r>
          </w:p>
        </w:tc>
        <w:tc>
          <w:tcPr>
            <w:tcW w:w="3381"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264"/>
              <w:jc w:val="left"/>
              <w:rPr>
                <w:rFonts w:ascii="宋体" w:hAnsi="宋体" w:cs="宋体" w:eastAsia="宋体" w:hint="default"/>
                <w:sz w:val="20"/>
                <w:szCs w:val="20"/>
              </w:rPr>
            </w:pPr>
            <w:r>
              <w:rPr>
                <w:rFonts w:ascii="宋体" w:hAnsi="宋体" w:cs="宋体" w:eastAsia="宋体" w:hint="default"/>
                <w:sz w:val="20"/>
                <w:szCs w:val="20"/>
              </w:rPr>
              <w:t>立体烫印全息效果特种印刷模具及</w:t>
            </w:r>
            <w:r>
              <w:rPr>
                <w:rFonts w:ascii="宋体" w:hAnsi="宋体" w:cs="宋体" w:eastAsia="宋体" w:hint="default"/>
                <w:w w:val="100"/>
                <w:sz w:val="20"/>
                <w:szCs w:val="20"/>
              </w:rPr>
              <w:t> </w:t>
            </w:r>
            <w:r>
              <w:rPr>
                <w:rFonts w:ascii="宋体" w:hAnsi="宋体" w:cs="宋体" w:eastAsia="宋体" w:hint="default"/>
                <w:sz w:val="20"/>
                <w:szCs w:val="20"/>
              </w:rPr>
              <w:t>其应用办法</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359"/>
              <w:jc w:val="right"/>
              <w:rPr>
                <w:rFonts w:ascii="宋体" w:hAnsi="宋体" w:cs="宋体" w:eastAsia="宋体" w:hint="default"/>
                <w:sz w:val="20"/>
                <w:szCs w:val="20"/>
              </w:rPr>
            </w:pPr>
            <w:r>
              <w:rPr>
                <w:rFonts w:ascii="宋体" w:hAnsi="宋体" w:cs="宋体" w:eastAsia="宋体" w:hint="default"/>
                <w:sz w:val="20"/>
                <w:szCs w:val="20"/>
              </w:rPr>
              <w:t>发明</w:t>
            </w:r>
          </w:p>
        </w:tc>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144"/>
              <w:jc w:val="right"/>
              <w:rPr>
                <w:rFonts w:ascii="宋体" w:hAnsi="宋体" w:cs="宋体" w:eastAsia="宋体" w:hint="default"/>
                <w:sz w:val="20"/>
                <w:szCs w:val="20"/>
              </w:rPr>
            </w:pPr>
            <w:r>
              <w:rPr>
                <w:rFonts w:ascii="宋体"/>
                <w:spacing w:val="-1"/>
                <w:sz w:val="20"/>
              </w:rPr>
              <w:t>201810131336.X</w:t>
            </w: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185"/>
              <w:jc w:val="right"/>
              <w:rPr>
                <w:rFonts w:ascii="宋体" w:hAnsi="宋体" w:cs="宋体" w:eastAsia="宋体" w:hint="default"/>
                <w:sz w:val="20"/>
                <w:szCs w:val="20"/>
              </w:rPr>
            </w:pPr>
            <w:r>
              <w:rPr>
                <w:rFonts w:ascii="宋体" w:hAnsi="宋体" w:cs="宋体" w:eastAsia="宋体" w:hint="default"/>
                <w:sz w:val="20"/>
                <w:szCs w:val="20"/>
              </w:rPr>
              <w:t>2018</w:t>
            </w:r>
            <w:r>
              <w:rPr>
                <w:rFonts w:ascii="宋体" w:hAnsi="宋体" w:cs="宋体" w:eastAsia="宋体" w:hint="default"/>
                <w:spacing w:val="-51"/>
                <w:sz w:val="20"/>
                <w:szCs w:val="20"/>
              </w:rPr>
              <w:t> </w:t>
            </w:r>
            <w:r>
              <w:rPr>
                <w:rFonts w:ascii="宋体" w:hAnsi="宋体" w:cs="宋体" w:eastAsia="宋体" w:hint="default"/>
                <w:sz w:val="20"/>
                <w:szCs w:val="20"/>
              </w:rPr>
              <w:t>年</w:t>
            </w:r>
            <w:r>
              <w:rPr>
                <w:rFonts w:ascii="宋体" w:hAnsi="宋体" w:cs="宋体" w:eastAsia="宋体" w:hint="default"/>
                <w:spacing w:val="-50"/>
                <w:sz w:val="20"/>
                <w:szCs w:val="20"/>
              </w:rPr>
              <w:t> </w:t>
            </w:r>
            <w:r>
              <w:rPr>
                <w:rFonts w:ascii="宋体" w:hAnsi="宋体" w:cs="宋体" w:eastAsia="宋体" w:hint="default"/>
                <w:sz w:val="20"/>
                <w:szCs w:val="20"/>
              </w:rPr>
              <w:t>02</w:t>
            </w:r>
            <w:r>
              <w:rPr>
                <w:rFonts w:ascii="宋体" w:hAnsi="宋体" w:cs="宋体" w:eastAsia="宋体" w:hint="default"/>
                <w:spacing w:val="-51"/>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宋体" w:hAnsi="宋体" w:cs="宋体" w:eastAsia="宋体" w:hint="default"/>
                <w:sz w:val="20"/>
                <w:szCs w:val="20"/>
              </w:rPr>
              <w:t>09</w:t>
            </w:r>
            <w:r>
              <w:rPr>
                <w:rFonts w:ascii="宋体" w:hAnsi="宋体" w:cs="宋体" w:eastAsia="宋体" w:hint="default"/>
                <w:spacing w:val="-49"/>
                <w:sz w:val="20"/>
                <w:szCs w:val="20"/>
              </w:rPr>
              <w:t> </w:t>
            </w:r>
            <w:r>
              <w:rPr>
                <w:rFonts w:ascii="宋体" w:hAnsi="宋体" w:cs="宋体" w:eastAsia="宋体" w:hint="default"/>
                <w:sz w:val="20"/>
                <w:szCs w:val="20"/>
              </w:rPr>
              <w:t>日</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0"/>
                <w:szCs w:val="20"/>
              </w:rPr>
            </w:pPr>
            <w:r>
              <w:rPr>
                <w:rFonts w:ascii="宋体" w:hAnsi="宋体" w:cs="宋体" w:eastAsia="宋体" w:hint="default"/>
                <w:sz w:val="20"/>
                <w:szCs w:val="20"/>
              </w:rPr>
              <w:t>长春吉星</w:t>
            </w:r>
          </w:p>
        </w:tc>
      </w:tr>
      <w:tr>
        <w:trPr>
          <w:trHeight w:val="370" w:hRule="exact"/>
        </w:trPr>
        <w:tc>
          <w:tcPr>
            <w:tcW w:w="55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 w:right="0"/>
              <w:jc w:val="center"/>
              <w:rPr>
                <w:rFonts w:ascii="宋体" w:hAnsi="宋体" w:cs="宋体" w:eastAsia="宋体" w:hint="default"/>
                <w:sz w:val="20"/>
                <w:szCs w:val="20"/>
              </w:rPr>
            </w:pPr>
            <w:r>
              <w:rPr>
                <w:rFonts w:ascii="宋体"/>
                <w:sz w:val="20"/>
              </w:rPr>
              <w:t>27</w:t>
            </w:r>
          </w:p>
        </w:tc>
        <w:tc>
          <w:tcPr>
            <w:tcW w:w="3381"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一种光油在线采集系统</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359"/>
              <w:jc w:val="right"/>
              <w:rPr>
                <w:rFonts w:ascii="宋体" w:hAnsi="宋体" w:cs="宋体" w:eastAsia="宋体" w:hint="default"/>
                <w:sz w:val="20"/>
                <w:szCs w:val="20"/>
              </w:rPr>
            </w:pPr>
            <w:r>
              <w:rPr>
                <w:rFonts w:ascii="宋体" w:hAnsi="宋体" w:cs="宋体" w:eastAsia="宋体" w:hint="default"/>
                <w:sz w:val="20"/>
                <w:szCs w:val="20"/>
              </w:rPr>
              <w:t>发明</w:t>
            </w:r>
          </w:p>
        </w:tc>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44"/>
              <w:jc w:val="right"/>
              <w:rPr>
                <w:rFonts w:ascii="宋体" w:hAnsi="宋体" w:cs="宋体" w:eastAsia="宋体" w:hint="default"/>
                <w:sz w:val="20"/>
                <w:szCs w:val="20"/>
              </w:rPr>
            </w:pPr>
            <w:r>
              <w:rPr>
                <w:rFonts w:ascii="宋体"/>
                <w:spacing w:val="-1"/>
                <w:sz w:val="20"/>
              </w:rPr>
              <w:t>201810131508.3</w:t>
            </w: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85"/>
              <w:jc w:val="right"/>
              <w:rPr>
                <w:rFonts w:ascii="宋体" w:hAnsi="宋体" w:cs="宋体" w:eastAsia="宋体" w:hint="default"/>
                <w:sz w:val="20"/>
                <w:szCs w:val="20"/>
              </w:rPr>
            </w:pPr>
            <w:r>
              <w:rPr>
                <w:rFonts w:ascii="宋体" w:hAnsi="宋体" w:cs="宋体" w:eastAsia="宋体" w:hint="default"/>
                <w:sz w:val="20"/>
                <w:szCs w:val="20"/>
              </w:rPr>
              <w:t>2018</w:t>
            </w:r>
            <w:r>
              <w:rPr>
                <w:rFonts w:ascii="宋体" w:hAnsi="宋体" w:cs="宋体" w:eastAsia="宋体" w:hint="default"/>
                <w:spacing w:val="-51"/>
                <w:sz w:val="20"/>
                <w:szCs w:val="20"/>
              </w:rPr>
              <w:t> </w:t>
            </w:r>
            <w:r>
              <w:rPr>
                <w:rFonts w:ascii="宋体" w:hAnsi="宋体" w:cs="宋体" w:eastAsia="宋体" w:hint="default"/>
                <w:sz w:val="20"/>
                <w:szCs w:val="20"/>
              </w:rPr>
              <w:t>年</w:t>
            </w:r>
            <w:r>
              <w:rPr>
                <w:rFonts w:ascii="宋体" w:hAnsi="宋体" w:cs="宋体" w:eastAsia="宋体" w:hint="default"/>
                <w:spacing w:val="-50"/>
                <w:sz w:val="20"/>
                <w:szCs w:val="20"/>
              </w:rPr>
              <w:t> </w:t>
            </w:r>
            <w:r>
              <w:rPr>
                <w:rFonts w:ascii="宋体" w:hAnsi="宋体" w:cs="宋体" w:eastAsia="宋体" w:hint="default"/>
                <w:sz w:val="20"/>
                <w:szCs w:val="20"/>
              </w:rPr>
              <w:t>02</w:t>
            </w:r>
            <w:r>
              <w:rPr>
                <w:rFonts w:ascii="宋体" w:hAnsi="宋体" w:cs="宋体" w:eastAsia="宋体" w:hint="default"/>
                <w:spacing w:val="-51"/>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宋体" w:hAnsi="宋体" w:cs="宋体" w:eastAsia="宋体" w:hint="default"/>
                <w:sz w:val="20"/>
                <w:szCs w:val="20"/>
              </w:rPr>
              <w:t>09</w:t>
            </w:r>
            <w:r>
              <w:rPr>
                <w:rFonts w:ascii="宋体" w:hAnsi="宋体" w:cs="宋体" w:eastAsia="宋体" w:hint="default"/>
                <w:spacing w:val="-49"/>
                <w:sz w:val="20"/>
                <w:szCs w:val="20"/>
              </w:rPr>
              <w:t> </w:t>
            </w:r>
            <w:r>
              <w:rPr>
                <w:rFonts w:ascii="宋体" w:hAnsi="宋体" w:cs="宋体" w:eastAsia="宋体" w:hint="default"/>
                <w:sz w:val="20"/>
                <w:szCs w:val="20"/>
              </w:rPr>
              <w:t>日</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长春吉星</w:t>
            </w:r>
          </w:p>
        </w:tc>
      </w:tr>
      <w:tr>
        <w:trPr>
          <w:trHeight w:val="634" w:hRule="exact"/>
        </w:trPr>
        <w:tc>
          <w:tcPr>
            <w:tcW w:w="55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 w:right="0"/>
              <w:jc w:val="center"/>
              <w:rPr>
                <w:rFonts w:ascii="宋体" w:hAnsi="宋体" w:cs="宋体" w:eastAsia="宋体" w:hint="default"/>
                <w:sz w:val="20"/>
                <w:szCs w:val="20"/>
              </w:rPr>
            </w:pPr>
            <w:r>
              <w:rPr>
                <w:rFonts w:ascii="宋体"/>
                <w:sz w:val="20"/>
              </w:rPr>
              <w:t>28</w:t>
            </w:r>
          </w:p>
        </w:tc>
        <w:tc>
          <w:tcPr>
            <w:tcW w:w="3381"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264"/>
              <w:jc w:val="left"/>
              <w:rPr>
                <w:rFonts w:ascii="宋体" w:hAnsi="宋体" w:cs="宋体" w:eastAsia="宋体" w:hint="default"/>
                <w:sz w:val="20"/>
                <w:szCs w:val="20"/>
              </w:rPr>
            </w:pPr>
            <w:r>
              <w:rPr>
                <w:rFonts w:ascii="宋体" w:hAnsi="宋体" w:cs="宋体" w:eastAsia="宋体" w:hint="default"/>
                <w:sz w:val="20"/>
                <w:szCs w:val="20"/>
              </w:rPr>
              <w:t>一种用于凹版绿色水性光变特种印</w:t>
            </w:r>
            <w:r>
              <w:rPr>
                <w:rFonts w:ascii="宋体" w:hAnsi="宋体" w:cs="宋体" w:eastAsia="宋体" w:hint="default"/>
                <w:w w:val="100"/>
                <w:sz w:val="20"/>
                <w:szCs w:val="20"/>
              </w:rPr>
              <w:t> </w:t>
            </w:r>
            <w:r>
              <w:rPr>
                <w:rFonts w:ascii="宋体" w:hAnsi="宋体" w:cs="宋体" w:eastAsia="宋体" w:hint="default"/>
                <w:sz w:val="20"/>
                <w:szCs w:val="20"/>
              </w:rPr>
              <w:t>刷油墨及其制备方法</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359"/>
              <w:jc w:val="right"/>
              <w:rPr>
                <w:rFonts w:ascii="宋体" w:hAnsi="宋体" w:cs="宋体" w:eastAsia="宋体" w:hint="default"/>
                <w:sz w:val="20"/>
                <w:szCs w:val="20"/>
              </w:rPr>
            </w:pPr>
            <w:r>
              <w:rPr>
                <w:rFonts w:ascii="宋体" w:hAnsi="宋体" w:cs="宋体" w:eastAsia="宋体" w:hint="default"/>
                <w:sz w:val="20"/>
                <w:szCs w:val="20"/>
              </w:rPr>
              <w:t>发明</w:t>
            </w:r>
          </w:p>
        </w:tc>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44"/>
              <w:jc w:val="right"/>
              <w:rPr>
                <w:rFonts w:ascii="宋体" w:hAnsi="宋体" w:cs="宋体" w:eastAsia="宋体" w:hint="default"/>
                <w:sz w:val="20"/>
                <w:szCs w:val="20"/>
              </w:rPr>
            </w:pPr>
            <w:r>
              <w:rPr>
                <w:rFonts w:ascii="宋体"/>
                <w:spacing w:val="-1"/>
                <w:sz w:val="20"/>
              </w:rPr>
              <w:t>201810888222.X</w:t>
            </w: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85"/>
              <w:jc w:val="right"/>
              <w:rPr>
                <w:rFonts w:ascii="宋体" w:hAnsi="宋体" w:cs="宋体" w:eastAsia="宋体" w:hint="default"/>
                <w:sz w:val="20"/>
                <w:szCs w:val="20"/>
              </w:rPr>
            </w:pPr>
            <w:r>
              <w:rPr>
                <w:rFonts w:ascii="宋体" w:hAnsi="宋体" w:cs="宋体" w:eastAsia="宋体" w:hint="default"/>
                <w:sz w:val="20"/>
                <w:szCs w:val="20"/>
              </w:rPr>
              <w:t>2018</w:t>
            </w:r>
            <w:r>
              <w:rPr>
                <w:rFonts w:ascii="宋体" w:hAnsi="宋体" w:cs="宋体" w:eastAsia="宋体" w:hint="default"/>
                <w:spacing w:val="-51"/>
                <w:sz w:val="20"/>
                <w:szCs w:val="20"/>
              </w:rPr>
              <w:t> </w:t>
            </w:r>
            <w:r>
              <w:rPr>
                <w:rFonts w:ascii="宋体" w:hAnsi="宋体" w:cs="宋体" w:eastAsia="宋体" w:hint="default"/>
                <w:sz w:val="20"/>
                <w:szCs w:val="20"/>
              </w:rPr>
              <w:t>年</w:t>
            </w:r>
            <w:r>
              <w:rPr>
                <w:rFonts w:ascii="宋体" w:hAnsi="宋体" w:cs="宋体" w:eastAsia="宋体" w:hint="default"/>
                <w:spacing w:val="-50"/>
                <w:sz w:val="20"/>
                <w:szCs w:val="20"/>
              </w:rPr>
              <w:t> </w:t>
            </w:r>
            <w:r>
              <w:rPr>
                <w:rFonts w:ascii="宋体" w:hAnsi="宋体" w:cs="宋体" w:eastAsia="宋体" w:hint="default"/>
                <w:sz w:val="20"/>
                <w:szCs w:val="20"/>
              </w:rPr>
              <w:t>08</w:t>
            </w:r>
            <w:r>
              <w:rPr>
                <w:rFonts w:ascii="宋体" w:hAnsi="宋体" w:cs="宋体" w:eastAsia="宋体" w:hint="default"/>
                <w:spacing w:val="-51"/>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宋体" w:hAnsi="宋体" w:cs="宋体" w:eastAsia="宋体" w:hint="default"/>
                <w:sz w:val="20"/>
                <w:szCs w:val="20"/>
              </w:rPr>
              <w:t>07</w:t>
            </w:r>
            <w:r>
              <w:rPr>
                <w:rFonts w:ascii="宋体" w:hAnsi="宋体" w:cs="宋体" w:eastAsia="宋体" w:hint="default"/>
                <w:spacing w:val="-49"/>
                <w:sz w:val="20"/>
                <w:szCs w:val="20"/>
              </w:rPr>
              <w:t> </w:t>
            </w:r>
            <w:r>
              <w:rPr>
                <w:rFonts w:ascii="宋体" w:hAnsi="宋体" w:cs="宋体" w:eastAsia="宋体" w:hint="default"/>
                <w:sz w:val="20"/>
                <w:szCs w:val="20"/>
              </w:rPr>
              <w:t>日</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长春吉星</w:t>
            </w:r>
          </w:p>
        </w:tc>
      </w:tr>
      <w:tr>
        <w:trPr>
          <w:trHeight w:val="635" w:hRule="exact"/>
        </w:trPr>
        <w:tc>
          <w:tcPr>
            <w:tcW w:w="556"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 w:right="0"/>
              <w:jc w:val="center"/>
              <w:rPr>
                <w:rFonts w:ascii="宋体" w:hAnsi="宋体" w:cs="宋体" w:eastAsia="宋体" w:hint="default"/>
                <w:sz w:val="20"/>
                <w:szCs w:val="20"/>
              </w:rPr>
            </w:pPr>
            <w:r>
              <w:rPr>
                <w:rFonts w:ascii="宋体"/>
                <w:sz w:val="20"/>
              </w:rPr>
              <w:t>29</w:t>
            </w:r>
          </w:p>
        </w:tc>
        <w:tc>
          <w:tcPr>
            <w:tcW w:w="3381"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264"/>
              <w:jc w:val="left"/>
              <w:rPr>
                <w:rFonts w:ascii="宋体" w:hAnsi="宋体" w:cs="宋体" w:eastAsia="宋体" w:hint="default"/>
                <w:sz w:val="20"/>
                <w:szCs w:val="20"/>
              </w:rPr>
            </w:pPr>
            <w:r>
              <w:rPr>
                <w:rFonts w:ascii="宋体" w:hAnsi="宋体" w:cs="宋体" w:eastAsia="宋体" w:hint="default"/>
                <w:sz w:val="20"/>
                <w:szCs w:val="20"/>
              </w:rPr>
              <w:t>一种用于凹版绿色印刷的环保水性</w:t>
            </w:r>
            <w:r>
              <w:rPr>
                <w:rFonts w:ascii="宋体" w:hAnsi="宋体" w:cs="宋体" w:eastAsia="宋体" w:hint="default"/>
                <w:w w:val="100"/>
                <w:sz w:val="20"/>
                <w:szCs w:val="20"/>
              </w:rPr>
              <w:t> </w:t>
            </w:r>
            <w:r>
              <w:rPr>
                <w:rFonts w:ascii="宋体" w:hAnsi="宋体" w:cs="宋体" w:eastAsia="宋体" w:hint="default"/>
                <w:sz w:val="20"/>
                <w:szCs w:val="20"/>
              </w:rPr>
              <w:t>银墨及其制备方法</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359"/>
              <w:jc w:val="right"/>
              <w:rPr>
                <w:rFonts w:ascii="宋体" w:hAnsi="宋体" w:cs="宋体" w:eastAsia="宋体" w:hint="default"/>
                <w:sz w:val="20"/>
                <w:szCs w:val="20"/>
              </w:rPr>
            </w:pPr>
            <w:r>
              <w:rPr>
                <w:rFonts w:ascii="宋体" w:hAnsi="宋体" w:cs="宋体" w:eastAsia="宋体" w:hint="default"/>
                <w:sz w:val="20"/>
                <w:szCs w:val="20"/>
              </w:rPr>
              <w:t>发明</w:t>
            </w:r>
          </w:p>
        </w:tc>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144"/>
              <w:jc w:val="right"/>
              <w:rPr>
                <w:rFonts w:ascii="宋体" w:hAnsi="宋体" w:cs="宋体" w:eastAsia="宋体" w:hint="default"/>
                <w:sz w:val="20"/>
                <w:szCs w:val="20"/>
              </w:rPr>
            </w:pPr>
            <w:r>
              <w:rPr>
                <w:rFonts w:ascii="宋体"/>
                <w:spacing w:val="-1"/>
                <w:sz w:val="20"/>
              </w:rPr>
              <w:t>201810888223.4</w:t>
            </w: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185"/>
              <w:jc w:val="right"/>
              <w:rPr>
                <w:rFonts w:ascii="宋体" w:hAnsi="宋体" w:cs="宋体" w:eastAsia="宋体" w:hint="default"/>
                <w:sz w:val="20"/>
                <w:szCs w:val="20"/>
              </w:rPr>
            </w:pPr>
            <w:r>
              <w:rPr>
                <w:rFonts w:ascii="宋体" w:hAnsi="宋体" w:cs="宋体" w:eastAsia="宋体" w:hint="default"/>
                <w:sz w:val="20"/>
                <w:szCs w:val="20"/>
              </w:rPr>
              <w:t>2018</w:t>
            </w:r>
            <w:r>
              <w:rPr>
                <w:rFonts w:ascii="宋体" w:hAnsi="宋体" w:cs="宋体" w:eastAsia="宋体" w:hint="default"/>
                <w:spacing w:val="-51"/>
                <w:sz w:val="20"/>
                <w:szCs w:val="20"/>
              </w:rPr>
              <w:t> </w:t>
            </w:r>
            <w:r>
              <w:rPr>
                <w:rFonts w:ascii="宋体" w:hAnsi="宋体" w:cs="宋体" w:eastAsia="宋体" w:hint="default"/>
                <w:sz w:val="20"/>
                <w:szCs w:val="20"/>
              </w:rPr>
              <w:t>年</w:t>
            </w:r>
            <w:r>
              <w:rPr>
                <w:rFonts w:ascii="宋体" w:hAnsi="宋体" w:cs="宋体" w:eastAsia="宋体" w:hint="default"/>
                <w:spacing w:val="-50"/>
                <w:sz w:val="20"/>
                <w:szCs w:val="20"/>
              </w:rPr>
              <w:t> </w:t>
            </w:r>
            <w:r>
              <w:rPr>
                <w:rFonts w:ascii="宋体" w:hAnsi="宋体" w:cs="宋体" w:eastAsia="宋体" w:hint="default"/>
                <w:sz w:val="20"/>
                <w:szCs w:val="20"/>
              </w:rPr>
              <w:t>08</w:t>
            </w:r>
            <w:r>
              <w:rPr>
                <w:rFonts w:ascii="宋体" w:hAnsi="宋体" w:cs="宋体" w:eastAsia="宋体" w:hint="default"/>
                <w:spacing w:val="-51"/>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宋体" w:hAnsi="宋体" w:cs="宋体" w:eastAsia="宋体" w:hint="default"/>
                <w:sz w:val="20"/>
                <w:szCs w:val="20"/>
              </w:rPr>
              <w:t>07</w:t>
            </w:r>
            <w:r>
              <w:rPr>
                <w:rFonts w:ascii="宋体" w:hAnsi="宋体" w:cs="宋体" w:eastAsia="宋体" w:hint="default"/>
                <w:spacing w:val="-49"/>
                <w:sz w:val="20"/>
                <w:szCs w:val="20"/>
              </w:rPr>
              <w:t> </w:t>
            </w:r>
            <w:r>
              <w:rPr>
                <w:rFonts w:ascii="宋体" w:hAnsi="宋体" w:cs="宋体" w:eastAsia="宋体" w:hint="default"/>
                <w:sz w:val="20"/>
                <w:szCs w:val="20"/>
              </w:rPr>
              <w:t>日</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0"/>
                <w:szCs w:val="20"/>
              </w:rPr>
            </w:pPr>
            <w:r>
              <w:rPr>
                <w:rFonts w:ascii="宋体" w:hAnsi="宋体" w:cs="宋体" w:eastAsia="宋体" w:hint="default"/>
                <w:sz w:val="20"/>
                <w:szCs w:val="20"/>
              </w:rPr>
              <w:t>长春吉星</w:t>
            </w:r>
          </w:p>
        </w:tc>
      </w:tr>
      <w:tr>
        <w:trPr>
          <w:trHeight w:val="370" w:hRule="exact"/>
        </w:trPr>
        <w:tc>
          <w:tcPr>
            <w:tcW w:w="55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 w:right="0"/>
              <w:jc w:val="center"/>
              <w:rPr>
                <w:rFonts w:ascii="宋体" w:hAnsi="宋体" w:cs="宋体" w:eastAsia="宋体" w:hint="default"/>
                <w:sz w:val="20"/>
                <w:szCs w:val="20"/>
              </w:rPr>
            </w:pPr>
            <w:r>
              <w:rPr>
                <w:rFonts w:ascii="宋体"/>
                <w:sz w:val="20"/>
              </w:rPr>
              <w:t>30</w:t>
            </w:r>
          </w:p>
        </w:tc>
        <w:tc>
          <w:tcPr>
            <w:tcW w:w="3381"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一种多功能全息图案光学变频拼版</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359"/>
              <w:jc w:val="right"/>
              <w:rPr>
                <w:rFonts w:ascii="宋体" w:hAnsi="宋体" w:cs="宋体" w:eastAsia="宋体" w:hint="default"/>
                <w:sz w:val="20"/>
                <w:szCs w:val="20"/>
              </w:rPr>
            </w:pPr>
            <w:r>
              <w:rPr>
                <w:rFonts w:ascii="宋体" w:hAnsi="宋体" w:cs="宋体" w:eastAsia="宋体" w:hint="default"/>
                <w:sz w:val="20"/>
                <w:szCs w:val="20"/>
              </w:rPr>
              <w:t>发明</w:t>
            </w:r>
          </w:p>
        </w:tc>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44"/>
              <w:jc w:val="right"/>
              <w:rPr>
                <w:rFonts w:ascii="宋体" w:hAnsi="宋体" w:cs="宋体" w:eastAsia="宋体" w:hint="default"/>
                <w:sz w:val="20"/>
                <w:szCs w:val="20"/>
              </w:rPr>
            </w:pPr>
            <w:r>
              <w:rPr>
                <w:rFonts w:ascii="宋体"/>
                <w:spacing w:val="-1"/>
                <w:sz w:val="20"/>
              </w:rPr>
              <w:t>201811221493.6</w:t>
            </w: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85"/>
              <w:jc w:val="right"/>
              <w:rPr>
                <w:rFonts w:ascii="宋体" w:hAnsi="宋体" w:cs="宋体" w:eastAsia="宋体" w:hint="default"/>
                <w:sz w:val="20"/>
                <w:szCs w:val="20"/>
              </w:rPr>
            </w:pPr>
            <w:r>
              <w:rPr>
                <w:rFonts w:ascii="宋体" w:hAnsi="宋体" w:cs="宋体" w:eastAsia="宋体" w:hint="default"/>
                <w:sz w:val="20"/>
                <w:szCs w:val="20"/>
              </w:rPr>
              <w:t>2018</w:t>
            </w:r>
            <w:r>
              <w:rPr>
                <w:rFonts w:ascii="宋体" w:hAnsi="宋体" w:cs="宋体" w:eastAsia="宋体" w:hint="default"/>
                <w:spacing w:val="-51"/>
                <w:sz w:val="20"/>
                <w:szCs w:val="20"/>
              </w:rPr>
              <w:t> </w:t>
            </w:r>
            <w:r>
              <w:rPr>
                <w:rFonts w:ascii="宋体" w:hAnsi="宋体" w:cs="宋体" w:eastAsia="宋体" w:hint="default"/>
                <w:sz w:val="20"/>
                <w:szCs w:val="20"/>
              </w:rPr>
              <w:t>年</w:t>
            </w:r>
            <w:r>
              <w:rPr>
                <w:rFonts w:ascii="宋体" w:hAnsi="宋体" w:cs="宋体" w:eastAsia="宋体" w:hint="default"/>
                <w:spacing w:val="-50"/>
                <w:sz w:val="20"/>
                <w:szCs w:val="20"/>
              </w:rPr>
              <w:t> </w:t>
            </w:r>
            <w:r>
              <w:rPr>
                <w:rFonts w:ascii="宋体" w:hAnsi="宋体" w:cs="宋体" w:eastAsia="宋体" w:hint="default"/>
                <w:sz w:val="20"/>
                <w:szCs w:val="20"/>
              </w:rPr>
              <w:t>10</w:t>
            </w:r>
            <w:r>
              <w:rPr>
                <w:rFonts w:ascii="宋体" w:hAnsi="宋体" w:cs="宋体" w:eastAsia="宋体" w:hint="default"/>
                <w:spacing w:val="-51"/>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宋体" w:hAnsi="宋体" w:cs="宋体" w:eastAsia="宋体" w:hint="default"/>
                <w:sz w:val="20"/>
                <w:szCs w:val="20"/>
              </w:rPr>
              <w:t>19</w:t>
            </w:r>
            <w:r>
              <w:rPr>
                <w:rFonts w:ascii="宋体" w:hAnsi="宋体" w:cs="宋体" w:eastAsia="宋体" w:hint="default"/>
                <w:spacing w:val="-49"/>
                <w:sz w:val="20"/>
                <w:szCs w:val="20"/>
              </w:rPr>
              <w:t> </w:t>
            </w:r>
            <w:r>
              <w:rPr>
                <w:rFonts w:ascii="宋体" w:hAnsi="宋体" w:cs="宋体" w:eastAsia="宋体" w:hint="default"/>
                <w:sz w:val="20"/>
                <w:szCs w:val="20"/>
              </w:rPr>
              <w:t>日</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中丰田</w:t>
            </w:r>
          </w:p>
        </w:tc>
      </w:tr>
    </w:tbl>
    <w:p>
      <w:pPr>
        <w:spacing w:after="0" w:line="256" w:lineRule="exact"/>
        <w:jc w:val="left"/>
        <w:rPr>
          <w:rFonts w:ascii="宋体" w:hAnsi="宋体" w:cs="宋体" w:eastAsia="宋体" w:hint="default"/>
          <w:sz w:val="20"/>
          <w:szCs w:val="20"/>
        </w:rPr>
        <w:sectPr>
          <w:pgSz w:w="11910" w:h="16840"/>
          <w:pgMar w:header="747" w:footer="979" w:top="1060" w:bottom="1160" w:left="92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01" w:type="dxa"/>
        <w:tblLayout w:type="fixed"/>
        <w:tblCellMar>
          <w:top w:w="0" w:type="dxa"/>
          <w:left w:w="0" w:type="dxa"/>
          <w:bottom w:w="0" w:type="dxa"/>
          <w:right w:w="0" w:type="dxa"/>
        </w:tblCellMar>
        <w:tblLook w:val="01E0"/>
      </w:tblPr>
      <w:tblGrid>
        <w:gridCol w:w="556"/>
        <w:gridCol w:w="3381"/>
        <w:gridCol w:w="1133"/>
        <w:gridCol w:w="1703"/>
        <w:gridCol w:w="2033"/>
        <w:gridCol w:w="1050"/>
      </w:tblGrid>
      <w:tr>
        <w:trPr>
          <w:trHeight w:val="370" w:hRule="exact"/>
        </w:trPr>
        <w:tc>
          <w:tcPr>
            <w:tcW w:w="556" w:type="dxa"/>
            <w:tcBorders>
              <w:top w:val="single" w:sz="4" w:space="0" w:color="000000"/>
              <w:left w:val="single" w:sz="4" w:space="0" w:color="000000"/>
              <w:bottom w:val="single" w:sz="4" w:space="0" w:color="000000"/>
              <w:right w:val="single" w:sz="4" w:space="0" w:color="000000"/>
            </w:tcBorders>
          </w:tcPr>
          <w:p>
            <w:pPr/>
          </w:p>
        </w:tc>
        <w:tc>
          <w:tcPr>
            <w:tcW w:w="3381"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方法及装置</w:t>
            </w:r>
          </w:p>
        </w:tc>
        <w:tc>
          <w:tcPr>
            <w:tcW w:w="1133" w:type="dxa"/>
            <w:tcBorders>
              <w:top w:val="single" w:sz="4" w:space="0" w:color="000000"/>
              <w:left w:val="single" w:sz="4" w:space="0" w:color="000000"/>
              <w:bottom w:val="single" w:sz="4" w:space="0" w:color="000000"/>
              <w:right w:val="single" w:sz="4" w:space="0" w:color="000000"/>
            </w:tcBorders>
          </w:tcPr>
          <w:p>
            <w:pPr/>
          </w:p>
        </w:tc>
        <w:tc>
          <w:tcPr>
            <w:tcW w:w="1703" w:type="dxa"/>
            <w:tcBorders>
              <w:top w:val="single" w:sz="4" w:space="0" w:color="000000"/>
              <w:left w:val="single" w:sz="4" w:space="0" w:color="000000"/>
              <w:bottom w:val="single" w:sz="4" w:space="0" w:color="000000"/>
              <w:right w:val="single" w:sz="4" w:space="0" w:color="000000"/>
            </w:tcBorders>
          </w:tcPr>
          <w:p>
            <w:pPr/>
          </w:p>
        </w:tc>
        <w:tc>
          <w:tcPr>
            <w:tcW w:w="2033" w:type="dxa"/>
            <w:tcBorders>
              <w:top w:val="single" w:sz="4" w:space="0" w:color="000000"/>
              <w:left w:val="single" w:sz="4" w:space="0" w:color="000000"/>
              <w:bottom w:val="single" w:sz="4" w:space="0" w:color="000000"/>
              <w:right w:val="single" w:sz="4" w:space="0" w:color="000000"/>
            </w:tcBorders>
          </w:tcPr>
          <w:p>
            <w:pPr/>
          </w:p>
        </w:tc>
        <w:tc>
          <w:tcPr>
            <w:tcW w:w="1050" w:type="dxa"/>
            <w:tcBorders>
              <w:top w:val="single" w:sz="4" w:space="0" w:color="000000"/>
              <w:left w:val="single" w:sz="4" w:space="0" w:color="000000"/>
              <w:bottom w:val="single" w:sz="4" w:space="0" w:color="000000"/>
              <w:right w:val="single" w:sz="4" w:space="0" w:color="000000"/>
            </w:tcBorders>
          </w:tcPr>
          <w:p>
            <w:pPr/>
          </w:p>
        </w:tc>
      </w:tr>
      <w:tr>
        <w:trPr>
          <w:trHeight w:val="371" w:hRule="exact"/>
        </w:trPr>
        <w:tc>
          <w:tcPr>
            <w:tcW w:w="556"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 w:right="0"/>
              <w:jc w:val="center"/>
              <w:rPr>
                <w:rFonts w:ascii="宋体" w:hAnsi="宋体" w:cs="宋体" w:eastAsia="宋体" w:hint="default"/>
                <w:sz w:val="20"/>
                <w:szCs w:val="20"/>
              </w:rPr>
            </w:pPr>
            <w:r>
              <w:rPr>
                <w:rFonts w:ascii="宋体"/>
                <w:sz w:val="20"/>
              </w:rPr>
              <w:t>31</w:t>
            </w:r>
          </w:p>
        </w:tc>
        <w:tc>
          <w:tcPr>
            <w:tcW w:w="338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0"/>
                <w:szCs w:val="20"/>
              </w:rPr>
            </w:pPr>
            <w:r>
              <w:rPr>
                <w:rFonts w:ascii="宋体" w:hAnsi="宋体" w:cs="宋体" w:eastAsia="宋体" w:hint="default"/>
                <w:sz w:val="20"/>
                <w:szCs w:val="20"/>
              </w:rPr>
              <w:t>一种激光全息光刻量子云码的方法</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0"/>
              <w:jc w:val="center"/>
              <w:rPr>
                <w:rFonts w:ascii="宋体" w:hAnsi="宋体" w:cs="宋体" w:eastAsia="宋体" w:hint="default"/>
                <w:sz w:val="20"/>
                <w:szCs w:val="20"/>
              </w:rPr>
            </w:pPr>
            <w:r>
              <w:rPr>
                <w:rFonts w:ascii="宋体" w:hAnsi="宋体" w:cs="宋体" w:eastAsia="宋体" w:hint="default"/>
                <w:sz w:val="20"/>
                <w:szCs w:val="20"/>
              </w:rPr>
              <w:t>发明</w:t>
            </w:r>
          </w:p>
        </w:tc>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144"/>
              <w:jc w:val="right"/>
              <w:rPr>
                <w:rFonts w:ascii="宋体" w:hAnsi="宋体" w:cs="宋体" w:eastAsia="宋体" w:hint="default"/>
                <w:sz w:val="20"/>
                <w:szCs w:val="20"/>
              </w:rPr>
            </w:pPr>
            <w:r>
              <w:rPr>
                <w:rFonts w:ascii="宋体"/>
                <w:spacing w:val="-1"/>
                <w:sz w:val="20"/>
              </w:rPr>
              <w:t>201811221024.4</w:t>
            </w: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185"/>
              <w:jc w:val="right"/>
              <w:rPr>
                <w:rFonts w:ascii="宋体" w:hAnsi="宋体" w:cs="宋体" w:eastAsia="宋体" w:hint="default"/>
                <w:sz w:val="20"/>
                <w:szCs w:val="20"/>
              </w:rPr>
            </w:pPr>
            <w:r>
              <w:rPr>
                <w:rFonts w:ascii="宋体" w:hAnsi="宋体" w:cs="宋体" w:eastAsia="宋体" w:hint="default"/>
                <w:sz w:val="20"/>
                <w:szCs w:val="20"/>
              </w:rPr>
              <w:t>2018</w:t>
            </w:r>
            <w:r>
              <w:rPr>
                <w:rFonts w:ascii="宋体" w:hAnsi="宋体" w:cs="宋体" w:eastAsia="宋体" w:hint="default"/>
                <w:spacing w:val="-51"/>
                <w:sz w:val="20"/>
                <w:szCs w:val="20"/>
              </w:rPr>
              <w:t> </w:t>
            </w:r>
            <w:r>
              <w:rPr>
                <w:rFonts w:ascii="宋体" w:hAnsi="宋体" w:cs="宋体" w:eastAsia="宋体" w:hint="default"/>
                <w:sz w:val="20"/>
                <w:szCs w:val="20"/>
              </w:rPr>
              <w:t>年</w:t>
            </w:r>
            <w:r>
              <w:rPr>
                <w:rFonts w:ascii="宋体" w:hAnsi="宋体" w:cs="宋体" w:eastAsia="宋体" w:hint="default"/>
                <w:spacing w:val="-50"/>
                <w:sz w:val="20"/>
                <w:szCs w:val="20"/>
              </w:rPr>
              <w:t> </w:t>
            </w:r>
            <w:r>
              <w:rPr>
                <w:rFonts w:ascii="宋体" w:hAnsi="宋体" w:cs="宋体" w:eastAsia="宋体" w:hint="default"/>
                <w:sz w:val="20"/>
                <w:szCs w:val="20"/>
              </w:rPr>
              <w:t>10</w:t>
            </w:r>
            <w:r>
              <w:rPr>
                <w:rFonts w:ascii="宋体" w:hAnsi="宋体" w:cs="宋体" w:eastAsia="宋体" w:hint="default"/>
                <w:spacing w:val="-51"/>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宋体" w:hAnsi="宋体" w:cs="宋体" w:eastAsia="宋体" w:hint="default"/>
                <w:sz w:val="20"/>
                <w:szCs w:val="20"/>
              </w:rPr>
              <w:t>19</w:t>
            </w:r>
            <w:r>
              <w:rPr>
                <w:rFonts w:ascii="宋体" w:hAnsi="宋体" w:cs="宋体" w:eastAsia="宋体" w:hint="default"/>
                <w:spacing w:val="-49"/>
                <w:sz w:val="20"/>
                <w:szCs w:val="20"/>
              </w:rPr>
              <w:t> </w:t>
            </w:r>
            <w:r>
              <w:rPr>
                <w:rFonts w:ascii="宋体" w:hAnsi="宋体" w:cs="宋体" w:eastAsia="宋体" w:hint="default"/>
                <w:sz w:val="20"/>
                <w:szCs w:val="20"/>
              </w:rPr>
              <w:t>日</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0"/>
                <w:szCs w:val="20"/>
              </w:rPr>
            </w:pPr>
            <w:r>
              <w:rPr>
                <w:rFonts w:ascii="宋体" w:hAnsi="宋体" w:cs="宋体" w:eastAsia="宋体" w:hint="default"/>
                <w:sz w:val="20"/>
                <w:szCs w:val="20"/>
              </w:rPr>
              <w:t>中丰田</w:t>
            </w:r>
          </w:p>
        </w:tc>
      </w:tr>
      <w:tr>
        <w:trPr>
          <w:trHeight w:val="634" w:hRule="exact"/>
        </w:trPr>
        <w:tc>
          <w:tcPr>
            <w:tcW w:w="55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 w:right="0"/>
              <w:jc w:val="center"/>
              <w:rPr>
                <w:rFonts w:ascii="宋体" w:hAnsi="宋体" w:cs="宋体" w:eastAsia="宋体" w:hint="default"/>
                <w:sz w:val="20"/>
                <w:szCs w:val="20"/>
              </w:rPr>
            </w:pPr>
            <w:r>
              <w:rPr>
                <w:rFonts w:ascii="宋体"/>
                <w:sz w:val="20"/>
              </w:rPr>
              <w:t>32</w:t>
            </w:r>
          </w:p>
        </w:tc>
        <w:tc>
          <w:tcPr>
            <w:tcW w:w="3381"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264"/>
              <w:jc w:val="left"/>
              <w:rPr>
                <w:rFonts w:ascii="宋体" w:hAnsi="宋体" w:cs="宋体" w:eastAsia="宋体" w:hint="default"/>
                <w:sz w:val="20"/>
                <w:szCs w:val="20"/>
              </w:rPr>
            </w:pPr>
            <w:r>
              <w:rPr>
                <w:rFonts w:ascii="宋体" w:hAnsi="宋体" w:cs="宋体" w:eastAsia="宋体" w:hint="default"/>
                <w:sz w:val="20"/>
                <w:szCs w:val="20"/>
              </w:rPr>
              <w:t>一种镀铝镭射材料的生产工艺及镭</w:t>
            </w:r>
            <w:r>
              <w:rPr>
                <w:rFonts w:ascii="宋体" w:hAnsi="宋体" w:cs="宋体" w:eastAsia="宋体" w:hint="default"/>
                <w:w w:val="100"/>
                <w:sz w:val="20"/>
                <w:szCs w:val="20"/>
              </w:rPr>
              <w:t> </w:t>
            </w:r>
            <w:r>
              <w:rPr>
                <w:rFonts w:ascii="宋体" w:hAnsi="宋体" w:cs="宋体" w:eastAsia="宋体" w:hint="default"/>
                <w:sz w:val="20"/>
                <w:szCs w:val="20"/>
              </w:rPr>
              <w:t>射材料</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0"/>
              <w:jc w:val="center"/>
              <w:rPr>
                <w:rFonts w:ascii="宋体" w:hAnsi="宋体" w:cs="宋体" w:eastAsia="宋体" w:hint="default"/>
                <w:sz w:val="20"/>
                <w:szCs w:val="20"/>
              </w:rPr>
            </w:pPr>
            <w:r>
              <w:rPr>
                <w:rFonts w:ascii="宋体" w:hAnsi="宋体" w:cs="宋体" w:eastAsia="宋体" w:hint="default"/>
                <w:sz w:val="20"/>
                <w:szCs w:val="20"/>
              </w:rPr>
              <w:t>发明</w:t>
            </w:r>
          </w:p>
        </w:tc>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44"/>
              <w:jc w:val="right"/>
              <w:rPr>
                <w:rFonts w:ascii="宋体" w:hAnsi="宋体" w:cs="宋体" w:eastAsia="宋体" w:hint="default"/>
                <w:sz w:val="20"/>
                <w:szCs w:val="20"/>
              </w:rPr>
            </w:pPr>
            <w:r>
              <w:rPr>
                <w:rFonts w:ascii="宋体"/>
                <w:spacing w:val="-1"/>
                <w:sz w:val="20"/>
              </w:rPr>
              <w:t>201811240610.3</w:t>
            </w: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85"/>
              <w:jc w:val="right"/>
              <w:rPr>
                <w:rFonts w:ascii="宋体" w:hAnsi="宋体" w:cs="宋体" w:eastAsia="宋体" w:hint="default"/>
                <w:sz w:val="20"/>
                <w:szCs w:val="20"/>
              </w:rPr>
            </w:pPr>
            <w:r>
              <w:rPr>
                <w:rFonts w:ascii="宋体" w:hAnsi="宋体" w:cs="宋体" w:eastAsia="宋体" w:hint="default"/>
                <w:sz w:val="20"/>
                <w:szCs w:val="20"/>
              </w:rPr>
              <w:t>2018</w:t>
            </w:r>
            <w:r>
              <w:rPr>
                <w:rFonts w:ascii="宋体" w:hAnsi="宋体" w:cs="宋体" w:eastAsia="宋体" w:hint="default"/>
                <w:spacing w:val="-51"/>
                <w:sz w:val="20"/>
                <w:szCs w:val="20"/>
              </w:rPr>
              <w:t> </w:t>
            </w:r>
            <w:r>
              <w:rPr>
                <w:rFonts w:ascii="宋体" w:hAnsi="宋体" w:cs="宋体" w:eastAsia="宋体" w:hint="default"/>
                <w:sz w:val="20"/>
                <w:szCs w:val="20"/>
              </w:rPr>
              <w:t>年</w:t>
            </w:r>
            <w:r>
              <w:rPr>
                <w:rFonts w:ascii="宋体" w:hAnsi="宋体" w:cs="宋体" w:eastAsia="宋体" w:hint="default"/>
                <w:spacing w:val="-50"/>
                <w:sz w:val="20"/>
                <w:szCs w:val="20"/>
              </w:rPr>
              <w:t> </w:t>
            </w:r>
            <w:r>
              <w:rPr>
                <w:rFonts w:ascii="宋体" w:hAnsi="宋体" w:cs="宋体" w:eastAsia="宋体" w:hint="default"/>
                <w:sz w:val="20"/>
                <w:szCs w:val="20"/>
              </w:rPr>
              <w:t>10</w:t>
            </w:r>
            <w:r>
              <w:rPr>
                <w:rFonts w:ascii="宋体" w:hAnsi="宋体" w:cs="宋体" w:eastAsia="宋体" w:hint="default"/>
                <w:spacing w:val="-51"/>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宋体" w:hAnsi="宋体" w:cs="宋体" w:eastAsia="宋体" w:hint="default"/>
                <w:sz w:val="20"/>
                <w:szCs w:val="20"/>
              </w:rPr>
              <w:t>24</w:t>
            </w:r>
            <w:r>
              <w:rPr>
                <w:rFonts w:ascii="宋体" w:hAnsi="宋体" w:cs="宋体" w:eastAsia="宋体" w:hint="default"/>
                <w:spacing w:val="-49"/>
                <w:sz w:val="20"/>
                <w:szCs w:val="20"/>
              </w:rPr>
              <w:t> </w:t>
            </w:r>
            <w:r>
              <w:rPr>
                <w:rFonts w:ascii="宋体" w:hAnsi="宋体" w:cs="宋体" w:eastAsia="宋体" w:hint="default"/>
                <w:sz w:val="20"/>
                <w:szCs w:val="20"/>
              </w:rPr>
              <w:t>日</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中丰田</w:t>
            </w:r>
          </w:p>
        </w:tc>
      </w:tr>
      <w:tr>
        <w:trPr>
          <w:trHeight w:val="634" w:hRule="exact"/>
        </w:trPr>
        <w:tc>
          <w:tcPr>
            <w:tcW w:w="55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 w:right="0"/>
              <w:jc w:val="center"/>
              <w:rPr>
                <w:rFonts w:ascii="宋体" w:hAnsi="宋体" w:cs="宋体" w:eastAsia="宋体" w:hint="default"/>
                <w:sz w:val="20"/>
                <w:szCs w:val="20"/>
              </w:rPr>
            </w:pPr>
            <w:r>
              <w:rPr>
                <w:rFonts w:ascii="宋体"/>
                <w:sz w:val="20"/>
              </w:rPr>
              <w:t>33</w:t>
            </w:r>
          </w:p>
        </w:tc>
        <w:tc>
          <w:tcPr>
            <w:tcW w:w="3381"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264"/>
              <w:jc w:val="left"/>
              <w:rPr>
                <w:rFonts w:ascii="宋体" w:hAnsi="宋体" w:cs="宋体" w:eastAsia="宋体" w:hint="default"/>
                <w:sz w:val="20"/>
                <w:szCs w:val="20"/>
              </w:rPr>
            </w:pPr>
            <w:r>
              <w:rPr>
                <w:rFonts w:ascii="宋体" w:hAnsi="宋体" w:cs="宋体" w:eastAsia="宋体" w:hint="default"/>
                <w:sz w:val="20"/>
                <w:szCs w:val="20"/>
              </w:rPr>
              <w:t>一种电子烟的封闭式雾化器及其实</w:t>
            </w:r>
            <w:r>
              <w:rPr>
                <w:rFonts w:ascii="宋体" w:hAnsi="宋体" w:cs="宋体" w:eastAsia="宋体" w:hint="default"/>
                <w:w w:val="100"/>
                <w:sz w:val="20"/>
                <w:szCs w:val="20"/>
              </w:rPr>
              <w:t> </w:t>
            </w:r>
            <w:r>
              <w:rPr>
                <w:rFonts w:ascii="宋体" w:hAnsi="宋体" w:cs="宋体" w:eastAsia="宋体" w:hint="default"/>
                <w:sz w:val="20"/>
                <w:szCs w:val="20"/>
              </w:rPr>
              <w:t>现方法</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0"/>
              <w:jc w:val="center"/>
              <w:rPr>
                <w:rFonts w:ascii="宋体" w:hAnsi="宋体" w:cs="宋体" w:eastAsia="宋体" w:hint="default"/>
                <w:sz w:val="20"/>
                <w:szCs w:val="20"/>
              </w:rPr>
            </w:pPr>
            <w:r>
              <w:rPr>
                <w:rFonts w:ascii="宋体" w:hAnsi="宋体" w:cs="宋体" w:eastAsia="宋体" w:hint="default"/>
                <w:sz w:val="20"/>
                <w:szCs w:val="20"/>
              </w:rPr>
              <w:t>发明</w:t>
            </w:r>
          </w:p>
        </w:tc>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44"/>
              <w:jc w:val="right"/>
              <w:rPr>
                <w:rFonts w:ascii="宋体" w:hAnsi="宋体" w:cs="宋体" w:eastAsia="宋体" w:hint="default"/>
                <w:sz w:val="20"/>
                <w:szCs w:val="20"/>
              </w:rPr>
            </w:pPr>
            <w:r>
              <w:rPr>
                <w:rFonts w:ascii="宋体"/>
                <w:spacing w:val="-1"/>
                <w:sz w:val="20"/>
              </w:rPr>
              <w:t>201810105721.7</w:t>
            </w: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85"/>
              <w:jc w:val="right"/>
              <w:rPr>
                <w:rFonts w:ascii="宋体" w:hAnsi="宋体" w:cs="宋体" w:eastAsia="宋体" w:hint="default"/>
                <w:sz w:val="20"/>
                <w:szCs w:val="20"/>
              </w:rPr>
            </w:pPr>
            <w:r>
              <w:rPr>
                <w:rFonts w:ascii="宋体" w:hAnsi="宋体" w:cs="宋体" w:eastAsia="宋体" w:hint="default"/>
                <w:sz w:val="20"/>
                <w:szCs w:val="20"/>
              </w:rPr>
              <w:t>2018</w:t>
            </w:r>
            <w:r>
              <w:rPr>
                <w:rFonts w:ascii="宋体" w:hAnsi="宋体" w:cs="宋体" w:eastAsia="宋体" w:hint="default"/>
                <w:spacing w:val="-51"/>
                <w:sz w:val="20"/>
                <w:szCs w:val="20"/>
              </w:rPr>
              <w:t> </w:t>
            </w:r>
            <w:r>
              <w:rPr>
                <w:rFonts w:ascii="宋体" w:hAnsi="宋体" w:cs="宋体" w:eastAsia="宋体" w:hint="default"/>
                <w:sz w:val="20"/>
                <w:szCs w:val="20"/>
              </w:rPr>
              <w:t>年</w:t>
            </w:r>
            <w:r>
              <w:rPr>
                <w:rFonts w:ascii="宋体" w:hAnsi="宋体" w:cs="宋体" w:eastAsia="宋体" w:hint="default"/>
                <w:spacing w:val="-50"/>
                <w:sz w:val="20"/>
                <w:szCs w:val="20"/>
              </w:rPr>
              <w:t> </w:t>
            </w:r>
            <w:r>
              <w:rPr>
                <w:rFonts w:ascii="宋体" w:hAnsi="宋体" w:cs="宋体" w:eastAsia="宋体" w:hint="default"/>
                <w:sz w:val="20"/>
                <w:szCs w:val="20"/>
              </w:rPr>
              <w:t>02</w:t>
            </w:r>
            <w:r>
              <w:rPr>
                <w:rFonts w:ascii="宋体" w:hAnsi="宋体" w:cs="宋体" w:eastAsia="宋体" w:hint="default"/>
                <w:spacing w:val="-51"/>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宋体" w:hAnsi="宋体" w:cs="宋体" w:eastAsia="宋体" w:hint="default"/>
                <w:sz w:val="20"/>
                <w:szCs w:val="20"/>
              </w:rPr>
              <w:t>02</w:t>
            </w:r>
            <w:r>
              <w:rPr>
                <w:rFonts w:ascii="宋体" w:hAnsi="宋体" w:cs="宋体" w:eastAsia="宋体" w:hint="default"/>
                <w:spacing w:val="-49"/>
                <w:sz w:val="20"/>
                <w:szCs w:val="20"/>
              </w:rPr>
              <w:t> </w:t>
            </w:r>
            <w:r>
              <w:rPr>
                <w:rFonts w:ascii="宋体" w:hAnsi="宋体" w:cs="宋体" w:eastAsia="宋体" w:hint="default"/>
                <w:sz w:val="20"/>
                <w:szCs w:val="20"/>
              </w:rPr>
              <w:t>日</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劲嘉科技</w:t>
            </w:r>
          </w:p>
        </w:tc>
      </w:tr>
      <w:tr>
        <w:trPr>
          <w:trHeight w:val="635" w:hRule="exact"/>
        </w:trPr>
        <w:tc>
          <w:tcPr>
            <w:tcW w:w="556"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 w:right="0"/>
              <w:jc w:val="center"/>
              <w:rPr>
                <w:rFonts w:ascii="宋体" w:hAnsi="宋体" w:cs="宋体" w:eastAsia="宋体" w:hint="default"/>
                <w:sz w:val="20"/>
                <w:szCs w:val="20"/>
              </w:rPr>
            </w:pPr>
            <w:r>
              <w:rPr>
                <w:rFonts w:ascii="宋体"/>
                <w:sz w:val="20"/>
              </w:rPr>
              <w:t>34</w:t>
            </w:r>
          </w:p>
        </w:tc>
        <w:tc>
          <w:tcPr>
            <w:tcW w:w="3381"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264"/>
              <w:jc w:val="left"/>
              <w:rPr>
                <w:rFonts w:ascii="宋体" w:hAnsi="宋体" w:cs="宋体" w:eastAsia="宋体" w:hint="default"/>
                <w:sz w:val="20"/>
                <w:szCs w:val="20"/>
              </w:rPr>
            </w:pPr>
            <w:r>
              <w:rPr>
                <w:rFonts w:ascii="宋体" w:hAnsi="宋体" w:cs="宋体" w:eastAsia="宋体" w:hint="default"/>
                <w:sz w:val="20"/>
                <w:szCs w:val="20"/>
              </w:rPr>
              <w:t>一种气雾产生装置及其气雾发生棒</w:t>
            </w:r>
            <w:r>
              <w:rPr>
                <w:rFonts w:ascii="宋体" w:hAnsi="宋体" w:cs="宋体" w:eastAsia="宋体" w:hint="default"/>
                <w:w w:val="100"/>
                <w:sz w:val="20"/>
                <w:szCs w:val="20"/>
              </w:rPr>
              <w:t> </w:t>
            </w:r>
            <w:r>
              <w:rPr>
                <w:rFonts w:ascii="宋体" w:hAnsi="宋体" w:cs="宋体" w:eastAsia="宋体" w:hint="default"/>
                <w:sz w:val="20"/>
                <w:szCs w:val="20"/>
              </w:rPr>
              <w:t>的提取装置</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0"/>
              <w:jc w:val="center"/>
              <w:rPr>
                <w:rFonts w:ascii="宋体" w:hAnsi="宋体" w:cs="宋体" w:eastAsia="宋体" w:hint="default"/>
                <w:sz w:val="20"/>
                <w:szCs w:val="20"/>
              </w:rPr>
            </w:pPr>
            <w:r>
              <w:rPr>
                <w:rFonts w:ascii="宋体" w:hAnsi="宋体" w:cs="宋体" w:eastAsia="宋体" w:hint="default"/>
                <w:sz w:val="20"/>
                <w:szCs w:val="20"/>
              </w:rPr>
              <w:t>发明</w:t>
            </w:r>
          </w:p>
        </w:tc>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144"/>
              <w:jc w:val="right"/>
              <w:rPr>
                <w:rFonts w:ascii="宋体" w:hAnsi="宋体" w:cs="宋体" w:eastAsia="宋体" w:hint="default"/>
                <w:sz w:val="20"/>
                <w:szCs w:val="20"/>
              </w:rPr>
            </w:pPr>
            <w:r>
              <w:rPr>
                <w:rFonts w:ascii="宋体"/>
                <w:spacing w:val="-1"/>
                <w:sz w:val="20"/>
              </w:rPr>
              <w:t>201810141571.5</w:t>
            </w: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185"/>
              <w:jc w:val="right"/>
              <w:rPr>
                <w:rFonts w:ascii="宋体" w:hAnsi="宋体" w:cs="宋体" w:eastAsia="宋体" w:hint="default"/>
                <w:sz w:val="20"/>
                <w:szCs w:val="20"/>
              </w:rPr>
            </w:pPr>
            <w:r>
              <w:rPr>
                <w:rFonts w:ascii="宋体" w:hAnsi="宋体" w:cs="宋体" w:eastAsia="宋体" w:hint="default"/>
                <w:sz w:val="20"/>
                <w:szCs w:val="20"/>
              </w:rPr>
              <w:t>2018</w:t>
            </w:r>
            <w:r>
              <w:rPr>
                <w:rFonts w:ascii="宋体" w:hAnsi="宋体" w:cs="宋体" w:eastAsia="宋体" w:hint="default"/>
                <w:spacing w:val="-51"/>
                <w:sz w:val="20"/>
                <w:szCs w:val="20"/>
              </w:rPr>
              <w:t> </w:t>
            </w:r>
            <w:r>
              <w:rPr>
                <w:rFonts w:ascii="宋体" w:hAnsi="宋体" w:cs="宋体" w:eastAsia="宋体" w:hint="default"/>
                <w:sz w:val="20"/>
                <w:szCs w:val="20"/>
              </w:rPr>
              <w:t>年</w:t>
            </w:r>
            <w:r>
              <w:rPr>
                <w:rFonts w:ascii="宋体" w:hAnsi="宋体" w:cs="宋体" w:eastAsia="宋体" w:hint="default"/>
                <w:spacing w:val="-50"/>
                <w:sz w:val="20"/>
                <w:szCs w:val="20"/>
              </w:rPr>
              <w:t> </w:t>
            </w:r>
            <w:r>
              <w:rPr>
                <w:rFonts w:ascii="宋体" w:hAnsi="宋体" w:cs="宋体" w:eastAsia="宋体" w:hint="default"/>
                <w:sz w:val="20"/>
                <w:szCs w:val="20"/>
              </w:rPr>
              <w:t>02</w:t>
            </w:r>
            <w:r>
              <w:rPr>
                <w:rFonts w:ascii="宋体" w:hAnsi="宋体" w:cs="宋体" w:eastAsia="宋体" w:hint="default"/>
                <w:spacing w:val="-51"/>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宋体" w:hAnsi="宋体" w:cs="宋体" w:eastAsia="宋体" w:hint="default"/>
                <w:sz w:val="20"/>
                <w:szCs w:val="20"/>
              </w:rPr>
              <w:t>11</w:t>
            </w:r>
            <w:r>
              <w:rPr>
                <w:rFonts w:ascii="宋体" w:hAnsi="宋体" w:cs="宋体" w:eastAsia="宋体" w:hint="default"/>
                <w:spacing w:val="-49"/>
                <w:sz w:val="20"/>
                <w:szCs w:val="20"/>
              </w:rPr>
              <w:t> </w:t>
            </w:r>
            <w:r>
              <w:rPr>
                <w:rFonts w:ascii="宋体" w:hAnsi="宋体" w:cs="宋体" w:eastAsia="宋体" w:hint="default"/>
                <w:sz w:val="20"/>
                <w:szCs w:val="20"/>
              </w:rPr>
              <w:t>日</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0"/>
                <w:szCs w:val="20"/>
              </w:rPr>
            </w:pPr>
            <w:r>
              <w:rPr>
                <w:rFonts w:ascii="宋体" w:hAnsi="宋体" w:cs="宋体" w:eastAsia="宋体" w:hint="default"/>
                <w:sz w:val="20"/>
                <w:szCs w:val="20"/>
              </w:rPr>
              <w:t>劲嘉科技</w:t>
            </w:r>
          </w:p>
        </w:tc>
      </w:tr>
      <w:tr>
        <w:trPr>
          <w:trHeight w:val="634" w:hRule="exact"/>
        </w:trPr>
        <w:tc>
          <w:tcPr>
            <w:tcW w:w="55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 w:right="0"/>
              <w:jc w:val="center"/>
              <w:rPr>
                <w:rFonts w:ascii="宋体" w:hAnsi="宋体" w:cs="宋体" w:eastAsia="宋体" w:hint="default"/>
                <w:sz w:val="20"/>
                <w:szCs w:val="20"/>
              </w:rPr>
            </w:pPr>
            <w:r>
              <w:rPr>
                <w:rFonts w:ascii="宋体"/>
                <w:sz w:val="20"/>
              </w:rPr>
              <w:t>35</w:t>
            </w:r>
          </w:p>
        </w:tc>
        <w:tc>
          <w:tcPr>
            <w:tcW w:w="3381"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264"/>
              <w:jc w:val="left"/>
              <w:rPr>
                <w:rFonts w:ascii="宋体" w:hAnsi="宋体" w:cs="宋体" w:eastAsia="宋体" w:hint="default"/>
                <w:sz w:val="20"/>
                <w:szCs w:val="20"/>
              </w:rPr>
            </w:pPr>
            <w:r>
              <w:rPr>
                <w:rFonts w:ascii="宋体" w:hAnsi="宋体" w:cs="宋体" w:eastAsia="宋体" w:hint="default"/>
                <w:sz w:val="20"/>
                <w:szCs w:val="20"/>
              </w:rPr>
              <w:t>气雾产生装置及其气雾发生棒的提</w:t>
            </w:r>
            <w:r>
              <w:rPr>
                <w:rFonts w:ascii="宋体" w:hAnsi="宋体" w:cs="宋体" w:eastAsia="宋体" w:hint="default"/>
                <w:w w:val="100"/>
                <w:sz w:val="20"/>
                <w:szCs w:val="20"/>
              </w:rPr>
              <w:t> </w:t>
            </w:r>
            <w:r>
              <w:rPr>
                <w:rFonts w:ascii="宋体" w:hAnsi="宋体" w:cs="宋体" w:eastAsia="宋体" w:hint="default"/>
                <w:sz w:val="20"/>
                <w:szCs w:val="20"/>
              </w:rPr>
              <w:t>取装置</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0"/>
              <w:jc w:val="center"/>
              <w:rPr>
                <w:rFonts w:ascii="宋体" w:hAnsi="宋体" w:cs="宋体" w:eastAsia="宋体" w:hint="default"/>
                <w:sz w:val="20"/>
                <w:szCs w:val="20"/>
              </w:rPr>
            </w:pPr>
            <w:r>
              <w:rPr>
                <w:rFonts w:ascii="宋体" w:hAnsi="宋体" w:cs="宋体" w:eastAsia="宋体" w:hint="default"/>
                <w:sz w:val="20"/>
                <w:szCs w:val="20"/>
              </w:rPr>
              <w:t>发明</w:t>
            </w:r>
          </w:p>
        </w:tc>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44"/>
              <w:jc w:val="right"/>
              <w:rPr>
                <w:rFonts w:ascii="宋体" w:hAnsi="宋体" w:cs="宋体" w:eastAsia="宋体" w:hint="default"/>
                <w:sz w:val="20"/>
                <w:szCs w:val="20"/>
              </w:rPr>
            </w:pPr>
            <w:r>
              <w:rPr>
                <w:rFonts w:ascii="宋体"/>
                <w:spacing w:val="-1"/>
                <w:sz w:val="20"/>
              </w:rPr>
              <w:t>201810142434.3</w:t>
            </w: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85"/>
              <w:jc w:val="right"/>
              <w:rPr>
                <w:rFonts w:ascii="宋体" w:hAnsi="宋体" w:cs="宋体" w:eastAsia="宋体" w:hint="default"/>
                <w:sz w:val="20"/>
                <w:szCs w:val="20"/>
              </w:rPr>
            </w:pPr>
            <w:r>
              <w:rPr>
                <w:rFonts w:ascii="宋体" w:hAnsi="宋体" w:cs="宋体" w:eastAsia="宋体" w:hint="default"/>
                <w:sz w:val="20"/>
                <w:szCs w:val="20"/>
              </w:rPr>
              <w:t>2018</w:t>
            </w:r>
            <w:r>
              <w:rPr>
                <w:rFonts w:ascii="宋体" w:hAnsi="宋体" w:cs="宋体" w:eastAsia="宋体" w:hint="default"/>
                <w:spacing w:val="-51"/>
                <w:sz w:val="20"/>
                <w:szCs w:val="20"/>
              </w:rPr>
              <w:t> </w:t>
            </w:r>
            <w:r>
              <w:rPr>
                <w:rFonts w:ascii="宋体" w:hAnsi="宋体" w:cs="宋体" w:eastAsia="宋体" w:hint="default"/>
                <w:sz w:val="20"/>
                <w:szCs w:val="20"/>
              </w:rPr>
              <w:t>年</w:t>
            </w:r>
            <w:r>
              <w:rPr>
                <w:rFonts w:ascii="宋体" w:hAnsi="宋体" w:cs="宋体" w:eastAsia="宋体" w:hint="default"/>
                <w:spacing w:val="-50"/>
                <w:sz w:val="20"/>
                <w:szCs w:val="20"/>
              </w:rPr>
              <w:t> </w:t>
            </w:r>
            <w:r>
              <w:rPr>
                <w:rFonts w:ascii="宋体" w:hAnsi="宋体" w:cs="宋体" w:eastAsia="宋体" w:hint="default"/>
                <w:sz w:val="20"/>
                <w:szCs w:val="20"/>
              </w:rPr>
              <w:t>02</w:t>
            </w:r>
            <w:r>
              <w:rPr>
                <w:rFonts w:ascii="宋体" w:hAnsi="宋体" w:cs="宋体" w:eastAsia="宋体" w:hint="default"/>
                <w:spacing w:val="-51"/>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宋体" w:hAnsi="宋体" w:cs="宋体" w:eastAsia="宋体" w:hint="default"/>
                <w:sz w:val="20"/>
                <w:szCs w:val="20"/>
              </w:rPr>
              <w:t>11</w:t>
            </w:r>
            <w:r>
              <w:rPr>
                <w:rFonts w:ascii="宋体" w:hAnsi="宋体" w:cs="宋体" w:eastAsia="宋体" w:hint="default"/>
                <w:spacing w:val="-49"/>
                <w:sz w:val="20"/>
                <w:szCs w:val="20"/>
              </w:rPr>
              <w:t> </w:t>
            </w:r>
            <w:r>
              <w:rPr>
                <w:rFonts w:ascii="宋体" w:hAnsi="宋体" w:cs="宋体" w:eastAsia="宋体" w:hint="default"/>
                <w:sz w:val="20"/>
                <w:szCs w:val="20"/>
              </w:rPr>
              <w:t>日</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劲嘉科技</w:t>
            </w:r>
          </w:p>
        </w:tc>
      </w:tr>
      <w:tr>
        <w:trPr>
          <w:trHeight w:val="634" w:hRule="exact"/>
        </w:trPr>
        <w:tc>
          <w:tcPr>
            <w:tcW w:w="55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 w:right="0"/>
              <w:jc w:val="center"/>
              <w:rPr>
                <w:rFonts w:ascii="宋体" w:hAnsi="宋体" w:cs="宋体" w:eastAsia="宋体" w:hint="default"/>
                <w:sz w:val="20"/>
                <w:szCs w:val="20"/>
              </w:rPr>
            </w:pPr>
            <w:r>
              <w:rPr>
                <w:rFonts w:ascii="宋体"/>
                <w:sz w:val="20"/>
              </w:rPr>
              <w:t>36</w:t>
            </w:r>
          </w:p>
        </w:tc>
        <w:tc>
          <w:tcPr>
            <w:tcW w:w="3381"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264"/>
              <w:jc w:val="left"/>
              <w:rPr>
                <w:rFonts w:ascii="宋体" w:hAnsi="宋体" w:cs="宋体" w:eastAsia="宋体" w:hint="default"/>
                <w:sz w:val="20"/>
                <w:szCs w:val="20"/>
              </w:rPr>
            </w:pPr>
            <w:r>
              <w:rPr>
                <w:rFonts w:ascii="宋体" w:hAnsi="宋体" w:cs="宋体" w:eastAsia="宋体" w:hint="default"/>
                <w:sz w:val="20"/>
                <w:szCs w:val="20"/>
              </w:rPr>
              <w:t>一种双重触发开机的加热不燃烧烟</w:t>
            </w:r>
            <w:r>
              <w:rPr>
                <w:rFonts w:ascii="宋体" w:hAnsi="宋体" w:cs="宋体" w:eastAsia="宋体" w:hint="default"/>
                <w:w w:val="100"/>
                <w:sz w:val="20"/>
                <w:szCs w:val="20"/>
              </w:rPr>
              <w:t> </w:t>
            </w:r>
            <w:r>
              <w:rPr>
                <w:rFonts w:ascii="宋体" w:hAnsi="宋体" w:cs="宋体" w:eastAsia="宋体" w:hint="default"/>
                <w:sz w:val="20"/>
                <w:szCs w:val="20"/>
              </w:rPr>
              <w:t>具及其开机方法</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0"/>
              <w:jc w:val="center"/>
              <w:rPr>
                <w:rFonts w:ascii="宋体" w:hAnsi="宋体" w:cs="宋体" w:eastAsia="宋体" w:hint="default"/>
                <w:sz w:val="20"/>
                <w:szCs w:val="20"/>
              </w:rPr>
            </w:pPr>
            <w:r>
              <w:rPr>
                <w:rFonts w:ascii="宋体" w:hAnsi="宋体" w:cs="宋体" w:eastAsia="宋体" w:hint="default"/>
                <w:sz w:val="20"/>
                <w:szCs w:val="20"/>
              </w:rPr>
              <w:t>发明</w:t>
            </w:r>
          </w:p>
        </w:tc>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44"/>
              <w:jc w:val="right"/>
              <w:rPr>
                <w:rFonts w:ascii="宋体" w:hAnsi="宋体" w:cs="宋体" w:eastAsia="宋体" w:hint="default"/>
                <w:sz w:val="20"/>
                <w:szCs w:val="20"/>
              </w:rPr>
            </w:pPr>
            <w:r>
              <w:rPr>
                <w:rFonts w:ascii="宋体"/>
                <w:spacing w:val="-1"/>
                <w:sz w:val="20"/>
              </w:rPr>
              <w:t>201810569822.X</w:t>
            </w: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85"/>
              <w:jc w:val="right"/>
              <w:rPr>
                <w:rFonts w:ascii="宋体" w:hAnsi="宋体" w:cs="宋体" w:eastAsia="宋体" w:hint="default"/>
                <w:sz w:val="20"/>
                <w:szCs w:val="20"/>
              </w:rPr>
            </w:pPr>
            <w:r>
              <w:rPr>
                <w:rFonts w:ascii="宋体" w:hAnsi="宋体" w:cs="宋体" w:eastAsia="宋体" w:hint="default"/>
                <w:sz w:val="20"/>
                <w:szCs w:val="20"/>
              </w:rPr>
              <w:t>2018</w:t>
            </w:r>
            <w:r>
              <w:rPr>
                <w:rFonts w:ascii="宋体" w:hAnsi="宋体" w:cs="宋体" w:eastAsia="宋体" w:hint="default"/>
                <w:spacing w:val="-51"/>
                <w:sz w:val="20"/>
                <w:szCs w:val="20"/>
              </w:rPr>
              <w:t> </w:t>
            </w:r>
            <w:r>
              <w:rPr>
                <w:rFonts w:ascii="宋体" w:hAnsi="宋体" w:cs="宋体" w:eastAsia="宋体" w:hint="default"/>
                <w:sz w:val="20"/>
                <w:szCs w:val="20"/>
              </w:rPr>
              <w:t>年</w:t>
            </w:r>
            <w:r>
              <w:rPr>
                <w:rFonts w:ascii="宋体" w:hAnsi="宋体" w:cs="宋体" w:eastAsia="宋体" w:hint="default"/>
                <w:spacing w:val="-50"/>
                <w:sz w:val="20"/>
                <w:szCs w:val="20"/>
              </w:rPr>
              <w:t> </w:t>
            </w:r>
            <w:r>
              <w:rPr>
                <w:rFonts w:ascii="宋体" w:hAnsi="宋体" w:cs="宋体" w:eastAsia="宋体" w:hint="default"/>
                <w:sz w:val="20"/>
                <w:szCs w:val="20"/>
              </w:rPr>
              <w:t>06</w:t>
            </w:r>
            <w:r>
              <w:rPr>
                <w:rFonts w:ascii="宋体" w:hAnsi="宋体" w:cs="宋体" w:eastAsia="宋体" w:hint="default"/>
                <w:spacing w:val="-51"/>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宋体" w:hAnsi="宋体" w:cs="宋体" w:eastAsia="宋体" w:hint="default"/>
                <w:sz w:val="20"/>
                <w:szCs w:val="20"/>
              </w:rPr>
              <w:t>05</w:t>
            </w:r>
            <w:r>
              <w:rPr>
                <w:rFonts w:ascii="宋体" w:hAnsi="宋体" w:cs="宋体" w:eastAsia="宋体" w:hint="default"/>
                <w:spacing w:val="-49"/>
                <w:sz w:val="20"/>
                <w:szCs w:val="20"/>
              </w:rPr>
              <w:t> </w:t>
            </w:r>
            <w:r>
              <w:rPr>
                <w:rFonts w:ascii="宋体" w:hAnsi="宋体" w:cs="宋体" w:eastAsia="宋体" w:hint="default"/>
                <w:sz w:val="20"/>
                <w:szCs w:val="20"/>
              </w:rPr>
              <w:t>日</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劲嘉科技</w:t>
            </w:r>
          </w:p>
        </w:tc>
      </w:tr>
      <w:tr>
        <w:trPr>
          <w:trHeight w:val="371" w:hRule="exact"/>
        </w:trPr>
        <w:tc>
          <w:tcPr>
            <w:tcW w:w="556"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 w:right="0"/>
              <w:jc w:val="center"/>
              <w:rPr>
                <w:rFonts w:ascii="宋体" w:hAnsi="宋体" w:cs="宋体" w:eastAsia="宋体" w:hint="default"/>
                <w:sz w:val="20"/>
                <w:szCs w:val="20"/>
              </w:rPr>
            </w:pPr>
            <w:r>
              <w:rPr>
                <w:rFonts w:ascii="宋体"/>
                <w:sz w:val="20"/>
              </w:rPr>
              <w:t>37</w:t>
            </w:r>
          </w:p>
        </w:tc>
        <w:tc>
          <w:tcPr>
            <w:tcW w:w="338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0"/>
                <w:szCs w:val="20"/>
              </w:rPr>
            </w:pPr>
            <w:r>
              <w:rPr>
                <w:rFonts w:ascii="宋体" w:hAnsi="宋体" w:cs="宋体" w:eastAsia="宋体" w:hint="default"/>
                <w:sz w:val="20"/>
                <w:szCs w:val="20"/>
              </w:rPr>
              <w:t>一种旋扭式加热不燃烧烟具</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0"/>
              <w:jc w:val="center"/>
              <w:rPr>
                <w:rFonts w:ascii="宋体" w:hAnsi="宋体" w:cs="宋体" w:eastAsia="宋体" w:hint="default"/>
                <w:sz w:val="20"/>
                <w:szCs w:val="20"/>
              </w:rPr>
            </w:pPr>
            <w:r>
              <w:rPr>
                <w:rFonts w:ascii="宋体" w:hAnsi="宋体" w:cs="宋体" w:eastAsia="宋体" w:hint="default"/>
                <w:sz w:val="20"/>
                <w:szCs w:val="20"/>
              </w:rPr>
              <w:t>发明</w:t>
            </w:r>
          </w:p>
        </w:tc>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144"/>
              <w:jc w:val="right"/>
              <w:rPr>
                <w:rFonts w:ascii="宋体" w:hAnsi="宋体" w:cs="宋体" w:eastAsia="宋体" w:hint="default"/>
                <w:sz w:val="20"/>
                <w:szCs w:val="20"/>
              </w:rPr>
            </w:pPr>
            <w:r>
              <w:rPr>
                <w:rFonts w:ascii="宋体"/>
                <w:spacing w:val="-1"/>
                <w:sz w:val="20"/>
              </w:rPr>
              <w:t>201810758512.2</w:t>
            </w: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185"/>
              <w:jc w:val="right"/>
              <w:rPr>
                <w:rFonts w:ascii="宋体" w:hAnsi="宋体" w:cs="宋体" w:eastAsia="宋体" w:hint="default"/>
                <w:sz w:val="20"/>
                <w:szCs w:val="20"/>
              </w:rPr>
            </w:pPr>
            <w:r>
              <w:rPr>
                <w:rFonts w:ascii="宋体" w:hAnsi="宋体" w:cs="宋体" w:eastAsia="宋体" w:hint="default"/>
                <w:sz w:val="20"/>
                <w:szCs w:val="20"/>
              </w:rPr>
              <w:t>2018</w:t>
            </w:r>
            <w:r>
              <w:rPr>
                <w:rFonts w:ascii="宋体" w:hAnsi="宋体" w:cs="宋体" w:eastAsia="宋体" w:hint="default"/>
                <w:spacing w:val="-51"/>
                <w:sz w:val="20"/>
                <w:szCs w:val="20"/>
              </w:rPr>
              <w:t> </w:t>
            </w:r>
            <w:r>
              <w:rPr>
                <w:rFonts w:ascii="宋体" w:hAnsi="宋体" w:cs="宋体" w:eastAsia="宋体" w:hint="default"/>
                <w:sz w:val="20"/>
                <w:szCs w:val="20"/>
              </w:rPr>
              <w:t>年</w:t>
            </w:r>
            <w:r>
              <w:rPr>
                <w:rFonts w:ascii="宋体" w:hAnsi="宋体" w:cs="宋体" w:eastAsia="宋体" w:hint="default"/>
                <w:spacing w:val="-50"/>
                <w:sz w:val="20"/>
                <w:szCs w:val="20"/>
              </w:rPr>
              <w:t> </w:t>
            </w:r>
            <w:r>
              <w:rPr>
                <w:rFonts w:ascii="宋体" w:hAnsi="宋体" w:cs="宋体" w:eastAsia="宋体" w:hint="default"/>
                <w:sz w:val="20"/>
                <w:szCs w:val="20"/>
              </w:rPr>
              <w:t>07</w:t>
            </w:r>
            <w:r>
              <w:rPr>
                <w:rFonts w:ascii="宋体" w:hAnsi="宋体" w:cs="宋体" w:eastAsia="宋体" w:hint="default"/>
                <w:spacing w:val="-51"/>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宋体" w:hAnsi="宋体" w:cs="宋体" w:eastAsia="宋体" w:hint="default"/>
                <w:sz w:val="20"/>
                <w:szCs w:val="20"/>
              </w:rPr>
              <w:t>11</w:t>
            </w:r>
            <w:r>
              <w:rPr>
                <w:rFonts w:ascii="宋体" w:hAnsi="宋体" w:cs="宋体" w:eastAsia="宋体" w:hint="default"/>
                <w:spacing w:val="-49"/>
                <w:sz w:val="20"/>
                <w:szCs w:val="20"/>
              </w:rPr>
              <w:t> </w:t>
            </w:r>
            <w:r>
              <w:rPr>
                <w:rFonts w:ascii="宋体" w:hAnsi="宋体" w:cs="宋体" w:eastAsia="宋体" w:hint="default"/>
                <w:sz w:val="20"/>
                <w:szCs w:val="20"/>
              </w:rPr>
              <w:t>日</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0"/>
                <w:szCs w:val="20"/>
              </w:rPr>
            </w:pPr>
            <w:r>
              <w:rPr>
                <w:rFonts w:ascii="宋体" w:hAnsi="宋体" w:cs="宋体" w:eastAsia="宋体" w:hint="default"/>
                <w:sz w:val="20"/>
                <w:szCs w:val="20"/>
              </w:rPr>
              <w:t>劲嘉科技</w:t>
            </w:r>
          </w:p>
        </w:tc>
      </w:tr>
      <w:tr>
        <w:trPr>
          <w:trHeight w:val="370" w:hRule="exact"/>
        </w:trPr>
        <w:tc>
          <w:tcPr>
            <w:tcW w:w="55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 w:right="0"/>
              <w:jc w:val="center"/>
              <w:rPr>
                <w:rFonts w:ascii="宋体" w:hAnsi="宋体" w:cs="宋体" w:eastAsia="宋体" w:hint="default"/>
                <w:sz w:val="20"/>
                <w:szCs w:val="20"/>
              </w:rPr>
            </w:pPr>
            <w:r>
              <w:rPr>
                <w:rFonts w:ascii="宋体"/>
                <w:sz w:val="20"/>
              </w:rPr>
              <w:t>38</w:t>
            </w:r>
          </w:p>
        </w:tc>
        <w:tc>
          <w:tcPr>
            <w:tcW w:w="3381"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一种封闭式电子雾化器</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0"/>
              <w:jc w:val="center"/>
              <w:rPr>
                <w:rFonts w:ascii="宋体" w:hAnsi="宋体" w:cs="宋体" w:eastAsia="宋体" w:hint="default"/>
                <w:sz w:val="20"/>
                <w:szCs w:val="20"/>
              </w:rPr>
            </w:pPr>
            <w:r>
              <w:rPr>
                <w:rFonts w:ascii="宋体" w:hAnsi="宋体" w:cs="宋体" w:eastAsia="宋体" w:hint="default"/>
                <w:sz w:val="20"/>
                <w:szCs w:val="20"/>
              </w:rPr>
              <w:t>发明</w:t>
            </w:r>
          </w:p>
        </w:tc>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44"/>
              <w:jc w:val="right"/>
              <w:rPr>
                <w:rFonts w:ascii="宋体" w:hAnsi="宋体" w:cs="宋体" w:eastAsia="宋体" w:hint="default"/>
                <w:sz w:val="20"/>
                <w:szCs w:val="20"/>
              </w:rPr>
            </w:pPr>
            <w:r>
              <w:rPr>
                <w:rFonts w:ascii="宋体"/>
                <w:spacing w:val="-1"/>
                <w:sz w:val="20"/>
              </w:rPr>
              <w:t>201810785604.X</w:t>
            </w: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85"/>
              <w:jc w:val="right"/>
              <w:rPr>
                <w:rFonts w:ascii="宋体" w:hAnsi="宋体" w:cs="宋体" w:eastAsia="宋体" w:hint="default"/>
                <w:sz w:val="20"/>
                <w:szCs w:val="20"/>
              </w:rPr>
            </w:pPr>
            <w:r>
              <w:rPr>
                <w:rFonts w:ascii="宋体" w:hAnsi="宋体" w:cs="宋体" w:eastAsia="宋体" w:hint="default"/>
                <w:sz w:val="20"/>
                <w:szCs w:val="20"/>
              </w:rPr>
              <w:t>2018</w:t>
            </w:r>
            <w:r>
              <w:rPr>
                <w:rFonts w:ascii="宋体" w:hAnsi="宋体" w:cs="宋体" w:eastAsia="宋体" w:hint="default"/>
                <w:spacing w:val="-51"/>
                <w:sz w:val="20"/>
                <w:szCs w:val="20"/>
              </w:rPr>
              <w:t> </w:t>
            </w:r>
            <w:r>
              <w:rPr>
                <w:rFonts w:ascii="宋体" w:hAnsi="宋体" w:cs="宋体" w:eastAsia="宋体" w:hint="default"/>
                <w:sz w:val="20"/>
                <w:szCs w:val="20"/>
              </w:rPr>
              <w:t>年</w:t>
            </w:r>
            <w:r>
              <w:rPr>
                <w:rFonts w:ascii="宋体" w:hAnsi="宋体" w:cs="宋体" w:eastAsia="宋体" w:hint="default"/>
                <w:spacing w:val="-50"/>
                <w:sz w:val="20"/>
                <w:szCs w:val="20"/>
              </w:rPr>
              <w:t> </w:t>
            </w:r>
            <w:r>
              <w:rPr>
                <w:rFonts w:ascii="宋体" w:hAnsi="宋体" w:cs="宋体" w:eastAsia="宋体" w:hint="default"/>
                <w:sz w:val="20"/>
                <w:szCs w:val="20"/>
              </w:rPr>
              <w:t>07</w:t>
            </w:r>
            <w:r>
              <w:rPr>
                <w:rFonts w:ascii="宋体" w:hAnsi="宋体" w:cs="宋体" w:eastAsia="宋体" w:hint="default"/>
                <w:spacing w:val="-51"/>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宋体" w:hAnsi="宋体" w:cs="宋体" w:eastAsia="宋体" w:hint="default"/>
                <w:sz w:val="20"/>
                <w:szCs w:val="20"/>
              </w:rPr>
              <w:t>17</w:t>
            </w:r>
            <w:r>
              <w:rPr>
                <w:rFonts w:ascii="宋体" w:hAnsi="宋体" w:cs="宋体" w:eastAsia="宋体" w:hint="default"/>
                <w:spacing w:val="-49"/>
                <w:sz w:val="20"/>
                <w:szCs w:val="20"/>
              </w:rPr>
              <w:t> </w:t>
            </w:r>
            <w:r>
              <w:rPr>
                <w:rFonts w:ascii="宋体" w:hAnsi="宋体" w:cs="宋体" w:eastAsia="宋体" w:hint="default"/>
                <w:sz w:val="20"/>
                <w:szCs w:val="20"/>
              </w:rPr>
              <w:t>日</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劲嘉科技</w:t>
            </w:r>
          </w:p>
        </w:tc>
      </w:tr>
      <w:tr>
        <w:trPr>
          <w:trHeight w:val="634" w:hRule="exact"/>
        </w:trPr>
        <w:tc>
          <w:tcPr>
            <w:tcW w:w="55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 w:right="0"/>
              <w:jc w:val="center"/>
              <w:rPr>
                <w:rFonts w:ascii="宋体" w:hAnsi="宋体" w:cs="宋体" w:eastAsia="宋体" w:hint="default"/>
                <w:sz w:val="20"/>
                <w:szCs w:val="20"/>
              </w:rPr>
            </w:pPr>
            <w:r>
              <w:rPr>
                <w:rFonts w:ascii="宋体"/>
                <w:sz w:val="20"/>
              </w:rPr>
              <w:t>39</w:t>
            </w:r>
          </w:p>
        </w:tc>
        <w:tc>
          <w:tcPr>
            <w:tcW w:w="3381"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264"/>
              <w:jc w:val="left"/>
              <w:rPr>
                <w:rFonts w:ascii="宋体" w:hAnsi="宋体" w:cs="宋体" w:eastAsia="宋体" w:hint="default"/>
                <w:sz w:val="20"/>
                <w:szCs w:val="20"/>
              </w:rPr>
            </w:pPr>
            <w:r>
              <w:rPr>
                <w:rFonts w:ascii="宋体" w:hAnsi="宋体" w:cs="宋体" w:eastAsia="宋体" w:hint="default"/>
                <w:sz w:val="20"/>
                <w:szCs w:val="20"/>
              </w:rPr>
              <w:t>一种加热不燃烧烟具及其烟支提取</w:t>
            </w:r>
            <w:r>
              <w:rPr>
                <w:rFonts w:ascii="宋体" w:hAnsi="宋体" w:cs="宋体" w:eastAsia="宋体" w:hint="default"/>
                <w:w w:val="100"/>
                <w:sz w:val="20"/>
                <w:szCs w:val="20"/>
              </w:rPr>
              <w:t> </w:t>
            </w:r>
            <w:r>
              <w:rPr>
                <w:rFonts w:ascii="宋体" w:hAnsi="宋体" w:cs="宋体" w:eastAsia="宋体" w:hint="default"/>
                <w:sz w:val="20"/>
                <w:szCs w:val="20"/>
              </w:rPr>
              <w:t>装置</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0"/>
              <w:jc w:val="center"/>
              <w:rPr>
                <w:rFonts w:ascii="宋体" w:hAnsi="宋体" w:cs="宋体" w:eastAsia="宋体" w:hint="default"/>
                <w:sz w:val="20"/>
                <w:szCs w:val="20"/>
              </w:rPr>
            </w:pPr>
            <w:r>
              <w:rPr>
                <w:rFonts w:ascii="宋体" w:hAnsi="宋体" w:cs="宋体" w:eastAsia="宋体" w:hint="default"/>
                <w:sz w:val="20"/>
                <w:szCs w:val="20"/>
              </w:rPr>
              <w:t>发明</w:t>
            </w:r>
          </w:p>
        </w:tc>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44"/>
              <w:jc w:val="right"/>
              <w:rPr>
                <w:rFonts w:ascii="宋体" w:hAnsi="宋体" w:cs="宋体" w:eastAsia="宋体" w:hint="default"/>
                <w:sz w:val="20"/>
                <w:szCs w:val="20"/>
              </w:rPr>
            </w:pPr>
            <w:r>
              <w:rPr>
                <w:rFonts w:ascii="宋体"/>
                <w:spacing w:val="-1"/>
                <w:sz w:val="20"/>
              </w:rPr>
              <w:t>201811446110.5</w:t>
            </w: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85"/>
              <w:jc w:val="right"/>
              <w:rPr>
                <w:rFonts w:ascii="宋体" w:hAnsi="宋体" w:cs="宋体" w:eastAsia="宋体" w:hint="default"/>
                <w:sz w:val="20"/>
                <w:szCs w:val="20"/>
              </w:rPr>
            </w:pPr>
            <w:r>
              <w:rPr>
                <w:rFonts w:ascii="宋体" w:hAnsi="宋体" w:cs="宋体" w:eastAsia="宋体" w:hint="default"/>
                <w:sz w:val="20"/>
                <w:szCs w:val="20"/>
              </w:rPr>
              <w:t>2018</w:t>
            </w:r>
            <w:r>
              <w:rPr>
                <w:rFonts w:ascii="宋体" w:hAnsi="宋体" w:cs="宋体" w:eastAsia="宋体" w:hint="default"/>
                <w:spacing w:val="-51"/>
                <w:sz w:val="20"/>
                <w:szCs w:val="20"/>
              </w:rPr>
              <w:t> </w:t>
            </w:r>
            <w:r>
              <w:rPr>
                <w:rFonts w:ascii="宋体" w:hAnsi="宋体" w:cs="宋体" w:eastAsia="宋体" w:hint="default"/>
                <w:sz w:val="20"/>
                <w:szCs w:val="20"/>
              </w:rPr>
              <w:t>年</w:t>
            </w:r>
            <w:r>
              <w:rPr>
                <w:rFonts w:ascii="宋体" w:hAnsi="宋体" w:cs="宋体" w:eastAsia="宋体" w:hint="default"/>
                <w:spacing w:val="-50"/>
                <w:sz w:val="20"/>
                <w:szCs w:val="20"/>
              </w:rPr>
              <w:t> </w:t>
            </w:r>
            <w:r>
              <w:rPr>
                <w:rFonts w:ascii="宋体" w:hAnsi="宋体" w:cs="宋体" w:eastAsia="宋体" w:hint="default"/>
                <w:sz w:val="20"/>
                <w:szCs w:val="20"/>
              </w:rPr>
              <w:t>11</w:t>
            </w:r>
            <w:r>
              <w:rPr>
                <w:rFonts w:ascii="宋体" w:hAnsi="宋体" w:cs="宋体" w:eastAsia="宋体" w:hint="default"/>
                <w:spacing w:val="-51"/>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宋体" w:hAnsi="宋体" w:cs="宋体" w:eastAsia="宋体" w:hint="default"/>
                <w:sz w:val="20"/>
                <w:szCs w:val="20"/>
              </w:rPr>
              <w:t>29</w:t>
            </w:r>
            <w:r>
              <w:rPr>
                <w:rFonts w:ascii="宋体" w:hAnsi="宋体" w:cs="宋体" w:eastAsia="宋体" w:hint="default"/>
                <w:spacing w:val="-49"/>
                <w:sz w:val="20"/>
                <w:szCs w:val="20"/>
              </w:rPr>
              <w:t> </w:t>
            </w:r>
            <w:r>
              <w:rPr>
                <w:rFonts w:ascii="宋体" w:hAnsi="宋体" w:cs="宋体" w:eastAsia="宋体" w:hint="default"/>
                <w:sz w:val="20"/>
                <w:szCs w:val="20"/>
              </w:rPr>
              <w:t>日</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劲嘉科技</w:t>
            </w:r>
          </w:p>
        </w:tc>
      </w:tr>
      <w:tr>
        <w:trPr>
          <w:trHeight w:val="635" w:hRule="exact"/>
        </w:trPr>
        <w:tc>
          <w:tcPr>
            <w:tcW w:w="556"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 w:right="0"/>
              <w:jc w:val="center"/>
              <w:rPr>
                <w:rFonts w:ascii="宋体" w:hAnsi="宋体" w:cs="宋体" w:eastAsia="宋体" w:hint="default"/>
                <w:sz w:val="20"/>
                <w:szCs w:val="20"/>
              </w:rPr>
            </w:pPr>
            <w:r>
              <w:rPr>
                <w:rFonts w:ascii="宋体"/>
                <w:sz w:val="20"/>
              </w:rPr>
              <w:t>40</w:t>
            </w:r>
          </w:p>
        </w:tc>
        <w:tc>
          <w:tcPr>
            <w:tcW w:w="3381"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264"/>
              <w:jc w:val="left"/>
              <w:rPr>
                <w:rFonts w:ascii="宋体" w:hAnsi="宋体" w:cs="宋体" w:eastAsia="宋体" w:hint="default"/>
                <w:sz w:val="20"/>
                <w:szCs w:val="20"/>
              </w:rPr>
            </w:pPr>
            <w:r>
              <w:rPr>
                <w:rFonts w:ascii="宋体" w:hAnsi="宋体" w:cs="宋体" w:eastAsia="宋体" w:hint="default"/>
                <w:sz w:val="20"/>
                <w:szCs w:val="20"/>
              </w:rPr>
              <w:t>一种加热不燃烧烟具及其烟支提取</w:t>
            </w:r>
            <w:r>
              <w:rPr>
                <w:rFonts w:ascii="宋体" w:hAnsi="宋体" w:cs="宋体" w:eastAsia="宋体" w:hint="default"/>
                <w:w w:val="100"/>
                <w:sz w:val="20"/>
                <w:szCs w:val="20"/>
              </w:rPr>
              <w:t> </w:t>
            </w:r>
            <w:r>
              <w:rPr>
                <w:rFonts w:ascii="宋体" w:hAnsi="宋体" w:cs="宋体" w:eastAsia="宋体" w:hint="default"/>
                <w:sz w:val="20"/>
                <w:szCs w:val="20"/>
              </w:rPr>
              <w:t>机构</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0"/>
              <w:jc w:val="center"/>
              <w:rPr>
                <w:rFonts w:ascii="宋体" w:hAnsi="宋体" w:cs="宋体" w:eastAsia="宋体" w:hint="default"/>
                <w:sz w:val="20"/>
                <w:szCs w:val="20"/>
              </w:rPr>
            </w:pPr>
            <w:r>
              <w:rPr>
                <w:rFonts w:ascii="宋体" w:hAnsi="宋体" w:cs="宋体" w:eastAsia="宋体" w:hint="default"/>
                <w:sz w:val="20"/>
                <w:szCs w:val="20"/>
              </w:rPr>
              <w:t>发明</w:t>
            </w:r>
          </w:p>
        </w:tc>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144"/>
              <w:jc w:val="right"/>
              <w:rPr>
                <w:rFonts w:ascii="宋体" w:hAnsi="宋体" w:cs="宋体" w:eastAsia="宋体" w:hint="default"/>
                <w:sz w:val="20"/>
                <w:szCs w:val="20"/>
              </w:rPr>
            </w:pPr>
            <w:r>
              <w:rPr>
                <w:rFonts w:ascii="宋体"/>
                <w:spacing w:val="-1"/>
                <w:sz w:val="20"/>
              </w:rPr>
              <w:t>201811603425.6</w:t>
            </w: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185"/>
              <w:jc w:val="right"/>
              <w:rPr>
                <w:rFonts w:ascii="宋体" w:hAnsi="宋体" w:cs="宋体" w:eastAsia="宋体" w:hint="default"/>
                <w:sz w:val="20"/>
                <w:szCs w:val="20"/>
              </w:rPr>
            </w:pPr>
            <w:r>
              <w:rPr>
                <w:rFonts w:ascii="宋体" w:hAnsi="宋体" w:cs="宋体" w:eastAsia="宋体" w:hint="default"/>
                <w:sz w:val="20"/>
                <w:szCs w:val="20"/>
              </w:rPr>
              <w:t>2018</w:t>
            </w:r>
            <w:r>
              <w:rPr>
                <w:rFonts w:ascii="宋体" w:hAnsi="宋体" w:cs="宋体" w:eastAsia="宋体" w:hint="default"/>
                <w:spacing w:val="-51"/>
                <w:sz w:val="20"/>
                <w:szCs w:val="20"/>
              </w:rPr>
              <w:t> </w:t>
            </w:r>
            <w:r>
              <w:rPr>
                <w:rFonts w:ascii="宋体" w:hAnsi="宋体" w:cs="宋体" w:eastAsia="宋体" w:hint="default"/>
                <w:sz w:val="20"/>
                <w:szCs w:val="20"/>
              </w:rPr>
              <w:t>年</w:t>
            </w:r>
            <w:r>
              <w:rPr>
                <w:rFonts w:ascii="宋体" w:hAnsi="宋体" w:cs="宋体" w:eastAsia="宋体" w:hint="default"/>
                <w:spacing w:val="-50"/>
                <w:sz w:val="20"/>
                <w:szCs w:val="20"/>
              </w:rPr>
              <w:t> </w:t>
            </w:r>
            <w:r>
              <w:rPr>
                <w:rFonts w:ascii="宋体" w:hAnsi="宋体" w:cs="宋体" w:eastAsia="宋体" w:hint="default"/>
                <w:sz w:val="20"/>
                <w:szCs w:val="20"/>
              </w:rPr>
              <w:t>12</w:t>
            </w:r>
            <w:r>
              <w:rPr>
                <w:rFonts w:ascii="宋体" w:hAnsi="宋体" w:cs="宋体" w:eastAsia="宋体" w:hint="default"/>
                <w:spacing w:val="-51"/>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宋体" w:hAnsi="宋体" w:cs="宋体" w:eastAsia="宋体" w:hint="default"/>
                <w:sz w:val="20"/>
                <w:szCs w:val="20"/>
              </w:rPr>
              <w:t>26</w:t>
            </w:r>
            <w:r>
              <w:rPr>
                <w:rFonts w:ascii="宋体" w:hAnsi="宋体" w:cs="宋体" w:eastAsia="宋体" w:hint="default"/>
                <w:spacing w:val="-49"/>
                <w:sz w:val="20"/>
                <w:szCs w:val="20"/>
              </w:rPr>
              <w:t> </w:t>
            </w:r>
            <w:r>
              <w:rPr>
                <w:rFonts w:ascii="宋体" w:hAnsi="宋体" w:cs="宋体" w:eastAsia="宋体" w:hint="default"/>
                <w:sz w:val="20"/>
                <w:szCs w:val="20"/>
              </w:rPr>
              <w:t>日</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0"/>
                <w:szCs w:val="20"/>
              </w:rPr>
            </w:pPr>
            <w:r>
              <w:rPr>
                <w:rFonts w:ascii="宋体" w:hAnsi="宋体" w:cs="宋体" w:eastAsia="宋体" w:hint="default"/>
                <w:sz w:val="20"/>
                <w:szCs w:val="20"/>
              </w:rPr>
              <w:t>劲嘉科技</w:t>
            </w:r>
          </w:p>
        </w:tc>
      </w:tr>
      <w:tr>
        <w:trPr>
          <w:trHeight w:val="370" w:hRule="exact"/>
        </w:trPr>
        <w:tc>
          <w:tcPr>
            <w:tcW w:w="55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 w:right="0"/>
              <w:jc w:val="center"/>
              <w:rPr>
                <w:rFonts w:ascii="宋体" w:hAnsi="宋体" w:cs="宋体" w:eastAsia="宋体" w:hint="default"/>
                <w:sz w:val="20"/>
                <w:szCs w:val="20"/>
              </w:rPr>
            </w:pPr>
            <w:r>
              <w:rPr>
                <w:rFonts w:ascii="宋体"/>
                <w:sz w:val="20"/>
              </w:rPr>
              <w:t>41</w:t>
            </w:r>
          </w:p>
        </w:tc>
        <w:tc>
          <w:tcPr>
            <w:tcW w:w="3381"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一种模切烫金机可调节吹风装置</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0"/>
              <w:jc w:val="center"/>
              <w:rPr>
                <w:rFonts w:ascii="宋体" w:hAnsi="宋体" w:cs="宋体" w:eastAsia="宋体" w:hint="default"/>
                <w:sz w:val="20"/>
                <w:szCs w:val="20"/>
              </w:rPr>
            </w:pPr>
            <w:r>
              <w:rPr>
                <w:rFonts w:ascii="宋体" w:hAnsi="宋体" w:cs="宋体" w:eastAsia="宋体" w:hint="default"/>
                <w:sz w:val="20"/>
                <w:szCs w:val="20"/>
              </w:rPr>
              <w:t>实用新型</w:t>
            </w:r>
          </w:p>
        </w:tc>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44"/>
              <w:jc w:val="right"/>
              <w:rPr>
                <w:rFonts w:ascii="宋体" w:hAnsi="宋体" w:cs="宋体" w:eastAsia="宋体" w:hint="default"/>
                <w:sz w:val="20"/>
                <w:szCs w:val="20"/>
              </w:rPr>
            </w:pPr>
            <w:r>
              <w:rPr>
                <w:rFonts w:ascii="宋体"/>
                <w:spacing w:val="-1"/>
                <w:sz w:val="20"/>
              </w:rPr>
              <w:t>201822245116.8</w:t>
            </w: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85"/>
              <w:jc w:val="right"/>
              <w:rPr>
                <w:rFonts w:ascii="宋体" w:hAnsi="宋体" w:cs="宋体" w:eastAsia="宋体" w:hint="default"/>
                <w:sz w:val="20"/>
                <w:szCs w:val="20"/>
              </w:rPr>
            </w:pPr>
            <w:r>
              <w:rPr>
                <w:rFonts w:ascii="宋体" w:hAnsi="宋体" w:cs="宋体" w:eastAsia="宋体" w:hint="default"/>
                <w:sz w:val="20"/>
                <w:szCs w:val="20"/>
              </w:rPr>
              <w:t>2018</w:t>
            </w:r>
            <w:r>
              <w:rPr>
                <w:rFonts w:ascii="宋体" w:hAnsi="宋体" w:cs="宋体" w:eastAsia="宋体" w:hint="default"/>
                <w:spacing w:val="-51"/>
                <w:sz w:val="20"/>
                <w:szCs w:val="20"/>
              </w:rPr>
              <w:t> </w:t>
            </w:r>
            <w:r>
              <w:rPr>
                <w:rFonts w:ascii="宋体" w:hAnsi="宋体" w:cs="宋体" w:eastAsia="宋体" w:hint="default"/>
                <w:sz w:val="20"/>
                <w:szCs w:val="20"/>
              </w:rPr>
              <w:t>年</w:t>
            </w:r>
            <w:r>
              <w:rPr>
                <w:rFonts w:ascii="宋体" w:hAnsi="宋体" w:cs="宋体" w:eastAsia="宋体" w:hint="default"/>
                <w:spacing w:val="-50"/>
                <w:sz w:val="20"/>
                <w:szCs w:val="20"/>
              </w:rPr>
              <w:t> </w:t>
            </w:r>
            <w:r>
              <w:rPr>
                <w:rFonts w:ascii="宋体" w:hAnsi="宋体" w:cs="宋体" w:eastAsia="宋体" w:hint="default"/>
                <w:sz w:val="20"/>
                <w:szCs w:val="20"/>
              </w:rPr>
              <w:t>11</w:t>
            </w:r>
            <w:r>
              <w:rPr>
                <w:rFonts w:ascii="宋体" w:hAnsi="宋体" w:cs="宋体" w:eastAsia="宋体" w:hint="default"/>
                <w:spacing w:val="-51"/>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宋体" w:hAnsi="宋体" w:cs="宋体" w:eastAsia="宋体" w:hint="default"/>
                <w:sz w:val="20"/>
                <w:szCs w:val="20"/>
              </w:rPr>
              <w:t>12</w:t>
            </w:r>
            <w:r>
              <w:rPr>
                <w:rFonts w:ascii="宋体" w:hAnsi="宋体" w:cs="宋体" w:eastAsia="宋体" w:hint="default"/>
                <w:spacing w:val="-49"/>
                <w:sz w:val="20"/>
                <w:szCs w:val="20"/>
              </w:rPr>
              <w:t> </w:t>
            </w:r>
            <w:r>
              <w:rPr>
                <w:rFonts w:ascii="宋体" w:hAnsi="宋体" w:cs="宋体" w:eastAsia="宋体" w:hint="default"/>
                <w:sz w:val="20"/>
                <w:szCs w:val="20"/>
              </w:rPr>
              <w:t>日</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安徽安泰</w:t>
            </w:r>
          </w:p>
        </w:tc>
      </w:tr>
      <w:tr>
        <w:trPr>
          <w:trHeight w:val="634" w:hRule="exact"/>
        </w:trPr>
        <w:tc>
          <w:tcPr>
            <w:tcW w:w="55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 w:right="0"/>
              <w:jc w:val="center"/>
              <w:rPr>
                <w:rFonts w:ascii="宋体" w:hAnsi="宋体" w:cs="宋体" w:eastAsia="宋体" w:hint="default"/>
                <w:sz w:val="20"/>
                <w:szCs w:val="20"/>
              </w:rPr>
            </w:pPr>
            <w:r>
              <w:rPr>
                <w:rFonts w:ascii="宋体"/>
                <w:sz w:val="20"/>
              </w:rPr>
              <w:t>42</w:t>
            </w:r>
          </w:p>
        </w:tc>
        <w:tc>
          <w:tcPr>
            <w:tcW w:w="3381"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264"/>
              <w:jc w:val="left"/>
              <w:rPr>
                <w:rFonts w:ascii="宋体" w:hAnsi="宋体" w:cs="宋体" w:eastAsia="宋体" w:hint="default"/>
                <w:sz w:val="20"/>
                <w:szCs w:val="20"/>
              </w:rPr>
            </w:pPr>
            <w:r>
              <w:rPr>
                <w:rFonts w:ascii="宋体" w:hAnsi="宋体" w:cs="宋体" w:eastAsia="宋体" w:hint="default"/>
                <w:sz w:val="20"/>
                <w:szCs w:val="20"/>
              </w:rPr>
              <w:t>一种自动卸纸机测出纸自动测出装</w:t>
            </w:r>
            <w:r>
              <w:rPr>
                <w:rFonts w:ascii="宋体" w:hAnsi="宋体" w:cs="宋体" w:eastAsia="宋体" w:hint="default"/>
                <w:w w:val="100"/>
                <w:sz w:val="20"/>
                <w:szCs w:val="20"/>
              </w:rPr>
              <w:t> </w:t>
            </w:r>
            <w:r>
              <w:rPr>
                <w:rFonts w:ascii="宋体" w:hAnsi="宋体" w:cs="宋体" w:eastAsia="宋体" w:hint="default"/>
                <w:sz w:val="20"/>
                <w:szCs w:val="20"/>
              </w:rPr>
              <w:t>置</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0"/>
              <w:jc w:val="center"/>
              <w:rPr>
                <w:rFonts w:ascii="宋体" w:hAnsi="宋体" w:cs="宋体" w:eastAsia="宋体" w:hint="default"/>
                <w:sz w:val="20"/>
                <w:szCs w:val="20"/>
              </w:rPr>
            </w:pPr>
            <w:r>
              <w:rPr>
                <w:rFonts w:ascii="宋体" w:hAnsi="宋体" w:cs="宋体" w:eastAsia="宋体" w:hint="default"/>
                <w:sz w:val="20"/>
                <w:szCs w:val="20"/>
              </w:rPr>
              <w:t>实用新型</w:t>
            </w:r>
          </w:p>
        </w:tc>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44"/>
              <w:jc w:val="right"/>
              <w:rPr>
                <w:rFonts w:ascii="宋体" w:hAnsi="宋体" w:cs="宋体" w:eastAsia="宋体" w:hint="default"/>
                <w:sz w:val="20"/>
                <w:szCs w:val="20"/>
              </w:rPr>
            </w:pPr>
            <w:r>
              <w:rPr>
                <w:rFonts w:ascii="宋体"/>
                <w:spacing w:val="-1"/>
                <w:sz w:val="20"/>
              </w:rPr>
              <w:t>201822241470.3</w:t>
            </w: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85"/>
              <w:jc w:val="right"/>
              <w:rPr>
                <w:rFonts w:ascii="宋体" w:hAnsi="宋体" w:cs="宋体" w:eastAsia="宋体" w:hint="default"/>
                <w:sz w:val="20"/>
                <w:szCs w:val="20"/>
              </w:rPr>
            </w:pPr>
            <w:r>
              <w:rPr>
                <w:rFonts w:ascii="宋体" w:hAnsi="宋体" w:cs="宋体" w:eastAsia="宋体" w:hint="default"/>
                <w:sz w:val="20"/>
                <w:szCs w:val="20"/>
              </w:rPr>
              <w:t>2018</w:t>
            </w:r>
            <w:r>
              <w:rPr>
                <w:rFonts w:ascii="宋体" w:hAnsi="宋体" w:cs="宋体" w:eastAsia="宋体" w:hint="default"/>
                <w:spacing w:val="-51"/>
                <w:sz w:val="20"/>
                <w:szCs w:val="20"/>
              </w:rPr>
              <w:t> </w:t>
            </w:r>
            <w:r>
              <w:rPr>
                <w:rFonts w:ascii="宋体" w:hAnsi="宋体" w:cs="宋体" w:eastAsia="宋体" w:hint="default"/>
                <w:sz w:val="20"/>
                <w:szCs w:val="20"/>
              </w:rPr>
              <w:t>年</w:t>
            </w:r>
            <w:r>
              <w:rPr>
                <w:rFonts w:ascii="宋体" w:hAnsi="宋体" w:cs="宋体" w:eastAsia="宋体" w:hint="default"/>
                <w:spacing w:val="-50"/>
                <w:sz w:val="20"/>
                <w:szCs w:val="20"/>
              </w:rPr>
              <w:t> </w:t>
            </w:r>
            <w:r>
              <w:rPr>
                <w:rFonts w:ascii="宋体" w:hAnsi="宋体" w:cs="宋体" w:eastAsia="宋体" w:hint="default"/>
                <w:sz w:val="20"/>
                <w:szCs w:val="20"/>
              </w:rPr>
              <w:t>11</w:t>
            </w:r>
            <w:r>
              <w:rPr>
                <w:rFonts w:ascii="宋体" w:hAnsi="宋体" w:cs="宋体" w:eastAsia="宋体" w:hint="default"/>
                <w:spacing w:val="-51"/>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宋体" w:hAnsi="宋体" w:cs="宋体" w:eastAsia="宋体" w:hint="default"/>
                <w:sz w:val="20"/>
                <w:szCs w:val="20"/>
              </w:rPr>
              <w:t>12</w:t>
            </w:r>
            <w:r>
              <w:rPr>
                <w:rFonts w:ascii="宋体" w:hAnsi="宋体" w:cs="宋体" w:eastAsia="宋体" w:hint="default"/>
                <w:spacing w:val="-49"/>
                <w:sz w:val="20"/>
                <w:szCs w:val="20"/>
              </w:rPr>
              <w:t> </w:t>
            </w:r>
            <w:r>
              <w:rPr>
                <w:rFonts w:ascii="宋体" w:hAnsi="宋体" w:cs="宋体" w:eastAsia="宋体" w:hint="default"/>
                <w:sz w:val="20"/>
                <w:szCs w:val="20"/>
              </w:rPr>
              <w:t>日</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安徽安泰</w:t>
            </w:r>
          </w:p>
        </w:tc>
      </w:tr>
      <w:tr>
        <w:trPr>
          <w:trHeight w:val="371" w:hRule="exact"/>
        </w:trPr>
        <w:tc>
          <w:tcPr>
            <w:tcW w:w="556"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1" w:right="0"/>
              <w:jc w:val="center"/>
              <w:rPr>
                <w:rFonts w:ascii="宋体" w:hAnsi="宋体" w:cs="宋体" w:eastAsia="宋体" w:hint="default"/>
                <w:sz w:val="20"/>
                <w:szCs w:val="20"/>
              </w:rPr>
            </w:pPr>
            <w:r>
              <w:rPr>
                <w:rFonts w:ascii="宋体"/>
                <w:sz w:val="20"/>
              </w:rPr>
              <w:t>43</w:t>
            </w:r>
          </w:p>
        </w:tc>
        <w:tc>
          <w:tcPr>
            <w:tcW w:w="3381"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103" w:right="0"/>
              <w:jc w:val="left"/>
              <w:rPr>
                <w:rFonts w:ascii="宋体" w:hAnsi="宋体" w:cs="宋体" w:eastAsia="宋体" w:hint="default"/>
                <w:sz w:val="20"/>
                <w:szCs w:val="20"/>
              </w:rPr>
            </w:pPr>
            <w:r>
              <w:rPr>
                <w:rFonts w:ascii="宋体" w:hAnsi="宋体" w:cs="宋体" w:eastAsia="宋体" w:hint="default"/>
                <w:sz w:val="20"/>
                <w:szCs w:val="20"/>
              </w:rPr>
              <w:t>一种凹印串墨装置</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right="0"/>
              <w:jc w:val="center"/>
              <w:rPr>
                <w:rFonts w:ascii="宋体" w:hAnsi="宋体" w:cs="宋体" w:eastAsia="宋体" w:hint="default"/>
                <w:sz w:val="20"/>
                <w:szCs w:val="20"/>
              </w:rPr>
            </w:pPr>
            <w:r>
              <w:rPr>
                <w:rFonts w:ascii="宋体" w:hAnsi="宋体" w:cs="宋体" w:eastAsia="宋体" w:hint="default"/>
                <w:sz w:val="20"/>
                <w:szCs w:val="20"/>
              </w:rPr>
              <w:t>实用新型</w:t>
            </w:r>
          </w:p>
        </w:tc>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right="144"/>
              <w:jc w:val="right"/>
              <w:rPr>
                <w:rFonts w:ascii="宋体" w:hAnsi="宋体" w:cs="宋体" w:eastAsia="宋体" w:hint="default"/>
                <w:sz w:val="20"/>
                <w:szCs w:val="20"/>
              </w:rPr>
            </w:pPr>
            <w:r>
              <w:rPr>
                <w:rFonts w:ascii="宋体"/>
                <w:spacing w:val="-1"/>
                <w:sz w:val="20"/>
              </w:rPr>
              <w:t>201822245080.3</w:t>
            </w: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right="185"/>
              <w:jc w:val="right"/>
              <w:rPr>
                <w:rFonts w:ascii="宋体" w:hAnsi="宋体" w:cs="宋体" w:eastAsia="宋体" w:hint="default"/>
                <w:sz w:val="20"/>
                <w:szCs w:val="20"/>
              </w:rPr>
            </w:pPr>
            <w:r>
              <w:rPr>
                <w:rFonts w:ascii="宋体" w:hAnsi="宋体" w:cs="宋体" w:eastAsia="宋体" w:hint="default"/>
                <w:sz w:val="20"/>
                <w:szCs w:val="20"/>
              </w:rPr>
              <w:t>2018</w:t>
            </w:r>
            <w:r>
              <w:rPr>
                <w:rFonts w:ascii="宋体" w:hAnsi="宋体" w:cs="宋体" w:eastAsia="宋体" w:hint="default"/>
                <w:spacing w:val="-51"/>
                <w:sz w:val="20"/>
                <w:szCs w:val="20"/>
              </w:rPr>
              <w:t> </w:t>
            </w:r>
            <w:r>
              <w:rPr>
                <w:rFonts w:ascii="宋体" w:hAnsi="宋体" w:cs="宋体" w:eastAsia="宋体" w:hint="default"/>
                <w:sz w:val="20"/>
                <w:szCs w:val="20"/>
              </w:rPr>
              <w:t>年</w:t>
            </w:r>
            <w:r>
              <w:rPr>
                <w:rFonts w:ascii="宋体" w:hAnsi="宋体" w:cs="宋体" w:eastAsia="宋体" w:hint="default"/>
                <w:spacing w:val="-50"/>
                <w:sz w:val="20"/>
                <w:szCs w:val="20"/>
              </w:rPr>
              <w:t> </w:t>
            </w:r>
            <w:r>
              <w:rPr>
                <w:rFonts w:ascii="宋体" w:hAnsi="宋体" w:cs="宋体" w:eastAsia="宋体" w:hint="default"/>
                <w:sz w:val="20"/>
                <w:szCs w:val="20"/>
              </w:rPr>
              <w:t>11</w:t>
            </w:r>
            <w:r>
              <w:rPr>
                <w:rFonts w:ascii="宋体" w:hAnsi="宋体" w:cs="宋体" w:eastAsia="宋体" w:hint="default"/>
                <w:spacing w:val="-51"/>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宋体" w:hAnsi="宋体" w:cs="宋体" w:eastAsia="宋体" w:hint="default"/>
                <w:sz w:val="20"/>
                <w:szCs w:val="20"/>
              </w:rPr>
              <w:t>13</w:t>
            </w:r>
            <w:r>
              <w:rPr>
                <w:rFonts w:ascii="宋体" w:hAnsi="宋体" w:cs="宋体" w:eastAsia="宋体" w:hint="default"/>
                <w:spacing w:val="-49"/>
                <w:sz w:val="20"/>
                <w:szCs w:val="20"/>
              </w:rPr>
              <w:t> </w:t>
            </w:r>
            <w:r>
              <w:rPr>
                <w:rFonts w:ascii="宋体" w:hAnsi="宋体" w:cs="宋体" w:eastAsia="宋体" w:hint="default"/>
                <w:sz w:val="20"/>
                <w:szCs w:val="20"/>
              </w:rPr>
              <w:t>日</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103" w:right="0"/>
              <w:jc w:val="left"/>
              <w:rPr>
                <w:rFonts w:ascii="宋体" w:hAnsi="宋体" w:cs="宋体" w:eastAsia="宋体" w:hint="default"/>
                <w:sz w:val="20"/>
                <w:szCs w:val="20"/>
              </w:rPr>
            </w:pPr>
            <w:r>
              <w:rPr>
                <w:rFonts w:ascii="宋体" w:hAnsi="宋体" w:cs="宋体" w:eastAsia="宋体" w:hint="default"/>
                <w:sz w:val="20"/>
                <w:szCs w:val="20"/>
              </w:rPr>
              <w:t>安徽安泰</w:t>
            </w:r>
          </w:p>
        </w:tc>
      </w:tr>
      <w:tr>
        <w:trPr>
          <w:trHeight w:val="370" w:hRule="exact"/>
        </w:trPr>
        <w:tc>
          <w:tcPr>
            <w:tcW w:w="55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 w:right="0"/>
              <w:jc w:val="center"/>
              <w:rPr>
                <w:rFonts w:ascii="宋体" w:hAnsi="宋体" w:cs="宋体" w:eastAsia="宋体" w:hint="default"/>
                <w:sz w:val="20"/>
                <w:szCs w:val="20"/>
              </w:rPr>
            </w:pPr>
            <w:r>
              <w:rPr>
                <w:rFonts w:ascii="宋体"/>
                <w:sz w:val="20"/>
              </w:rPr>
              <w:t>44</w:t>
            </w:r>
          </w:p>
        </w:tc>
        <w:tc>
          <w:tcPr>
            <w:tcW w:w="3381"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一种丝印联线压膜工艺及装置</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0"/>
              <w:jc w:val="center"/>
              <w:rPr>
                <w:rFonts w:ascii="宋体" w:hAnsi="宋体" w:cs="宋体" w:eastAsia="宋体" w:hint="default"/>
                <w:sz w:val="20"/>
                <w:szCs w:val="20"/>
              </w:rPr>
            </w:pPr>
            <w:r>
              <w:rPr>
                <w:rFonts w:ascii="宋体" w:hAnsi="宋体" w:cs="宋体" w:eastAsia="宋体" w:hint="default"/>
                <w:sz w:val="20"/>
                <w:szCs w:val="20"/>
              </w:rPr>
              <w:t>实用新型</w:t>
            </w:r>
          </w:p>
        </w:tc>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44"/>
              <w:jc w:val="right"/>
              <w:rPr>
                <w:rFonts w:ascii="宋体" w:hAnsi="宋体" w:cs="宋体" w:eastAsia="宋体" w:hint="default"/>
                <w:sz w:val="20"/>
                <w:szCs w:val="20"/>
              </w:rPr>
            </w:pPr>
            <w:r>
              <w:rPr>
                <w:rFonts w:ascii="宋体"/>
                <w:spacing w:val="-1"/>
                <w:sz w:val="20"/>
              </w:rPr>
              <w:t>201822241290.5</w:t>
            </w: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85"/>
              <w:jc w:val="right"/>
              <w:rPr>
                <w:rFonts w:ascii="宋体" w:hAnsi="宋体" w:cs="宋体" w:eastAsia="宋体" w:hint="default"/>
                <w:sz w:val="20"/>
                <w:szCs w:val="20"/>
              </w:rPr>
            </w:pPr>
            <w:r>
              <w:rPr>
                <w:rFonts w:ascii="宋体" w:hAnsi="宋体" w:cs="宋体" w:eastAsia="宋体" w:hint="default"/>
                <w:sz w:val="20"/>
                <w:szCs w:val="20"/>
              </w:rPr>
              <w:t>2018</w:t>
            </w:r>
            <w:r>
              <w:rPr>
                <w:rFonts w:ascii="宋体" w:hAnsi="宋体" w:cs="宋体" w:eastAsia="宋体" w:hint="default"/>
                <w:spacing w:val="-51"/>
                <w:sz w:val="20"/>
                <w:szCs w:val="20"/>
              </w:rPr>
              <w:t> </w:t>
            </w:r>
            <w:r>
              <w:rPr>
                <w:rFonts w:ascii="宋体" w:hAnsi="宋体" w:cs="宋体" w:eastAsia="宋体" w:hint="default"/>
                <w:sz w:val="20"/>
                <w:szCs w:val="20"/>
              </w:rPr>
              <w:t>年</w:t>
            </w:r>
            <w:r>
              <w:rPr>
                <w:rFonts w:ascii="宋体" w:hAnsi="宋体" w:cs="宋体" w:eastAsia="宋体" w:hint="default"/>
                <w:spacing w:val="-50"/>
                <w:sz w:val="20"/>
                <w:szCs w:val="20"/>
              </w:rPr>
              <w:t> </w:t>
            </w:r>
            <w:r>
              <w:rPr>
                <w:rFonts w:ascii="宋体" w:hAnsi="宋体" w:cs="宋体" w:eastAsia="宋体" w:hint="default"/>
                <w:sz w:val="20"/>
                <w:szCs w:val="20"/>
              </w:rPr>
              <w:t>11</w:t>
            </w:r>
            <w:r>
              <w:rPr>
                <w:rFonts w:ascii="宋体" w:hAnsi="宋体" w:cs="宋体" w:eastAsia="宋体" w:hint="default"/>
                <w:spacing w:val="-51"/>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宋体" w:hAnsi="宋体" w:cs="宋体" w:eastAsia="宋体" w:hint="default"/>
                <w:sz w:val="20"/>
                <w:szCs w:val="20"/>
              </w:rPr>
              <w:t>13</w:t>
            </w:r>
            <w:r>
              <w:rPr>
                <w:rFonts w:ascii="宋体" w:hAnsi="宋体" w:cs="宋体" w:eastAsia="宋体" w:hint="default"/>
                <w:spacing w:val="-49"/>
                <w:sz w:val="20"/>
                <w:szCs w:val="20"/>
              </w:rPr>
              <w:t> </w:t>
            </w:r>
            <w:r>
              <w:rPr>
                <w:rFonts w:ascii="宋体" w:hAnsi="宋体" w:cs="宋体" w:eastAsia="宋体" w:hint="default"/>
                <w:sz w:val="20"/>
                <w:szCs w:val="20"/>
              </w:rPr>
              <w:t>日</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安徽安泰</w:t>
            </w:r>
          </w:p>
        </w:tc>
      </w:tr>
      <w:tr>
        <w:trPr>
          <w:trHeight w:val="370" w:hRule="exact"/>
        </w:trPr>
        <w:tc>
          <w:tcPr>
            <w:tcW w:w="55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 w:right="0"/>
              <w:jc w:val="center"/>
              <w:rPr>
                <w:rFonts w:ascii="宋体" w:hAnsi="宋体" w:cs="宋体" w:eastAsia="宋体" w:hint="default"/>
                <w:sz w:val="20"/>
                <w:szCs w:val="20"/>
              </w:rPr>
            </w:pPr>
            <w:r>
              <w:rPr>
                <w:rFonts w:ascii="宋体"/>
                <w:sz w:val="20"/>
              </w:rPr>
              <w:t>45</w:t>
            </w:r>
          </w:p>
        </w:tc>
        <w:tc>
          <w:tcPr>
            <w:tcW w:w="3381"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一种凹印版辊检测设备</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0"/>
              <w:jc w:val="center"/>
              <w:rPr>
                <w:rFonts w:ascii="宋体" w:hAnsi="宋体" w:cs="宋体" w:eastAsia="宋体" w:hint="default"/>
                <w:sz w:val="20"/>
                <w:szCs w:val="20"/>
              </w:rPr>
            </w:pPr>
            <w:r>
              <w:rPr>
                <w:rFonts w:ascii="宋体" w:hAnsi="宋体" w:cs="宋体" w:eastAsia="宋体" w:hint="default"/>
                <w:sz w:val="20"/>
                <w:szCs w:val="20"/>
              </w:rPr>
              <w:t>实用新型</w:t>
            </w:r>
          </w:p>
        </w:tc>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44"/>
              <w:jc w:val="right"/>
              <w:rPr>
                <w:rFonts w:ascii="宋体" w:hAnsi="宋体" w:cs="宋体" w:eastAsia="宋体" w:hint="default"/>
                <w:sz w:val="20"/>
                <w:szCs w:val="20"/>
              </w:rPr>
            </w:pPr>
            <w:r>
              <w:rPr>
                <w:rFonts w:ascii="宋体"/>
                <w:spacing w:val="-1"/>
                <w:sz w:val="20"/>
              </w:rPr>
              <w:t>201820611518.2</w:t>
            </w: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85"/>
              <w:jc w:val="right"/>
              <w:rPr>
                <w:rFonts w:ascii="宋体" w:hAnsi="宋体" w:cs="宋体" w:eastAsia="宋体" w:hint="default"/>
                <w:sz w:val="20"/>
                <w:szCs w:val="20"/>
              </w:rPr>
            </w:pPr>
            <w:r>
              <w:rPr>
                <w:rFonts w:ascii="宋体" w:hAnsi="宋体" w:cs="宋体" w:eastAsia="宋体" w:hint="default"/>
                <w:sz w:val="20"/>
                <w:szCs w:val="20"/>
              </w:rPr>
              <w:t>2018</w:t>
            </w:r>
            <w:r>
              <w:rPr>
                <w:rFonts w:ascii="宋体" w:hAnsi="宋体" w:cs="宋体" w:eastAsia="宋体" w:hint="default"/>
                <w:spacing w:val="-51"/>
                <w:sz w:val="20"/>
                <w:szCs w:val="20"/>
              </w:rPr>
              <w:t> </w:t>
            </w:r>
            <w:r>
              <w:rPr>
                <w:rFonts w:ascii="宋体" w:hAnsi="宋体" w:cs="宋体" w:eastAsia="宋体" w:hint="default"/>
                <w:sz w:val="20"/>
                <w:szCs w:val="20"/>
              </w:rPr>
              <w:t>年</w:t>
            </w:r>
            <w:r>
              <w:rPr>
                <w:rFonts w:ascii="宋体" w:hAnsi="宋体" w:cs="宋体" w:eastAsia="宋体" w:hint="default"/>
                <w:spacing w:val="-50"/>
                <w:sz w:val="20"/>
                <w:szCs w:val="20"/>
              </w:rPr>
              <w:t> </w:t>
            </w:r>
            <w:r>
              <w:rPr>
                <w:rFonts w:ascii="宋体" w:hAnsi="宋体" w:cs="宋体" w:eastAsia="宋体" w:hint="default"/>
                <w:sz w:val="20"/>
                <w:szCs w:val="20"/>
              </w:rPr>
              <w:t>04</w:t>
            </w:r>
            <w:r>
              <w:rPr>
                <w:rFonts w:ascii="宋体" w:hAnsi="宋体" w:cs="宋体" w:eastAsia="宋体" w:hint="default"/>
                <w:spacing w:val="-51"/>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宋体" w:hAnsi="宋体" w:cs="宋体" w:eastAsia="宋体" w:hint="default"/>
                <w:sz w:val="20"/>
                <w:szCs w:val="20"/>
              </w:rPr>
              <w:t>27</w:t>
            </w:r>
            <w:r>
              <w:rPr>
                <w:rFonts w:ascii="宋体" w:hAnsi="宋体" w:cs="宋体" w:eastAsia="宋体" w:hint="default"/>
                <w:spacing w:val="-49"/>
                <w:sz w:val="20"/>
                <w:szCs w:val="20"/>
              </w:rPr>
              <w:t> </w:t>
            </w:r>
            <w:r>
              <w:rPr>
                <w:rFonts w:ascii="宋体" w:hAnsi="宋体" w:cs="宋体" w:eastAsia="宋体" w:hint="default"/>
                <w:sz w:val="20"/>
                <w:szCs w:val="20"/>
              </w:rPr>
              <w:t>日</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本公司</w:t>
            </w:r>
          </w:p>
        </w:tc>
      </w:tr>
      <w:tr>
        <w:trPr>
          <w:trHeight w:val="371" w:hRule="exact"/>
        </w:trPr>
        <w:tc>
          <w:tcPr>
            <w:tcW w:w="556"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 w:right="0"/>
              <w:jc w:val="center"/>
              <w:rPr>
                <w:rFonts w:ascii="宋体" w:hAnsi="宋体" w:cs="宋体" w:eastAsia="宋体" w:hint="default"/>
                <w:sz w:val="20"/>
                <w:szCs w:val="20"/>
              </w:rPr>
            </w:pPr>
            <w:r>
              <w:rPr>
                <w:rFonts w:ascii="宋体"/>
                <w:sz w:val="20"/>
              </w:rPr>
              <w:t>46</w:t>
            </w:r>
          </w:p>
        </w:tc>
        <w:tc>
          <w:tcPr>
            <w:tcW w:w="338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0"/>
                <w:szCs w:val="20"/>
              </w:rPr>
            </w:pPr>
            <w:r>
              <w:rPr>
                <w:rFonts w:ascii="宋体" w:hAnsi="宋体" w:cs="宋体" w:eastAsia="宋体" w:hint="default"/>
                <w:sz w:val="20"/>
                <w:szCs w:val="20"/>
              </w:rPr>
              <w:t>一种凹版印刷机及其干燥系统</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0"/>
              <w:jc w:val="center"/>
              <w:rPr>
                <w:rFonts w:ascii="宋体" w:hAnsi="宋体" w:cs="宋体" w:eastAsia="宋体" w:hint="default"/>
                <w:sz w:val="20"/>
                <w:szCs w:val="20"/>
              </w:rPr>
            </w:pPr>
            <w:r>
              <w:rPr>
                <w:rFonts w:ascii="宋体" w:hAnsi="宋体" w:cs="宋体" w:eastAsia="宋体" w:hint="default"/>
                <w:sz w:val="20"/>
                <w:szCs w:val="20"/>
              </w:rPr>
              <w:t>实用新型</w:t>
            </w:r>
          </w:p>
        </w:tc>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144"/>
              <w:jc w:val="right"/>
              <w:rPr>
                <w:rFonts w:ascii="宋体" w:hAnsi="宋体" w:cs="宋体" w:eastAsia="宋体" w:hint="default"/>
                <w:sz w:val="20"/>
                <w:szCs w:val="20"/>
              </w:rPr>
            </w:pPr>
            <w:r>
              <w:rPr>
                <w:rFonts w:ascii="宋体"/>
                <w:spacing w:val="-1"/>
                <w:sz w:val="20"/>
              </w:rPr>
              <w:t>201820621095.2</w:t>
            </w: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185"/>
              <w:jc w:val="right"/>
              <w:rPr>
                <w:rFonts w:ascii="宋体" w:hAnsi="宋体" w:cs="宋体" w:eastAsia="宋体" w:hint="default"/>
                <w:sz w:val="20"/>
                <w:szCs w:val="20"/>
              </w:rPr>
            </w:pPr>
            <w:r>
              <w:rPr>
                <w:rFonts w:ascii="宋体" w:hAnsi="宋体" w:cs="宋体" w:eastAsia="宋体" w:hint="default"/>
                <w:sz w:val="20"/>
                <w:szCs w:val="20"/>
              </w:rPr>
              <w:t>2018</w:t>
            </w:r>
            <w:r>
              <w:rPr>
                <w:rFonts w:ascii="宋体" w:hAnsi="宋体" w:cs="宋体" w:eastAsia="宋体" w:hint="default"/>
                <w:spacing w:val="-51"/>
                <w:sz w:val="20"/>
                <w:szCs w:val="20"/>
              </w:rPr>
              <w:t> </w:t>
            </w:r>
            <w:r>
              <w:rPr>
                <w:rFonts w:ascii="宋体" w:hAnsi="宋体" w:cs="宋体" w:eastAsia="宋体" w:hint="default"/>
                <w:sz w:val="20"/>
                <w:szCs w:val="20"/>
              </w:rPr>
              <w:t>年</w:t>
            </w:r>
            <w:r>
              <w:rPr>
                <w:rFonts w:ascii="宋体" w:hAnsi="宋体" w:cs="宋体" w:eastAsia="宋体" w:hint="default"/>
                <w:spacing w:val="-50"/>
                <w:sz w:val="20"/>
                <w:szCs w:val="20"/>
              </w:rPr>
              <w:t> </w:t>
            </w:r>
            <w:r>
              <w:rPr>
                <w:rFonts w:ascii="宋体" w:hAnsi="宋体" w:cs="宋体" w:eastAsia="宋体" w:hint="default"/>
                <w:sz w:val="20"/>
                <w:szCs w:val="20"/>
              </w:rPr>
              <w:t>04</w:t>
            </w:r>
            <w:r>
              <w:rPr>
                <w:rFonts w:ascii="宋体" w:hAnsi="宋体" w:cs="宋体" w:eastAsia="宋体" w:hint="default"/>
                <w:spacing w:val="-51"/>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宋体" w:hAnsi="宋体" w:cs="宋体" w:eastAsia="宋体" w:hint="default"/>
                <w:sz w:val="20"/>
                <w:szCs w:val="20"/>
              </w:rPr>
              <w:t>27</w:t>
            </w:r>
            <w:r>
              <w:rPr>
                <w:rFonts w:ascii="宋体" w:hAnsi="宋体" w:cs="宋体" w:eastAsia="宋体" w:hint="default"/>
                <w:spacing w:val="-49"/>
                <w:sz w:val="20"/>
                <w:szCs w:val="20"/>
              </w:rPr>
              <w:t> </w:t>
            </w:r>
            <w:r>
              <w:rPr>
                <w:rFonts w:ascii="宋体" w:hAnsi="宋体" w:cs="宋体" w:eastAsia="宋体" w:hint="default"/>
                <w:sz w:val="20"/>
                <w:szCs w:val="20"/>
              </w:rPr>
              <w:t>日</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0"/>
                <w:szCs w:val="20"/>
              </w:rPr>
            </w:pPr>
            <w:r>
              <w:rPr>
                <w:rFonts w:ascii="宋体" w:hAnsi="宋体" w:cs="宋体" w:eastAsia="宋体" w:hint="default"/>
                <w:sz w:val="20"/>
                <w:szCs w:val="20"/>
              </w:rPr>
              <w:t>本公司</w:t>
            </w:r>
          </w:p>
        </w:tc>
      </w:tr>
      <w:tr>
        <w:trPr>
          <w:trHeight w:val="370" w:hRule="exact"/>
        </w:trPr>
        <w:tc>
          <w:tcPr>
            <w:tcW w:w="55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 w:right="0"/>
              <w:jc w:val="center"/>
              <w:rPr>
                <w:rFonts w:ascii="宋体" w:hAnsi="宋体" w:cs="宋体" w:eastAsia="宋体" w:hint="default"/>
                <w:sz w:val="20"/>
                <w:szCs w:val="20"/>
              </w:rPr>
            </w:pPr>
            <w:r>
              <w:rPr>
                <w:rFonts w:ascii="宋体"/>
                <w:sz w:val="20"/>
              </w:rPr>
              <w:t>47</w:t>
            </w:r>
          </w:p>
        </w:tc>
        <w:tc>
          <w:tcPr>
            <w:tcW w:w="3381"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自动烫金机横向收箔装置</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0"/>
              <w:jc w:val="center"/>
              <w:rPr>
                <w:rFonts w:ascii="宋体" w:hAnsi="宋体" w:cs="宋体" w:eastAsia="宋体" w:hint="default"/>
                <w:sz w:val="20"/>
                <w:szCs w:val="20"/>
              </w:rPr>
            </w:pPr>
            <w:r>
              <w:rPr>
                <w:rFonts w:ascii="宋体" w:hAnsi="宋体" w:cs="宋体" w:eastAsia="宋体" w:hint="default"/>
                <w:sz w:val="20"/>
                <w:szCs w:val="20"/>
              </w:rPr>
              <w:t>实用新型</w:t>
            </w:r>
          </w:p>
        </w:tc>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44"/>
              <w:jc w:val="right"/>
              <w:rPr>
                <w:rFonts w:ascii="宋体" w:hAnsi="宋体" w:cs="宋体" w:eastAsia="宋体" w:hint="default"/>
                <w:sz w:val="20"/>
                <w:szCs w:val="20"/>
              </w:rPr>
            </w:pPr>
            <w:r>
              <w:rPr>
                <w:rFonts w:ascii="宋体"/>
                <w:spacing w:val="-1"/>
                <w:sz w:val="20"/>
              </w:rPr>
              <w:t>201821428213.4</w:t>
            </w: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85"/>
              <w:jc w:val="right"/>
              <w:rPr>
                <w:rFonts w:ascii="宋体" w:hAnsi="宋体" w:cs="宋体" w:eastAsia="宋体" w:hint="default"/>
                <w:sz w:val="20"/>
                <w:szCs w:val="20"/>
              </w:rPr>
            </w:pPr>
            <w:r>
              <w:rPr>
                <w:rFonts w:ascii="宋体" w:hAnsi="宋体" w:cs="宋体" w:eastAsia="宋体" w:hint="default"/>
                <w:sz w:val="20"/>
                <w:szCs w:val="20"/>
              </w:rPr>
              <w:t>2018</w:t>
            </w:r>
            <w:r>
              <w:rPr>
                <w:rFonts w:ascii="宋体" w:hAnsi="宋体" w:cs="宋体" w:eastAsia="宋体" w:hint="default"/>
                <w:spacing w:val="-51"/>
                <w:sz w:val="20"/>
                <w:szCs w:val="20"/>
              </w:rPr>
              <w:t> </w:t>
            </w:r>
            <w:r>
              <w:rPr>
                <w:rFonts w:ascii="宋体" w:hAnsi="宋体" w:cs="宋体" w:eastAsia="宋体" w:hint="default"/>
                <w:sz w:val="20"/>
                <w:szCs w:val="20"/>
              </w:rPr>
              <w:t>年</w:t>
            </w:r>
            <w:r>
              <w:rPr>
                <w:rFonts w:ascii="宋体" w:hAnsi="宋体" w:cs="宋体" w:eastAsia="宋体" w:hint="default"/>
                <w:spacing w:val="-50"/>
                <w:sz w:val="20"/>
                <w:szCs w:val="20"/>
              </w:rPr>
              <w:t> </w:t>
            </w:r>
            <w:r>
              <w:rPr>
                <w:rFonts w:ascii="宋体" w:hAnsi="宋体" w:cs="宋体" w:eastAsia="宋体" w:hint="default"/>
                <w:sz w:val="20"/>
                <w:szCs w:val="20"/>
              </w:rPr>
              <w:t>08</w:t>
            </w:r>
            <w:r>
              <w:rPr>
                <w:rFonts w:ascii="宋体" w:hAnsi="宋体" w:cs="宋体" w:eastAsia="宋体" w:hint="default"/>
                <w:spacing w:val="-51"/>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宋体" w:hAnsi="宋体" w:cs="宋体" w:eastAsia="宋体" w:hint="default"/>
                <w:sz w:val="20"/>
                <w:szCs w:val="20"/>
              </w:rPr>
              <w:t>31</w:t>
            </w:r>
            <w:r>
              <w:rPr>
                <w:rFonts w:ascii="宋体" w:hAnsi="宋体" w:cs="宋体" w:eastAsia="宋体" w:hint="default"/>
                <w:spacing w:val="-49"/>
                <w:sz w:val="20"/>
                <w:szCs w:val="20"/>
              </w:rPr>
              <w:t> </w:t>
            </w:r>
            <w:r>
              <w:rPr>
                <w:rFonts w:ascii="宋体" w:hAnsi="宋体" w:cs="宋体" w:eastAsia="宋体" w:hint="default"/>
                <w:sz w:val="20"/>
                <w:szCs w:val="20"/>
              </w:rPr>
              <w:t>日</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丰彩丽</w:t>
            </w:r>
          </w:p>
        </w:tc>
      </w:tr>
      <w:tr>
        <w:trPr>
          <w:trHeight w:val="370" w:hRule="exact"/>
        </w:trPr>
        <w:tc>
          <w:tcPr>
            <w:tcW w:w="55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 w:right="0"/>
              <w:jc w:val="center"/>
              <w:rPr>
                <w:rFonts w:ascii="宋体" w:hAnsi="宋体" w:cs="宋体" w:eastAsia="宋体" w:hint="default"/>
                <w:sz w:val="20"/>
                <w:szCs w:val="20"/>
              </w:rPr>
            </w:pPr>
            <w:r>
              <w:rPr>
                <w:rFonts w:ascii="宋体"/>
                <w:sz w:val="20"/>
              </w:rPr>
              <w:t>48</w:t>
            </w:r>
          </w:p>
        </w:tc>
        <w:tc>
          <w:tcPr>
            <w:tcW w:w="3381"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全自动丝网印刷装置</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0"/>
              <w:jc w:val="center"/>
              <w:rPr>
                <w:rFonts w:ascii="宋体" w:hAnsi="宋体" w:cs="宋体" w:eastAsia="宋体" w:hint="default"/>
                <w:sz w:val="20"/>
                <w:szCs w:val="20"/>
              </w:rPr>
            </w:pPr>
            <w:r>
              <w:rPr>
                <w:rFonts w:ascii="宋体" w:hAnsi="宋体" w:cs="宋体" w:eastAsia="宋体" w:hint="default"/>
                <w:sz w:val="20"/>
                <w:szCs w:val="20"/>
              </w:rPr>
              <w:t>实用新型</w:t>
            </w:r>
          </w:p>
        </w:tc>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44"/>
              <w:jc w:val="right"/>
              <w:rPr>
                <w:rFonts w:ascii="宋体" w:hAnsi="宋体" w:cs="宋体" w:eastAsia="宋体" w:hint="default"/>
                <w:sz w:val="20"/>
                <w:szCs w:val="20"/>
              </w:rPr>
            </w:pPr>
            <w:r>
              <w:rPr>
                <w:rFonts w:ascii="宋体"/>
                <w:spacing w:val="-1"/>
                <w:sz w:val="20"/>
              </w:rPr>
              <w:t>201821428238.4</w:t>
            </w: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85"/>
              <w:jc w:val="right"/>
              <w:rPr>
                <w:rFonts w:ascii="宋体" w:hAnsi="宋体" w:cs="宋体" w:eastAsia="宋体" w:hint="default"/>
                <w:sz w:val="20"/>
                <w:szCs w:val="20"/>
              </w:rPr>
            </w:pPr>
            <w:r>
              <w:rPr>
                <w:rFonts w:ascii="宋体" w:hAnsi="宋体" w:cs="宋体" w:eastAsia="宋体" w:hint="default"/>
                <w:sz w:val="20"/>
                <w:szCs w:val="20"/>
              </w:rPr>
              <w:t>2018</w:t>
            </w:r>
            <w:r>
              <w:rPr>
                <w:rFonts w:ascii="宋体" w:hAnsi="宋体" w:cs="宋体" w:eastAsia="宋体" w:hint="default"/>
                <w:spacing w:val="-51"/>
                <w:sz w:val="20"/>
                <w:szCs w:val="20"/>
              </w:rPr>
              <w:t> </w:t>
            </w:r>
            <w:r>
              <w:rPr>
                <w:rFonts w:ascii="宋体" w:hAnsi="宋体" w:cs="宋体" w:eastAsia="宋体" w:hint="default"/>
                <w:sz w:val="20"/>
                <w:szCs w:val="20"/>
              </w:rPr>
              <w:t>年</w:t>
            </w:r>
            <w:r>
              <w:rPr>
                <w:rFonts w:ascii="宋体" w:hAnsi="宋体" w:cs="宋体" w:eastAsia="宋体" w:hint="default"/>
                <w:spacing w:val="-50"/>
                <w:sz w:val="20"/>
                <w:szCs w:val="20"/>
              </w:rPr>
              <w:t> </w:t>
            </w:r>
            <w:r>
              <w:rPr>
                <w:rFonts w:ascii="宋体" w:hAnsi="宋体" w:cs="宋体" w:eastAsia="宋体" w:hint="default"/>
                <w:sz w:val="20"/>
                <w:szCs w:val="20"/>
              </w:rPr>
              <w:t>08</w:t>
            </w:r>
            <w:r>
              <w:rPr>
                <w:rFonts w:ascii="宋体" w:hAnsi="宋体" w:cs="宋体" w:eastAsia="宋体" w:hint="default"/>
                <w:spacing w:val="-51"/>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宋体" w:hAnsi="宋体" w:cs="宋体" w:eastAsia="宋体" w:hint="default"/>
                <w:sz w:val="20"/>
                <w:szCs w:val="20"/>
              </w:rPr>
              <w:t>31</w:t>
            </w:r>
            <w:r>
              <w:rPr>
                <w:rFonts w:ascii="宋体" w:hAnsi="宋体" w:cs="宋体" w:eastAsia="宋体" w:hint="default"/>
                <w:spacing w:val="-49"/>
                <w:sz w:val="20"/>
                <w:szCs w:val="20"/>
              </w:rPr>
              <w:t> </w:t>
            </w:r>
            <w:r>
              <w:rPr>
                <w:rFonts w:ascii="宋体" w:hAnsi="宋体" w:cs="宋体" w:eastAsia="宋体" w:hint="default"/>
                <w:sz w:val="20"/>
                <w:szCs w:val="20"/>
              </w:rPr>
              <w:t>日</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丰彩丽</w:t>
            </w:r>
          </w:p>
        </w:tc>
      </w:tr>
      <w:tr>
        <w:trPr>
          <w:trHeight w:val="635" w:hRule="exact"/>
        </w:trPr>
        <w:tc>
          <w:tcPr>
            <w:tcW w:w="556"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 w:right="0"/>
              <w:jc w:val="center"/>
              <w:rPr>
                <w:rFonts w:ascii="宋体" w:hAnsi="宋体" w:cs="宋体" w:eastAsia="宋体" w:hint="default"/>
                <w:sz w:val="20"/>
                <w:szCs w:val="20"/>
              </w:rPr>
            </w:pPr>
            <w:r>
              <w:rPr>
                <w:rFonts w:ascii="宋体"/>
                <w:sz w:val="20"/>
              </w:rPr>
              <w:t>49</w:t>
            </w:r>
          </w:p>
        </w:tc>
        <w:tc>
          <w:tcPr>
            <w:tcW w:w="3381"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264"/>
              <w:jc w:val="left"/>
              <w:rPr>
                <w:rFonts w:ascii="宋体" w:hAnsi="宋体" w:cs="宋体" w:eastAsia="宋体" w:hint="default"/>
                <w:sz w:val="20"/>
                <w:szCs w:val="20"/>
              </w:rPr>
            </w:pPr>
            <w:r>
              <w:rPr>
                <w:rFonts w:ascii="宋体" w:hAnsi="宋体" w:cs="宋体" w:eastAsia="宋体" w:hint="default"/>
                <w:sz w:val="20"/>
                <w:szCs w:val="20"/>
              </w:rPr>
              <w:t>一种胶印机印刷牙排套位精度保护</w:t>
            </w:r>
            <w:r>
              <w:rPr>
                <w:rFonts w:ascii="宋体" w:hAnsi="宋体" w:cs="宋体" w:eastAsia="宋体" w:hint="default"/>
                <w:w w:val="100"/>
                <w:sz w:val="20"/>
                <w:szCs w:val="20"/>
              </w:rPr>
              <w:t> </w:t>
            </w:r>
            <w:r>
              <w:rPr>
                <w:rFonts w:ascii="宋体" w:hAnsi="宋体" w:cs="宋体" w:eastAsia="宋体" w:hint="default"/>
                <w:sz w:val="20"/>
                <w:szCs w:val="20"/>
              </w:rPr>
              <w:t>装置</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0"/>
              <w:jc w:val="center"/>
              <w:rPr>
                <w:rFonts w:ascii="宋体" w:hAnsi="宋体" w:cs="宋体" w:eastAsia="宋体" w:hint="default"/>
                <w:sz w:val="20"/>
                <w:szCs w:val="20"/>
              </w:rPr>
            </w:pPr>
            <w:r>
              <w:rPr>
                <w:rFonts w:ascii="宋体" w:hAnsi="宋体" w:cs="宋体" w:eastAsia="宋体" w:hint="default"/>
                <w:sz w:val="20"/>
                <w:szCs w:val="20"/>
              </w:rPr>
              <w:t>实用新型</w:t>
            </w:r>
          </w:p>
        </w:tc>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144"/>
              <w:jc w:val="right"/>
              <w:rPr>
                <w:rFonts w:ascii="宋体" w:hAnsi="宋体" w:cs="宋体" w:eastAsia="宋体" w:hint="default"/>
                <w:sz w:val="20"/>
                <w:szCs w:val="20"/>
              </w:rPr>
            </w:pPr>
            <w:r>
              <w:rPr>
                <w:rFonts w:ascii="宋体"/>
                <w:spacing w:val="-1"/>
                <w:sz w:val="20"/>
              </w:rPr>
              <w:t>201821428404.0</w:t>
            </w: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185"/>
              <w:jc w:val="right"/>
              <w:rPr>
                <w:rFonts w:ascii="宋体" w:hAnsi="宋体" w:cs="宋体" w:eastAsia="宋体" w:hint="default"/>
                <w:sz w:val="20"/>
                <w:szCs w:val="20"/>
              </w:rPr>
            </w:pPr>
            <w:r>
              <w:rPr>
                <w:rFonts w:ascii="宋体" w:hAnsi="宋体" w:cs="宋体" w:eastAsia="宋体" w:hint="default"/>
                <w:sz w:val="20"/>
                <w:szCs w:val="20"/>
              </w:rPr>
              <w:t>2018</w:t>
            </w:r>
            <w:r>
              <w:rPr>
                <w:rFonts w:ascii="宋体" w:hAnsi="宋体" w:cs="宋体" w:eastAsia="宋体" w:hint="default"/>
                <w:spacing w:val="-51"/>
                <w:sz w:val="20"/>
                <w:szCs w:val="20"/>
              </w:rPr>
              <w:t> </w:t>
            </w:r>
            <w:r>
              <w:rPr>
                <w:rFonts w:ascii="宋体" w:hAnsi="宋体" w:cs="宋体" w:eastAsia="宋体" w:hint="default"/>
                <w:sz w:val="20"/>
                <w:szCs w:val="20"/>
              </w:rPr>
              <w:t>年</w:t>
            </w:r>
            <w:r>
              <w:rPr>
                <w:rFonts w:ascii="宋体" w:hAnsi="宋体" w:cs="宋体" w:eastAsia="宋体" w:hint="default"/>
                <w:spacing w:val="-50"/>
                <w:sz w:val="20"/>
                <w:szCs w:val="20"/>
              </w:rPr>
              <w:t> </w:t>
            </w:r>
            <w:r>
              <w:rPr>
                <w:rFonts w:ascii="宋体" w:hAnsi="宋体" w:cs="宋体" w:eastAsia="宋体" w:hint="default"/>
                <w:sz w:val="20"/>
                <w:szCs w:val="20"/>
              </w:rPr>
              <w:t>08</w:t>
            </w:r>
            <w:r>
              <w:rPr>
                <w:rFonts w:ascii="宋体" w:hAnsi="宋体" w:cs="宋体" w:eastAsia="宋体" w:hint="default"/>
                <w:spacing w:val="-51"/>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宋体" w:hAnsi="宋体" w:cs="宋体" w:eastAsia="宋体" w:hint="default"/>
                <w:sz w:val="20"/>
                <w:szCs w:val="20"/>
              </w:rPr>
              <w:t>31</w:t>
            </w:r>
            <w:r>
              <w:rPr>
                <w:rFonts w:ascii="宋体" w:hAnsi="宋体" w:cs="宋体" w:eastAsia="宋体" w:hint="default"/>
                <w:spacing w:val="-49"/>
                <w:sz w:val="20"/>
                <w:szCs w:val="20"/>
              </w:rPr>
              <w:t> </w:t>
            </w:r>
            <w:r>
              <w:rPr>
                <w:rFonts w:ascii="宋体" w:hAnsi="宋体" w:cs="宋体" w:eastAsia="宋体" w:hint="default"/>
                <w:sz w:val="20"/>
                <w:szCs w:val="20"/>
              </w:rPr>
              <w:t>日</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0"/>
                <w:szCs w:val="20"/>
              </w:rPr>
            </w:pPr>
            <w:r>
              <w:rPr>
                <w:rFonts w:ascii="宋体" w:hAnsi="宋体" w:cs="宋体" w:eastAsia="宋体" w:hint="default"/>
                <w:sz w:val="20"/>
                <w:szCs w:val="20"/>
              </w:rPr>
              <w:t>丰彩丽</w:t>
            </w:r>
          </w:p>
        </w:tc>
      </w:tr>
      <w:tr>
        <w:trPr>
          <w:trHeight w:val="370" w:hRule="exact"/>
        </w:trPr>
        <w:tc>
          <w:tcPr>
            <w:tcW w:w="55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 w:right="0"/>
              <w:jc w:val="center"/>
              <w:rPr>
                <w:rFonts w:ascii="宋体" w:hAnsi="宋体" w:cs="宋体" w:eastAsia="宋体" w:hint="default"/>
                <w:sz w:val="20"/>
                <w:szCs w:val="20"/>
              </w:rPr>
            </w:pPr>
            <w:r>
              <w:rPr>
                <w:rFonts w:ascii="宋体"/>
                <w:sz w:val="20"/>
              </w:rPr>
              <w:t>50</w:t>
            </w:r>
          </w:p>
        </w:tc>
        <w:tc>
          <w:tcPr>
            <w:tcW w:w="3381"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一种丝印网版套印微调装置</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0"/>
              <w:jc w:val="center"/>
              <w:rPr>
                <w:rFonts w:ascii="宋体" w:hAnsi="宋体" w:cs="宋体" w:eastAsia="宋体" w:hint="default"/>
                <w:sz w:val="20"/>
                <w:szCs w:val="20"/>
              </w:rPr>
            </w:pPr>
            <w:r>
              <w:rPr>
                <w:rFonts w:ascii="宋体" w:hAnsi="宋体" w:cs="宋体" w:eastAsia="宋体" w:hint="default"/>
                <w:sz w:val="20"/>
                <w:szCs w:val="20"/>
              </w:rPr>
              <w:t>实用新型</w:t>
            </w:r>
          </w:p>
        </w:tc>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44"/>
              <w:jc w:val="right"/>
              <w:rPr>
                <w:rFonts w:ascii="宋体" w:hAnsi="宋体" w:cs="宋体" w:eastAsia="宋体" w:hint="default"/>
                <w:sz w:val="20"/>
                <w:szCs w:val="20"/>
              </w:rPr>
            </w:pPr>
            <w:r>
              <w:rPr>
                <w:rFonts w:ascii="宋体"/>
                <w:spacing w:val="-1"/>
                <w:sz w:val="20"/>
              </w:rPr>
              <w:t>201821431050.5</w:t>
            </w: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85"/>
              <w:jc w:val="right"/>
              <w:rPr>
                <w:rFonts w:ascii="宋体" w:hAnsi="宋体" w:cs="宋体" w:eastAsia="宋体" w:hint="default"/>
                <w:sz w:val="20"/>
                <w:szCs w:val="20"/>
              </w:rPr>
            </w:pPr>
            <w:r>
              <w:rPr>
                <w:rFonts w:ascii="宋体" w:hAnsi="宋体" w:cs="宋体" w:eastAsia="宋体" w:hint="default"/>
                <w:sz w:val="20"/>
                <w:szCs w:val="20"/>
              </w:rPr>
              <w:t>2018</w:t>
            </w:r>
            <w:r>
              <w:rPr>
                <w:rFonts w:ascii="宋体" w:hAnsi="宋体" w:cs="宋体" w:eastAsia="宋体" w:hint="default"/>
                <w:spacing w:val="-51"/>
                <w:sz w:val="20"/>
                <w:szCs w:val="20"/>
              </w:rPr>
              <w:t> </w:t>
            </w:r>
            <w:r>
              <w:rPr>
                <w:rFonts w:ascii="宋体" w:hAnsi="宋体" w:cs="宋体" w:eastAsia="宋体" w:hint="default"/>
                <w:sz w:val="20"/>
                <w:szCs w:val="20"/>
              </w:rPr>
              <w:t>年</w:t>
            </w:r>
            <w:r>
              <w:rPr>
                <w:rFonts w:ascii="宋体" w:hAnsi="宋体" w:cs="宋体" w:eastAsia="宋体" w:hint="default"/>
                <w:spacing w:val="-50"/>
                <w:sz w:val="20"/>
                <w:szCs w:val="20"/>
              </w:rPr>
              <w:t> </w:t>
            </w:r>
            <w:r>
              <w:rPr>
                <w:rFonts w:ascii="宋体" w:hAnsi="宋体" w:cs="宋体" w:eastAsia="宋体" w:hint="default"/>
                <w:sz w:val="20"/>
                <w:szCs w:val="20"/>
              </w:rPr>
              <w:t>08</w:t>
            </w:r>
            <w:r>
              <w:rPr>
                <w:rFonts w:ascii="宋体" w:hAnsi="宋体" w:cs="宋体" w:eastAsia="宋体" w:hint="default"/>
                <w:spacing w:val="-51"/>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宋体" w:hAnsi="宋体" w:cs="宋体" w:eastAsia="宋体" w:hint="default"/>
                <w:sz w:val="20"/>
                <w:szCs w:val="20"/>
              </w:rPr>
              <w:t>31</w:t>
            </w:r>
            <w:r>
              <w:rPr>
                <w:rFonts w:ascii="宋体" w:hAnsi="宋体" w:cs="宋体" w:eastAsia="宋体" w:hint="default"/>
                <w:spacing w:val="-49"/>
                <w:sz w:val="20"/>
                <w:szCs w:val="20"/>
              </w:rPr>
              <w:t> </w:t>
            </w:r>
            <w:r>
              <w:rPr>
                <w:rFonts w:ascii="宋体" w:hAnsi="宋体" w:cs="宋体" w:eastAsia="宋体" w:hint="default"/>
                <w:sz w:val="20"/>
                <w:szCs w:val="20"/>
              </w:rPr>
              <w:t>日</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丰彩丽</w:t>
            </w:r>
          </w:p>
        </w:tc>
      </w:tr>
      <w:tr>
        <w:trPr>
          <w:trHeight w:val="634" w:hRule="exact"/>
        </w:trPr>
        <w:tc>
          <w:tcPr>
            <w:tcW w:w="55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 w:right="0"/>
              <w:jc w:val="center"/>
              <w:rPr>
                <w:rFonts w:ascii="宋体" w:hAnsi="宋体" w:cs="宋体" w:eastAsia="宋体" w:hint="default"/>
                <w:sz w:val="20"/>
                <w:szCs w:val="20"/>
              </w:rPr>
            </w:pPr>
            <w:r>
              <w:rPr>
                <w:rFonts w:ascii="宋体"/>
                <w:sz w:val="20"/>
              </w:rPr>
              <w:t>51</w:t>
            </w:r>
          </w:p>
        </w:tc>
        <w:tc>
          <w:tcPr>
            <w:tcW w:w="3381"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264"/>
              <w:jc w:val="left"/>
              <w:rPr>
                <w:rFonts w:ascii="宋体" w:hAnsi="宋体" w:cs="宋体" w:eastAsia="宋体" w:hint="default"/>
                <w:sz w:val="20"/>
                <w:szCs w:val="20"/>
              </w:rPr>
            </w:pPr>
            <w:r>
              <w:rPr>
                <w:rFonts w:ascii="宋体" w:hAnsi="宋体" w:cs="宋体" w:eastAsia="宋体" w:hint="default"/>
                <w:sz w:val="20"/>
                <w:szCs w:val="20"/>
              </w:rPr>
              <w:t>一种单色凹印机前规和侧规光电电</w:t>
            </w:r>
            <w:r>
              <w:rPr>
                <w:rFonts w:ascii="宋体" w:hAnsi="宋体" w:cs="宋体" w:eastAsia="宋体" w:hint="default"/>
                <w:w w:val="100"/>
                <w:sz w:val="20"/>
                <w:szCs w:val="20"/>
              </w:rPr>
              <w:t> </w:t>
            </w:r>
            <w:r>
              <w:rPr>
                <w:rFonts w:ascii="宋体" w:hAnsi="宋体" w:cs="宋体" w:eastAsia="宋体" w:hint="default"/>
                <w:sz w:val="20"/>
                <w:szCs w:val="20"/>
              </w:rPr>
              <w:t>眼检测系统</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0"/>
              <w:jc w:val="center"/>
              <w:rPr>
                <w:rFonts w:ascii="宋体" w:hAnsi="宋体" w:cs="宋体" w:eastAsia="宋体" w:hint="default"/>
                <w:sz w:val="20"/>
                <w:szCs w:val="20"/>
              </w:rPr>
            </w:pPr>
            <w:r>
              <w:rPr>
                <w:rFonts w:ascii="宋体" w:hAnsi="宋体" w:cs="宋体" w:eastAsia="宋体" w:hint="default"/>
                <w:sz w:val="20"/>
                <w:szCs w:val="20"/>
              </w:rPr>
              <w:t>实用新型</w:t>
            </w:r>
          </w:p>
        </w:tc>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44"/>
              <w:jc w:val="right"/>
              <w:rPr>
                <w:rFonts w:ascii="宋体" w:hAnsi="宋体" w:cs="宋体" w:eastAsia="宋体" w:hint="default"/>
                <w:sz w:val="20"/>
                <w:szCs w:val="20"/>
              </w:rPr>
            </w:pPr>
            <w:r>
              <w:rPr>
                <w:rFonts w:ascii="宋体"/>
                <w:spacing w:val="-1"/>
                <w:sz w:val="20"/>
              </w:rPr>
              <w:t>201821431066.6</w:t>
            </w: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85"/>
              <w:jc w:val="right"/>
              <w:rPr>
                <w:rFonts w:ascii="宋体" w:hAnsi="宋体" w:cs="宋体" w:eastAsia="宋体" w:hint="default"/>
                <w:sz w:val="20"/>
                <w:szCs w:val="20"/>
              </w:rPr>
            </w:pPr>
            <w:r>
              <w:rPr>
                <w:rFonts w:ascii="宋体" w:hAnsi="宋体" w:cs="宋体" w:eastAsia="宋体" w:hint="default"/>
                <w:sz w:val="20"/>
                <w:szCs w:val="20"/>
              </w:rPr>
              <w:t>2018</w:t>
            </w:r>
            <w:r>
              <w:rPr>
                <w:rFonts w:ascii="宋体" w:hAnsi="宋体" w:cs="宋体" w:eastAsia="宋体" w:hint="default"/>
                <w:spacing w:val="-51"/>
                <w:sz w:val="20"/>
                <w:szCs w:val="20"/>
              </w:rPr>
              <w:t> </w:t>
            </w:r>
            <w:r>
              <w:rPr>
                <w:rFonts w:ascii="宋体" w:hAnsi="宋体" w:cs="宋体" w:eastAsia="宋体" w:hint="default"/>
                <w:sz w:val="20"/>
                <w:szCs w:val="20"/>
              </w:rPr>
              <w:t>年</w:t>
            </w:r>
            <w:r>
              <w:rPr>
                <w:rFonts w:ascii="宋体" w:hAnsi="宋体" w:cs="宋体" w:eastAsia="宋体" w:hint="default"/>
                <w:spacing w:val="-50"/>
                <w:sz w:val="20"/>
                <w:szCs w:val="20"/>
              </w:rPr>
              <w:t> </w:t>
            </w:r>
            <w:r>
              <w:rPr>
                <w:rFonts w:ascii="宋体" w:hAnsi="宋体" w:cs="宋体" w:eastAsia="宋体" w:hint="default"/>
                <w:sz w:val="20"/>
                <w:szCs w:val="20"/>
              </w:rPr>
              <w:t>08</w:t>
            </w:r>
            <w:r>
              <w:rPr>
                <w:rFonts w:ascii="宋体" w:hAnsi="宋体" w:cs="宋体" w:eastAsia="宋体" w:hint="default"/>
                <w:spacing w:val="-51"/>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宋体" w:hAnsi="宋体" w:cs="宋体" w:eastAsia="宋体" w:hint="default"/>
                <w:sz w:val="20"/>
                <w:szCs w:val="20"/>
              </w:rPr>
              <w:t>31</w:t>
            </w:r>
            <w:r>
              <w:rPr>
                <w:rFonts w:ascii="宋体" w:hAnsi="宋体" w:cs="宋体" w:eastAsia="宋体" w:hint="default"/>
                <w:spacing w:val="-49"/>
                <w:sz w:val="20"/>
                <w:szCs w:val="20"/>
              </w:rPr>
              <w:t> </w:t>
            </w:r>
            <w:r>
              <w:rPr>
                <w:rFonts w:ascii="宋体" w:hAnsi="宋体" w:cs="宋体" w:eastAsia="宋体" w:hint="default"/>
                <w:sz w:val="20"/>
                <w:szCs w:val="20"/>
              </w:rPr>
              <w:t>日</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丰彩丽</w:t>
            </w:r>
          </w:p>
        </w:tc>
      </w:tr>
      <w:tr>
        <w:trPr>
          <w:trHeight w:val="635" w:hRule="exact"/>
        </w:trPr>
        <w:tc>
          <w:tcPr>
            <w:tcW w:w="556"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 w:right="0"/>
              <w:jc w:val="center"/>
              <w:rPr>
                <w:rFonts w:ascii="宋体" w:hAnsi="宋体" w:cs="宋体" w:eastAsia="宋体" w:hint="default"/>
                <w:sz w:val="20"/>
                <w:szCs w:val="20"/>
              </w:rPr>
            </w:pPr>
            <w:r>
              <w:rPr>
                <w:rFonts w:ascii="宋体"/>
                <w:sz w:val="20"/>
              </w:rPr>
              <w:t>52</w:t>
            </w:r>
          </w:p>
        </w:tc>
        <w:tc>
          <w:tcPr>
            <w:tcW w:w="3381"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264"/>
              <w:jc w:val="left"/>
              <w:rPr>
                <w:rFonts w:ascii="宋体" w:hAnsi="宋体" w:cs="宋体" w:eastAsia="宋体" w:hint="default"/>
                <w:sz w:val="20"/>
                <w:szCs w:val="20"/>
              </w:rPr>
            </w:pPr>
            <w:r>
              <w:rPr>
                <w:rFonts w:ascii="宋体" w:hAnsi="宋体" w:cs="宋体" w:eastAsia="宋体" w:hint="default"/>
                <w:sz w:val="20"/>
                <w:szCs w:val="20"/>
              </w:rPr>
              <w:t>避免油墨分层和油花现象的凹版印</w:t>
            </w:r>
            <w:r>
              <w:rPr>
                <w:rFonts w:ascii="宋体" w:hAnsi="宋体" w:cs="宋体" w:eastAsia="宋体" w:hint="default"/>
                <w:w w:val="100"/>
                <w:sz w:val="20"/>
                <w:szCs w:val="20"/>
              </w:rPr>
              <w:t> </w:t>
            </w:r>
            <w:r>
              <w:rPr>
                <w:rFonts w:ascii="宋体" w:hAnsi="宋体" w:cs="宋体" w:eastAsia="宋体" w:hint="default"/>
                <w:sz w:val="20"/>
                <w:szCs w:val="20"/>
              </w:rPr>
              <w:t>刷装置</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0"/>
              <w:jc w:val="center"/>
              <w:rPr>
                <w:rFonts w:ascii="宋体" w:hAnsi="宋体" w:cs="宋体" w:eastAsia="宋体" w:hint="default"/>
                <w:sz w:val="20"/>
                <w:szCs w:val="20"/>
              </w:rPr>
            </w:pPr>
            <w:r>
              <w:rPr>
                <w:rFonts w:ascii="宋体" w:hAnsi="宋体" w:cs="宋体" w:eastAsia="宋体" w:hint="default"/>
                <w:sz w:val="20"/>
                <w:szCs w:val="20"/>
              </w:rPr>
              <w:t>实用新型</w:t>
            </w:r>
          </w:p>
        </w:tc>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144"/>
              <w:jc w:val="right"/>
              <w:rPr>
                <w:rFonts w:ascii="宋体" w:hAnsi="宋体" w:cs="宋体" w:eastAsia="宋体" w:hint="default"/>
                <w:sz w:val="20"/>
                <w:szCs w:val="20"/>
              </w:rPr>
            </w:pPr>
            <w:r>
              <w:rPr>
                <w:rFonts w:ascii="宋体"/>
                <w:spacing w:val="-1"/>
                <w:sz w:val="20"/>
              </w:rPr>
              <w:t>201821431067.0</w:t>
            </w: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185"/>
              <w:jc w:val="right"/>
              <w:rPr>
                <w:rFonts w:ascii="宋体" w:hAnsi="宋体" w:cs="宋体" w:eastAsia="宋体" w:hint="default"/>
                <w:sz w:val="20"/>
                <w:szCs w:val="20"/>
              </w:rPr>
            </w:pPr>
            <w:r>
              <w:rPr>
                <w:rFonts w:ascii="宋体" w:hAnsi="宋体" w:cs="宋体" w:eastAsia="宋体" w:hint="default"/>
                <w:sz w:val="20"/>
                <w:szCs w:val="20"/>
              </w:rPr>
              <w:t>2018</w:t>
            </w:r>
            <w:r>
              <w:rPr>
                <w:rFonts w:ascii="宋体" w:hAnsi="宋体" w:cs="宋体" w:eastAsia="宋体" w:hint="default"/>
                <w:spacing w:val="-51"/>
                <w:sz w:val="20"/>
                <w:szCs w:val="20"/>
              </w:rPr>
              <w:t> </w:t>
            </w:r>
            <w:r>
              <w:rPr>
                <w:rFonts w:ascii="宋体" w:hAnsi="宋体" w:cs="宋体" w:eastAsia="宋体" w:hint="default"/>
                <w:sz w:val="20"/>
                <w:szCs w:val="20"/>
              </w:rPr>
              <w:t>年</w:t>
            </w:r>
            <w:r>
              <w:rPr>
                <w:rFonts w:ascii="宋体" w:hAnsi="宋体" w:cs="宋体" w:eastAsia="宋体" w:hint="default"/>
                <w:spacing w:val="-50"/>
                <w:sz w:val="20"/>
                <w:szCs w:val="20"/>
              </w:rPr>
              <w:t> </w:t>
            </w:r>
            <w:r>
              <w:rPr>
                <w:rFonts w:ascii="宋体" w:hAnsi="宋体" w:cs="宋体" w:eastAsia="宋体" w:hint="default"/>
                <w:sz w:val="20"/>
                <w:szCs w:val="20"/>
              </w:rPr>
              <w:t>08</w:t>
            </w:r>
            <w:r>
              <w:rPr>
                <w:rFonts w:ascii="宋体" w:hAnsi="宋体" w:cs="宋体" w:eastAsia="宋体" w:hint="default"/>
                <w:spacing w:val="-51"/>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宋体" w:hAnsi="宋体" w:cs="宋体" w:eastAsia="宋体" w:hint="default"/>
                <w:sz w:val="20"/>
                <w:szCs w:val="20"/>
              </w:rPr>
              <w:t>31</w:t>
            </w:r>
            <w:r>
              <w:rPr>
                <w:rFonts w:ascii="宋体" w:hAnsi="宋体" w:cs="宋体" w:eastAsia="宋体" w:hint="default"/>
                <w:spacing w:val="-49"/>
                <w:sz w:val="20"/>
                <w:szCs w:val="20"/>
              </w:rPr>
              <w:t> </w:t>
            </w:r>
            <w:r>
              <w:rPr>
                <w:rFonts w:ascii="宋体" w:hAnsi="宋体" w:cs="宋体" w:eastAsia="宋体" w:hint="default"/>
                <w:sz w:val="20"/>
                <w:szCs w:val="20"/>
              </w:rPr>
              <w:t>日</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0"/>
                <w:szCs w:val="20"/>
              </w:rPr>
            </w:pPr>
            <w:r>
              <w:rPr>
                <w:rFonts w:ascii="宋体" w:hAnsi="宋体" w:cs="宋体" w:eastAsia="宋体" w:hint="default"/>
                <w:sz w:val="20"/>
                <w:szCs w:val="20"/>
              </w:rPr>
              <w:t>丰彩丽</w:t>
            </w:r>
          </w:p>
        </w:tc>
      </w:tr>
      <w:tr>
        <w:trPr>
          <w:trHeight w:val="634" w:hRule="exact"/>
        </w:trPr>
        <w:tc>
          <w:tcPr>
            <w:tcW w:w="55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 w:right="0"/>
              <w:jc w:val="center"/>
              <w:rPr>
                <w:rFonts w:ascii="宋体" w:hAnsi="宋体" w:cs="宋体" w:eastAsia="宋体" w:hint="default"/>
                <w:sz w:val="20"/>
                <w:szCs w:val="20"/>
              </w:rPr>
            </w:pPr>
            <w:r>
              <w:rPr>
                <w:rFonts w:ascii="宋体"/>
                <w:sz w:val="20"/>
              </w:rPr>
              <w:t>53</w:t>
            </w:r>
          </w:p>
        </w:tc>
        <w:tc>
          <w:tcPr>
            <w:tcW w:w="3381"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264"/>
              <w:jc w:val="left"/>
              <w:rPr>
                <w:rFonts w:ascii="宋体" w:hAnsi="宋体" w:cs="宋体" w:eastAsia="宋体" w:hint="default"/>
                <w:sz w:val="20"/>
                <w:szCs w:val="20"/>
              </w:rPr>
            </w:pPr>
            <w:r>
              <w:rPr>
                <w:rFonts w:ascii="宋体" w:hAnsi="宋体" w:cs="宋体" w:eastAsia="宋体" w:hint="default"/>
                <w:sz w:val="20"/>
                <w:szCs w:val="20"/>
              </w:rPr>
              <w:t>生产绿色印刷品专用的检品机剔废</w:t>
            </w:r>
            <w:r>
              <w:rPr>
                <w:rFonts w:ascii="宋体" w:hAnsi="宋体" w:cs="宋体" w:eastAsia="宋体" w:hint="default"/>
                <w:w w:val="100"/>
                <w:sz w:val="20"/>
                <w:szCs w:val="20"/>
              </w:rPr>
              <w:t> </w:t>
            </w:r>
            <w:r>
              <w:rPr>
                <w:rFonts w:ascii="宋体" w:hAnsi="宋体" w:cs="宋体" w:eastAsia="宋体" w:hint="default"/>
                <w:sz w:val="20"/>
                <w:szCs w:val="20"/>
              </w:rPr>
              <w:t>联动装置</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0"/>
              <w:jc w:val="center"/>
              <w:rPr>
                <w:rFonts w:ascii="宋体" w:hAnsi="宋体" w:cs="宋体" w:eastAsia="宋体" w:hint="default"/>
                <w:sz w:val="20"/>
                <w:szCs w:val="20"/>
              </w:rPr>
            </w:pPr>
            <w:r>
              <w:rPr>
                <w:rFonts w:ascii="宋体" w:hAnsi="宋体" w:cs="宋体" w:eastAsia="宋体" w:hint="default"/>
                <w:sz w:val="20"/>
                <w:szCs w:val="20"/>
              </w:rPr>
              <w:t>实用新型</w:t>
            </w:r>
          </w:p>
        </w:tc>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44"/>
              <w:jc w:val="right"/>
              <w:rPr>
                <w:rFonts w:ascii="宋体" w:hAnsi="宋体" w:cs="宋体" w:eastAsia="宋体" w:hint="default"/>
                <w:sz w:val="20"/>
                <w:szCs w:val="20"/>
              </w:rPr>
            </w:pPr>
            <w:r>
              <w:rPr>
                <w:rFonts w:ascii="宋体"/>
                <w:spacing w:val="-1"/>
                <w:sz w:val="20"/>
              </w:rPr>
              <w:t>201821431068.5</w:t>
            </w: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85"/>
              <w:jc w:val="right"/>
              <w:rPr>
                <w:rFonts w:ascii="宋体" w:hAnsi="宋体" w:cs="宋体" w:eastAsia="宋体" w:hint="default"/>
                <w:sz w:val="20"/>
                <w:szCs w:val="20"/>
              </w:rPr>
            </w:pPr>
            <w:r>
              <w:rPr>
                <w:rFonts w:ascii="宋体" w:hAnsi="宋体" w:cs="宋体" w:eastAsia="宋体" w:hint="default"/>
                <w:sz w:val="20"/>
                <w:szCs w:val="20"/>
              </w:rPr>
              <w:t>2018</w:t>
            </w:r>
            <w:r>
              <w:rPr>
                <w:rFonts w:ascii="宋体" w:hAnsi="宋体" w:cs="宋体" w:eastAsia="宋体" w:hint="default"/>
                <w:spacing w:val="-51"/>
                <w:sz w:val="20"/>
                <w:szCs w:val="20"/>
              </w:rPr>
              <w:t> </w:t>
            </w:r>
            <w:r>
              <w:rPr>
                <w:rFonts w:ascii="宋体" w:hAnsi="宋体" w:cs="宋体" w:eastAsia="宋体" w:hint="default"/>
                <w:sz w:val="20"/>
                <w:szCs w:val="20"/>
              </w:rPr>
              <w:t>年</w:t>
            </w:r>
            <w:r>
              <w:rPr>
                <w:rFonts w:ascii="宋体" w:hAnsi="宋体" w:cs="宋体" w:eastAsia="宋体" w:hint="default"/>
                <w:spacing w:val="-50"/>
                <w:sz w:val="20"/>
                <w:szCs w:val="20"/>
              </w:rPr>
              <w:t> </w:t>
            </w:r>
            <w:r>
              <w:rPr>
                <w:rFonts w:ascii="宋体" w:hAnsi="宋体" w:cs="宋体" w:eastAsia="宋体" w:hint="default"/>
                <w:sz w:val="20"/>
                <w:szCs w:val="20"/>
              </w:rPr>
              <w:t>08</w:t>
            </w:r>
            <w:r>
              <w:rPr>
                <w:rFonts w:ascii="宋体" w:hAnsi="宋体" w:cs="宋体" w:eastAsia="宋体" w:hint="default"/>
                <w:spacing w:val="-51"/>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宋体" w:hAnsi="宋体" w:cs="宋体" w:eastAsia="宋体" w:hint="default"/>
                <w:sz w:val="20"/>
                <w:szCs w:val="20"/>
              </w:rPr>
              <w:t>31</w:t>
            </w:r>
            <w:r>
              <w:rPr>
                <w:rFonts w:ascii="宋体" w:hAnsi="宋体" w:cs="宋体" w:eastAsia="宋体" w:hint="default"/>
                <w:spacing w:val="-49"/>
                <w:sz w:val="20"/>
                <w:szCs w:val="20"/>
              </w:rPr>
              <w:t> </w:t>
            </w:r>
            <w:r>
              <w:rPr>
                <w:rFonts w:ascii="宋体" w:hAnsi="宋体" w:cs="宋体" w:eastAsia="宋体" w:hint="default"/>
                <w:sz w:val="20"/>
                <w:szCs w:val="20"/>
              </w:rPr>
              <w:t>日</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丰彩丽</w:t>
            </w:r>
          </w:p>
        </w:tc>
      </w:tr>
      <w:tr>
        <w:trPr>
          <w:trHeight w:val="370" w:hRule="exact"/>
        </w:trPr>
        <w:tc>
          <w:tcPr>
            <w:tcW w:w="55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 w:right="0"/>
              <w:jc w:val="center"/>
              <w:rPr>
                <w:rFonts w:ascii="宋体" w:hAnsi="宋体" w:cs="宋体" w:eastAsia="宋体" w:hint="default"/>
                <w:sz w:val="20"/>
                <w:szCs w:val="20"/>
              </w:rPr>
            </w:pPr>
            <w:r>
              <w:rPr>
                <w:rFonts w:ascii="宋体"/>
                <w:sz w:val="20"/>
              </w:rPr>
              <w:t>54</w:t>
            </w:r>
          </w:p>
        </w:tc>
        <w:tc>
          <w:tcPr>
            <w:tcW w:w="3381"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光电感应式齐纸整理装置</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0"/>
              <w:jc w:val="center"/>
              <w:rPr>
                <w:rFonts w:ascii="宋体" w:hAnsi="宋体" w:cs="宋体" w:eastAsia="宋体" w:hint="default"/>
                <w:sz w:val="20"/>
                <w:szCs w:val="20"/>
              </w:rPr>
            </w:pPr>
            <w:r>
              <w:rPr>
                <w:rFonts w:ascii="宋体" w:hAnsi="宋体" w:cs="宋体" w:eastAsia="宋体" w:hint="default"/>
                <w:sz w:val="20"/>
                <w:szCs w:val="20"/>
              </w:rPr>
              <w:t>实用新型</w:t>
            </w:r>
          </w:p>
        </w:tc>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44"/>
              <w:jc w:val="right"/>
              <w:rPr>
                <w:rFonts w:ascii="宋体" w:hAnsi="宋体" w:cs="宋体" w:eastAsia="宋体" w:hint="default"/>
                <w:sz w:val="20"/>
                <w:szCs w:val="20"/>
              </w:rPr>
            </w:pPr>
            <w:r>
              <w:rPr>
                <w:rFonts w:ascii="宋体"/>
                <w:spacing w:val="-1"/>
                <w:sz w:val="20"/>
              </w:rPr>
              <w:t>201821428412.5</w:t>
            </w: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85"/>
              <w:jc w:val="right"/>
              <w:rPr>
                <w:rFonts w:ascii="宋体" w:hAnsi="宋体" w:cs="宋体" w:eastAsia="宋体" w:hint="default"/>
                <w:sz w:val="20"/>
                <w:szCs w:val="20"/>
              </w:rPr>
            </w:pPr>
            <w:r>
              <w:rPr>
                <w:rFonts w:ascii="宋体" w:hAnsi="宋体" w:cs="宋体" w:eastAsia="宋体" w:hint="default"/>
                <w:sz w:val="20"/>
                <w:szCs w:val="20"/>
              </w:rPr>
              <w:t>2018</w:t>
            </w:r>
            <w:r>
              <w:rPr>
                <w:rFonts w:ascii="宋体" w:hAnsi="宋体" w:cs="宋体" w:eastAsia="宋体" w:hint="default"/>
                <w:spacing w:val="-51"/>
                <w:sz w:val="20"/>
                <w:szCs w:val="20"/>
              </w:rPr>
              <w:t> </w:t>
            </w:r>
            <w:r>
              <w:rPr>
                <w:rFonts w:ascii="宋体" w:hAnsi="宋体" w:cs="宋体" w:eastAsia="宋体" w:hint="default"/>
                <w:sz w:val="20"/>
                <w:szCs w:val="20"/>
              </w:rPr>
              <w:t>年</w:t>
            </w:r>
            <w:r>
              <w:rPr>
                <w:rFonts w:ascii="宋体" w:hAnsi="宋体" w:cs="宋体" w:eastAsia="宋体" w:hint="default"/>
                <w:spacing w:val="-50"/>
                <w:sz w:val="20"/>
                <w:szCs w:val="20"/>
              </w:rPr>
              <w:t> </w:t>
            </w:r>
            <w:r>
              <w:rPr>
                <w:rFonts w:ascii="宋体" w:hAnsi="宋体" w:cs="宋体" w:eastAsia="宋体" w:hint="default"/>
                <w:sz w:val="20"/>
                <w:szCs w:val="20"/>
              </w:rPr>
              <w:t>08</w:t>
            </w:r>
            <w:r>
              <w:rPr>
                <w:rFonts w:ascii="宋体" w:hAnsi="宋体" w:cs="宋体" w:eastAsia="宋体" w:hint="default"/>
                <w:spacing w:val="-51"/>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宋体" w:hAnsi="宋体" w:cs="宋体" w:eastAsia="宋体" w:hint="default"/>
                <w:sz w:val="20"/>
                <w:szCs w:val="20"/>
              </w:rPr>
              <w:t>31</w:t>
            </w:r>
            <w:r>
              <w:rPr>
                <w:rFonts w:ascii="宋体" w:hAnsi="宋体" w:cs="宋体" w:eastAsia="宋体" w:hint="default"/>
                <w:spacing w:val="-49"/>
                <w:sz w:val="20"/>
                <w:szCs w:val="20"/>
              </w:rPr>
              <w:t> </w:t>
            </w:r>
            <w:r>
              <w:rPr>
                <w:rFonts w:ascii="宋体" w:hAnsi="宋体" w:cs="宋体" w:eastAsia="宋体" w:hint="default"/>
                <w:sz w:val="20"/>
                <w:szCs w:val="20"/>
              </w:rPr>
              <w:t>日</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丰彩丽</w:t>
            </w:r>
          </w:p>
        </w:tc>
      </w:tr>
      <w:tr>
        <w:trPr>
          <w:trHeight w:val="371" w:hRule="exact"/>
        </w:trPr>
        <w:tc>
          <w:tcPr>
            <w:tcW w:w="556"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1" w:right="0"/>
              <w:jc w:val="center"/>
              <w:rPr>
                <w:rFonts w:ascii="宋体" w:hAnsi="宋体" w:cs="宋体" w:eastAsia="宋体" w:hint="default"/>
                <w:sz w:val="20"/>
                <w:szCs w:val="20"/>
              </w:rPr>
            </w:pPr>
            <w:r>
              <w:rPr>
                <w:rFonts w:ascii="宋体"/>
                <w:sz w:val="20"/>
              </w:rPr>
              <w:t>55</w:t>
            </w:r>
          </w:p>
        </w:tc>
        <w:tc>
          <w:tcPr>
            <w:tcW w:w="3381"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103" w:right="0"/>
              <w:jc w:val="left"/>
              <w:rPr>
                <w:rFonts w:ascii="宋体" w:hAnsi="宋体" w:cs="宋体" w:eastAsia="宋体" w:hint="default"/>
                <w:sz w:val="20"/>
                <w:szCs w:val="20"/>
              </w:rPr>
            </w:pPr>
            <w:r>
              <w:rPr>
                <w:rFonts w:ascii="宋体" w:hAnsi="宋体" w:cs="宋体" w:eastAsia="宋体" w:hint="default"/>
                <w:sz w:val="20"/>
                <w:szCs w:val="20"/>
              </w:rPr>
              <w:t>全自动烫金机输纸装置</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right="0"/>
              <w:jc w:val="center"/>
              <w:rPr>
                <w:rFonts w:ascii="宋体" w:hAnsi="宋体" w:cs="宋体" w:eastAsia="宋体" w:hint="default"/>
                <w:sz w:val="20"/>
                <w:szCs w:val="20"/>
              </w:rPr>
            </w:pPr>
            <w:r>
              <w:rPr>
                <w:rFonts w:ascii="宋体" w:hAnsi="宋体" w:cs="宋体" w:eastAsia="宋体" w:hint="default"/>
                <w:sz w:val="20"/>
                <w:szCs w:val="20"/>
              </w:rPr>
              <w:t>实用新型</w:t>
            </w:r>
          </w:p>
        </w:tc>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right="144"/>
              <w:jc w:val="right"/>
              <w:rPr>
                <w:rFonts w:ascii="宋体" w:hAnsi="宋体" w:cs="宋体" w:eastAsia="宋体" w:hint="default"/>
                <w:sz w:val="20"/>
                <w:szCs w:val="20"/>
              </w:rPr>
            </w:pPr>
            <w:r>
              <w:rPr>
                <w:rFonts w:ascii="宋体"/>
                <w:spacing w:val="-1"/>
                <w:sz w:val="20"/>
              </w:rPr>
              <w:t>201821428109.5</w:t>
            </w: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right="185"/>
              <w:jc w:val="right"/>
              <w:rPr>
                <w:rFonts w:ascii="宋体" w:hAnsi="宋体" w:cs="宋体" w:eastAsia="宋体" w:hint="default"/>
                <w:sz w:val="20"/>
                <w:szCs w:val="20"/>
              </w:rPr>
            </w:pPr>
            <w:r>
              <w:rPr>
                <w:rFonts w:ascii="宋体" w:hAnsi="宋体" w:cs="宋体" w:eastAsia="宋体" w:hint="default"/>
                <w:sz w:val="20"/>
                <w:szCs w:val="20"/>
              </w:rPr>
              <w:t>2018</w:t>
            </w:r>
            <w:r>
              <w:rPr>
                <w:rFonts w:ascii="宋体" w:hAnsi="宋体" w:cs="宋体" w:eastAsia="宋体" w:hint="default"/>
                <w:spacing w:val="-51"/>
                <w:sz w:val="20"/>
                <w:szCs w:val="20"/>
              </w:rPr>
              <w:t> </w:t>
            </w:r>
            <w:r>
              <w:rPr>
                <w:rFonts w:ascii="宋体" w:hAnsi="宋体" w:cs="宋体" w:eastAsia="宋体" w:hint="default"/>
                <w:sz w:val="20"/>
                <w:szCs w:val="20"/>
              </w:rPr>
              <w:t>年</w:t>
            </w:r>
            <w:r>
              <w:rPr>
                <w:rFonts w:ascii="宋体" w:hAnsi="宋体" w:cs="宋体" w:eastAsia="宋体" w:hint="default"/>
                <w:spacing w:val="-50"/>
                <w:sz w:val="20"/>
                <w:szCs w:val="20"/>
              </w:rPr>
              <w:t> </w:t>
            </w:r>
            <w:r>
              <w:rPr>
                <w:rFonts w:ascii="宋体" w:hAnsi="宋体" w:cs="宋体" w:eastAsia="宋体" w:hint="default"/>
                <w:sz w:val="20"/>
                <w:szCs w:val="20"/>
              </w:rPr>
              <w:t>08</w:t>
            </w:r>
            <w:r>
              <w:rPr>
                <w:rFonts w:ascii="宋体" w:hAnsi="宋体" w:cs="宋体" w:eastAsia="宋体" w:hint="default"/>
                <w:spacing w:val="-51"/>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宋体" w:hAnsi="宋体" w:cs="宋体" w:eastAsia="宋体" w:hint="default"/>
                <w:sz w:val="20"/>
                <w:szCs w:val="20"/>
              </w:rPr>
              <w:t>31</w:t>
            </w:r>
            <w:r>
              <w:rPr>
                <w:rFonts w:ascii="宋体" w:hAnsi="宋体" w:cs="宋体" w:eastAsia="宋体" w:hint="default"/>
                <w:spacing w:val="-49"/>
                <w:sz w:val="20"/>
                <w:szCs w:val="20"/>
              </w:rPr>
              <w:t> </w:t>
            </w:r>
            <w:r>
              <w:rPr>
                <w:rFonts w:ascii="宋体" w:hAnsi="宋体" w:cs="宋体" w:eastAsia="宋体" w:hint="default"/>
                <w:sz w:val="20"/>
                <w:szCs w:val="20"/>
              </w:rPr>
              <w:t>日</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103" w:right="0"/>
              <w:jc w:val="left"/>
              <w:rPr>
                <w:rFonts w:ascii="宋体" w:hAnsi="宋体" w:cs="宋体" w:eastAsia="宋体" w:hint="default"/>
                <w:sz w:val="20"/>
                <w:szCs w:val="20"/>
              </w:rPr>
            </w:pPr>
            <w:r>
              <w:rPr>
                <w:rFonts w:ascii="宋体" w:hAnsi="宋体" w:cs="宋体" w:eastAsia="宋体" w:hint="default"/>
                <w:sz w:val="20"/>
                <w:szCs w:val="20"/>
              </w:rPr>
              <w:t>丰彩丽</w:t>
            </w:r>
          </w:p>
        </w:tc>
      </w:tr>
      <w:tr>
        <w:trPr>
          <w:trHeight w:val="370" w:hRule="exact"/>
        </w:trPr>
        <w:tc>
          <w:tcPr>
            <w:tcW w:w="55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 w:right="0"/>
              <w:jc w:val="center"/>
              <w:rPr>
                <w:rFonts w:ascii="宋体" w:hAnsi="宋体" w:cs="宋体" w:eastAsia="宋体" w:hint="default"/>
                <w:sz w:val="20"/>
                <w:szCs w:val="20"/>
              </w:rPr>
            </w:pPr>
            <w:r>
              <w:rPr>
                <w:rFonts w:ascii="宋体"/>
                <w:sz w:val="20"/>
              </w:rPr>
              <w:t>56</w:t>
            </w:r>
          </w:p>
        </w:tc>
        <w:tc>
          <w:tcPr>
            <w:tcW w:w="3381"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一种多色组胶印机排风系统</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0"/>
              <w:jc w:val="center"/>
              <w:rPr>
                <w:rFonts w:ascii="宋体" w:hAnsi="宋体" w:cs="宋体" w:eastAsia="宋体" w:hint="default"/>
                <w:sz w:val="20"/>
                <w:szCs w:val="20"/>
              </w:rPr>
            </w:pPr>
            <w:r>
              <w:rPr>
                <w:rFonts w:ascii="宋体" w:hAnsi="宋体" w:cs="宋体" w:eastAsia="宋体" w:hint="default"/>
                <w:sz w:val="20"/>
                <w:szCs w:val="20"/>
              </w:rPr>
              <w:t>实用新型</w:t>
            </w:r>
          </w:p>
        </w:tc>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44"/>
              <w:jc w:val="right"/>
              <w:rPr>
                <w:rFonts w:ascii="宋体" w:hAnsi="宋体" w:cs="宋体" w:eastAsia="宋体" w:hint="default"/>
                <w:sz w:val="20"/>
                <w:szCs w:val="20"/>
              </w:rPr>
            </w:pPr>
            <w:r>
              <w:rPr>
                <w:rFonts w:ascii="宋体"/>
                <w:spacing w:val="-1"/>
                <w:sz w:val="20"/>
              </w:rPr>
              <w:t>201821931939.X</w:t>
            </w: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85"/>
              <w:jc w:val="right"/>
              <w:rPr>
                <w:rFonts w:ascii="宋体" w:hAnsi="宋体" w:cs="宋体" w:eastAsia="宋体" w:hint="default"/>
                <w:sz w:val="20"/>
                <w:szCs w:val="20"/>
              </w:rPr>
            </w:pPr>
            <w:r>
              <w:rPr>
                <w:rFonts w:ascii="宋体" w:hAnsi="宋体" w:cs="宋体" w:eastAsia="宋体" w:hint="default"/>
                <w:sz w:val="20"/>
                <w:szCs w:val="20"/>
              </w:rPr>
              <w:t>2018</w:t>
            </w:r>
            <w:r>
              <w:rPr>
                <w:rFonts w:ascii="宋体" w:hAnsi="宋体" w:cs="宋体" w:eastAsia="宋体" w:hint="default"/>
                <w:spacing w:val="-51"/>
                <w:sz w:val="20"/>
                <w:szCs w:val="20"/>
              </w:rPr>
              <w:t> </w:t>
            </w:r>
            <w:r>
              <w:rPr>
                <w:rFonts w:ascii="宋体" w:hAnsi="宋体" w:cs="宋体" w:eastAsia="宋体" w:hint="default"/>
                <w:sz w:val="20"/>
                <w:szCs w:val="20"/>
              </w:rPr>
              <w:t>年</w:t>
            </w:r>
            <w:r>
              <w:rPr>
                <w:rFonts w:ascii="宋体" w:hAnsi="宋体" w:cs="宋体" w:eastAsia="宋体" w:hint="default"/>
                <w:spacing w:val="-50"/>
                <w:sz w:val="20"/>
                <w:szCs w:val="20"/>
              </w:rPr>
              <w:t> </w:t>
            </w:r>
            <w:r>
              <w:rPr>
                <w:rFonts w:ascii="宋体" w:hAnsi="宋体" w:cs="宋体" w:eastAsia="宋体" w:hint="default"/>
                <w:sz w:val="20"/>
                <w:szCs w:val="20"/>
              </w:rPr>
              <w:t>11</w:t>
            </w:r>
            <w:r>
              <w:rPr>
                <w:rFonts w:ascii="宋体" w:hAnsi="宋体" w:cs="宋体" w:eastAsia="宋体" w:hint="default"/>
                <w:spacing w:val="-51"/>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宋体" w:hAnsi="宋体" w:cs="宋体" w:eastAsia="宋体" w:hint="default"/>
                <w:sz w:val="20"/>
                <w:szCs w:val="20"/>
              </w:rPr>
              <w:t>22</w:t>
            </w:r>
            <w:r>
              <w:rPr>
                <w:rFonts w:ascii="宋体" w:hAnsi="宋体" w:cs="宋体" w:eastAsia="宋体" w:hint="default"/>
                <w:spacing w:val="-49"/>
                <w:sz w:val="20"/>
                <w:szCs w:val="20"/>
              </w:rPr>
              <w:t> </w:t>
            </w:r>
            <w:r>
              <w:rPr>
                <w:rFonts w:ascii="宋体" w:hAnsi="宋体" w:cs="宋体" w:eastAsia="宋体" w:hint="default"/>
                <w:sz w:val="20"/>
                <w:szCs w:val="20"/>
              </w:rPr>
              <w:t>日</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贵州劲嘉</w:t>
            </w:r>
          </w:p>
        </w:tc>
      </w:tr>
      <w:tr>
        <w:trPr>
          <w:trHeight w:val="635" w:hRule="exact"/>
        </w:trPr>
        <w:tc>
          <w:tcPr>
            <w:tcW w:w="55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 w:right="0"/>
              <w:jc w:val="center"/>
              <w:rPr>
                <w:rFonts w:ascii="宋体" w:hAnsi="宋体" w:cs="宋体" w:eastAsia="宋体" w:hint="default"/>
                <w:sz w:val="20"/>
                <w:szCs w:val="20"/>
              </w:rPr>
            </w:pPr>
            <w:r>
              <w:rPr>
                <w:rFonts w:ascii="宋体"/>
                <w:sz w:val="20"/>
              </w:rPr>
              <w:t>57</w:t>
            </w:r>
          </w:p>
        </w:tc>
        <w:tc>
          <w:tcPr>
            <w:tcW w:w="3381"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264"/>
              <w:jc w:val="left"/>
              <w:rPr>
                <w:rFonts w:ascii="宋体" w:hAnsi="宋体" w:cs="宋体" w:eastAsia="宋体" w:hint="default"/>
                <w:sz w:val="20"/>
                <w:szCs w:val="20"/>
              </w:rPr>
            </w:pPr>
            <w:r>
              <w:rPr>
                <w:rFonts w:ascii="宋体" w:hAnsi="宋体" w:cs="宋体" w:eastAsia="宋体" w:hint="default"/>
                <w:sz w:val="20"/>
                <w:szCs w:val="20"/>
              </w:rPr>
              <w:t>种卷筒纸印刷机的滚筒装夹定位装</w:t>
            </w:r>
            <w:r>
              <w:rPr>
                <w:rFonts w:ascii="宋体" w:hAnsi="宋体" w:cs="宋体" w:eastAsia="宋体" w:hint="default"/>
                <w:w w:val="100"/>
                <w:sz w:val="20"/>
                <w:szCs w:val="20"/>
              </w:rPr>
              <w:t> </w:t>
            </w:r>
            <w:r>
              <w:rPr>
                <w:rFonts w:ascii="宋体" w:hAnsi="宋体" w:cs="宋体" w:eastAsia="宋体" w:hint="default"/>
                <w:sz w:val="20"/>
                <w:szCs w:val="20"/>
              </w:rPr>
              <w:t>置</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0"/>
              <w:jc w:val="center"/>
              <w:rPr>
                <w:rFonts w:ascii="宋体" w:hAnsi="宋体" w:cs="宋体" w:eastAsia="宋体" w:hint="default"/>
                <w:sz w:val="20"/>
                <w:szCs w:val="20"/>
              </w:rPr>
            </w:pPr>
            <w:r>
              <w:rPr>
                <w:rFonts w:ascii="宋体" w:hAnsi="宋体" w:cs="宋体" w:eastAsia="宋体" w:hint="default"/>
                <w:sz w:val="20"/>
                <w:szCs w:val="20"/>
              </w:rPr>
              <w:t>实用新型</w:t>
            </w:r>
          </w:p>
        </w:tc>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44"/>
              <w:jc w:val="right"/>
              <w:rPr>
                <w:rFonts w:ascii="宋体" w:hAnsi="宋体" w:cs="宋体" w:eastAsia="宋体" w:hint="default"/>
                <w:sz w:val="20"/>
                <w:szCs w:val="20"/>
              </w:rPr>
            </w:pPr>
            <w:r>
              <w:rPr>
                <w:rFonts w:ascii="宋体"/>
                <w:spacing w:val="-1"/>
                <w:sz w:val="20"/>
              </w:rPr>
              <w:t>201821931274.2</w:t>
            </w: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85"/>
              <w:jc w:val="right"/>
              <w:rPr>
                <w:rFonts w:ascii="宋体" w:hAnsi="宋体" w:cs="宋体" w:eastAsia="宋体" w:hint="default"/>
                <w:sz w:val="20"/>
                <w:szCs w:val="20"/>
              </w:rPr>
            </w:pPr>
            <w:r>
              <w:rPr>
                <w:rFonts w:ascii="宋体" w:hAnsi="宋体" w:cs="宋体" w:eastAsia="宋体" w:hint="default"/>
                <w:sz w:val="20"/>
                <w:szCs w:val="20"/>
              </w:rPr>
              <w:t>2018</w:t>
            </w:r>
            <w:r>
              <w:rPr>
                <w:rFonts w:ascii="宋体" w:hAnsi="宋体" w:cs="宋体" w:eastAsia="宋体" w:hint="default"/>
                <w:spacing w:val="-51"/>
                <w:sz w:val="20"/>
                <w:szCs w:val="20"/>
              </w:rPr>
              <w:t> </w:t>
            </w:r>
            <w:r>
              <w:rPr>
                <w:rFonts w:ascii="宋体" w:hAnsi="宋体" w:cs="宋体" w:eastAsia="宋体" w:hint="default"/>
                <w:sz w:val="20"/>
                <w:szCs w:val="20"/>
              </w:rPr>
              <w:t>年</w:t>
            </w:r>
            <w:r>
              <w:rPr>
                <w:rFonts w:ascii="宋体" w:hAnsi="宋体" w:cs="宋体" w:eastAsia="宋体" w:hint="default"/>
                <w:spacing w:val="-50"/>
                <w:sz w:val="20"/>
                <w:szCs w:val="20"/>
              </w:rPr>
              <w:t> </w:t>
            </w:r>
            <w:r>
              <w:rPr>
                <w:rFonts w:ascii="宋体" w:hAnsi="宋体" w:cs="宋体" w:eastAsia="宋体" w:hint="default"/>
                <w:sz w:val="20"/>
                <w:szCs w:val="20"/>
              </w:rPr>
              <w:t>11</w:t>
            </w:r>
            <w:r>
              <w:rPr>
                <w:rFonts w:ascii="宋体" w:hAnsi="宋体" w:cs="宋体" w:eastAsia="宋体" w:hint="default"/>
                <w:spacing w:val="-51"/>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宋体" w:hAnsi="宋体" w:cs="宋体" w:eastAsia="宋体" w:hint="default"/>
                <w:sz w:val="20"/>
                <w:szCs w:val="20"/>
              </w:rPr>
              <w:t>22</w:t>
            </w:r>
            <w:r>
              <w:rPr>
                <w:rFonts w:ascii="宋体" w:hAnsi="宋体" w:cs="宋体" w:eastAsia="宋体" w:hint="default"/>
                <w:spacing w:val="-49"/>
                <w:sz w:val="20"/>
                <w:szCs w:val="20"/>
              </w:rPr>
              <w:t> </w:t>
            </w:r>
            <w:r>
              <w:rPr>
                <w:rFonts w:ascii="宋体" w:hAnsi="宋体" w:cs="宋体" w:eastAsia="宋体" w:hint="default"/>
                <w:sz w:val="20"/>
                <w:szCs w:val="20"/>
              </w:rPr>
              <w:t>日</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贵州劲嘉</w:t>
            </w:r>
          </w:p>
        </w:tc>
      </w:tr>
    </w:tbl>
    <w:p>
      <w:pPr>
        <w:spacing w:after="0" w:line="256" w:lineRule="exact"/>
        <w:jc w:val="left"/>
        <w:rPr>
          <w:rFonts w:ascii="宋体" w:hAnsi="宋体" w:cs="宋体" w:eastAsia="宋体" w:hint="default"/>
          <w:sz w:val="20"/>
          <w:szCs w:val="20"/>
        </w:rPr>
        <w:sectPr>
          <w:pgSz w:w="11910" w:h="16840"/>
          <w:pgMar w:header="747" w:footer="979" w:top="1060" w:bottom="1160" w:left="92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01" w:type="dxa"/>
        <w:tblLayout w:type="fixed"/>
        <w:tblCellMar>
          <w:top w:w="0" w:type="dxa"/>
          <w:left w:w="0" w:type="dxa"/>
          <w:bottom w:w="0" w:type="dxa"/>
          <w:right w:w="0" w:type="dxa"/>
        </w:tblCellMar>
        <w:tblLook w:val="01E0"/>
      </w:tblPr>
      <w:tblGrid>
        <w:gridCol w:w="556"/>
        <w:gridCol w:w="3381"/>
        <w:gridCol w:w="1133"/>
        <w:gridCol w:w="1703"/>
        <w:gridCol w:w="2033"/>
        <w:gridCol w:w="1050"/>
      </w:tblGrid>
      <w:tr>
        <w:trPr>
          <w:trHeight w:val="370" w:hRule="exact"/>
        </w:trPr>
        <w:tc>
          <w:tcPr>
            <w:tcW w:w="55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 w:right="0"/>
              <w:jc w:val="center"/>
              <w:rPr>
                <w:rFonts w:ascii="宋体" w:hAnsi="宋体" w:cs="宋体" w:eastAsia="宋体" w:hint="default"/>
                <w:sz w:val="20"/>
                <w:szCs w:val="20"/>
              </w:rPr>
            </w:pPr>
            <w:r>
              <w:rPr>
                <w:rFonts w:ascii="宋体"/>
                <w:sz w:val="20"/>
              </w:rPr>
              <w:t>58</w:t>
            </w:r>
          </w:p>
        </w:tc>
        <w:tc>
          <w:tcPr>
            <w:tcW w:w="3381"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一种印刷设备集中润滑装置</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0"/>
              <w:jc w:val="center"/>
              <w:rPr>
                <w:rFonts w:ascii="宋体" w:hAnsi="宋体" w:cs="宋体" w:eastAsia="宋体" w:hint="default"/>
                <w:sz w:val="20"/>
                <w:szCs w:val="20"/>
              </w:rPr>
            </w:pPr>
            <w:r>
              <w:rPr>
                <w:rFonts w:ascii="宋体" w:hAnsi="宋体" w:cs="宋体" w:eastAsia="宋体" w:hint="default"/>
                <w:sz w:val="20"/>
                <w:szCs w:val="20"/>
              </w:rPr>
              <w:t>实用新型</w:t>
            </w:r>
          </w:p>
        </w:tc>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44"/>
              <w:jc w:val="right"/>
              <w:rPr>
                <w:rFonts w:ascii="宋体" w:hAnsi="宋体" w:cs="宋体" w:eastAsia="宋体" w:hint="default"/>
                <w:sz w:val="20"/>
                <w:szCs w:val="20"/>
              </w:rPr>
            </w:pPr>
            <w:r>
              <w:rPr>
                <w:rFonts w:ascii="宋体"/>
                <w:spacing w:val="-1"/>
                <w:sz w:val="20"/>
              </w:rPr>
              <w:t>201821931272.3</w:t>
            </w: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85"/>
              <w:jc w:val="right"/>
              <w:rPr>
                <w:rFonts w:ascii="宋体" w:hAnsi="宋体" w:cs="宋体" w:eastAsia="宋体" w:hint="default"/>
                <w:sz w:val="20"/>
                <w:szCs w:val="20"/>
              </w:rPr>
            </w:pPr>
            <w:r>
              <w:rPr>
                <w:rFonts w:ascii="宋体" w:hAnsi="宋体" w:cs="宋体" w:eastAsia="宋体" w:hint="default"/>
                <w:sz w:val="20"/>
                <w:szCs w:val="20"/>
              </w:rPr>
              <w:t>2018</w:t>
            </w:r>
            <w:r>
              <w:rPr>
                <w:rFonts w:ascii="宋体" w:hAnsi="宋体" w:cs="宋体" w:eastAsia="宋体" w:hint="default"/>
                <w:spacing w:val="-51"/>
                <w:sz w:val="20"/>
                <w:szCs w:val="20"/>
              </w:rPr>
              <w:t> </w:t>
            </w:r>
            <w:r>
              <w:rPr>
                <w:rFonts w:ascii="宋体" w:hAnsi="宋体" w:cs="宋体" w:eastAsia="宋体" w:hint="default"/>
                <w:sz w:val="20"/>
                <w:szCs w:val="20"/>
              </w:rPr>
              <w:t>年</w:t>
            </w:r>
            <w:r>
              <w:rPr>
                <w:rFonts w:ascii="宋体" w:hAnsi="宋体" w:cs="宋体" w:eastAsia="宋体" w:hint="default"/>
                <w:spacing w:val="-50"/>
                <w:sz w:val="20"/>
                <w:szCs w:val="20"/>
              </w:rPr>
              <w:t> </w:t>
            </w:r>
            <w:r>
              <w:rPr>
                <w:rFonts w:ascii="宋体" w:hAnsi="宋体" w:cs="宋体" w:eastAsia="宋体" w:hint="default"/>
                <w:sz w:val="20"/>
                <w:szCs w:val="20"/>
              </w:rPr>
              <w:t>11</w:t>
            </w:r>
            <w:r>
              <w:rPr>
                <w:rFonts w:ascii="宋体" w:hAnsi="宋体" w:cs="宋体" w:eastAsia="宋体" w:hint="default"/>
                <w:spacing w:val="-51"/>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宋体" w:hAnsi="宋体" w:cs="宋体" w:eastAsia="宋体" w:hint="default"/>
                <w:sz w:val="20"/>
                <w:szCs w:val="20"/>
              </w:rPr>
              <w:t>22</w:t>
            </w:r>
            <w:r>
              <w:rPr>
                <w:rFonts w:ascii="宋体" w:hAnsi="宋体" w:cs="宋体" w:eastAsia="宋体" w:hint="default"/>
                <w:spacing w:val="-49"/>
                <w:sz w:val="20"/>
                <w:szCs w:val="20"/>
              </w:rPr>
              <w:t> </w:t>
            </w:r>
            <w:r>
              <w:rPr>
                <w:rFonts w:ascii="宋体" w:hAnsi="宋体" w:cs="宋体" w:eastAsia="宋体" w:hint="default"/>
                <w:sz w:val="20"/>
                <w:szCs w:val="20"/>
              </w:rPr>
              <w:t>日</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贵州劲嘉</w:t>
            </w:r>
          </w:p>
        </w:tc>
      </w:tr>
      <w:tr>
        <w:trPr>
          <w:trHeight w:val="371" w:hRule="exact"/>
        </w:trPr>
        <w:tc>
          <w:tcPr>
            <w:tcW w:w="556"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 w:right="0"/>
              <w:jc w:val="center"/>
              <w:rPr>
                <w:rFonts w:ascii="宋体" w:hAnsi="宋体" w:cs="宋体" w:eastAsia="宋体" w:hint="default"/>
                <w:sz w:val="20"/>
                <w:szCs w:val="20"/>
              </w:rPr>
            </w:pPr>
            <w:r>
              <w:rPr>
                <w:rFonts w:ascii="宋体"/>
                <w:sz w:val="20"/>
              </w:rPr>
              <w:t>59</w:t>
            </w:r>
          </w:p>
        </w:tc>
        <w:tc>
          <w:tcPr>
            <w:tcW w:w="338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0"/>
                <w:szCs w:val="20"/>
              </w:rPr>
            </w:pPr>
            <w:r>
              <w:rPr>
                <w:rFonts w:ascii="宋体" w:hAnsi="宋体" w:cs="宋体" w:eastAsia="宋体" w:hint="default"/>
                <w:sz w:val="20"/>
                <w:szCs w:val="20"/>
              </w:rPr>
              <w:t>一种卷筒纸双面印刷装置</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0"/>
              <w:jc w:val="center"/>
              <w:rPr>
                <w:rFonts w:ascii="宋体" w:hAnsi="宋体" w:cs="宋体" w:eastAsia="宋体" w:hint="default"/>
                <w:sz w:val="20"/>
                <w:szCs w:val="20"/>
              </w:rPr>
            </w:pPr>
            <w:r>
              <w:rPr>
                <w:rFonts w:ascii="宋体" w:hAnsi="宋体" w:cs="宋体" w:eastAsia="宋体" w:hint="default"/>
                <w:sz w:val="20"/>
                <w:szCs w:val="20"/>
              </w:rPr>
              <w:t>实用新型</w:t>
            </w:r>
          </w:p>
        </w:tc>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144"/>
              <w:jc w:val="right"/>
              <w:rPr>
                <w:rFonts w:ascii="宋体" w:hAnsi="宋体" w:cs="宋体" w:eastAsia="宋体" w:hint="default"/>
                <w:sz w:val="20"/>
                <w:szCs w:val="20"/>
              </w:rPr>
            </w:pPr>
            <w:r>
              <w:rPr>
                <w:rFonts w:ascii="宋体"/>
                <w:spacing w:val="-1"/>
                <w:sz w:val="20"/>
              </w:rPr>
              <w:t>201821931259.8</w:t>
            </w: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185"/>
              <w:jc w:val="right"/>
              <w:rPr>
                <w:rFonts w:ascii="宋体" w:hAnsi="宋体" w:cs="宋体" w:eastAsia="宋体" w:hint="default"/>
                <w:sz w:val="20"/>
                <w:szCs w:val="20"/>
              </w:rPr>
            </w:pPr>
            <w:r>
              <w:rPr>
                <w:rFonts w:ascii="宋体" w:hAnsi="宋体" w:cs="宋体" w:eastAsia="宋体" w:hint="default"/>
                <w:sz w:val="20"/>
                <w:szCs w:val="20"/>
              </w:rPr>
              <w:t>2018</w:t>
            </w:r>
            <w:r>
              <w:rPr>
                <w:rFonts w:ascii="宋体" w:hAnsi="宋体" w:cs="宋体" w:eastAsia="宋体" w:hint="default"/>
                <w:spacing w:val="-51"/>
                <w:sz w:val="20"/>
                <w:szCs w:val="20"/>
              </w:rPr>
              <w:t> </w:t>
            </w:r>
            <w:r>
              <w:rPr>
                <w:rFonts w:ascii="宋体" w:hAnsi="宋体" w:cs="宋体" w:eastAsia="宋体" w:hint="default"/>
                <w:sz w:val="20"/>
                <w:szCs w:val="20"/>
              </w:rPr>
              <w:t>年</w:t>
            </w:r>
            <w:r>
              <w:rPr>
                <w:rFonts w:ascii="宋体" w:hAnsi="宋体" w:cs="宋体" w:eastAsia="宋体" w:hint="default"/>
                <w:spacing w:val="-50"/>
                <w:sz w:val="20"/>
                <w:szCs w:val="20"/>
              </w:rPr>
              <w:t> </w:t>
            </w:r>
            <w:r>
              <w:rPr>
                <w:rFonts w:ascii="宋体" w:hAnsi="宋体" w:cs="宋体" w:eastAsia="宋体" w:hint="default"/>
                <w:sz w:val="20"/>
                <w:szCs w:val="20"/>
              </w:rPr>
              <w:t>11</w:t>
            </w:r>
            <w:r>
              <w:rPr>
                <w:rFonts w:ascii="宋体" w:hAnsi="宋体" w:cs="宋体" w:eastAsia="宋体" w:hint="default"/>
                <w:spacing w:val="-51"/>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宋体" w:hAnsi="宋体" w:cs="宋体" w:eastAsia="宋体" w:hint="default"/>
                <w:sz w:val="20"/>
                <w:szCs w:val="20"/>
              </w:rPr>
              <w:t>22</w:t>
            </w:r>
            <w:r>
              <w:rPr>
                <w:rFonts w:ascii="宋体" w:hAnsi="宋体" w:cs="宋体" w:eastAsia="宋体" w:hint="default"/>
                <w:spacing w:val="-49"/>
                <w:sz w:val="20"/>
                <w:szCs w:val="20"/>
              </w:rPr>
              <w:t> </w:t>
            </w:r>
            <w:r>
              <w:rPr>
                <w:rFonts w:ascii="宋体" w:hAnsi="宋体" w:cs="宋体" w:eastAsia="宋体" w:hint="default"/>
                <w:sz w:val="20"/>
                <w:szCs w:val="20"/>
              </w:rPr>
              <w:t>日</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0"/>
                <w:szCs w:val="20"/>
              </w:rPr>
            </w:pPr>
            <w:r>
              <w:rPr>
                <w:rFonts w:ascii="宋体" w:hAnsi="宋体" w:cs="宋体" w:eastAsia="宋体" w:hint="default"/>
                <w:sz w:val="20"/>
                <w:szCs w:val="20"/>
              </w:rPr>
              <w:t>贵州劲嘉</w:t>
            </w:r>
          </w:p>
        </w:tc>
      </w:tr>
      <w:tr>
        <w:trPr>
          <w:trHeight w:val="634" w:hRule="exact"/>
        </w:trPr>
        <w:tc>
          <w:tcPr>
            <w:tcW w:w="55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 w:right="0"/>
              <w:jc w:val="center"/>
              <w:rPr>
                <w:rFonts w:ascii="宋体" w:hAnsi="宋体" w:cs="宋体" w:eastAsia="宋体" w:hint="default"/>
                <w:sz w:val="20"/>
                <w:szCs w:val="20"/>
              </w:rPr>
            </w:pPr>
            <w:r>
              <w:rPr>
                <w:rFonts w:ascii="宋体"/>
                <w:sz w:val="20"/>
              </w:rPr>
              <w:t>60</w:t>
            </w:r>
          </w:p>
        </w:tc>
        <w:tc>
          <w:tcPr>
            <w:tcW w:w="3381"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264"/>
              <w:jc w:val="left"/>
              <w:rPr>
                <w:rFonts w:ascii="宋体" w:hAnsi="宋体" w:cs="宋体" w:eastAsia="宋体" w:hint="default"/>
                <w:sz w:val="20"/>
                <w:szCs w:val="20"/>
              </w:rPr>
            </w:pPr>
            <w:r>
              <w:rPr>
                <w:rFonts w:ascii="宋体" w:hAnsi="宋体" w:cs="宋体" w:eastAsia="宋体" w:hint="default"/>
                <w:sz w:val="20"/>
                <w:szCs w:val="20"/>
              </w:rPr>
              <w:t>一种可提高油墨转移率的凹印油墨</w:t>
            </w:r>
            <w:r>
              <w:rPr>
                <w:rFonts w:ascii="宋体" w:hAnsi="宋体" w:cs="宋体" w:eastAsia="宋体" w:hint="default"/>
                <w:w w:val="100"/>
                <w:sz w:val="20"/>
                <w:szCs w:val="20"/>
              </w:rPr>
              <w:t> </w:t>
            </w:r>
            <w:r>
              <w:rPr>
                <w:rFonts w:ascii="宋体" w:hAnsi="宋体" w:cs="宋体" w:eastAsia="宋体" w:hint="default"/>
                <w:sz w:val="20"/>
                <w:szCs w:val="20"/>
              </w:rPr>
              <w:t>槽</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0"/>
              <w:jc w:val="center"/>
              <w:rPr>
                <w:rFonts w:ascii="宋体" w:hAnsi="宋体" w:cs="宋体" w:eastAsia="宋体" w:hint="default"/>
                <w:sz w:val="20"/>
                <w:szCs w:val="20"/>
              </w:rPr>
            </w:pPr>
            <w:r>
              <w:rPr>
                <w:rFonts w:ascii="宋体" w:hAnsi="宋体" w:cs="宋体" w:eastAsia="宋体" w:hint="default"/>
                <w:sz w:val="20"/>
                <w:szCs w:val="20"/>
              </w:rPr>
              <w:t>实用新型</w:t>
            </w:r>
          </w:p>
        </w:tc>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44"/>
              <w:jc w:val="right"/>
              <w:rPr>
                <w:rFonts w:ascii="宋体" w:hAnsi="宋体" w:cs="宋体" w:eastAsia="宋体" w:hint="default"/>
                <w:sz w:val="20"/>
                <w:szCs w:val="20"/>
              </w:rPr>
            </w:pPr>
            <w:r>
              <w:rPr>
                <w:rFonts w:ascii="宋体"/>
                <w:spacing w:val="-1"/>
                <w:sz w:val="20"/>
              </w:rPr>
              <w:t>201822217830.6</w:t>
            </w: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85"/>
              <w:jc w:val="right"/>
              <w:rPr>
                <w:rFonts w:ascii="宋体" w:hAnsi="宋体" w:cs="宋体" w:eastAsia="宋体" w:hint="default"/>
                <w:sz w:val="20"/>
                <w:szCs w:val="20"/>
              </w:rPr>
            </w:pPr>
            <w:r>
              <w:rPr>
                <w:rFonts w:ascii="宋体" w:hAnsi="宋体" w:cs="宋体" w:eastAsia="宋体" w:hint="default"/>
                <w:sz w:val="20"/>
                <w:szCs w:val="20"/>
              </w:rPr>
              <w:t>2018</w:t>
            </w:r>
            <w:r>
              <w:rPr>
                <w:rFonts w:ascii="宋体" w:hAnsi="宋体" w:cs="宋体" w:eastAsia="宋体" w:hint="default"/>
                <w:spacing w:val="-51"/>
                <w:sz w:val="20"/>
                <w:szCs w:val="20"/>
              </w:rPr>
              <w:t> </w:t>
            </w:r>
            <w:r>
              <w:rPr>
                <w:rFonts w:ascii="宋体" w:hAnsi="宋体" w:cs="宋体" w:eastAsia="宋体" w:hint="default"/>
                <w:sz w:val="20"/>
                <w:szCs w:val="20"/>
              </w:rPr>
              <w:t>年</w:t>
            </w:r>
            <w:r>
              <w:rPr>
                <w:rFonts w:ascii="宋体" w:hAnsi="宋体" w:cs="宋体" w:eastAsia="宋体" w:hint="default"/>
                <w:spacing w:val="-50"/>
                <w:sz w:val="20"/>
                <w:szCs w:val="20"/>
              </w:rPr>
              <w:t> </w:t>
            </w:r>
            <w:r>
              <w:rPr>
                <w:rFonts w:ascii="宋体" w:hAnsi="宋体" w:cs="宋体" w:eastAsia="宋体" w:hint="default"/>
                <w:sz w:val="20"/>
                <w:szCs w:val="20"/>
              </w:rPr>
              <w:t>12</w:t>
            </w:r>
            <w:r>
              <w:rPr>
                <w:rFonts w:ascii="宋体" w:hAnsi="宋体" w:cs="宋体" w:eastAsia="宋体" w:hint="default"/>
                <w:spacing w:val="-51"/>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宋体" w:hAnsi="宋体" w:cs="宋体" w:eastAsia="宋体" w:hint="default"/>
                <w:sz w:val="20"/>
                <w:szCs w:val="20"/>
              </w:rPr>
              <w:t>27</w:t>
            </w:r>
            <w:r>
              <w:rPr>
                <w:rFonts w:ascii="宋体" w:hAnsi="宋体" w:cs="宋体" w:eastAsia="宋体" w:hint="default"/>
                <w:spacing w:val="-49"/>
                <w:sz w:val="20"/>
                <w:szCs w:val="20"/>
              </w:rPr>
              <w:t> </w:t>
            </w:r>
            <w:r>
              <w:rPr>
                <w:rFonts w:ascii="宋体" w:hAnsi="宋体" w:cs="宋体" w:eastAsia="宋体" w:hint="default"/>
                <w:sz w:val="20"/>
                <w:szCs w:val="20"/>
              </w:rPr>
              <w:t>日</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贵州劲嘉</w:t>
            </w:r>
          </w:p>
        </w:tc>
      </w:tr>
      <w:tr>
        <w:trPr>
          <w:trHeight w:val="370" w:hRule="exact"/>
        </w:trPr>
        <w:tc>
          <w:tcPr>
            <w:tcW w:w="55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 w:right="0"/>
              <w:jc w:val="center"/>
              <w:rPr>
                <w:rFonts w:ascii="宋体" w:hAnsi="宋体" w:cs="宋体" w:eastAsia="宋体" w:hint="default"/>
                <w:sz w:val="20"/>
                <w:szCs w:val="20"/>
              </w:rPr>
            </w:pPr>
            <w:r>
              <w:rPr>
                <w:rFonts w:ascii="宋体"/>
                <w:sz w:val="20"/>
              </w:rPr>
              <w:t>61</w:t>
            </w:r>
          </w:p>
        </w:tc>
        <w:tc>
          <w:tcPr>
            <w:tcW w:w="3381"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一种样品封样袋</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0"/>
              <w:jc w:val="center"/>
              <w:rPr>
                <w:rFonts w:ascii="宋体" w:hAnsi="宋体" w:cs="宋体" w:eastAsia="宋体" w:hint="default"/>
                <w:sz w:val="20"/>
                <w:szCs w:val="20"/>
              </w:rPr>
            </w:pPr>
            <w:r>
              <w:rPr>
                <w:rFonts w:ascii="宋体" w:hAnsi="宋体" w:cs="宋体" w:eastAsia="宋体" w:hint="default"/>
                <w:sz w:val="20"/>
                <w:szCs w:val="20"/>
              </w:rPr>
              <w:t>实用新型</w:t>
            </w:r>
          </w:p>
        </w:tc>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44"/>
              <w:jc w:val="right"/>
              <w:rPr>
                <w:rFonts w:ascii="宋体" w:hAnsi="宋体" w:cs="宋体" w:eastAsia="宋体" w:hint="default"/>
                <w:sz w:val="20"/>
                <w:szCs w:val="20"/>
              </w:rPr>
            </w:pPr>
            <w:r>
              <w:rPr>
                <w:rFonts w:ascii="宋体"/>
                <w:spacing w:val="-1"/>
                <w:sz w:val="20"/>
              </w:rPr>
              <w:t>201821096253.3</w:t>
            </w: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85"/>
              <w:jc w:val="right"/>
              <w:rPr>
                <w:rFonts w:ascii="宋体" w:hAnsi="宋体" w:cs="宋体" w:eastAsia="宋体" w:hint="default"/>
                <w:sz w:val="20"/>
                <w:szCs w:val="20"/>
              </w:rPr>
            </w:pPr>
            <w:r>
              <w:rPr>
                <w:rFonts w:ascii="宋体" w:hAnsi="宋体" w:cs="宋体" w:eastAsia="宋体" w:hint="default"/>
                <w:sz w:val="20"/>
                <w:szCs w:val="20"/>
              </w:rPr>
              <w:t>2018</w:t>
            </w:r>
            <w:r>
              <w:rPr>
                <w:rFonts w:ascii="宋体" w:hAnsi="宋体" w:cs="宋体" w:eastAsia="宋体" w:hint="default"/>
                <w:spacing w:val="-51"/>
                <w:sz w:val="20"/>
                <w:szCs w:val="20"/>
              </w:rPr>
              <w:t> </w:t>
            </w:r>
            <w:r>
              <w:rPr>
                <w:rFonts w:ascii="宋体" w:hAnsi="宋体" w:cs="宋体" w:eastAsia="宋体" w:hint="default"/>
                <w:sz w:val="20"/>
                <w:szCs w:val="20"/>
              </w:rPr>
              <w:t>年</w:t>
            </w:r>
            <w:r>
              <w:rPr>
                <w:rFonts w:ascii="宋体" w:hAnsi="宋体" w:cs="宋体" w:eastAsia="宋体" w:hint="default"/>
                <w:spacing w:val="-50"/>
                <w:sz w:val="20"/>
                <w:szCs w:val="20"/>
              </w:rPr>
              <w:t> </w:t>
            </w:r>
            <w:r>
              <w:rPr>
                <w:rFonts w:ascii="宋体" w:hAnsi="宋体" w:cs="宋体" w:eastAsia="宋体" w:hint="default"/>
                <w:sz w:val="20"/>
                <w:szCs w:val="20"/>
              </w:rPr>
              <w:t>07</w:t>
            </w:r>
            <w:r>
              <w:rPr>
                <w:rFonts w:ascii="宋体" w:hAnsi="宋体" w:cs="宋体" w:eastAsia="宋体" w:hint="default"/>
                <w:spacing w:val="-51"/>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宋体" w:hAnsi="宋体" w:cs="宋体" w:eastAsia="宋体" w:hint="default"/>
                <w:sz w:val="20"/>
                <w:szCs w:val="20"/>
              </w:rPr>
              <w:t>11</w:t>
            </w:r>
            <w:r>
              <w:rPr>
                <w:rFonts w:ascii="宋体" w:hAnsi="宋体" w:cs="宋体" w:eastAsia="宋体" w:hint="default"/>
                <w:spacing w:val="-49"/>
                <w:sz w:val="20"/>
                <w:szCs w:val="20"/>
              </w:rPr>
              <w:t> </w:t>
            </w:r>
            <w:r>
              <w:rPr>
                <w:rFonts w:ascii="宋体" w:hAnsi="宋体" w:cs="宋体" w:eastAsia="宋体" w:hint="default"/>
                <w:sz w:val="20"/>
                <w:szCs w:val="20"/>
              </w:rPr>
              <w:t>日</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贵州劲瑞</w:t>
            </w:r>
          </w:p>
        </w:tc>
      </w:tr>
      <w:tr>
        <w:trPr>
          <w:trHeight w:val="371" w:hRule="exact"/>
        </w:trPr>
        <w:tc>
          <w:tcPr>
            <w:tcW w:w="556"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 w:right="0"/>
              <w:jc w:val="center"/>
              <w:rPr>
                <w:rFonts w:ascii="宋体" w:hAnsi="宋体" w:cs="宋体" w:eastAsia="宋体" w:hint="default"/>
                <w:sz w:val="20"/>
                <w:szCs w:val="20"/>
              </w:rPr>
            </w:pPr>
            <w:r>
              <w:rPr>
                <w:rFonts w:ascii="宋体"/>
                <w:sz w:val="20"/>
              </w:rPr>
              <w:t>62</w:t>
            </w:r>
          </w:p>
        </w:tc>
        <w:tc>
          <w:tcPr>
            <w:tcW w:w="338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0"/>
                <w:szCs w:val="20"/>
              </w:rPr>
            </w:pPr>
            <w:r>
              <w:rPr>
                <w:rFonts w:ascii="宋体" w:hAnsi="宋体" w:cs="宋体" w:eastAsia="宋体" w:hint="default"/>
                <w:sz w:val="20"/>
                <w:szCs w:val="20"/>
              </w:rPr>
              <w:t>一种吹膜测厚装置</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0"/>
              <w:jc w:val="center"/>
              <w:rPr>
                <w:rFonts w:ascii="宋体" w:hAnsi="宋体" w:cs="宋体" w:eastAsia="宋体" w:hint="default"/>
                <w:sz w:val="20"/>
                <w:szCs w:val="20"/>
              </w:rPr>
            </w:pPr>
            <w:r>
              <w:rPr>
                <w:rFonts w:ascii="宋体" w:hAnsi="宋体" w:cs="宋体" w:eastAsia="宋体" w:hint="default"/>
                <w:sz w:val="20"/>
                <w:szCs w:val="20"/>
              </w:rPr>
              <w:t>实用新型</w:t>
            </w:r>
          </w:p>
        </w:tc>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144"/>
              <w:jc w:val="right"/>
              <w:rPr>
                <w:rFonts w:ascii="宋体" w:hAnsi="宋体" w:cs="宋体" w:eastAsia="宋体" w:hint="default"/>
                <w:sz w:val="20"/>
                <w:szCs w:val="20"/>
              </w:rPr>
            </w:pPr>
            <w:r>
              <w:rPr>
                <w:rFonts w:ascii="宋体"/>
                <w:spacing w:val="-1"/>
                <w:sz w:val="20"/>
              </w:rPr>
              <w:t>201821096268.X</w:t>
            </w: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185"/>
              <w:jc w:val="right"/>
              <w:rPr>
                <w:rFonts w:ascii="宋体" w:hAnsi="宋体" w:cs="宋体" w:eastAsia="宋体" w:hint="default"/>
                <w:sz w:val="20"/>
                <w:szCs w:val="20"/>
              </w:rPr>
            </w:pPr>
            <w:r>
              <w:rPr>
                <w:rFonts w:ascii="宋体" w:hAnsi="宋体" w:cs="宋体" w:eastAsia="宋体" w:hint="default"/>
                <w:sz w:val="20"/>
                <w:szCs w:val="20"/>
              </w:rPr>
              <w:t>2018</w:t>
            </w:r>
            <w:r>
              <w:rPr>
                <w:rFonts w:ascii="宋体" w:hAnsi="宋体" w:cs="宋体" w:eastAsia="宋体" w:hint="default"/>
                <w:spacing w:val="-51"/>
                <w:sz w:val="20"/>
                <w:szCs w:val="20"/>
              </w:rPr>
              <w:t> </w:t>
            </w:r>
            <w:r>
              <w:rPr>
                <w:rFonts w:ascii="宋体" w:hAnsi="宋体" w:cs="宋体" w:eastAsia="宋体" w:hint="default"/>
                <w:sz w:val="20"/>
                <w:szCs w:val="20"/>
              </w:rPr>
              <w:t>年</w:t>
            </w:r>
            <w:r>
              <w:rPr>
                <w:rFonts w:ascii="宋体" w:hAnsi="宋体" w:cs="宋体" w:eastAsia="宋体" w:hint="default"/>
                <w:spacing w:val="-50"/>
                <w:sz w:val="20"/>
                <w:szCs w:val="20"/>
              </w:rPr>
              <w:t> </w:t>
            </w:r>
            <w:r>
              <w:rPr>
                <w:rFonts w:ascii="宋体" w:hAnsi="宋体" w:cs="宋体" w:eastAsia="宋体" w:hint="default"/>
                <w:sz w:val="20"/>
                <w:szCs w:val="20"/>
              </w:rPr>
              <w:t>07</w:t>
            </w:r>
            <w:r>
              <w:rPr>
                <w:rFonts w:ascii="宋体" w:hAnsi="宋体" w:cs="宋体" w:eastAsia="宋体" w:hint="default"/>
                <w:spacing w:val="-51"/>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宋体" w:hAnsi="宋体" w:cs="宋体" w:eastAsia="宋体" w:hint="default"/>
                <w:sz w:val="20"/>
                <w:szCs w:val="20"/>
              </w:rPr>
              <w:t>11</w:t>
            </w:r>
            <w:r>
              <w:rPr>
                <w:rFonts w:ascii="宋体" w:hAnsi="宋体" w:cs="宋体" w:eastAsia="宋体" w:hint="default"/>
                <w:spacing w:val="-49"/>
                <w:sz w:val="20"/>
                <w:szCs w:val="20"/>
              </w:rPr>
              <w:t> </w:t>
            </w:r>
            <w:r>
              <w:rPr>
                <w:rFonts w:ascii="宋体" w:hAnsi="宋体" w:cs="宋体" w:eastAsia="宋体" w:hint="default"/>
                <w:sz w:val="20"/>
                <w:szCs w:val="20"/>
              </w:rPr>
              <w:t>日</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0"/>
                <w:szCs w:val="20"/>
              </w:rPr>
            </w:pPr>
            <w:r>
              <w:rPr>
                <w:rFonts w:ascii="宋体" w:hAnsi="宋体" w:cs="宋体" w:eastAsia="宋体" w:hint="default"/>
                <w:sz w:val="20"/>
                <w:szCs w:val="20"/>
              </w:rPr>
              <w:t>贵州劲瑞</w:t>
            </w:r>
          </w:p>
        </w:tc>
      </w:tr>
      <w:tr>
        <w:trPr>
          <w:trHeight w:val="370" w:hRule="exact"/>
        </w:trPr>
        <w:tc>
          <w:tcPr>
            <w:tcW w:w="55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 w:right="0"/>
              <w:jc w:val="center"/>
              <w:rPr>
                <w:rFonts w:ascii="宋体" w:hAnsi="宋体" w:cs="宋体" w:eastAsia="宋体" w:hint="default"/>
                <w:sz w:val="20"/>
                <w:szCs w:val="20"/>
              </w:rPr>
            </w:pPr>
            <w:r>
              <w:rPr>
                <w:rFonts w:ascii="宋体"/>
                <w:sz w:val="20"/>
              </w:rPr>
              <w:t>63</w:t>
            </w:r>
          </w:p>
        </w:tc>
        <w:tc>
          <w:tcPr>
            <w:tcW w:w="3381"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一种药厂净化车间用鞋柜</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0"/>
              <w:jc w:val="center"/>
              <w:rPr>
                <w:rFonts w:ascii="宋体" w:hAnsi="宋体" w:cs="宋体" w:eastAsia="宋体" w:hint="default"/>
                <w:sz w:val="20"/>
                <w:szCs w:val="20"/>
              </w:rPr>
            </w:pPr>
            <w:r>
              <w:rPr>
                <w:rFonts w:ascii="宋体" w:hAnsi="宋体" w:cs="宋体" w:eastAsia="宋体" w:hint="default"/>
                <w:sz w:val="20"/>
                <w:szCs w:val="20"/>
              </w:rPr>
              <w:t>实用新型</w:t>
            </w:r>
          </w:p>
        </w:tc>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44"/>
              <w:jc w:val="right"/>
              <w:rPr>
                <w:rFonts w:ascii="宋体" w:hAnsi="宋体" w:cs="宋体" w:eastAsia="宋体" w:hint="default"/>
                <w:sz w:val="20"/>
                <w:szCs w:val="20"/>
              </w:rPr>
            </w:pPr>
            <w:r>
              <w:rPr>
                <w:rFonts w:ascii="宋体"/>
                <w:spacing w:val="-1"/>
                <w:sz w:val="20"/>
              </w:rPr>
              <w:t>201821096272.6</w:t>
            </w: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85"/>
              <w:jc w:val="right"/>
              <w:rPr>
                <w:rFonts w:ascii="宋体" w:hAnsi="宋体" w:cs="宋体" w:eastAsia="宋体" w:hint="default"/>
                <w:sz w:val="20"/>
                <w:szCs w:val="20"/>
              </w:rPr>
            </w:pPr>
            <w:r>
              <w:rPr>
                <w:rFonts w:ascii="宋体" w:hAnsi="宋体" w:cs="宋体" w:eastAsia="宋体" w:hint="default"/>
                <w:sz w:val="20"/>
                <w:szCs w:val="20"/>
              </w:rPr>
              <w:t>2018</w:t>
            </w:r>
            <w:r>
              <w:rPr>
                <w:rFonts w:ascii="宋体" w:hAnsi="宋体" w:cs="宋体" w:eastAsia="宋体" w:hint="default"/>
                <w:spacing w:val="-51"/>
                <w:sz w:val="20"/>
                <w:szCs w:val="20"/>
              </w:rPr>
              <w:t> </w:t>
            </w:r>
            <w:r>
              <w:rPr>
                <w:rFonts w:ascii="宋体" w:hAnsi="宋体" w:cs="宋体" w:eastAsia="宋体" w:hint="default"/>
                <w:sz w:val="20"/>
                <w:szCs w:val="20"/>
              </w:rPr>
              <w:t>年</w:t>
            </w:r>
            <w:r>
              <w:rPr>
                <w:rFonts w:ascii="宋体" w:hAnsi="宋体" w:cs="宋体" w:eastAsia="宋体" w:hint="default"/>
                <w:spacing w:val="-50"/>
                <w:sz w:val="20"/>
                <w:szCs w:val="20"/>
              </w:rPr>
              <w:t> </w:t>
            </w:r>
            <w:r>
              <w:rPr>
                <w:rFonts w:ascii="宋体" w:hAnsi="宋体" w:cs="宋体" w:eastAsia="宋体" w:hint="default"/>
                <w:sz w:val="20"/>
                <w:szCs w:val="20"/>
              </w:rPr>
              <w:t>07</w:t>
            </w:r>
            <w:r>
              <w:rPr>
                <w:rFonts w:ascii="宋体" w:hAnsi="宋体" w:cs="宋体" w:eastAsia="宋体" w:hint="default"/>
                <w:spacing w:val="-51"/>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宋体" w:hAnsi="宋体" w:cs="宋体" w:eastAsia="宋体" w:hint="default"/>
                <w:sz w:val="20"/>
                <w:szCs w:val="20"/>
              </w:rPr>
              <w:t>11</w:t>
            </w:r>
            <w:r>
              <w:rPr>
                <w:rFonts w:ascii="宋体" w:hAnsi="宋体" w:cs="宋体" w:eastAsia="宋体" w:hint="default"/>
                <w:spacing w:val="-49"/>
                <w:sz w:val="20"/>
                <w:szCs w:val="20"/>
              </w:rPr>
              <w:t> </w:t>
            </w:r>
            <w:r>
              <w:rPr>
                <w:rFonts w:ascii="宋体" w:hAnsi="宋体" w:cs="宋体" w:eastAsia="宋体" w:hint="default"/>
                <w:sz w:val="20"/>
                <w:szCs w:val="20"/>
              </w:rPr>
              <w:t>日</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贵州劲瑞</w:t>
            </w:r>
          </w:p>
        </w:tc>
      </w:tr>
      <w:tr>
        <w:trPr>
          <w:trHeight w:val="370" w:hRule="exact"/>
        </w:trPr>
        <w:tc>
          <w:tcPr>
            <w:tcW w:w="55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 w:right="0"/>
              <w:jc w:val="center"/>
              <w:rPr>
                <w:rFonts w:ascii="宋体" w:hAnsi="宋体" w:cs="宋体" w:eastAsia="宋体" w:hint="default"/>
                <w:sz w:val="20"/>
                <w:szCs w:val="20"/>
              </w:rPr>
            </w:pPr>
            <w:r>
              <w:rPr>
                <w:rFonts w:ascii="宋体"/>
                <w:sz w:val="20"/>
              </w:rPr>
              <w:t>64</w:t>
            </w:r>
          </w:p>
        </w:tc>
        <w:tc>
          <w:tcPr>
            <w:tcW w:w="3381"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一种印刷厂进排风系统</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0"/>
              <w:jc w:val="center"/>
              <w:rPr>
                <w:rFonts w:ascii="宋体" w:hAnsi="宋体" w:cs="宋体" w:eastAsia="宋体" w:hint="default"/>
                <w:sz w:val="20"/>
                <w:szCs w:val="20"/>
              </w:rPr>
            </w:pPr>
            <w:r>
              <w:rPr>
                <w:rFonts w:ascii="宋体" w:hAnsi="宋体" w:cs="宋体" w:eastAsia="宋体" w:hint="default"/>
                <w:sz w:val="20"/>
                <w:szCs w:val="20"/>
              </w:rPr>
              <w:t>实用新型</w:t>
            </w:r>
          </w:p>
        </w:tc>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44"/>
              <w:jc w:val="right"/>
              <w:rPr>
                <w:rFonts w:ascii="宋体" w:hAnsi="宋体" w:cs="宋体" w:eastAsia="宋体" w:hint="default"/>
                <w:sz w:val="20"/>
                <w:szCs w:val="20"/>
              </w:rPr>
            </w:pPr>
            <w:r>
              <w:rPr>
                <w:rFonts w:ascii="宋体"/>
                <w:spacing w:val="-1"/>
                <w:sz w:val="20"/>
              </w:rPr>
              <w:t>201821096930.1</w:t>
            </w: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85"/>
              <w:jc w:val="right"/>
              <w:rPr>
                <w:rFonts w:ascii="宋体" w:hAnsi="宋体" w:cs="宋体" w:eastAsia="宋体" w:hint="default"/>
                <w:sz w:val="20"/>
                <w:szCs w:val="20"/>
              </w:rPr>
            </w:pPr>
            <w:r>
              <w:rPr>
                <w:rFonts w:ascii="宋体" w:hAnsi="宋体" w:cs="宋体" w:eastAsia="宋体" w:hint="default"/>
                <w:sz w:val="20"/>
                <w:szCs w:val="20"/>
              </w:rPr>
              <w:t>2018</w:t>
            </w:r>
            <w:r>
              <w:rPr>
                <w:rFonts w:ascii="宋体" w:hAnsi="宋体" w:cs="宋体" w:eastAsia="宋体" w:hint="default"/>
                <w:spacing w:val="-51"/>
                <w:sz w:val="20"/>
                <w:szCs w:val="20"/>
              </w:rPr>
              <w:t> </w:t>
            </w:r>
            <w:r>
              <w:rPr>
                <w:rFonts w:ascii="宋体" w:hAnsi="宋体" w:cs="宋体" w:eastAsia="宋体" w:hint="default"/>
                <w:sz w:val="20"/>
                <w:szCs w:val="20"/>
              </w:rPr>
              <w:t>年</w:t>
            </w:r>
            <w:r>
              <w:rPr>
                <w:rFonts w:ascii="宋体" w:hAnsi="宋体" w:cs="宋体" w:eastAsia="宋体" w:hint="default"/>
                <w:spacing w:val="-50"/>
                <w:sz w:val="20"/>
                <w:szCs w:val="20"/>
              </w:rPr>
              <w:t> </w:t>
            </w:r>
            <w:r>
              <w:rPr>
                <w:rFonts w:ascii="宋体" w:hAnsi="宋体" w:cs="宋体" w:eastAsia="宋体" w:hint="default"/>
                <w:sz w:val="20"/>
                <w:szCs w:val="20"/>
              </w:rPr>
              <w:t>07</w:t>
            </w:r>
            <w:r>
              <w:rPr>
                <w:rFonts w:ascii="宋体" w:hAnsi="宋体" w:cs="宋体" w:eastAsia="宋体" w:hint="default"/>
                <w:spacing w:val="-51"/>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宋体" w:hAnsi="宋体" w:cs="宋体" w:eastAsia="宋体" w:hint="default"/>
                <w:sz w:val="20"/>
                <w:szCs w:val="20"/>
              </w:rPr>
              <w:t>11</w:t>
            </w:r>
            <w:r>
              <w:rPr>
                <w:rFonts w:ascii="宋体" w:hAnsi="宋体" w:cs="宋体" w:eastAsia="宋体" w:hint="default"/>
                <w:spacing w:val="-49"/>
                <w:sz w:val="20"/>
                <w:szCs w:val="20"/>
              </w:rPr>
              <w:t> </w:t>
            </w:r>
            <w:r>
              <w:rPr>
                <w:rFonts w:ascii="宋体" w:hAnsi="宋体" w:cs="宋体" w:eastAsia="宋体" w:hint="default"/>
                <w:sz w:val="20"/>
                <w:szCs w:val="20"/>
              </w:rPr>
              <w:t>日</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贵州劲瑞</w:t>
            </w:r>
          </w:p>
        </w:tc>
      </w:tr>
      <w:tr>
        <w:trPr>
          <w:trHeight w:val="635" w:hRule="exact"/>
        </w:trPr>
        <w:tc>
          <w:tcPr>
            <w:tcW w:w="556"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 w:right="0"/>
              <w:jc w:val="center"/>
              <w:rPr>
                <w:rFonts w:ascii="宋体" w:hAnsi="宋体" w:cs="宋体" w:eastAsia="宋体" w:hint="default"/>
                <w:sz w:val="20"/>
                <w:szCs w:val="20"/>
              </w:rPr>
            </w:pPr>
            <w:r>
              <w:rPr>
                <w:rFonts w:ascii="宋体"/>
                <w:sz w:val="20"/>
              </w:rPr>
              <w:t>65</w:t>
            </w:r>
          </w:p>
        </w:tc>
        <w:tc>
          <w:tcPr>
            <w:tcW w:w="3381"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264"/>
              <w:jc w:val="left"/>
              <w:rPr>
                <w:rFonts w:ascii="宋体" w:hAnsi="宋体" w:cs="宋体" w:eastAsia="宋体" w:hint="default"/>
                <w:sz w:val="20"/>
                <w:szCs w:val="20"/>
              </w:rPr>
            </w:pPr>
            <w:r>
              <w:rPr>
                <w:rFonts w:ascii="宋体" w:hAnsi="宋体" w:cs="宋体" w:eastAsia="宋体" w:hint="default"/>
                <w:sz w:val="20"/>
                <w:szCs w:val="20"/>
              </w:rPr>
              <w:t>一种印刷机的油墨池加墨防飞溅装</w:t>
            </w:r>
            <w:r>
              <w:rPr>
                <w:rFonts w:ascii="宋体" w:hAnsi="宋体" w:cs="宋体" w:eastAsia="宋体" w:hint="default"/>
                <w:w w:val="100"/>
                <w:sz w:val="20"/>
                <w:szCs w:val="20"/>
              </w:rPr>
              <w:t> </w:t>
            </w:r>
            <w:r>
              <w:rPr>
                <w:rFonts w:ascii="宋体" w:hAnsi="宋体" w:cs="宋体" w:eastAsia="宋体" w:hint="default"/>
                <w:sz w:val="20"/>
                <w:szCs w:val="20"/>
              </w:rPr>
              <w:t>置</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0"/>
              <w:jc w:val="center"/>
              <w:rPr>
                <w:rFonts w:ascii="宋体" w:hAnsi="宋体" w:cs="宋体" w:eastAsia="宋体" w:hint="default"/>
                <w:sz w:val="20"/>
                <w:szCs w:val="20"/>
              </w:rPr>
            </w:pPr>
            <w:r>
              <w:rPr>
                <w:rFonts w:ascii="宋体" w:hAnsi="宋体" w:cs="宋体" w:eastAsia="宋体" w:hint="default"/>
                <w:sz w:val="20"/>
                <w:szCs w:val="20"/>
              </w:rPr>
              <w:t>实用新型</w:t>
            </w:r>
          </w:p>
        </w:tc>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144"/>
              <w:jc w:val="right"/>
              <w:rPr>
                <w:rFonts w:ascii="宋体" w:hAnsi="宋体" w:cs="宋体" w:eastAsia="宋体" w:hint="default"/>
                <w:sz w:val="20"/>
                <w:szCs w:val="20"/>
              </w:rPr>
            </w:pPr>
            <w:r>
              <w:rPr>
                <w:rFonts w:ascii="宋体"/>
                <w:spacing w:val="-1"/>
                <w:sz w:val="20"/>
              </w:rPr>
              <w:t>201821096934.X</w:t>
            </w: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185"/>
              <w:jc w:val="right"/>
              <w:rPr>
                <w:rFonts w:ascii="宋体" w:hAnsi="宋体" w:cs="宋体" w:eastAsia="宋体" w:hint="default"/>
                <w:sz w:val="20"/>
                <w:szCs w:val="20"/>
              </w:rPr>
            </w:pPr>
            <w:r>
              <w:rPr>
                <w:rFonts w:ascii="宋体" w:hAnsi="宋体" w:cs="宋体" w:eastAsia="宋体" w:hint="default"/>
                <w:sz w:val="20"/>
                <w:szCs w:val="20"/>
              </w:rPr>
              <w:t>2018</w:t>
            </w:r>
            <w:r>
              <w:rPr>
                <w:rFonts w:ascii="宋体" w:hAnsi="宋体" w:cs="宋体" w:eastAsia="宋体" w:hint="default"/>
                <w:spacing w:val="-51"/>
                <w:sz w:val="20"/>
                <w:szCs w:val="20"/>
              </w:rPr>
              <w:t> </w:t>
            </w:r>
            <w:r>
              <w:rPr>
                <w:rFonts w:ascii="宋体" w:hAnsi="宋体" w:cs="宋体" w:eastAsia="宋体" w:hint="default"/>
                <w:sz w:val="20"/>
                <w:szCs w:val="20"/>
              </w:rPr>
              <w:t>年</w:t>
            </w:r>
            <w:r>
              <w:rPr>
                <w:rFonts w:ascii="宋体" w:hAnsi="宋体" w:cs="宋体" w:eastAsia="宋体" w:hint="default"/>
                <w:spacing w:val="-50"/>
                <w:sz w:val="20"/>
                <w:szCs w:val="20"/>
              </w:rPr>
              <w:t> </w:t>
            </w:r>
            <w:r>
              <w:rPr>
                <w:rFonts w:ascii="宋体" w:hAnsi="宋体" w:cs="宋体" w:eastAsia="宋体" w:hint="default"/>
                <w:sz w:val="20"/>
                <w:szCs w:val="20"/>
              </w:rPr>
              <w:t>07</w:t>
            </w:r>
            <w:r>
              <w:rPr>
                <w:rFonts w:ascii="宋体" w:hAnsi="宋体" w:cs="宋体" w:eastAsia="宋体" w:hint="default"/>
                <w:spacing w:val="-51"/>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宋体" w:hAnsi="宋体" w:cs="宋体" w:eastAsia="宋体" w:hint="default"/>
                <w:sz w:val="20"/>
                <w:szCs w:val="20"/>
              </w:rPr>
              <w:t>11</w:t>
            </w:r>
            <w:r>
              <w:rPr>
                <w:rFonts w:ascii="宋体" w:hAnsi="宋体" w:cs="宋体" w:eastAsia="宋体" w:hint="default"/>
                <w:spacing w:val="-49"/>
                <w:sz w:val="20"/>
                <w:szCs w:val="20"/>
              </w:rPr>
              <w:t> </w:t>
            </w:r>
            <w:r>
              <w:rPr>
                <w:rFonts w:ascii="宋体" w:hAnsi="宋体" w:cs="宋体" w:eastAsia="宋体" w:hint="default"/>
                <w:sz w:val="20"/>
                <w:szCs w:val="20"/>
              </w:rPr>
              <w:t>日</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0"/>
                <w:szCs w:val="20"/>
              </w:rPr>
            </w:pPr>
            <w:r>
              <w:rPr>
                <w:rFonts w:ascii="宋体" w:hAnsi="宋体" w:cs="宋体" w:eastAsia="宋体" w:hint="default"/>
                <w:sz w:val="20"/>
                <w:szCs w:val="20"/>
              </w:rPr>
              <w:t>贵州劲瑞</w:t>
            </w:r>
          </w:p>
        </w:tc>
      </w:tr>
      <w:tr>
        <w:trPr>
          <w:trHeight w:val="370" w:hRule="exact"/>
        </w:trPr>
        <w:tc>
          <w:tcPr>
            <w:tcW w:w="55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 w:right="0"/>
              <w:jc w:val="center"/>
              <w:rPr>
                <w:rFonts w:ascii="宋体" w:hAnsi="宋体" w:cs="宋体" w:eastAsia="宋体" w:hint="default"/>
                <w:sz w:val="20"/>
                <w:szCs w:val="20"/>
              </w:rPr>
            </w:pPr>
            <w:r>
              <w:rPr>
                <w:rFonts w:ascii="宋体"/>
                <w:sz w:val="20"/>
              </w:rPr>
              <w:t>66</w:t>
            </w:r>
          </w:p>
        </w:tc>
        <w:tc>
          <w:tcPr>
            <w:tcW w:w="3381"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一种调节油墨乳化的风排装置</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0"/>
              <w:jc w:val="center"/>
              <w:rPr>
                <w:rFonts w:ascii="宋体" w:hAnsi="宋体" w:cs="宋体" w:eastAsia="宋体" w:hint="default"/>
                <w:sz w:val="20"/>
                <w:szCs w:val="20"/>
              </w:rPr>
            </w:pPr>
            <w:r>
              <w:rPr>
                <w:rFonts w:ascii="宋体" w:hAnsi="宋体" w:cs="宋体" w:eastAsia="宋体" w:hint="default"/>
                <w:sz w:val="20"/>
                <w:szCs w:val="20"/>
              </w:rPr>
              <w:t>实用新型</w:t>
            </w:r>
          </w:p>
        </w:tc>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44"/>
              <w:jc w:val="right"/>
              <w:rPr>
                <w:rFonts w:ascii="宋体" w:hAnsi="宋体" w:cs="宋体" w:eastAsia="宋体" w:hint="default"/>
                <w:sz w:val="20"/>
                <w:szCs w:val="20"/>
              </w:rPr>
            </w:pPr>
            <w:r>
              <w:rPr>
                <w:rFonts w:ascii="宋体"/>
                <w:spacing w:val="-1"/>
                <w:sz w:val="20"/>
              </w:rPr>
              <w:t>201821542794.4</w:t>
            </w: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85"/>
              <w:jc w:val="right"/>
              <w:rPr>
                <w:rFonts w:ascii="宋体" w:hAnsi="宋体" w:cs="宋体" w:eastAsia="宋体" w:hint="default"/>
                <w:sz w:val="20"/>
                <w:szCs w:val="20"/>
              </w:rPr>
            </w:pPr>
            <w:r>
              <w:rPr>
                <w:rFonts w:ascii="宋体" w:hAnsi="宋体" w:cs="宋体" w:eastAsia="宋体" w:hint="default"/>
                <w:sz w:val="20"/>
                <w:szCs w:val="20"/>
              </w:rPr>
              <w:t>2018</w:t>
            </w:r>
            <w:r>
              <w:rPr>
                <w:rFonts w:ascii="宋体" w:hAnsi="宋体" w:cs="宋体" w:eastAsia="宋体" w:hint="default"/>
                <w:spacing w:val="-51"/>
                <w:sz w:val="20"/>
                <w:szCs w:val="20"/>
              </w:rPr>
              <w:t> </w:t>
            </w:r>
            <w:r>
              <w:rPr>
                <w:rFonts w:ascii="宋体" w:hAnsi="宋体" w:cs="宋体" w:eastAsia="宋体" w:hint="default"/>
                <w:sz w:val="20"/>
                <w:szCs w:val="20"/>
              </w:rPr>
              <w:t>年</w:t>
            </w:r>
            <w:r>
              <w:rPr>
                <w:rFonts w:ascii="宋体" w:hAnsi="宋体" w:cs="宋体" w:eastAsia="宋体" w:hint="default"/>
                <w:spacing w:val="-50"/>
                <w:sz w:val="20"/>
                <w:szCs w:val="20"/>
              </w:rPr>
              <w:t> </w:t>
            </w:r>
            <w:r>
              <w:rPr>
                <w:rFonts w:ascii="宋体" w:hAnsi="宋体" w:cs="宋体" w:eastAsia="宋体" w:hint="default"/>
                <w:sz w:val="20"/>
                <w:szCs w:val="20"/>
              </w:rPr>
              <w:t>09</w:t>
            </w:r>
            <w:r>
              <w:rPr>
                <w:rFonts w:ascii="宋体" w:hAnsi="宋体" w:cs="宋体" w:eastAsia="宋体" w:hint="default"/>
                <w:spacing w:val="-51"/>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宋体" w:hAnsi="宋体" w:cs="宋体" w:eastAsia="宋体" w:hint="default"/>
                <w:sz w:val="20"/>
                <w:szCs w:val="20"/>
              </w:rPr>
              <w:t>20</w:t>
            </w:r>
            <w:r>
              <w:rPr>
                <w:rFonts w:ascii="宋体" w:hAnsi="宋体" w:cs="宋体" w:eastAsia="宋体" w:hint="default"/>
                <w:spacing w:val="-49"/>
                <w:sz w:val="20"/>
                <w:szCs w:val="20"/>
              </w:rPr>
              <w:t> </w:t>
            </w:r>
            <w:r>
              <w:rPr>
                <w:rFonts w:ascii="宋体" w:hAnsi="宋体" w:cs="宋体" w:eastAsia="宋体" w:hint="default"/>
                <w:sz w:val="20"/>
                <w:szCs w:val="20"/>
              </w:rPr>
              <w:t>日</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嘉颐泽</w:t>
            </w:r>
          </w:p>
        </w:tc>
      </w:tr>
      <w:tr>
        <w:trPr>
          <w:trHeight w:val="370" w:hRule="exact"/>
        </w:trPr>
        <w:tc>
          <w:tcPr>
            <w:tcW w:w="55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 w:right="0"/>
              <w:jc w:val="center"/>
              <w:rPr>
                <w:rFonts w:ascii="宋体" w:hAnsi="宋体" w:cs="宋体" w:eastAsia="宋体" w:hint="default"/>
                <w:sz w:val="20"/>
                <w:szCs w:val="20"/>
              </w:rPr>
            </w:pPr>
            <w:r>
              <w:rPr>
                <w:rFonts w:ascii="宋体"/>
                <w:sz w:val="20"/>
              </w:rPr>
              <w:t>67</w:t>
            </w:r>
          </w:p>
        </w:tc>
        <w:tc>
          <w:tcPr>
            <w:tcW w:w="3381"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一种自动油墨取出装置</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0"/>
              <w:jc w:val="center"/>
              <w:rPr>
                <w:rFonts w:ascii="宋体" w:hAnsi="宋体" w:cs="宋体" w:eastAsia="宋体" w:hint="default"/>
                <w:sz w:val="20"/>
                <w:szCs w:val="20"/>
              </w:rPr>
            </w:pPr>
            <w:r>
              <w:rPr>
                <w:rFonts w:ascii="宋体" w:hAnsi="宋体" w:cs="宋体" w:eastAsia="宋体" w:hint="default"/>
                <w:sz w:val="20"/>
                <w:szCs w:val="20"/>
              </w:rPr>
              <w:t>实用新型</w:t>
            </w:r>
          </w:p>
        </w:tc>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44"/>
              <w:jc w:val="right"/>
              <w:rPr>
                <w:rFonts w:ascii="宋体" w:hAnsi="宋体" w:cs="宋体" w:eastAsia="宋体" w:hint="default"/>
                <w:sz w:val="20"/>
                <w:szCs w:val="20"/>
              </w:rPr>
            </w:pPr>
            <w:r>
              <w:rPr>
                <w:rFonts w:ascii="宋体"/>
                <w:spacing w:val="-1"/>
                <w:sz w:val="20"/>
              </w:rPr>
              <w:t>201821541899.8</w:t>
            </w: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85"/>
              <w:jc w:val="right"/>
              <w:rPr>
                <w:rFonts w:ascii="宋体" w:hAnsi="宋体" w:cs="宋体" w:eastAsia="宋体" w:hint="default"/>
                <w:sz w:val="20"/>
                <w:szCs w:val="20"/>
              </w:rPr>
            </w:pPr>
            <w:r>
              <w:rPr>
                <w:rFonts w:ascii="宋体" w:hAnsi="宋体" w:cs="宋体" w:eastAsia="宋体" w:hint="default"/>
                <w:sz w:val="20"/>
                <w:szCs w:val="20"/>
              </w:rPr>
              <w:t>2018</w:t>
            </w:r>
            <w:r>
              <w:rPr>
                <w:rFonts w:ascii="宋体" w:hAnsi="宋体" w:cs="宋体" w:eastAsia="宋体" w:hint="default"/>
                <w:spacing w:val="-51"/>
                <w:sz w:val="20"/>
                <w:szCs w:val="20"/>
              </w:rPr>
              <w:t> </w:t>
            </w:r>
            <w:r>
              <w:rPr>
                <w:rFonts w:ascii="宋体" w:hAnsi="宋体" w:cs="宋体" w:eastAsia="宋体" w:hint="default"/>
                <w:sz w:val="20"/>
                <w:szCs w:val="20"/>
              </w:rPr>
              <w:t>年</w:t>
            </w:r>
            <w:r>
              <w:rPr>
                <w:rFonts w:ascii="宋体" w:hAnsi="宋体" w:cs="宋体" w:eastAsia="宋体" w:hint="default"/>
                <w:spacing w:val="-50"/>
                <w:sz w:val="20"/>
                <w:szCs w:val="20"/>
              </w:rPr>
              <w:t> </w:t>
            </w:r>
            <w:r>
              <w:rPr>
                <w:rFonts w:ascii="宋体" w:hAnsi="宋体" w:cs="宋体" w:eastAsia="宋体" w:hint="default"/>
                <w:sz w:val="20"/>
                <w:szCs w:val="20"/>
              </w:rPr>
              <w:t>09</w:t>
            </w:r>
            <w:r>
              <w:rPr>
                <w:rFonts w:ascii="宋体" w:hAnsi="宋体" w:cs="宋体" w:eastAsia="宋体" w:hint="default"/>
                <w:spacing w:val="-51"/>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宋体" w:hAnsi="宋体" w:cs="宋体" w:eastAsia="宋体" w:hint="default"/>
                <w:sz w:val="20"/>
                <w:szCs w:val="20"/>
              </w:rPr>
              <w:t>20</w:t>
            </w:r>
            <w:r>
              <w:rPr>
                <w:rFonts w:ascii="宋体" w:hAnsi="宋体" w:cs="宋体" w:eastAsia="宋体" w:hint="default"/>
                <w:spacing w:val="-49"/>
                <w:sz w:val="20"/>
                <w:szCs w:val="20"/>
              </w:rPr>
              <w:t> </w:t>
            </w:r>
            <w:r>
              <w:rPr>
                <w:rFonts w:ascii="宋体" w:hAnsi="宋体" w:cs="宋体" w:eastAsia="宋体" w:hint="default"/>
                <w:sz w:val="20"/>
                <w:szCs w:val="20"/>
              </w:rPr>
              <w:t>日</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嘉颐泽</w:t>
            </w:r>
          </w:p>
        </w:tc>
      </w:tr>
      <w:tr>
        <w:trPr>
          <w:trHeight w:val="635" w:hRule="exact"/>
        </w:trPr>
        <w:tc>
          <w:tcPr>
            <w:tcW w:w="556"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 w:right="0"/>
              <w:jc w:val="center"/>
              <w:rPr>
                <w:rFonts w:ascii="宋体" w:hAnsi="宋体" w:cs="宋体" w:eastAsia="宋体" w:hint="default"/>
                <w:sz w:val="20"/>
                <w:szCs w:val="20"/>
              </w:rPr>
            </w:pPr>
            <w:r>
              <w:rPr>
                <w:rFonts w:ascii="宋体"/>
                <w:sz w:val="20"/>
              </w:rPr>
              <w:t>68</w:t>
            </w:r>
          </w:p>
        </w:tc>
        <w:tc>
          <w:tcPr>
            <w:tcW w:w="3381"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264"/>
              <w:jc w:val="left"/>
              <w:rPr>
                <w:rFonts w:ascii="宋体" w:hAnsi="宋体" w:cs="宋体" w:eastAsia="宋体" w:hint="default"/>
                <w:sz w:val="20"/>
                <w:szCs w:val="20"/>
              </w:rPr>
            </w:pPr>
            <w:r>
              <w:rPr>
                <w:rFonts w:ascii="宋体" w:hAnsi="宋体" w:cs="宋体" w:eastAsia="宋体" w:hint="default"/>
                <w:sz w:val="20"/>
                <w:szCs w:val="20"/>
              </w:rPr>
              <w:t>一种新型胶印机串墨辊冷却水温控</w:t>
            </w:r>
            <w:r>
              <w:rPr>
                <w:rFonts w:ascii="宋体" w:hAnsi="宋体" w:cs="宋体" w:eastAsia="宋体" w:hint="default"/>
                <w:w w:val="100"/>
                <w:sz w:val="20"/>
                <w:szCs w:val="20"/>
              </w:rPr>
              <w:t> </w:t>
            </w:r>
            <w:r>
              <w:rPr>
                <w:rFonts w:ascii="宋体" w:hAnsi="宋体" w:cs="宋体" w:eastAsia="宋体" w:hint="default"/>
                <w:sz w:val="20"/>
                <w:szCs w:val="20"/>
              </w:rPr>
              <w:t>系统</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0"/>
              <w:jc w:val="center"/>
              <w:rPr>
                <w:rFonts w:ascii="宋体" w:hAnsi="宋体" w:cs="宋体" w:eastAsia="宋体" w:hint="default"/>
                <w:sz w:val="20"/>
                <w:szCs w:val="20"/>
              </w:rPr>
            </w:pPr>
            <w:r>
              <w:rPr>
                <w:rFonts w:ascii="宋体" w:hAnsi="宋体" w:cs="宋体" w:eastAsia="宋体" w:hint="default"/>
                <w:sz w:val="20"/>
                <w:szCs w:val="20"/>
              </w:rPr>
              <w:t>实用新型</w:t>
            </w:r>
          </w:p>
        </w:tc>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144"/>
              <w:jc w:val="right"/>
              <w:rPr>
                <w:rFonts w:ascii="宋体" w:hAnsi="宋体" w:cs="宋体" w:eastAsia="宋体" w:hint="default"/>
                <w:sz w:val="20"/>
                <w:szCs w:val="20"/>
              </w:rPr>
            </w:pPr>
            <w:r>
              <w:rPr>
                <w:rFonts w:ascii="宋体"/>
                <w:spacing w:val="-1"/>
                <w:sz w:val="20"/>
              </w:rPr>
              <w:t>201821674258.X</w:t>
            </w: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185"/>
              <w:jc w:val="right"/>
              <w:rPr>
                <w:rFonts w:ascii="宋体" w:hAnsi="宋体" w:cs="宋体" w:eastAsia="宋体" w:hint="default"/>
                <w:sz w:val="20"/>
                <w:szCs w:val="20"/>
              </w:rPr>
            </w:pPr>
            <w:r>
              <w:rPr>
                <w:rFonts w:ascii="宋体" w:hAnsi="宋体" w:cs="宋体" w:eastAsia="宋体" w:hint="default"/>
                <w:sz w:val="20"/>
                <w:szCs w:val="20"/>
              </w:rPr>
              <w:t>2018</w:t>
            </w:r>
            <w:r>
              <w:rPr>
                <w:rFonts w:ascii="宋体" w:hAnsi="宋体" w:cs="宋体" w:eastAsia="宋体" w:hint="default"/>
                <w:spacing w:val="-51"/>
                <w:sz w:val="20"/>
                <w:szCs w:val="20"/>
              </w:rPr>
              <w:t> </w:t>
            </w:r>
            <w:r>
              <w:rPr>
                <w:rFonts w:ascii="宋体" w:hAnsi="宋体" w:cs="宋体" w:eastAsia="宋体" w:hint="default"/>
                <w:sz w:val="20"/>
                <w:szCs w:val="20"/>
              </w:rPr>
              <w:t>年</w:t>
            </w:r>
            <w:r>
              <w:rPr>
                <w:rFonts w:ascii="宋体" w:hAnsi="宋体" w:cs="宋体" w:eastAsia="宋体" w:hint="default"/>
                <w:spacing w:val="-50"/>
                <w:sz w:val="20"/>
                <w:szCs w:val="20"/>
              </w:rPr>
              <w:t> </w:t>
            </w:r>
            <w:r>
              <w:rPr>
                <w:rFonts w:ascii="宋体" w:hAnsi="宋体" w:cs="宋体" w:eastAsia="宋体" w:hint="default"/>
                <w:sz w:val="20"/>
                <w:szCs w:val="20"/>
              </w:rPr>
              <w:t>10</w:t>
            </w:r>
            <w:r>
              <w:rPr>
                <w:rFonts w:ascii="宋体" w:hAnsi="宋体" w:cs="宋体" w:eastAsia="宋体" w:hint="default"/>
                <w:spacing w:val="-51"/>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宋体" w:hAnsi="宋体" w:cs="宋体" w:eastAsia="宋体" w:hint="default"/>
                <w:sz w:val="20"/>
                <w:szCs w:val="20"/>
              </w:rPr>
              <w:t>16</w:t>
            </w:r>
            <w:r>
              <w:rPr>
                <w:rFonts w:ascii="宋体" w:hAnsi="宋体" w:cs="宋体" w:eastAsia="宋体" w:hint="default"/>
                <w:spacing w:val="-49"/>
                <w:sz w:val="20"/>
                <w:szCs w:val="20"/>
              </w:rPr>
              <w:t> </w:t>
            </w:r>
            <w:r>
              <w:rPr>
                <w:rFonts w:ascii="宋体" w:hAnsi="宋体" w:cs="宋体" w:eastAsia="宋体" w:hint="default"/>
                <w:sz w:val="20"/>
                <w:szCs w:val="20"/>
              </w:rPr>
              <w:t>日</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0"/>
                <w:szCs w:val="20"/>
              </w:rPr>
            </w:pPr>
            <w:r>
              <w:rPr>
                <w:rFonts w:ascii="宋体" w:hAnsi="宋体" w:cs="宋体" w:eastAsia="宋体" w:hint="default"/>
                <w:sz w:val="20"/>
                <w:szCs w:val="20"/>
              </w:rPr>
              <w:t>嘉颐泽</w:t>
            </w:r>
          </w:p>
        </w:tc>
      </w:tr>
      <w:tr>
        <w:trPr>
          <w:trHeight w:val="370" w:hRule="exact"/>
        </w:trPr>
        <w:tc>
          <w:tcPr>
            <w:tcW w:w="55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 w:right="0"/>
              <w:jc w:val="center"/>
              <w:rPr>
                <w:rFonts w:ascii="宋体" w:hAnsi="宋体" w:cs="宋体" w:eastAsia="宋体" w:hint="default"/>
                <w:sz w:val="20"/>
                <w:szCs w:val="20"/>
              </w:rPr>
            </w:pPr>
            <w:r>
              <w:rPr>
                <w:rFonts w:ascii="宋体"/>
                <w:sz w:val="20"/>
              </w:rPr>
              <w:t>69</w:t>
            </w:r>
          </w:p>
        </w:tc>
        <w:tc>
          <w:tcPr>
            <w:tcW w:w="3381"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一种新型墨缸恒温装置</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0"/>
              <w:jc w:val="center"/>
              <w:rPr>
                <w:rFonts w:ascii="宋体" w:hAnsi="宋体" w:cs="宋体" w:eastAsia="宋体" w:hint="default"/>
                <w:sz w:val="20"/>
                <w:szCs w:val="20"/>
              </w:rPr>
            </w:pPr>
            <w:r>
              <w:rPr>
                <w:rFonts w:ascii="宋体" w:hAnsi="宋体" w:cs="宋体" w:eastAsia="宋体" w:hint="default"/>
                <w:sz w:val="20"/>
                <w:szCs w:val="20"/>
              </w:rPr>
              <w:t>实用新型</w:t>
            </w:r>
          </w:p>
        </w:tc>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44"/>
              <w:jc w:val="right"/>
              <w:rPr>
                <w:rFonts w:ascii="宋体" w:hAnsi="宋体" w:cs="宋体" w:eastAsia="宋体" w:hint="default"/>
                <w:sz w:val="20"/>
                <w:szCs w:val="20"/>
              </w:rPr>
            </w:pPr>
            <w:r>
              <w:rPr>
                <w:rFonts w:ascii="宋体"/>
                <w:spacing w:val="-1"/>
                <w:sz w:val="20"/>
              </w:rPr>
              <w:t>201821727014.3</w:t>
            </w: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85"/>
              <w:jc w:val="right"/>
              <w:rPr>
                <w:rFonts w:ascii="宋体" w:hAnsi="宋体" w:cs="宋体" w:eastAsia="宋体" w:hint="default"/>
                <w:sz w:val="20"/>
                <w:szCs w:val="20"/>
              </w:rPr>
            </w:pPr>
            <w:r>
              <w:rPr>
                <w:rFonts w:ascii="宋体" w:hAnsi="宋体" w:cs="宋体" w:eastAsia="宋体" w:hint="default"/>
                <w:sz w:val="20"/>
                <w:szCs w:val="20"/>
              </w:rPr>
              <w:t>2018</w:t>
            </w:r>
            <w:r>
              <w:rPr>
                <w:rFonts w:ascii="宋体" w:hAnsi="宋体" w:cs="宋体" w:eastAsia="宋体" w:hint="default"/>
                <w:spacing w:val="-51"/>
                <w:sz w:val="20"/>
                <w:szCs w:val="20"/>
              </w:rPr>
              <w:t> </w:t>
            </w:r>
            <w:r>
              <w:rPr>
                <w:rFonts w:ascii="宋体" w:hAnsi="宋体" w:cs="宋体" w:eastAsia="宋体" w:hint="default"/>
                <w:sz w:val="20"/>
                <w:szCs w:val="20"/>
              </w:rPr>
              <w:t>年</w:t>
            </w:r>
            <w:r>
              <w:rPr>
                <w:rFonts w:ascii="宋体" w:hAnsi="宋体" w:cs="宋体" w:eastAsia="宋体" w:hint="default"/>
                <w:spacing w:val="-50"/>
                <w:sz w:val="20"/>
                <w:szCs w:val="20"/>
              </w:rPr>
              <w:t> </w:t>
            </w:r>
            <w:r>
              <w:rPr>
                <w:rFonts w:ascii="宋体" w:hAnsi="宋体" w:cs="宋体" w:eastAsia="宋体" w:hint="default"/>
                <w:sz w:val="20"/>
                <w:szCs w:val="20"/>
              </w:rPr>
              <w:t>10</w:t>
            </w:r>
            <w:r>
              <w:rPr>
                <w:rFonts w:ascii="宋体" w:hAnsi="宋体" w:cs="宋体" w:eastAsia="宋体" w:hint="default"/>
                <w:spacing w:val="-51"/>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宋体" w:hAnsi="宋体" w:cs="宋体" w:eastAsia="宋体" w:hint="default"/>
                <w:sz w:val="20"/>
                <w:szCs w:val="20"/>
              </w:rPr>
              <w:t>24</w:t>
            </w:r>
            <w:r>
              <w:rPr>
                <w:rFonts w:ascii="宋体" w:hAnsi="宋体" w:cs="宋体" w:eastAsia="宋体" w:hint="default"/>
                <w:spacing w:val="-49"/>
                <w:sz w:val="20"/>
                <w:szCs w:val="20"/>
              </w:rPr>
              <w:t> </w:t>
            </w:r>
            <w:r>
              <w:rPr>
                <w:rFonts w:ascii="宋体" w:hAnsi="宋体" w:cs="宋体" w:eastAsia="宋体" w:hint="default"/>
                <w:sz w:val="20"/>
                <w:szCs w:val="20"/>
              </w:rPr>
              <w:t>日</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嘉颐泽</w:t>
            </w:r>
          </w:p>
        </w:tc>
      </w:tr>
      <w:tr>
        <w:trPr>
          <w:trHeight w:val="370" w:hRule="exact"/>
        </w:trPr>
        <w:tc>
          <w:tcPr>
            <w:tcW w:w="55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 w:right="0"/>
              <w:jc w:val="center"/>
              <w:rPr>
                <w:rFonts w:ascii="宋体" w:hAnsi="宋体" w:cs="宋体" w:eastAsia="宋体" w:hint="default"/>
                <w:sz w:val="20"/>
                <w:szCs w:val="20"/>
              </w:rPr>
            </w:pPr>
            <w:r>
              <w:rPr>
                <w:rFonts w:ascii="宋体"/>
                <w:sz w:val="20"/>
              </w:rPr>
              <w:t>70</w:t>
            </w:r>
          </w:p>
        </w:tc>
        <w:tc>
          <w:tcPr>
            <w:tcW w:w="3381"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一种胶印油墨容器</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0"/>
              <w:jc w:val="center"/>
              <w:rPr>
                <w:rFonts w:ascii="宋体" w:hAnsi="宋体" w:cs="宋体" w:eastAsia="宋体" w:hint="default"/>
                <w:sz w:val="20"/>
                <w:szCs w:val="20"/>
              </w:rPr>
            </w:pPr>
            <w:r>
              <w:rPr>
                <w:rFonts w:ascii="宋体" w:hAnsi="宋体" w:cs="宋体" w:eastAsia="宋体" w:hint="default"/>
                <w:sz w:val="20"/>
                <w:szCs w:val="20"/>
              </w:rPr>
              <w:t>实用新型</w:t>
            </w:r>
          </w:p>
        </w:tc>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44"/>
              <w:jc w:val="right"/>
              <w:rPr>
                <w:rFonts w:ascii="宋体" w:hAnsi="宋体" w:cs="宋体" w:eastAsia="宋体" w:hint="default"/>
                <w:sz w:val="20"/>
                <w:szCs w:val="20"/>
              </w:rPr>
            </w:pPr>
            <w:r>
              <w:rPr>
                <w:rFonts w:ascii="宋体"/>
                <w:spacing w:val="-1"/>
                <w:sz w:val="20"/>
              </w:rPr>
              <w:t>201821727013.9</w:t>
            </w: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85"/>
              <w:jc w:val="right"/>
              <w:rPr>
                <w:rFonts w:ascii="宋体" w:hAnsi="宋体" w:cs="宋体" w:eastAsia="宋体" w:hint="default"/>
                <w:sz w:val="20"/>
                <w:szCs w:val="20"/>
              </w:rPr>
            </w:pPr>
            <w:r>
              <w:rPr>
                <w:rFonts w:ascii="宋体" w:hAnsi="宋体" w:cs="宋体" w:eastAsia="宋体" w:hint="default"/>
                <w:sz w:val="20"/>
                <w:szCs w:val="20"/>
              </w:rPr>
              <w:t>2018</w:t>
            </w:r>
            <w:r>
              <w:rPr>
                <w:rFonts w:ascii="宋体" w:hAnsi="宋体" w:cs="宋体" w:eastAsia="宋体" w:hint="default"/>
                <w:spacing w:val="-51"/>
                <w:sz w:val="20"/>
                <w:szCs w:val="20"/>
              </w:rPr>
              <w:t> </w:t>
            </w:r>
            <w:r>
              <w:rPr>
                <w:rFonts w:ascii="宋体" w:hAnsi="宋体" w:cs="宋体" w:eastAsia="宋体" w:hint="default"/>
                <w:sz w:val="20"/>
                <w:szCs w:val="20"/>
              </w:rPr>
              <w:t>年</w:t>
            </w:r>
            <w:r>
              <w:rPr>
                <w:rFonts w:ascii="宋体" w:hAnsi="宋体" w:cs="宋体" w:eastAsia="宋体" w:hint="default"/>
                <w:spacing w:val="-50"/>
                <w:sz w:val="20"/>
                <w:szCs w:val="20"/>
              </w:rPr>
              <w:t> </w:t>
            </w:r>
            <w:r>
              <w:rPr>
                <w:rFonts w:ascii="宋体" w:hAnsi="宋体" w:cs="宋体" w:eastAsia="宋体" w:hint="default"/>
                <w:sz w:val="20"/>
                <w:szCs w:val="20"/>
              </w:rPr>
              <w:t>10</w:t>
            </w:r>
            <w:r>
              <w:rPr>
                <w:rFonts w:ascii="宋体" w:hAnsi="宋体" w:cs="宋体" w:eastAsia="宋体" w:hint="default"/>
                <w:spacing w:val="-51"/>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宋体" w:hAnsi="宋体" w:cs="宋体" w:eastAsia="宋体" w:hint="default"/>
                <w:sz w:val="20"/>
                <w:szCs w:val="20"/>
              </w:rPr>
              <w:t>24</w:t>
            </w:r>
            <w:r>
              <w:rPr>
                <w:rFonts w:ascii="宋体" w:hAnsi="宋体" w:cs="宋体" w:eastAsia="宋体" w:hint="default"/>
                <w:spacing w:val="-49"/>
                <w:sz w:val="20"/>
                <w:szCs w:val="20"/>
              </w:rPr>
              <w:t> </w:t>
            </w:r>
            <w:r>
              <w:rPr>
                <w:rFonts w:ascii="宋体" w:hAnsi="宋体" w:cs="宋体" w:eastAsia="宋体" w:hint="default"/>
                <w:sz w:val="20"/>
                <w:szCs w:val="20"/>
              </w:rPr>
              <w:t>日</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嘉颐泽</w:t>
            </w:r>
          </w:p>
        </w:tc>
      </w:tr>
      <w:tr>
        <w:trPr>
          <w:trHeight w:val="371" w:hRule="exact"/>
        </w:trPr>
        <w:tc>
          <w:tcPr>
            <w:tcW w:w="556"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 w:right="0"/>
              <w:jc w:val="center"/>
              <w:rPr>
                <w:rFonts w:ascii="宋体" w:hAnsi="宋体" w:cs="宋体" w:eastAsia="宋体" w:hint="default"/>
                <w:sz w:val="20"/>
                <w:szCs w:val="20"/>
              </w:rPr>
            </w:pPr>
            <w:r>
              <w:rPr>
                <w:rFonts w:ascii="宋体"/>
                <w:sz w:val="20"/>
              </w:rPr>
              <w:t>71</w:t>
            </w:r>
          </w:p>
        </w:tc>
        <w:tc>
          <w:tcPr>
            <w:tcW w:w="338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0"/>
                <w:szCs w:val="20"/>
              </w:rPr>
            </w:pPr>
            <w:r>
              <w:rPr>
                <w:rFonts w:ascii="宋体" w:hAnsi="宋体" w:cs="宋体" w:eastAsia="宋体" w:hint="default"/>
                <w:sz w:val="20"/>
                <w:szCs w:val="20"/>
              </w:rPr>
              <w:t>一种换纸堆防擦花隔片</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0"/>
              <w:jc w:val="center"/>
              <w:rPr>
                <w:rFonts w:ascii="宋体" w:hAnsi="宋体" w:cs="宋体" w:eastAsia="宋体" w:hint="default"/>
                <w:sz w:val="20"/>
                <w:szCs w:val="20"/>
              </w:rPr>
            </w:pPr>
            <w:r>
              <w:rPr>
                <w:rFonts w:ascii="宋体" w:hAnsi="宋体" w:cs="宋体" w:eastAsia="宋体" w:hint="default"/>
                <w:sz w:val="20"/>
                <w:szCs w:val="20"/>
              </w:rPr>
              <w:t>实用新型</w:t>
            </w:r>
          </w:p>
        </w:tc>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144"/>
              <w:jc w:val="right"/>
              <w:rPr>
                <w:rFonts w:ascii="宋体" w:hAnsi="宋体" w:cs="宋体" w:eastAsia="宋体" w:hint="default"/>
                <w:sz w:val="20"/>
                <w:szCs w:val="20"/>
              </w:rPr>
            </w:pPr>
            <w:r>
              <w:rPr>
                <w:rFonts w:ascii="宋体"/>
                <w:spacing w:val="-1"/>
                <w:sz w:val="20"/>
              </w:rPr>
              <w:t>201821725697.9</w:t>
            </w: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185"/>
              <w:jc w:val="right"/>
              <w:rPr>
                <w:rFonts w:ascii="宋体" w:hAnsi="宋体" w:cs="宋体" w:eastAsia="宋体" w:hint="default"/>
                <w:sz w:val="20"/>
                <w:szCs w:val="20"/>
              </w:rPr>
            </w:pPr>
            <w:r>
              <w:rPr>
                <w:rFonts w:ascii="宋体" w:hAnsi="宋体" w:cs="宋体" w:eastAsia="宋体" w:hint="default"/>
                <w:sz w:val="20"/>
                <w:szCs w:val="20"/>
              </w:rPr>
              <w:t>2018</w:t>
            </w:r>
            <w:r>
              <w:rPr>
                <w:rFonts w:ascii="宋体" w:hAnsi="宋体" w:cs="宋体" w:eastAsia="宋体" w:hint="default"/>
                <w:spacing w:val="-51"/>
                <w:sz w:val="20"/>
                <w:szCs w:val="20"/>
              </w:rPr>
              <w:t> </w:t>
            </w:r>
            <w:r>
              <w:rPr>
                <w:rFonts w:ascii="宋体" w:hAnsi="宋体" w:cs="宋体" w:eastAsia="宋体" w:hint="default"/>
                <w:sz w:val="20"/>
                <w:szCs w:val="20"/>
              </w:rPr>
              <w:t>年</w:t>
            </w:r>
            <w:r>
              <w:rPr>
                <w:rFonts w:ascii="宋体" w:hAnsi="宋体" w:cs="宋体" w:eastAsia="宋体" w:hint="default"/>
                <w:spacing w:val="-50"/>
                <w:sz w:val="20"/>
                <w:szCs w:val="20"/>
              </w:rPr>
              <w:t> </w:t>
            </w:r>
            <w:r>
              <w:rPr>
                <w:rFonts w:ascii="宋体" w:hAnsi="宋体" w:cs="宋体" w:eastAsia="宋体" w:hint="default"/>
                <w:sz w:val="20"/>
                <w:szCs w:val="20"/>
              </w:rPr>
              <w:t>10</w:t>
            </w:r>
            <w:r>
              <w:rPr>
                <w:rFonts w:ascii="宋体" w:hAnsi="宋体" w:cs="宋体" w:eastAsia="宋体" w:hint="default"/>
                <w:spacing w:val="-51"/>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宋体" w:hAnsi="宋体" w:cs="宋体" w:eastAsia="宋体" w:hint="default"/>
                <w:sz w:val="20"/>
                <w:szCs w:val="20"/>
              </w:rPr>
              <w:t>24</w:t>
            </w:r>
            <w:r>
              <w:rPr>
                <w:rFonts w:ascii="宋体" w:hAnsi="宋体" w:cs="宋体" w:eastAsia="宋体" w:hint="default"/>
                <w:spacing w:val="-49"/>
                <w:sz w:val="20"/>
                <w:szCs w:val="20"/>
              </w:rPr>
              <w:t> </w:t>
            </w:r>
            <w:r>
              <w:rPr>
                <w:rFonts w:ascii="宋体" w:hAnsi="宋体" w:cs="宋体" w:eastAsia="宋体" w:hint="default"/>
                <w:sz w:val="20"/>
                <w:szCs w:val="20"/>
              </w:rPr>
              <w:t>日</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0"/>
                <w:szCs w:val="20"/>
              </w:rPr>
            </w:pPr>
            <w:r>
              <w:rPr>
                <w:rFonts w:ascii="宋体" w:hAnsi="宋体" w:cs="宋体" w:eastAsia="宋体" w:hint="default"/>
                <w:sz w:val="20"/>
                <w:szCs w:val="20"/>
              </w:rPr>
              <w:t>嘉颐泽</w:t>
            </w:r>
          </w:p>
        </w:tc>
      </w:tr>
      <w:tr>
        <w:trPr>
          <w:trHeight w:val="370" w:hRule="exact"/>
        </w:trPr>
        <w:tc>
          <w:tcPr>
            <w:tcW w:w="55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 w:right="0"/>
              <w:jc w:val="center"/>
              <w:rPr>
                <w:rFonts w:ascii="宋体" w:hAnsi="宋体" w:cs="宋体" w:eastAsia="宋体" w:hint="default"/>
                <w:sz w:val="20"/>
                <w:szCs w:val="20"/>
              </w:rPr>
            </w:pPr>
            <w:r>
              <w:rPr>
                <w:rFonts w:ascii="宋体"/>
                <w:sz w:val="20"/>
              </w:rPr>
              <w:t>72</w:t>
            </w:r>
          </w:p>
        </w:tc>
        <w:tc>
          <w:tcPr>
            <w:tcW w:w="3381"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一种节能净化空气循环系统</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0"/>
              <w:jc w:val="center"/>
              <w:rPr>
                <w:rFonts w:ascii="宋体" w:hAnsi="宋体" w:cs="宋体" w:eastAsia="宋体" w:hint="default"/>
                <w:sz w:val="20"/>
                <w:szCs w:val="20"/>
              </w:rPr>
            </w:pPr>
            <w:r>
              <w:rPr>
                <w:rFonts w:ascii="宋体" w:hAnsi="宋体" w:cs="宋体" w:eastAsia="宋体" w:hint="default"/>
                <w:sz w:val="20"/>
                <w:szCs w:val="20"/>
              </w:rPr>
              <w:t>实用新型</w:t>
            </w:r>
          </w:p>
        </w:tc>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44"/>
              <w:jc w:val="right"/>
              <w:rPr>
                <w:rFonts w:ascii="宋体" w:hAnsi="宋体" w:cs="宋体" w:eastAsia="宋体" w:hint="default"/>
                <w:sz w:val="20"/>
                <w:szCs w:val="20"/>
              </w:rPr>
            </w:pPr>
            <w:r>
              <w:rPr>
                <w:rFonts w:ascii="宋体"/>
                <w:spacing w:val="-1"/>
                <w:sz w:val="20"/>
              </w:rPr>
              <w:t>201821840269.0</w:t>
            </w: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85"/>
              <w:jc w:val="right"/>
              <w:rPr>
                <w:rFonts w:ascii="宋体" w:hAnsi="宋体" w:cs="宋体" w:eastAsia="宋体" w:hint="default"/>
                <w:sz w:val="20"/>
                <w:szCs w:val="20"/>
              </w:rPr>
            </w:pPr>
            <w:r>
              <w:rPr>
                <w:rFonts w:ascii="宋体" w:hAnsi="宋体" w:cs="宋体" w:eastAsia="宋体" w:hint="default"/>
                <w:sz w:val="20"/>
                <w:szCs w:val="20"/>
              </w:rPr>
              <w:t>2018</w:t>
            </w:r>
            <w:r>
              <w:rPr>
                <w:rFonts w:ascii="宋体" w:hAnsi="宋体" w:cs="宋体" w:eastAsia="宋体" w:hint="default"/>
                <w:spacing w:val="-51"/>
                <w:sz w:val="20"/>
                <w:szCs w:val="20"/>
              </w:rPr>
              <w:t> </w:t>
            </w:r>
            <w:r>
              <w:rPr>
                <w:rFonts w:ascii="宋体" w:hAnsi="宋体" w:cs="宋体" w:eastAsia="宋体" w:hint="default"/>
                <w:sz w:val="20"/>
                <w:szCs w:val="20"/>
              </w:rPr>
              <w:t>年</w:t>
            </w:r>
            <w:r>
              <w:rPr>
                <w:rFonts w:ascii="宋体" w:hAnsi="宋体" w:cs="宋体" w:eastAsia="宋体" w:hint="default"/>
                <w:spacing w:val="-50"/>
                <w:sz w:val="20"/>
                <w:szCs w:val="20"/>
              </w:rPr>
              <w:t> </w:t>
            </w:r>
            <w:r>
              <w:rPr>
                <w:rFonts w:ascii="宋体" w:hAnsi="宋体" w:cs="宋体" w:eastAsia="宋体" w:hint="default"/>
                <w:sz w:val="20"/>
                <w:szCs w:val="20"/>
              </w:rPr>
              <w:t>11</w:t>
            </w:r>
            <w:r>
              <w:rPr>
                <w:rFonts w:ascii="宋体" w:hAnsi="宋体" w:cs="宋体" w:eastAsia="宋体" w:hint="default"/>
                <w:spacing w:val="-51"/>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宋体" w:hAnsi="宋体" w:cs="宋体" w:eastAsia="宋体" w:hint="default"/>
                <w:sz w:val="20"/>
                <w:szCs w:val="20"/>
              </w:rPr>
              <w:t>09</w:t>
            </w:r>
            <w:r>
              <w:rPr>
                <w:rFonts w:ascii="宋体" w:hAnsi="宋体" w:cs="宋体" w:eastAsia="宋体" w:hint="default"/>
                <w:spacing w:val="-49"/>
                <w:sz w:val="20"/>
                <w:szCs w:val="20"/>
              </w:rPr>
              <w:t> </w:t>
            </w:r>
            <w:r>
              <w:rPr>
                <w:rFonts w:ascii="宋体" w:hAnsi="宋体" w:cs="宋体" w:eastAsia="宋体" w:hint="default"/>
                <w:sz w:val="20"/>
                <w:szCs w:val="20"/>
              </w:rPr>
              <w:t>日</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嘉颐泽</w:t>
            </w:r>
          </w:p>
        </w:tc>
      </w:tr>
      <w:tr>
        <w:trPr>
          <w:trHeight w:val="370" w:hRule="exact"/>
        </w:trPr>
        <w:tc>
          <w:tcPr>
            <w:tcW w:w="55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 w:right="0"/>
              <w:jc w:val="center"/>
              <w:rPr>
                <w:rFonts w:ascii="宋体" w:hAnsi="宋体" w:cs="宋体" w:eastAsia="宋体" w:hint="default"/>
                <w:sz w:val="20"/>
                <w:szCs w:val="20"/>
              </w:rPr>
            </w:pPr>
            <w:r>
              <w:rPr>
                <w:rFonts w:ascii="宋体"/>
                <w:sz w:val="20"/>
              </w:rPr>
              <w:t>73</w:t>
            </w:r>
          </w:p>
        </w:tc>
        <w:tc>
          <w:tcPr>
            <w:tcW w:w="3381"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一种新型在线检测模切不穿的装置</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0"/>
              <w:jc w:val="center"/>
              <w:rPr>
                <w:rFonts w:ascii="宋体" w:hAnsi="宋体" w:cs="宋体" w:eastAsia="宋体" w:hint="default"/>
                <w:sz w:val="20"/>
                <w:szCs w:val="20"/>
              </w:rPr>
            </w:pPr>
            <w:r>
              <w:rPr>
                <w:rFonts w:ascii="宋体" w:hAnsi="宋体" w:cs="宋体" w:eastAsia="宋体" w:hint="default"/>
                <w:sz w:val="20"/>
                <w:szCs w:val="20"/>
              </w:rPr>
              <w:t>实用新型</w:t>
            </w:r>
          </w:p>
        </w:tc>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44"/>
              <w:jc w:val="right"/>
              <w:rPr>
                <w:rFonts w:ascii="宋体" w:hAnsi="宋体" w:cs="宋体" w:eastAsia="宋体" w:hint="default"/>
                <w:sz w:val="20"/>
                <w:szCs w:val="20"/>
              </w:rPr>
            </w:pPr>
            <w:r>
              <w:rPr>
                <w:rFonts w:ascii="宋体"/>
                <w:spacing w:val="-1"/>
                <w:sz w:val="20"/>
              </w:rPr>
              <w:t>201821840268.6</w:t>
            </w: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85"/>
              <w:jc w:val="right"/>
              <w:rPr>
                <w:rFonts w:ascii="宋体" w:hAnsi="宋体" w:cs="宋体" w:eastAsia="宋体" w:hint="default"/>
                <w:sz w:val="20"/>
                <w:szCs w:val="20"/>
              </w:rPr>
            </w:pPr>
            <w:r>
              <w:rPr>
                <w:rFonts w:ascii="宋体" w:hAnsi="宋体" w:cs="宋体" w:eastAsia="宋体" w:hint="default"/>
                <w:sz w:val="20"/>
                <w:szCs w:val="20"/>
              </w:rPr>
              <w:t>2018</w:t>
            </w:r>
            <w:r>
              <w:rPr>
                <w:rFonts w:ascii="宋体" w:hAnsi="宋体" w:cs="宋体" w:eastAsia="宋体" w:hint="default"/>
                <w:spacing w:val="-51"/>
                <w:sz w:val="20"/>
                <w:szCs w:val="20"/>
              </w:rPr>
              <w:t> </w:t>
            </w:r>
            <w:r>
              <w:rPr>
                <w:rFonts w:ascii="宋体" w:hAnsi="宋体" w:cs="宋体" w:eastAsia="宋体" w:hint="default"/>
                <w:sz w:val="20"/>
                <w:szCs w:val="20"/>
              </w:rPr>
              <w:t>年</w:t>
            </w:r>
            <w:r>
              <w:rPr>
                <w:rFonts w:ascii="宋体" w:hAnsi="宋体" w:cs="宋体" w:eastAsia="宋体" w:hint="default"/>
                <w:spacing w:val="-50"/>
                <w:sz w:val="20"/>
                <w:szCs w:val="20"/>
              </w:rPr>
              <w:t> </w:t>
            </w:r>
            <w:r>
              <w:rPr>
                <w:rFonts w:ascii="宋体" w:hAnsi="宋体" w:cs="宋体" w:eastAsia="宋体" w:hint="default"/>
                <w:sz w:val="20"/>
                <w:szCs w:val="20"/>
              </w:rPr>
              <w:t>11</w:t>
            </w:r>
            <w:r>
              <w:rPr>
                <w:rFonts w:ascii="宋体" w:hAnsi="宋体" w:cs="宋体" w:eastAsia="宋体" w:hint="default"/>
                <w:spacing w:val="-51"/>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宋体" w:hAnsi="宋体" w:cs="宋体" w:eastAsia="宋体" w:hint="default"/>
                <w:sz w:val="20"/>
                <w:szCs w:val="20"/>
              </w:rPr>
              <w:t>09</w:t>
            </w:r>
            <w:r>
              <w:rPr>
                <w:rFonts w:ascii="宋体" w:hAnsi="宋体" w:cs="宋体" w:eastAsia="宋体" w:hint="default"/>
                <w:spacing w:val="-49"/>
                <w:sz w:val="20"/>
                <w:szCs w:val="20"/>
              </w:rPr>
              <w:t> </w:t>
            </w:r>
            <w:r>
              <w:rPr>
                <w:rFonts w:ascii="宋体" w:hAnsi="宋体" w:cs="宋体" w:eastAsia="宋体" w:hint="default"/>
                <w:sz w:val="20"/>
                <w:szCs w:val="20"/>
              </w:rPr>
              <w:t>日</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嘉颐泽</w:t>
            </w:r>
          </w:p>
        </w:tc>
      </w:tr>
      <w:tr>
        <w:trPr>
          <w:trHeight w:val="371" w:hRule="exact"/>
        </w:trPr>
        <w:tc>
          <w:tcPr>
            <w:tcW w:w="556"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 w:right="0"/>
              <w:jc w:val="center"/>
              <w:rPr>
                <w:rFonts w:ascii="宋体" w:hAnsi="宋体" w:cs="宋体" w:eastAsia="宋体" w:hint="default"/>
                <w:sz w:val="20"/>
                <w:szCs w:val="20"/>
              </w:rPr>
            </w:pPr>
            <w:r>
              <w:rPr>
                <w:rFonts w:ascii="宋体"/>
                <w:sz w:val="20"/>
              </w:rPr>
              <w:t>74</w:t>
            </w:r>
          </w:p>
        </w:tc>
        <w:tc>
          <w:tcPr>
            <w:tcW w:w="338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0"/>
                <w:szCs w:val="20"/>
              </w:rPr>
            </w:pPr>
            <w:r>
              <w:rPr>
                <w:rFonts w:ascii="宋体" w:hAnsi="宋体" w:cs="宋体" w:eastAsia="宋体" w:hint="default"/>
                <w:sz w:val="20"/>
                <w:szCs w:val="20"/>
              </w:rPr>
              <w:t>一种废电化铝自动排废系统</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0"/>
              <w:jc w:val="center"/>
              <w:rPr>
                <w:rFonts w:ascii="宋体" w:hAnsi="宋体" w:cs="宋体" w:eastAsia="宋体" w:hint="default"/>
                <w:sz w:val="20"/>
                <w:szCs w:val="20"/>
              </w:rPr>
            </w:pPr>
            <w:r>
              <w:rPr>
                <w:rFonts w:ascii="宋体" w:hAnsi="宋体" w:cs="宋体" w:eastAsia="宋体" w:hint="default"/>
                <w:sz w:val="20"/>
                <w:szCs w:val="20"/>
              </w:rPr>
              <w:t>实用新型</w:t>
            </w:r>
          </w:p>
        </w:tc>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144"/>
              <w:jc w:val="right"/>
              <w:rPr>
                <w:rFonts w:ascii="宋体" w:hAnsi="宋体" w:cs="宋体" w:eastAsia="宋体" w:hint="default"/>
                <w:sz w:val="20"/>
                <w:szCs w:val="20"/>
              </w:rPr>
            </w:pPr>
            <w:r>
              <w:rPr>
                <w:rFonts w:ascii="宋体"/>
                <w:spacing w:val="-1"/>
                <w:sz w:val="20"/>
              </w:rPr>
              <w:t>201821887411.7</w:t>
            </w: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185"/>
              <w:jc w:val="right"/>
              <w:rPr>
                <w:rFonts w:ascii="宋体" w:hAnsi="宋体" w:cs="宋体" w:eastAsia="宋体" w:hint="default"/>
                <w:sz w:val="20"/>
                <w:szCs w:val="20"/>
              </w:rPr>
            </w:pPr>
            <w:r>
              <w:rPr>
                <w:rFonts w:ascii="宋体" w:hAnsi="宋体" w:cs="宋体" w:eastAsia="宋体" w:hint="default"/>
                <w:sz w:val="20"/>
                <w:szCs w:val="20"/>
              </w:rPr>
              <w:t>2018</w:t>
            </w:r>
            <w:r>
              <w:rPr>
                <w:rFonts w:ascii="宋体" w:hAnsi="宋体" w:cs="宋体" w:eastAsia="宋体" w:hint="default"/>
                <w:spacing w:val="-51"/>
                <w:sz w:val="20"/>
                <w:szCs w:val="20"/>
              </w:rPr>
              <w:t> </w:t>
            </w:r>
            <w:r>
              <w:rPr>
                <w:rFonts w:ascii="宋体" w:hAnsi="宋体" w:cs="宋体" w:eastAsia="宋体" w:hint="default"/>
                <w:sz w:val="20"/>
                <w:szCs w:val="20"/>
              </w:rPr>
              <w:t>年</w:t>
            </w:r>
            <w:r>
              <w:rPr>
                <w:rFonts w:ascii="宋体" w:hAnsi="宋体" w:cs="宋体" w:eastAsia="宋体" w:hint="default"/>
                <w:spacing w:val="-50"/>
                <w:sz w:val="20"/>
                <w:szCs w:val="20"/>
              </w:rPr>
              <w:t> </w:t>
            </w:r>
            <w:r>
              <w:rPr>
                <w:rFonts w:ascii="宋体" w:hAnsi="宋体" w:cs="宋体" w:eastAsia="宋体" w:hint="default"/>
                <w:sz w:val="20"/>
                <w:szCs w:val="20"/>
              </w:rPr>
              <w:t>11</w:t>
            </w:r>
            <w:r>
              <w:rPr>
                <w:rFonts w:ascii="宋体" w:hAnsi="宋体" w:cs="宋体" w:eastAsia="宋体" w:hint="default"/>
                <w:spacing w:val="-51"/>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宋体" w:hAnsi="宋体" w:cs="宋体" w:eastAsia="宋体" w:hint="default"/>
                <w:sz w:val="20"/>
                <w:szCs w:val="20"/>
              </w:rPr>
              <w:t>16</w:t>
            </w:r>
            <w:r>
              <w:rPr>
                <w:rFonts w:ascii="宋体" w:hAnsi="宋体" w:cs="宋体" w:eastAsia="宋体" w:hint="default"/>
                <w:spacing w:val="-49"/>
                <w:sz w:val="20"/>
                <w:szCs w:val="20"/>
              </w:rPr>
              <w:t> </w:t>
            </w:r>
            <w:r>
              <w:rPr>
                <w:rFonts w:ascii="宋体" w:hAnsi="宋体" w:cs="宋体" w:eastAsia="宋体" w:hint="default"/>
                <w:sz w:val="20"/>
                <w:szCs w:val="20"/>
              </w:rPr>
              <w:t>日</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0"/>
                <w:szCs w:val="20"/>
              </w:rPr>
            </w:pPr>
            <w:r>
              <w:rPr>
                <w:rFonts w:ascii="宋体" w:hAnsi="宋体" w:cs="宋体" w:eastAsia="宋体" w:hint="default"/>
                <w:sz w:val="20"/>
                <w:szCs w:val="20"/>
              </w:rPr>
              <w:t>嘉颐泽</w:t>
            </w:r>
          </w:p>
        </w:tc>
      </w:tr>
      <w:tr>
        <w:trPr>
          <w:trHeight w:val="370" w:hRule="exact"/>
        </w:trPr>
        <w:tc>
          <w:tcPr>
            <w:tcW w:w="55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 w:right="0"/>
              <w:jc w:val="center"/>
              <w:rPr>
                <w:rFonts w:ascii="宋体" w:hAnsi="宋体" w:cs="宋体" w:eastAsia="宋体" w:hint="default"/>
                <w:sz w:val="20"/>
                <w:szCs w:val="20"/>
              </w:rPr>
            </w:pPr>
            <w:r>
              <w:rPr>
                <w:rFonts w:ascii="宋体"/>
                <w:sz w:val="20"/>
              </w:rPr>
              <w:t>75</w:t>
            </w:r>
          </w:p>
        </w:tc>
        <w:tc>
          <w:tcPr>
            <w:tcW w:w="3381"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一种单张纸配标机</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0"/>
              <w:jc w:val="center"/>
              <w:rPr>
                <w:rFonts w:ascii="宋体" w:hAnsi="宋体" w:cs="宋体" w:eastAsia="宋体" w:hint="default"/>
                <w:sz w:val="20"/>
                <w:szCs w:val="20"/>
              </w:rPr>
            </w:pPr>
            <w:r>
              <w:rPr>
                <w:rFonts w:ascii="宋体" w:hAnsi="宋体" w:cs="宋体" w:eastAsia="宋体" w:hint="default"/>
                <w:sz w:val="20"/>
                <w:szCs w:val="20"/>
              </w:rPr>
              <w:t>实用新型</w:t>
            </w:r>
          </w:p>
        </w:tc>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44"/>
              <w:jc w:val="right"/>
              <w:rPr>
                <w:rFonts w:ascii="宋体" w:hAnsi="宋体" w:cs="宋体" w:eastAsia="宋体" w:hint="default"/>
                <w:sz w:val="20"/>
                <w:szCs w:val="20"/>
              </w:rPr>
            </w:pPr>
            <w:r>
              <w:rPr>
                <w:rFonts w:ascii="宋体"/>
                <w:spacing w:val="-1"/>
                <w:sz w:val="20"/>
              </w:rPr>
              <w:t>201822134328.9</w:t>
            </w: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85"/>
              <w:jc w:val="right"/>
              <w:rPr>
                <w:rFonts w:ascii="宋体" w:hAnsi="宋体" w:cs="宋体" w:eastAsia="宋体" w:hint="default"/>
                <w:sz w:val="20"/>
                <w:szCs w:val="20"/>
              </w:rPr>
            </w:pPr>
            <w:r>
              <w:rPr>
                <w:rFonts w:ascii="宋体" w:hAnsi="宋体" w:cs="宋体" w:eastAsia="宋体" w:hint="default"/>
                <w:sz w:val="20"/>
                <w:szCs w:val="20"/>
              </w:rPr>
              <w:t>2018</w:t>
            </w:r>
            <w:r>
              <w:rPr>
                <w:rFonts w:ascii="宋体" w:hAnsi="宋体" w:cs="宋体" w:eastAsia="宋体" w:hint="default"/>
                <w:spacing w:val="-51"/>
                <w:sz w:val="20"/>
                <w:szCs w:val="20"/>
              </w:rPr>
              <w:t> </w:t>
            </w:r>
            <w:r>
              <w:rPr>
                <w:rFonts w:ascii="宋体" w:hAnsi="宋体" w:cs="宋体" w:eastAsia="宋体" w:hint="default"/>
                <w:sz w:val="20"/>
                <w:szCs w:val="20"/>
              </w:rPr>
              <w:t>年</w:t>
            </w:r>
            <w:r>
              <w:rPr>
                <w:rFonts w:ascii="宋体" w:hAnsi="宋体" w:cs="宋体" w:eastAsia="宋体" w:hint="default"/>
                <w:spacing w:val="-50"/>
                <w:sz w:val="20"/>
                <w:szCs w:val="20"/>
              </w:rPr>
              <w:t> </w:t>
            </w:r>
            <w:r>
              <w:rPr>
                <w:rFonts w:ascii="宋体" w:hAnsi="宋体" w:cs="宋体" w:eastAsia="宋体" w:hint="default"/>
                <w:sz w:val="20"/>
                <w:szCs w:val="20"/>
              </w:rPr>
              <w:t>12</w:t>
            </w:r>
            <w:r>
              <w:rPr>
                <w:rFonts w:ascii="宋体" w:hAnsi="宋体" w:cs="宋体" w:eastAsia="宋体" w:hint="default"/>
                <w:spacing w:val="-51"/>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宋体" w:hAnsi="宋体" w:cs="宋体" w:eastAsia="宋体" w:hint="default"/>
                <w:sz w:val="20"/>
                <w:szCs w:val="20"/>
              </w:rPr>
              <w:t>19</w:t>
            </w:r>
            <w:r>
              <w:rPr>
                <w:rFonts w:ascii="宋体" w:hAnsi="宋体" w:cs="宋体" w:eastAsia="宋体" w:hint="default"/>
                <w:spacing w:val="-49"/>
                <w:sz w:val="20"/>
                <w:szCs w:val="20"/>
              </w:rPr>
              <w:t> </w:t>
            </w:r>
            <w:r>
              <w:rPr>
                <w:rFonts w:ascii="宋体" w:hAnsi="宋体" w:cs="宋体" w:eastAsia="宋体" w:hint="default"/>
                <w:sz w:val="20"/>
                <w:szCs w:val="20"/>
              </w:rPr>
              <w:t>日</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嘉颐泽</w:t>
            </w:r>
          </w:p>
        </w:tc>
      </w:tr>
      <w:tr>
        <w:trPr>
          <w:trHeight w:val="370" w:hRule="exact"/>
        </w:trPr>
        <w:tc>
          <w:tcPr>
            <w:tcW w:w="55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 w:right="0"/>
              <w:jc w:val="center"/>
              <w:rPr>
                <w:rFonts w:ascii="宋体" w:hAnsi="宋体" w:cs="宋体" w:eastAsia="宋体" w:hint="default"/>
                <w:sz w:val="20"/>
                <w:szCs w:val="20"/>
              </w:rPr>
            </w:pPr>
            <w:r>
              <w:rPr>
                <w:rFonts w:ascii="宋体"/>
                <w:sz w:val="20"/>
              </w:rPr>
              <w:t>76</w:t>
            </w:r>
          </w:p>
        </w:tc>
        <w:tc>
          <w:tcPr>
            <w:tcW w:w="3381"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凹印机自动检测多级分料设备</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0"/>
              <w:jc w:val="center"/>
              <w:rPr>
                <w:rFonts w:ascii="宋体" w:hAnsi="宋体" w:cs="宋体" w:eastAsia="宋体" w:hint="default"/>
                <w:sz w:val="20"/>
                <w:szCs w:val="20"/>
              </w:rPr>
            </w:pPr>
            <w:r>
              <w:rPr>
                <w:rFonts w:ascii="宋体" w:hAnsi="宋体" w:cs="宋体" w:eastAsia="宋体" w:hint="default"/>
                <w:sz w:val="20"/>
                <w:szCs w:val="20"/>
              </w:rPr>
              <w:t>实用新型</w:t>
            </w:r>
          </w:p>
        </w:tc>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44"/>
              <w:jc w:val="right"/>
              <w:rPr>
                <w:rFonts w:ascii="宋体" w:hAnsi="宋体" w:cs="宋体" w:eastAsia="宋体" w:hint="default"/>
                <w:sz w:val="20"/>
                <w:szCs w:val="20"/>
              </w:rPr>
            </w:pPr>
            <w:r>
              <w:rPr>
                <w:rFonts w:ascii="宋体"/>
                <w:spacing w:val="-1"/>
                <w:sz w:val="20"/>
              </w:rPr>
              <w:t>201820012257.2</w:t>
            </w: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85"/>
              <w:jc w:val="right"/>
              <w:rPr>
                <w:rFonts w:ascii="宋体" w:hAnsi="宋体" w:cs="宋体" w:eastAsia="宋体" w:hint="default"/>
                <w:sz w:val="20"/>
                <w:szCs w:val="20"/>
              </w:rPr>
            </w:pPr>
            <w:r>
              <w:rPr>
                <w:rFonts w:ascii="宋体" w:hAnsi="宋体" w:cs="宋体" w:eastAsia="宋体" w:hint="default"/>
                <w:sz w:val="20"/>
                <w:szCs w:val="20"/>
              </w:rPr>
              <w:t>2018</w:t>
            </w:r>
            <w:r>
              <w:rPr>
                <w:rFonts w:ascii="宋体" w:hAnsi="宋体" w:cs="宋体" w:eastAsia="宋体" w:hint="default"/>
                <w:spacing w:val="-51"/>
                <w:sz w:val="20"/>
                <w:szCs w:val="20"/>
              </w:rPr>
              <w:t> </w:t>
            </w:r>
            <w:r>
              <w:rPr>
                <w:rFonts w:ascii="宋体" w:hAnsi="宋体" w:cs="宋体" w:eastAsia="宋体" w:hint="default"/>
                <w:sz w:val="20"/>
                <w:szCs w:val="20"/>
              </w:rPr>
              <w:t>年</w:t>
            </w:r>
            <w:r>
              <w:rPr>
                <w:rFonts w:ascii="宋体" w:hAnsi="宋体" w:cs="宋体" w:eastAsia="宋体" w:hint="default"/>
                <w:spacing w:val="-50"/>
                <w:sz w:val="20"/>
                <w:szCs w:val="20"/>
              </w:rPr>
              <w:t> </w:t>
            </w:r>
            <w:r>
              <w:rPr>
                <w:rFonts w:ascii="宋体" w:hAnsi="宋体" w:cs="宋体" w:eastAsia="宋体" w:hint="default"/>
                <w:sz w:val="20"/>
                <w:szCs w:val="20"/>
              </w:rPr>
              <w:t>01</w:t>
            </w:r>
            <w:r>
              <w:rPr>
                <w:rFonts w:ascii="宋体" w:hAnsi="宋体" w:cs="宋体" w:eastAsia="宋体" w:hint="default"/>
                <w:spacing w:val="-51"/>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宋体" w:hAnsi="宋体" w:cs="宋体" w:eastAsia="宋体" w:hint="default"/>
                <w:sz w:val="20"/>
                <w:szCs w:val="20"/>
              </w:rPr>
              <w:t>04</w:t>
            </w:r>
            <w:r>
              <w:rPr>
                <w:rFonts w:ascii="宋体" w:hAnsi="宋体" w:cs="宋体" w:eastAsia="宋体" w:hint="default"/>
                <w:spacing w:val="-49"/>
                <w:sz w:val="20"/>
                <w:szCs w:val="20"/>
              </w:rPr>
              <w:t> </w:t>
            </w:r>
            <w:r>
              <w:rPr>
                <w:rFonts w:ascii="宋体" w:hAnsi="宋体" w:cs="宋体" w:eastAsia="宋体" w:hint="default"/>
                <w:sz w:val="20"/>
                <w:szCs w:val="20"/>
              </w:rPr>
              <w:t>日</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江苏劲嘉</w:t>
            </w:r>
          </w:p>
        </w:tc>
      </w:tr>
      <w:tr>
        <w:trPr>
          <w:trHeight w:val="371" w:hRule="exact"/>
        </w:trPr>
        <w:tc>
          <w:tcPr>
            <w:tcW w:w="556"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 w:right="0"/>
              <w:jc w:val="center"/>
              <w:rPr>
                <w:rFonts w:ascii="宋体" w:hAnsi="宋体" w:cs="宋体" w:eastAsia="宋体" w:hint="default"/>
                <w:sz w:val="20"/>
                <w:szCs w:val="20"/>
              </w:rPr>
            </w:pPr>
            <w:r>
              <w:rPr>
                <w:rFonts w:ascii="宋体"/>
                <w:sz w:val="20"/>
              </w:rPr>
              <w:t>77</w:t>
            </w:r>
          </w:p>
        </w:tc>
        <w:tc>
          <w:tcPr>
            <w:tcW w:w="338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0"/>
                <w:szCs w:val="20"/>
              </w:rPr>
            </w:pPr>
            <w:r>
              <w:rPr>
                <w:rFonts w:ascii="宋体" w:hAnsi="宋体" w:cs="宋体" w:eastAsia="宋体" w:hint="default"/>
                <w:sz w:val="20"/>
                <w:szCs w:val="20"/>
              </w:rPr>
              <w:t>一种新型丝网机多用途烘道</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0"/>
              <w:jc w:val="center"/>
              <w:rPr>
                <w:rFonts w:ascii="宋体" w:hAnsi="宋体" w:cs="宋体" w:eastAsia="宋体" w:hint="default"/>
                <w:sz w:val="20"/>
                <w:szCs w:val="20"/>
              </w:rPr>
            </w:pPr>
            <w:r>
              <w:rPr>
                <w:rFonts w:ascii="宋体" w:hAnsi="宋体" w:cs="宋体" w:eastAsia="宋体" w:hint="default"/>
                <w:sz w:val="20"/>
                <w:szCs w:val="20"/>
              </w:rPr>
              <w:t>实用新型</w:t>
            </w:r>
          </w:p>
        </w:tc>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144"/>
              <w:jc w:val="right"/>
              <w:rPr>
                <w:rFonts w:ascii="宋体" w:hAnsi="宋体" w:cs="宋体" w:eastAsia="宋体" w:hint="default"/>
                <w:sz w:val="20"/>
                <w:szCs w:val="20"/>
              </w:rPr>
            </w:pPr>
            <w:r>
              <w:rPr>
                <w:rFonts w:ascii="宋体"/>
                <w:spacing w:val="-1"/>
                <w:sz w:val="20"/>
              </w:rPr>
              <w:t>201820010857.5</w:t>
            </w: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185"/>
              <w:jc w:val="right"/>
              <w:rPr>
                <w:rFonts w:ascii="宋体" w:hAnsi="宋体" w:cs="宋体" w:eastAsia="宋体" w:hint="default"/>
                <w:sz w:val="20"/>
                <w:szCs w:val="20"/>
              </w:rPr>
            </w:pPr>
            <w:r>
              <w:rPr>
                <w:rFonts w:ascii="宋体" w:hAnsi="宋体" w:cs="宋体" w:eastAsia="宋体" w:hint="default"/>
                <w:sz w:val="20"/>
                <w:szCs w:val="20"/>
              </w:rPr>
              <w:t>2018</w:t>
            </w:r>
            <w:r>
              <w:rPr>
                <w:rFonts w:ascii="宋体" w:hAnsi="宋体" w:cs="宋体" w:eastAsia="宋体" w:hint="default"/>
                <w:spacing w:val="-51"/>
                <w:sz w:val="20"/>
                <w:szCs w:val="20"/>
              </w:rPr>
              <w:t> </w:t>
            </w:r>
            <w:r>
              <w:rPr>
                <w:rFonts w:ascii="宋体" w:hAnsi="宋体" w:cs="宋体" w:eastAsia="宋体" w:hint="default"/>
                <w:sz w:val="20"/>
                <w:szCs w:val="20"/>
              </w:rPr>
              <w:t>年</w:t>
            </w:r>
            <w:r>
              <w:rPr>
                <w:rFonts w:ascii="宋体" w:hAnsi="宋体" w:cs="宋体" w:eastAsia="宋体" w:hint="default"/>
                <w:spacing w:val="-50"/>
                <w:sz w:val="20"/>
                <w:szCs w:val="20"/>
              </w:rPr>
              <w:t> </w:t>
            </w:r>
            <w:r>
              <w:rPr>
                <w:rFonts w:ascii="宋体" w:hAnsi="宋体" w:cs="宋体" w:eastAsia="宋体" w:hint="default"/>
                <w:sz w:val="20"/>
                <w:szCs w:val="20"/>
              </w:rPr>
              <w:t>01</w:t>
            </w:r>
            <w:r>
              <w:rPr>
                <w:rFonts w:ascii="宋体" w:hAnsi="宋体" w:cs="宋体" w:eastAsia="宋体" w:hint="default"/>
                <w:spacing w:val="-51"/>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宋体" w:hAnsi="宋体" w:cs="宋体" w:eastAsia="宋体" w:hint="default"/>
                <w:sz w:val="20"/>
                <w:szCs w:val="20"/>
              </w:rPr>
              <w:t>04</w:t>
            </w:r>
            <w:r>
              <w:rPr>
                <w:rFonts w:ascii="宋体" w:hAnsi="宋体" w:cs="宋体" w:eastAsia="宋体" w:hint="default"/>
                <w:spacing w:val="-49"/>
                <w:sz w:val="20"/>
                <w:szCs w:val="20"/>
              </w:rPr>
              <w:t> </w:t>
            </w:r>
            <w:r>
              <w:rPr>
                <w:rFonts w:ascii="宋体" w:hAnsi="宋体" w:cs="宋体" w:eastAsia="宋体" w:hint="default"/>
                <w:sz w:val="20"/>
                <w:szCs w:val="20"/>
              </w:rPr>
              <w:t>日</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0"/>
                <w:szCs w:val="20"/>
              </w:rPr>
            </w:pPr>
            <w:r>
              <w:rPr>
                <w:rFonts w:ascii="宋体" w:hAnsi="宋体" w:cs="宋体" w:eastAsia="宋体" w:hint="default"/>
                <w:sz w:val="20"/>
                <w:szCs w:val="20"/>
              </w:rPr>
              <w:t>江苏劲嘉</w:t>
            </w:r>
          </w:p>
        </w:tc>
      </w:tr>
      <w:tr>
        <w:trPr>
          <w:trHeight w:val="370" w:hRule="exact"/>
        </w:trPr>
        <w:tc>
          <w:tcPr>
            <w:tcW w:w="55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 w:right="0"/>
              <w:jc w:val="center"/>
              <w:rPr>
                <w:rFonts w:ascii="宋体" w:hAnsi="宋体" w:cs="宋体" w:eastAsia="宋体" w:hint="default"/>
                <w:sz w:val="20"/>
                <w:szCs w:val="20"/>
              </w:rPr>
            </w:pPr>
            <w:r>
              <w:rPr>
                <w:rFonts w:ascii="宋体"/>
                <w:sz w:val="20"/>
              </w:rPr>
              <w:t>78</w:t>
            </w:r>
          </w:p>
        </w:tc>
        <w:tc>
          <w:tcPr>
            <w:tcW w:w="3381"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印刷污水处理设备</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0"/>
              <w:jc w:val="center"/>
              <w:rPr>
                <w:rFonts w:ascii="宋体" w:hAnsi="宋体" w:cs="宋体" w:eastAsia="宋体" w:hint="default"/>
                <w:sz w:val="20"/>
                <w:szCs w:val="20"/>
              </w:rPr>
            </w:pPr>
            <w:r>
              <w:rPr>
                <w:rFonts w:ascii="宋体" w:hAnsi="宋体" w:cs="宋体" w:eastAsia="宋体" w:hint="default"/>
                <w:sz w:val="20"/>
                <w:szCs w:val="20"/>
              </w:rPr>
              <w:t>实用新型</w:t>
            </w:r>
          </w:p>
        </w:tc>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44"/>
              <w:jc w:val="right"/>
              <w:rPr>
                <w:rFonts w:ascii="宋体" w:hAnsi="宋体" w:cs="宋体" w:eastAsia="宋体" w:hint="default"/>
                <w:sz w:val="20"/>
                <w:szCs w:val="20"/>
              </w:rPr>
            </w:pPr>
            <w:r>
              <w:rPr>
                <w:rFonts w:ascii="宋体"/>
                <w:spacing w:val="-1"/>
                <w:sz w:val="20"/>
              </w:rPr>
              <w:t>201820216020.6</w:t>
            </w: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85"/>
              <w:jc w:val="right"/>
              <w:rPr>
                <w:rFonts w:ascii="宋体" w:hAnsi="宋体" w:cs="宋体" w:eastAsia="宋体" w:hint="default"/>
                <w:sz w:val="20"/>
                <w:szCs w:val="20"/>
              </w:rPr>
            </w:pPr>
            <w:r>
              <w:rPr>
                <w:rFonts w:ascii="宋体" w:hAnsi="宋体" w:cs="宋体" w:eastAsia="宋体" w:hint="default"/>
                <w:sz w:val="20"/>
                <w:szCs w:val="20"/>
              </w:rPr>
              <w:t>2018</w:t>
            </w:r>
            <w:r>
              <w:rPr>
                <w:rFonts w:ascii="宋体" w:hAnsi="宋体" w:cs="宋体" w:eastAsia="宋体" w:hint="default"/>
                <w:spacing w:val="-51"/>
                <w:sz w:val="20"/>
                <w:szCs w:val="20"/>
              </w:rPr>
              <w:t> </w:t>
            </w:r>
            <w:r>
              <w:rPr>
                <w:rFonts w:ascii="宋体" w:hAnsi="宋体" w:cs="宋体" w:eastAsia="宋体" w:hint="default"/>
                <w:sz w:val="20"/>
                <w:szCs w:val="20"/>
              </w:rPr>
              <w:t>年</w:t>
            </w:r>
            <w:r>
              <w:rPr>
                <w:rFonts w:ascii="宋体" w:hAnsi="宋体" w:cs="宋体" w:eastAsia="宋体" w:hint="default"/>
                <w:spacing w:val="-50"/>
                <w:sz w:val="20"/>
                <w:szCs w:val="20"/>
              </w:rPr>
              <w:t> </w:t>
            </w:r>
            <w:r>
              <w:rPr>
                <w:rFonts w:ascii="宋体" w:hAnsi="宋体" w:cs="宋体" w:eastAsia="宋体" w:hint="default"/>
                <w:sz w:val="20"/>
                <w:szCs w:val="20"/>
              </w:rPr>
              <w:t>02</w:t>
            </w:r>
            <w:r>
              <w:rPr>
                <w:rFonts w:ascii="宋体" w:hAnsi="宋体" w:cs="宋体" w:eastAsia="宋体" w:hint="default"/>
                <w:spacing w:val="-51"/>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宋体" w:hAnsi="宋体" w:cs="宋体" w:eastAsia="宋体" w:hint="default"/>
                <w:sz w:val="20"/>
                <w:szCs w:val="20"/>
              </w:rPr>
              <w:t>07</w:t>
            </w:r>
            <w:r>
              <w:rPr>
                <w:rFonts w:ascii="宋体" w:hAnsi="宋体" w:cs="宋体" w:eastAsia="宋体" w:hint="default"/>
                <w:spacing w:val="-49"/>
                <w:sz w:val="20"/>
                <w:szCs w:val="20"/>
              </w:rPr>
              <w:t> </w:t>
            </w:r>
            <w:r>
              <w:rPr>
                <w:rFonts w:ascii="宋体" w:hAnsi="宋体" w:cs="宋体" w:eastAsia="宋体" w:hint="default"/>
                <w:sz w:val="20"/>
                <w:szCs w:val="20"/>
              </w:rPr>
              <w:t>日</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江苏劲嘉</w:t>
            </w:r>
          </w:p>
        </w:tc>
      </w:tr>
      <w:tr>
        <w:trPr>
          <w:trHeight w:val="370" w:hRule="exact"/>
        </w:trPr>
        <w:tc>
          <w:tcPr>
            <w:tcW w:w="55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 w:right="0"/>
              <w:jc w:val="center"/>
              <w:rPr>
                <w:rFonts w:ascii="宋体" w:hAnsi="宋体" w:cs="宋体" w:eastAsia="宋体" w:hint="default"/>
                <w:sz w:val="20"/>
                <w:szCs w:val="20"/>
              </w:rPr>
            </w:pPr>
            <w:r>
              <w:rPr>
                <w:rFonts w:ascii="宋体"/>
                <w:sz w:val="20"/>
              </w:rPr>
              <w:t>79</w:t>
            </w:r>
          </w:p>
        </w:tc>
        <w:tc>
          <w:tcPr>
            <w:tcW w:w="3381"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检品剔废烫金机</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0"/>
              <w:jc w:val="center"/>
              <w:rPr>
                <w:rFonts w:ascii="宋体" w:hAnsi="宋体" w:cs="宋体" w:eastAsia="宋体" w:hint="default"/>
                <w:sz w:val="20"/>
                <w:szCs w:val="20"/>
              </w:rPr>
            </w:pPr>
            <w:r>
              <w:rPr>
                <w:rFonts w:ascii="宋体" w:hAnsi="宋体" w:cs="宋体" w:eastAsia="宋体" w:hint="default"/>
                <w:sz w:val="20"/>
                <w:szCs w:val="20"/>
              </w:rPr>
              <w:t>实用新型</w:t>
            </w:r>
          </w:p>
        </w:tc>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44"/>
              <w:jc w:val="right"/>
              <w:rPr>
                <w:rFonts w:ascii="宋体" w:hAnsi="宋体" w:cs="宋体" w:eastAsia="宋体" w:hint="default"/>
                <w:sz w:val="20"/>
                <w:szCs w:val="20"/>
              </w:rPr>
            </w:pPr>
            <w:r>
              <w:rPr>
                <w:rFonts w:ascii="宋体"/>
                <w:spacing w:val="-1"/>
                <w:sz w:val="20"/>
              </w:rPr>
              <w:t>201820216018.9</w:t>
            </w: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85"/>
              <w:jc w:val="right"/>
              <w:rPr>
                <w:rFonts w:ascii="宋体" w:hAnsi="宋体" w:cs="宋体" w:eastAsia="宋体" w:hint="default"/>
                <w:sz w:val="20"/>
                <w:szCs w:val="20"/>
              </w:rPr>
            </w:pPr>
            <w:r>
              <w:rPr>
                <w:rFonts w:ascii="宋体" w:hAnsi="宋体" w:cs="宋体" w:eastAsia="宋体" w:hint="default"/>
                <w:sz w:val="20"/>
                <w:szCs w:val="20"/>
              </w:rPr>
              <w:t>2018</w:t>
            </w:r>
            <w:r>
              <w:rPr>
                <w:rFonts w:ascii="宋体" w:hAnsi="宋体" w:cs="宋体" w:eastAsia="宋体" w:hint="default"/>
                <w:spacing w:val="-51"/>
                <w:sz w:val="20"/>
                <w:szCs w:val="20"/>
              </w:rPr>
              <w:t> </w:t>
            </w:r>
            <w:r>
              <w:rPr>
                <w:rFonts w:ascii="宋体" w:hAnsi="宋体" w:cs="宋体" w:eastAsia="宋体" w:hint="default"/>
                <w:sz w:val="20"/>
                <w:szCs w:val="20"/>
              </w:rPr>
              <w:t>年</w:t>
            </w:r>
            <w:r>
              <w:rPr>
                <w:rFonts w:ascii="宋体" w:hAnsi="宋体" w:cs="宋体" w:eastAsia="宋体" w:hint="default"/>
                <w:spacing w:val="-50"/>
                <w:sz w:val="20"/>
                <w:szCs w:val="20"/>
              </w:rPr>
              <w:t> </w:t>
            </w:r>
            <w:r>
              <w:rPr>
                <w:rFonts w:ascii="宋体" w:hAnsi="宋体" w:cs="宋体" w:eastAsia="宋体" w:hint="default"/>
                <w:sz w:val="20"/>
                <w:szCs w:val="20"/>
              </w:rPr>
              <w:t>02</w:t>
            </w:r>
            <w:r>
              <w:rPr>
                <w:rFonts w:ascii="宋体" w:hAnsi="宋体" w:cs="宋体" w:eastAsia="宋体" w:hint="default"/>
                <w:spacing w:val="-51"/>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宋体" w:hAnsi="宋体" w:cs="宋体" w:eastAsia="宋体" w:hint="default"/>
                <w:sz w:val="20"/>
                <w:szCs w:val="20"/>
              </w:rPr>
              <w:t>07</w:t>
            </w:r>
            <w:r>
              <w:rPr>
                <w:rFonts w:ascii="宋体" w:hAnsi="宋体" w:cs="宋体" w:eastAsia="宋体" w:hint="default"/>
                <w:spacing w:val="-49"/>
                <w:sz w:val="20"/>
                <w:szCs w:val="20"/>
              </w:rPr>
              <w:t> </w:t>
            </w:r>
            <w:r>
              <w:rPr>
                <w:rFonts w:ascii="宋体" w:hAnsi="宋体" w:cs="宋体" w:eastAsia="宋体" w:hint="default"/>
                <w:sz w:val="20"/>
                <w:szCs w:val="20"/>
              </w:rPr>
              <w:t>日</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江苏劲嘉</w:t>
            </w:r>
          </w:p>
        </w:tc>
      </w:tr>
      <w:tr>
        <w:trPr>
          <w:trHeight w:val="371" w:hRule="exact"/>
        </w:trPr>
        <w:tc>
          <w:tcPr>
            <w:tcW w:w="556"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 w:right="0"/>
              <w:jc w:val="center"/>
              <w:rPr>
                <w:rFonts w:ascii="宋体" w:hAnsi="宋体" w:cs="宋体" w:eastAsia="宋体" w:hint="default"/>
                <w:sz w:val="20"/>
                <w:szCs w:val="20"/>
              </w:rPr>
            </w:pPr>
            <w:r>
              <w:rPr>
                <w:rFonts w:ascii="宋体"/>
                <w:sz w:val="20"/>
              </w:rPr>
              <w:t>80</w:t>
            </w:r>
          </w:p>
        </w:tc>
        <w:tc>
          <w:tcPr>
            <w:tcW w:w="338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0"/>
                <w:szCs w:val="20"/>
              </w:rPr>
            </w:pPr>
            <w:r>
              <w:rPr>
                <w:rFonts w:ascii="宋体" w:hAnsi="宋体" w:cs="宋体" w:eastAsia="宋体" w:hint="default"/>
                <w:sz w:val="20"/>
                <w:szCs w:val="20"/>
              </w:rPr>
              <w:t>检品剔废装置</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0"/>
              <w:jc w:val="center"/>
              <w:rPr>
                <w:rFonts w:ascii="宋体" w:hAnsi="宋体" w:cs="宋体" w:eastAsia="宋体" w:hint="default"/>
                <w:sz w:val="20"/>
                <w:szCs w:val="20"/>
              </w:rPr>
            </w:pPr>
            <w:r>
              <w:rPr>
                <w:rFonts w:ascii="宋体" w:hAnsi="宋体" w:cs="宋体" w:eastAsia="宋体" w:hint="default"/>
                <w:sz w:val="20"/>
                <w:szCs w:val="20"/>
              </w:rPr>
              <w:t>实用新型</w:t>
            </w:r>
          </w:p>
        </w:tc>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144"/>
              <w:jc w:val="right"/>
              <w:rPr>
                <w:rFonts w:ascii="宋体" w:hAnsi="宋体" w:cs="宋体" w:eastAsia="宋体" w:hint="default"/>
                <w:sz w:val="20"/>
                <w:szCs w:val="20"/>
              </w:rPr>
            </w:pPr>
            <w:r>
              <w:rPr>
                <w:rFonts w:ascii="宋体"/>
                <w:spacing w:val="-1"/>
                <w:sz w:val="20"/>
              </w:rPr>
              <w:t>201820214333.8</w:t>
            </w: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185"/>
              <w:jc w:val="right"/>
              <w:rPr>
                <w:rFonts w:ascii="宋体" w:hAnsi="宋体" w:cs="宋体" w:eastAsia="宋体" w:hint="default"/>
                <w:sz w:val="20"/>
                <w:szCs w:val="20"/>
              </w:rPr>
            </w:pPr>
            <w:r>
              <w:rPr>
                <w:rFonts w:ascii="宋体" w:hAnsi="宋体" w:cs="宋体" w:eastAsia="宋体" w:hint="default"/>
                <w:sz w:val="20"/>
                <w:szCs w:val="20"/>
              </w:rPr>
              <w:t>2018</w:t>
            </w:r>
            <w:r>
              <w:rPr>
                <w:rFonts w:ascii="宋体" w:hAnsi="宋体" w:cs="宋体" w:eastAsia="宋体" w:hint="default"/>
                <w:spacing w:val="-51"/>
                <w:sz w:val="20"/>
                <w:szCs w:val="20"/>
              </w:rPr>
              <w:t> </w:t>
            </w:r>
            <w:r>
              <w:rPr>
                <w:rFonts w:ascii="宋体" w:hAnsi="宋体" w:cs="宋体" w:eastAsia="宋体" w:hint="default"/>
                <w:sz w:val="20"/>
                <w:szCs w:val="20"/>
              </w:rPr>
              <w:t>年</w:t>
            </w:r>
            <w:r>
              <w:rPr>
                <w:rFonts w:ascii="宋体" w:hAnsi="宋体" w:cs="宋体" w:eastAsia="宋体" w:hint="default"/>
                <w:spacing w:val="-50"/>
                <w:sz w:val="20"/>
                <w:szCs w:val="20"/>
              </w:rPr>
              <w:t> </w:t>
            </w:r>
            <w:r>
              <w:rPr>
                <w:rFonts w:ascii="宋体" w:hAnsi="宋体" w:cs="宋体" w:eastAsia="宋体" w:hint="default"/>
                <w:sz w:val="20"/>
                <w:szCs w:val="20"/>
              </w:rPr>
              <w:t>02</w:t>
            </w:r>
            <w:r>
              <w:rPr>
                <w:rFonts w:ascii="宋体" w:hAnsi="宋体" w:cs="宋体" w:eastAsia="宋体" w:hint="default"/>
                <w:spacing w:val="-51"/>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宋体" w:hAnsi="宋体" w:cs="宋体" w:eastAsia="宋体" w:hint="default"/>
                <w:sz w:val="20"/>
                <w:szCs w:val="20"/>
              </w:rPr>
              <w:t>07</w:t>
            </w:r>
            <w:r>
              <w:rPr>
                <w:rFonts w:ascii="宋体" w:hAnsi="宋体" w:cs="宋体" w:eastAsia="宋体" w:hint="default"/>
                <w:spacing w:val="-49"/>
                <w:sz w:val="20"/>
                <w:szCs w:val="20"/>
              </w:rPr>
              <w:t> </w:t>
            </w:r>
            <w:r>
              <w:rPr>
                <w:rFonts w:ascii="宋体" w:hAnsi="宋体" w:cs="宋体" w:eastAsia="宋体" w:hint="default"/>
                <w:sz w:val="20"/>
                <w:szCs w:val="20"/>
              </w:rPr>
              <w:t>日</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0"/>
                <w:szCs w:val="20"/>
              </w:rPr>
            </w:pPr>
            <w:r>
              <w:rPr>
                <w:rFonts w:ascii="宋体" w:hAnsi="宋体" w:cs="宋体" w:eastAsia="宋体" w:hint="default"/>
                <w:sz w:val="20"/>
                <w:szCs w:val="20"/>
              </w:rPr>
              <w:t>江苏劲嘉</w:t>
            </w:r>
          </w:p>
        </w:tc>
      </w:tr>
      <w:tr>
        <w:trPr>
          <w:trHeight w:val="370" w:hRule="exact"/>
        </w:trPr>
        <w:tc>
          <w:tcPr>
            <w:tcW w:w="55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 w:right="0"/>
              <w:jc w:val="center"/>
              <w:rPr>
                <w:rFonts w:ascii="宋体" w:hAnsi="宋体" w:cs="宋体" w:eastAsia="宋体" w:hint="default"/>
                <w:sz w:val="20"/>
                <w:szCs w:val="20"/>
              </w:rPr>
            </w:pPr>
            <w:r>
              <w:rPr>
                <w:rFonts w:ascii="宋体"/>
                <w:sz w:val="20"/>
              </w:rPr>
              <w:t>81</w:t>
            </w:r>
          </w:p>
        </w:tc>
        <w:tc>
          <w:tcPr>
            <w:tcW w:w="3381"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新型补压模切机</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0"/>
              <w:jc w:val="center"/>
              <w:rPr>
                <w:rFonts w:ascii="宋体" w:hAnsi="宋体" w:cs="宋体" w:eastAsia="宋体" w:hint="default"/>
                <w:sz w:val="20"/>
                <w:szCs w:val="20"/>
              </w:rPr>
            </w:pPr>
            <w:r>
              <w:rPr>
                <w:rFonts w:ascii="宋体" w:hAnsi="宋体" w:cs="宋体" w:eastAsia="宋体" w:hint="default"/>
                <w:sz w:val="20"/>
                <w:szCs w:val="20"/>
              </w:rPr>
              <w:t>实用新型</w:t>
            </w:r>
          </w:p>
        </w:tc>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44"/>
              <w:jc w:val="right"/>
              <w:rPr>
                <w:rFonts w:ascii="宋体" w:hAnsi="宋体" w:cs="宋体" w:eastAsia="宋体" w:hint="default"/>
                <w:sz w:val="20"/>
                <w:szCs w:val="20"/>
              </w:rPr>
            </w:pPr>
            <w:r>
              <w:rPr>
                <w:rFonts w:ascii="宋体"/>
                <w:spacing w:val="-1"/>
                <w:sz w:val="20"/>
              </w:rPr>
              <w:t>201820441206.1</w:t>
            </w: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85"/>
              <w:jc w:val="right"/>
              <w:rPr>
                <w:rFonts w:ascii="宋体" w:hAnsi="宋体" w:cs="宋体" w:eastAsia="宋体" w:hint="default"/>
                <w:sz w:val="20"/>
                <w:szCs w:val="20"/>
              </w:rPr>
            </w:pPr>
            <w:r>
              <w:rPr>
                <w:rFonts w:ascii="宋体" w:hAnsi="宋体" w:cs="宋体" w:eastAsia="宋体" w:hint="default"/>
                <w:sz w:val="20"/>
                <w:szCs w:val="20"/>
              </w:rPr>
              <w:t>2018</w:t>
            </w:r>
            <w:r>
              <w:rPr>
                <w:rFonts w:ascii="宋体" w:hAnsi="宋体" w:cs="宋体" w:eastAsia="宋体" w:hint="default"/>
                <w:spacing w:val="-51"/>
                <w:sz w:val="20"/>
                <w:szCs w:val="20"/>
              </w:rPr>
              <w:t> </w:t>
            </w:r>
            <w:r>
              <w:rPr>
                <w:rFonts w:ascii="宋体" w:hAnsi="宋体" w:cs="宋体" w:eastAsia="宋体" w:hint="default"/>
                <w:sz w:val="20"/>
                <w:szCs w:val="20"/>
              </w:rPr>
              <w:t>年</w:t>
            </w:r>
            <w:r>
              <w:rPr>
                <w:rFonts w:ascii="宋体" w:hAnsi="宋体" w:cs="宋体" w:eastAsia="宋体" w:hint="default"/>
                <w:spacing w:val="-50"/>
                <w:sz w:val="20"/>
                <w:szCs w:val="20"/>
              </w:rPr>
              <w:t> </w:t>
            </w:r>
            <w:r>
              <w:rPr>
                <w:rFonts w:ascii="宋体" w:hAnsi="宋体" w:cs="宋体" w:eastAsia="宋体" w:hint="default"/>
                <w:sz w:val="20"/>
                <w:szCs w:val="20"/>
              </w:rPr>
              <w:t>03</w:t>
            </w:r>
            <w:r>
              <w:rPr>
                <w:rFonts w:ascii="宋体" w:hAnsi="宋体" w:cs="宋体" w:eastAsia="宋体" w:hint="default"/>
                <w:spacing w:val="-51"/>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宋体" w:hAnsi="宋体" w:cs="宋体" w:eastAsia="宋体" w:hint="default"/>
                <w:sz w:val="20"/>
                <w:szCs w:val="20"/>
              </w:rPr>
              <w:t>30</w:t>
            </w:r>
            <w:r>
              <w:rPr>
                <w:rFonts w:ascii="宋体" w:hAnsi="宋体" w:cs="宋体" w:eastAsia="宋体" w:hint="default"/>
                <w:spacing w:val="-49"/>
                <w:sz w:val="20"/>
                <w:szCs w:val="20"/>
              </w:rPr>
              <w:t> </w:t>
            </w:r>
            <w:r>
              <w:rPr>
                <w:rFonts w:ascii="宋体" w:hAnsi="宋体" w:cs="宋体" w:eastAsia="宋体" w:hint="default"/>
                <w:sz w:val="20"/>
                <w:szCs w:val="20"/>
              </w:rPr>
              <w:t>日</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江苏劲嘉</w:t>
            </w:r>
          </w:p>
        </w:tc>
      </w:tr>
      <w:tr>
        <w:trPr>
          <w:trHeight w:val="370" w:hRule="exact"/>
        </w:trPr>
        <w:tc>
          <w:tcPr>
            <w:tcW w:w="55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 w:right="0"/>
              <w:jc w:val="center"/>
              <w:rPr>
                <w:rFonts w:ascii="宋体" w:hAnsi="宋体" w:cs="宋体" w:eastAsia="宋体" w:hint="default"/>
                <w:sz w:val="20"/>
                <w:szCs w:val="20"/>
              </w:rPr>
            </w:pPr>
            <w:r>
              <w:rPr>
                <w:rFonts w:ascii="宋体"/>
                <w:sz w:val="20"/>
              </w:rPr>
              <w:t>82</w:t>
            </w:r>
          </w:p>
        </w:tc>
        <w:tc>
          <w:tcPr>
            <w:tcW w:w="3381"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盒体与盒盖快速粘合固定设备</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0"/>
              <w:jc w:val="center"/>
              <w:rPr>
                <w:rFonts w:ascii="宋体" w:hAnsi="宋体" w:cs="宋体" w:eastAsia="宋体" w:hint="default"/>
                <w:sz w:val="20"/>
                <w:szCs w:val="20"/>
              </w:rPr>
            </w:pPr>
            <w:r>
              <w:rPr>
                <w:rFonts w:ascii="宋体" w:hAnsi="宋体" w:cs="宋体" w:eastAsia="宋体" w:hint="default"/>
                <w:sz w:val="20"/>
                <w:szCs w:val="20"/>
              </w:rPr>
              <w:t>实用新型</w:t>
            </w:r>
          </w:p>
        </w:tc>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44"/>
              <w:jc w:val="right"/>
              <w:rPr>
                <w:rFonts w:ascii="宋体" w:hAnsi="宋体" w:cs="宋体" w:eastAsia="宋体" w:hint="default"/>
                <w:sz w:val="20"/>
                <w:szCs w:val="20"/>
              </w:rPr>
            </w:pPr>
            <w:r>
              <w:rPr>
                <w:rFonts w:ascii="宋体"/>
                <w:spacing w:val="-1"/>
                <w:sz w:val="20"/>
              </w:rPr>
              <w:t>201820605818.X</w:t>
            </w: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85"/>
              <w:jc w:val="right"/>
              <w:rPr>
                <w:rFonts w:ascii="宋体" w:hAnsi="宋体" w:cs="宋体" w:eastAsia="宋体" w:hint="default"/>
                <w:sz w:val="20"/>
                <w:szCs w:val="20"/>
              </w:rPr>
            </w:pPr>
            <w:r>
              <w:rPr>
                <w:rFonts w:ascii="宋体" w:hAnsi="宋体" w:cs="宋体" w:eastAsia="宋体" w:hint="default"/>
                <w:sz w:val="20"/>
                <w:szCs w:val="20"/>
              </w:rPr>
              <w:t>2018</w:t>
            </w:r>
            <w:r>
              <w:rPr>
                <w:rFonts w:ascii="宋体" w:hAnsi="宋体" w:cs="宋体" w:eastAsia="宋体" w:hint="default"/>
                <w:spacing w:val="-51"/>
                <w:sz w:val="20"/>
                <w:szCs w:val="20"/>
              </w:rPr>
              <w:t> </w:t>
            </w:r>
            <w:r>
              <w:rPr>
                <w:rFonts w:ascii="宋体" w:hAnsi="宋体" w:cs="宋体" w:eastAsia="宋体" w:hint="default"/>
                <w:sz w:val="20"/>
                <w:szCs w:val="20"/>
              </w:rPr>
              <w:t>年</w:t>
            </w:r>
            <w:r>
              <w:rPr>
                <w:rFonts w:ascii="宋体" w:hAnsi="宋体" w:cs="宋体" w:eastAsia="宋体" w:hint="default"/>
                <w:spacing w:val="-50"/>
                <w:sz w:val="20"/>
                <w:szCs w:val="20"/>
              </w:rPr>
              <w:t> </w:t>
            </w:r>
            <w:r>
              <w:rPr>
                <w:rFonts w:ascii="宋体" w:hAnsi="宋体" w:cs="宋体" w:eastAsia="宋体" w:hint="default"/>
                <w:sz w:val="20"/>
                <w:szCs w:val="20"/>
              </w:rPr>
              <w:t>04</w:t>
            </w:r>
            <w:r>
              <w:rPr>
                <w:rFonts w:ascii="宋体" w:hAnsi="宋体" w:cs="宋体" w:eastAsia="宋体" w:hint="default"/>
                <w:spacing w:val="-51"/>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宋体" w:hAnsi="宋体" w:cs="宋体" w:eastAsia="宋体" w:hint="default"/>
                <w:sz w:val="20"/>
                <w:szCs w:val="20"/>
              </w:rPr>
              <w:t>26</w:t>
            </w:r>
            <w:r>
              <w:rPr>
                <w:rFonts w:ascii="宋体" w:hAnsi="宋体" w:cs="宋体" w:eastAsia="宋体" w:hint="default"/>
                <w:spacing w:val="-49"/>
                <w:sz w:val="20"/>
                <w:szCs w:val="20"/>
              </w:rPr>
              <w:t> </w:t>
            </w:r>
            <w:r>
              <w:rPr>
                <w:rFonts w:ascii="宋体" w:hAnsi="宋体" w:cs="宋体" w:eastAsia="宋体" w:hint="default"/>
                <w:sz w:val="20"/>
                <w:szCs w:val="20"/>
              </w:rPr>
              <w:t>日</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江苏劲嘉</w:t>
            </w:r>
          </w:p>
        </w:tc>
      </w:tr>
      <w:tr>
        <w:trPr>
          <w:trHeight w:val="371" w:hRule="exact"/>
        </w:trPr>
        <w:tc>
          <w:tcPr>
            <w:tcW w:w="556"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 w:right="0"/>
              <w:jc w:val="center"/>
              <w:rPr>
                <w:rFonts w:ascii="宋体" w:hAnsi="宋体" w:cs="宋体" w:eastAsia="宋体" w:hint="default"/>
                <w:sz w:val="20"/>
                <w:szCs w:val="20"/>
              </w:rPr>
            </w:pPr>
            <w:r>
              <w:rPr>
                <w:rFonts w:ascii="宋体"/>
                <w:sz w:val="20"/>
              </w:rPr>
              <w:t>83</w:t>
            </w:r>
          </w:p>
        </w:tc>
        <w:tc>
          <w:tcPr>
            <w:tcW w:w="338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0"/>
                <w:szCs w:val="20"/>
              </w:rPr>
            </w:pPr>
            <w:r>
              <w:rPr>
                <w:rFonts w:ascii="宋体" w:hAnsi="宋体" w:cs="宋体" w:eastAsia="宋体" w:hint="default"/>
                <w:sz w:val="20"/>
                <w:szCs w:val="20"/>
              </w:rPr>
              <w:t>烟标</w:t>
            </w:r>
            <w:r>
              <w:rPr>
                <w:rFonts w:ascii="宋体" w:hAnsi="宋体" w:cs="宋体" w:eastAsia="宋体" w:hint="default"/>
                <w:spacing w:val="-53"/>
                <w:sz w:val="20"/>
                <w:szCs w:val="20"/>
              </w:rPr>
              <w:t> </w:t>
            </w:r>
            <w:r>
              <w:rPr>
                <w:rFonts w:ascii="宋体" w:hAnsi="宋体" w:cs="宋体" w:eastAsia="宋体" w:hint="default"/>
                <w:sz w:val="20"/>
                <w:szCs w:val="20"/>
              </w:rPr>
              <w:t>7</w:t>
            </w:r>
            <w:r>
              <w:rPr>
                <w:rFonts w:ascii="宋体" w:hAnsi="宋体" w:cs="宋体" w:eastAsia="宋体" w:hint="default"/>
                <w:spacing w:val="-51"/>
                <w:sz w:val="20"/>
                <w:szCs w:val="20"/>
              </w:rPr>
              <w:t> </w:t>
            </w:r>
            <w:r>
              <w:rPr>
                <w:rFonts w:ascii="宋体" w:hAnsi="宋体" w:cs="宋体" w:eastAsia="宋体" w:hint="default"/>
                <w:sz w:val="20"/>
                <w:szCs w:val="20"/>
              </w:rPr>
              <w:t>字刀</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0"/>
              <w:jc w:val="center"/>
              <w:rPr>
                <w:rFonts w:ascii="宋体" w:hAnsi="宋体" w:cs="宋体" w:eastAsia="宋体" w:hint="default"/>
                <w:sz w:val="20"/>
                <w:szCs w:val="20"/>
              </w:rPr>
            </w:pPr>
            <w:r>
              <w:rPr>
                <w:rFonts w:ascii="宋体" w:hAnsi="宋体" w:cs="宋体" w:eastAsia="宋体" w:hint="default"/>
                <w:sz w:val="20"/>
                <w:szCs w:val="20"/>
              </w:rPr>
              <w:t>实用新型</w:t>
            </w:r>
          </w:p>
        </w:tc>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144"/>
              <w:jc w:val="right"/>
              <w:rPr>
                <w:rFonts w:ascii="宋体" w:hAnsi="宋体" w:cs="宋体" w:eastAsia="宋体" w:hint="default"/>
                <w:sz w:val="20"/>
                <w:szCs w:val="20"/>
              </w:rPr>
            </w:pPr>
            <w:r>
              <w:rPr>
                <w:rFonts w:ascii="宋体"/>
                <w:spacing w:val="-1"/>
                <w:sz w:val="20"/>
              </w:rPr>
              <w:t>201821415879.6</w:t>
            </w: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185"/>
              <w:jc w:val="right"/>
              <w:rPr>
                <w:rFonts w:ascii="宋体" w:hAnsi="宋体" w:cs="宋体" w:eastAsia="宋体" w:hint="default"/>
                <w:sz w:val="20"/>
                <w:szCs w:val="20"/>
              </w:rPr>
            </w:pPr>
            <w:r>
              <w:rPr>
                <w:rFonts w:ascii="宋体" w:hAnsi="宋体" w:cs="宋体" w:eastAsia="宋体" w:hint="default"/>
                <w:sz w:val="20"/>
                <w:szCs w:val="20"/>
              </w:rPr>
              <w:t>2018</w:t>
            </w:r>
            <w:r>
              <w:rPr>
                <w:rFonts w:ascii="宋体" w:hAnsi="宋体" w:cs="宋体" w:eastAsia="宋体" w:hint="default"/>
                <w:spacing w:val="-51"/>
                <w:sz w:val="20"/>
                <w:szCs w:val="20"/>
              </w:rPr>
              <w:t> </w:t>
            </w:r>
            <w:r>
              <w:rPr>
                <w:rFonts w:ascii="宋体" w:hAnsi="宋体" w:cs="宋体" w:eastAsia="宋体" w:hint="default"/>
                <w:sz w:val="20"/>
                <w:szCs w:val="20"/>
              </w:rPr>
              <w:t>年</w:t>
            </w:r>
            <w:r>
              <w:rPr>
                <w:rFonts w:ascii="宋体" w:hAnsi="宋体" w:cs="宋体" w:eastAsia="宋体" w:hint="default"/>
                <w:spacing w:val="-50"/>
                <w:sz w:val="20"/>
                <w:szCs w:val="20"/>
              </w:rPr>
              <w:t> </w:t>
            </w:r>
            <w:r>
              <w:rPr>
                <w:rFonts w:ascii="宋体" w:hAnsi="宋体" w:cs="宋体" w:eastAsia="宋体" w:hint="default"/>
                <w:sz w:val="20"/>
                <w:szCs w:val="20"/>
              </w:rPr>
              <w:t>08</w:t>
            </w:r>
            <w:r>
              <w:rPr>
                <w:rFonts w:ascii="宋体" w:hAnsi="宋体" w:cs="宋体" w:eastAsia="宋体" w:hint="default"/>
                <w:spacing w:val="-51"/>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宋体" w:hAnsi="宋体" w:cs="宋体" w:eastAsia="宋体" w:hint="default"/>
                <w:sz w:val="20"/>
                <w:szCs w:val="20"/>
              </w:rPr>
              <w:t>31</w:t>
            </w:r>
            <w:r>
              <w:rPr>
                <w:rFonts w:ascii="宋体" w:hAnsi="宋体" w:cs="宋体" w:eastAsia="宋体" w:hint="default"/>
                <w:spacing w:val="-49"/>
                <w:sz w:val="20"/>
                <w:szCs w:val="20"/>
              </w:rPr>
              <w:t> </w:t>
            </w:r>
            <w:r>
              <w:rPr>
                <w:rFonts w:ascii="宋体" w:hAnsi="宋体" w:cs="宋体" w:eastAsia="宋体" w:hint="default"/>
                <w:sz w:val="20"/>
                <w:szCs w:val="20"/>
              </w:rPr>
              <w:t>日</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0"/>
                <w:szCs w:val="20"/>
              </w:rPr>
            </w:pPr>
            <w:r>
              <w:rPr>
                <w:rFonts w:ascii="宋体" w:hAnsi="宋体" w:cs="宋体" w:eastAsia="宋体" w:hint="default"/>
                <w:sz w:val="20"/>
                <w:szCs w:val="20"/>
              </w:rPr>
              <w:t>江苏劲嘉</w:t>
            </w:r>
          </w:p>
        </w:tc>
      </w:tr>
      <w:tr>
        <w:trPr>
          <w:trHeight w:val="370" w:hRule="exact"/>
        </w:trPr>
        <w:tc>
          <w:tcPr>
            <w:tcW w:w="55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 w:right="0"/>
              <w:jc w:val="center"/>
              <w:rPr>
                <w:rFonts w:ascii="宋体" w:hAnsi="宋体" w:cs="宋体" w:eastAsia="宋体" w:hint="default"/>
                <w:sz w:val="20"/>
                <w:szCs w:val="20"/>
              </w:rPr>
            </w:pPr>
            <w:r>
              <w:rPr>
                <w:rFonts w:ascii="宋体"/>
                <w:sz w:val="20"/>
              </w:rPr>
              <w:t>84</w:t>
            </w:r>
          </w:p>
        </w:tc>
        <w:tc>
          <w:tcPr>
            <w:tcW w:w="3381"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凹印甩墨装置</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0"/>
              <w:jc w:val="center"/>
              <w:rPr>
                <w:rFonts w:ascii="宋体" w:hAnsi="宋体" w:cs="宋体" w:eastAsia="宋体" w:hint="default"/>
                <w:sz w:val="20"/>
                <w:szCs w:val="20"/>
              </w:rPr>
            </w:pPr>
            <w:r>
              <w:rPr>
                <w:rFonts w:ascii="宋体" w:hAnsi="宋体" w:cs="宋体" w:eastAsia="宋体" w:hint="default"/>
                <w:sz w:val="20"/>
                <w:szCs w:val="20"/>
              </w:rPr>
              <w:t>实用新型</w:t>
            </w:r>
          </w:p>
        </w:tc>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44"/>
              <w:jc w:val="right"/>
              <w:rPr>
                <w:rFonts w:ascii="宋体" w:hAnsi="宋体" w:cs="宋体" w:eastAsia="宋体" w:hint="default"/>
                <w:sz w:val="20"/>
                <w:szCs w:val="20"/>
              </w:rPr>
            </w:pPr>
            <w:r>
              <w:rPr>
                <w:rFonts w:ascii="宋体"/>
                <w:spacing w:val="-1"/>
                <w:sz w:val="20"/>
              </w:rPr>
              <w:t>201821658251.9</w:t>
            </w: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85"/>
              <w:jc w:val="right"/>
              <w:rPr>
                <w:rFonts w:ascii="宋体" w:hAnsi="宋体" w:cs="宋体" w:eastAsia="宋体" w:hint="default"/>
                <w:sz w:val="20"/>
                <w:szCs w:val="20"/>
              </w:rPr>
            </w:pPr>
            <w:r>
              <w:rPr>
                <w:rFonts w:ascii="宋体" w:hAnsi="宋体" w:cs="宋体" w:eastAsia="宋体" w:hint="default"/>
                <w:sz w:val="20"/>
                <w:szCs w:val="20"/>
              </w:rPr>
              <w:t>2018</w:t>
            </w:r>
            <w:r>
              <w:rPr>
                <w:rFonts w:ascii="宋体" w:hAnsi="宋体" w:cs="宋体" w:eastAsia="宋体" w:hint="default"/>
                <w:spacing w:val="-51"/>
                <w:sz w:val="20"/>
                <w:szCs w:val="20"/>
              </w:rPr>
              <w:t> </w:t>
            </w:r>
            <w:r>
              <w:rPr>
                <w:rFonts w:ascii="宋体" w:hAnsi="宋体" w:cs="宋体" w:eastAsia="宋体" w:hint="default"/>
                <w:sz w:val="20"/>
                <w:szCs w:val="20"/>
              </w:rPr>
              <w:t>年</w:t>
            </w:r>
            <w:r>
              <w:rPr>
                <w:rFonts w:ascii="宋体" w:hAnsi="宋体" w:cs="宋体" w:eastAsia="宋体" w:hint="default"/>
                <w:spacing w:val="-50"/>
                <w:sz w:val="20"/>
                <w:szCs w:val="20"/>
              </w:rPr>
              <w:t> </w:t>
            </w:r>
            <w:r>
              <w:rPr>
                <w:rFonts w:ascii="宋体" w:hAnsi="宋体" w:cs="宋体" w:eastAsia="宋体" w:hint="default"/>
                <w:sz w:val="20"/>
                <w:szCs w:val="20"/>
              </w:rPr>
              <w:t>10</w:t>
            </w:r>
            <w:r>
              <w:rPr>
                <w:rFonts w:ascii="宋体" w:hAnsi="宋体" w:cs="宋体" w:eastAsia="宋体" w:hint="default"/>
                <w:spacing w:val="-51"/>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宋体" w:hAnsi="宋体" w:cs="宋体" w:eastAsia="宋体" w:hint="default"/>
                <w:sz w:val="20"/>
                <w:szCs w:val="20"/>
              </w:rPr>
              <w:t>12</w:t>
            </w:r>
            <w:r>
              <w:rPr>
                <w:rFonts w:ascii="宋体" w:hAnsi="宋体" w:cs="宋体" w:eastAsia="宋体" w:hint="default"/>
                <w:spacing w:val="-49"/>
                <w:sz w:val="20"/>
                <w:szCs w:val="20"/>
              </w:rPr>
              <w:t> </w:t>
            </w:r>
            <w:r>
              <w:rPr>
                <w:rFonts w:ascii="宋体" w:hAnsi="宋体" w:cs="宋体" w:eastAsia="宋体" w:hint="default"/>
                <w:sz w:val="20"/>
                <w:szCs w:val="20"/>
              </w:rPr>
              <w:t>日</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江苏劲嘉</w:t>
            </w:r>
          </w:p>
        </w:tc>
      </w:tr>
      <w:tr>
        <w:trPr>
          <w:trHeight w:val="370" w:hRule="exact"/>
        </w:trPr>
        <w:tc>
          <w:tcPr>
            <w:tcW w:w="55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 w:right="0"/>
              <w:jc w:val="center"/>
              <w:rPr>
                <w:rFonts w:ascii="宋体" w:hAnsi="宋体" w:cs="宋体" w:eastAsia="宋体" w:hint="default"/>
                <w:sz w:val="20"/>
                <w:szCs w:val="20"/>
              </w:rPr>
            </w:pPr>
            <w:r>
              <w:rPr>
                <w:rFonts w:ascii="宋体"/>
                <w:sz w:val="20"/>
              </w:rPr>
              <w:t>85</w:t>
            </w:r>
          </w:p>
        </w:tc>
        <w:tc>
          <w:tcPr>
            <w:tcW w:w="3381"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一种便捷式多功能油墨搅拌装置</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0"/>
              <w:jc w:val="center"/>
              <w:rPr>
                <w:rFonts w:ascii="宋体" w:hAnsi="宋体" w:cs="宋体" w:eastAsia="宋体" w:hint="default"/>
                <w:sz w:val="20"/>
                <w:szCs w:val="20"/>
              </w:rPr>
            </w:pPr>
            <w:r>
              <w:rPr>
                <w:rFonts w:ascii="宋体" w:hAnsi="宋体" w:cs="宋体" w:eastAsia="宋体" w:hint="default"/>
                <w:sz w:val="20"/>
                <w:szCs w:val="20"/>
              </w:rPr>
              <w:t>实用新型</w:t>
            </w:r>
          </w:p>
        </w:tc>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44"/>
              <w:jc w:val="right"/>
              <w:rPr>
                <w:rFonts w:ascii="宋体" w:hAnsi="宋体" w:cs="宋体" w:eastAsia="宋体" w:hint="default"/>
                <w:sz w:val="20"/>
                <w:szCs w:val="20"/>
              </w:rPr>
            </w:pPr>
            <w:r>
              <w:rPr>
                <w:rFonts w:ascii="宋体"/>
                <w:spacing w:val="-1"/>
                <w:sz w:val="20"/>
              </w:rPr>
              <w:t>201820911566.3</w:t>
            </w: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85"/>
              <w:jc w:val="right"/>
              <w:rPr>
                <w:rFonts w:ascii="宋体" w:hAnsi="宋体" w:cs="宋体" w:eastAsia="宋体" w:hint="default"/>
                <w:sz w:val="20"/>
                <w:szCs w:val="20"/>
              </w:rPr>
            </w:pPr>
            <w:r>
              <w:rPr>
                <w:rFonts w:ascii="宋体" w:hAnsi="宋体" w:cs="宋体" w:eastAsia="宋体" w:hint="default"/>
                <w:sz w:val="20"/>
                <w:szCs w:val="20"/>
              </w:rPr>
              <w:t>2018</w:t>
            </w:r>
            <w:r>
              <w:rPr>
                <w:rFonts w:ascii="宋体" w:hAnsi="宋体" w:cs="宋体" w:eastAsia="宋体" w:hint="default"/>
                <w:spacing w:val="-51"/>
                <w:sz w:val="20"/>
                <w:szCs w:val="20"/>
              </w:rPr>
              <w:t> </w:t>
            </w:r>
            <w:r>
              <w:rPr>
                <w:rFonts w:ascii="宋体" w:hAnsi="宋体" w:cs="宋体" w:eastAsia="宋体" w:hint="default"/>
                <w:sz w:val="20"/>
                <w:szCs w:val="20"/>
              </w:rPr>
              <w:t>年</w:t>
            </w:r>
            <w:r>
              <w:rPr>
                <w:rFonts w:ascii="宋体" w:hAnsi="宋体" w:cs="宋体" w:eastAsia="宋体" w:hint="default"/>
                <w:spacing w:val="-50"/>
                <w:sz w:val="20"/>
                <w:szCs w:val="20"/>
              </w:rPr>
              <w:t> </w:t>
            </w:r>
            <w:r>
              <w:rPr>
                <w:rFonts w:ascii="宋体" w:hAnsi="宋体" w:cs="宋体" w:eastAsia="宋体" w:hint="default"/>
                <w:sz w:val="20"/>
                <w:szCs w:val="20"/>
              </w:rPr>
              <w:t>06</w:t>
            </w:r>
            <w:r>
              <w:rPr>
                <w:rFonts w:ascii="宋体" w:hAnsi="宋体" w:cs="宋体" w:eastAsia="宋体" w:hint="default"/>
                <w:spacing w:val="-51"/>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宋体" w:hAnsi="宋体" w:cs="宋体" w:eastAsia="宋体" w:hint="default"/>
                <w:sz w:val="20"/>
                <w:szCs w:val="20"/>
              </w:rPr>
              <w:t>13</w:t>
            </w:r>
            <w:r>
              <w:rPr>
                <w:rFonts w:ascii="宋体" w:hAnsi="宋体" w:cs="宋体" w:eastAsia="宋体" w:hint="default"/>
                <w:spacing w:val="-49"/>
                <w:sz w:val="20"/>
                <w:szCs w:val="20"/>
              </w:rPr>
              <w:t> </w:t>
            </w:r>
            <w:r>
              <w:rPr>
                <w:rFonts w:ascii="宋体" w:hAnsi="宋体" w:cs="宋体" w:eastAsia="宋体" w:hint="default"/>
                <w:sz w:val="20"/>
                <w:szCs w:val="20"/>
              </w:rPr>
              <w:t>日</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江苏顺泰</w:t>
            </w:r>
          </w:p>
        </w:tc>
      </w:tr>
      <w:tr>
        <w:trPr>
          <w:trHeight w:val="371" w:hRule="exact"/>
        </w:trPr>
        <w:tc>
          <w:tcPr>
            <w:tcW w:w="556"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 w:right="0"/>
              <w:jc w:val="center"/>
              <w:rPr>
                <w:rFonts w:ascii="宋体" w:hAnsi="宋体" w:cs="宋体" w:eastAsia="宋体" w:hint="default"/>
                <w:sz w:val="20"/>
                <w:szCs w:val="20"/>
              </w:rPr>
            </w:pPr>
            <w:r>
              <w:rPr>
                <w:rFonts w:ascii="宋体"/>
                <w:sz w:val="20"/>
              </w:rPr>
              <w:t>86</w:t>
            </w:r>
          </w:p>
        </w:tc>
        <w:tc>
          <w:tcPr>
            <w:tcW w:w="338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0"/>
                <w:szCs w:val="20"/>
              </w:rPr>
            </w:pPr>
            <w:r>
              <w:rPr>
                <w:rFonts w:ascii="宋体" w:hAnsi="宋体" w:cs="宋体" w:eastAsia="宋体" w:hint="default"/>
                <w:sz w:val="20"/>
                <w:szCs w:val="20"/>
              </w:rPr>
              <w:t>一种多功能照明装置</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0"/>
              <w:jc w:val="center"/>
              <w:rPr>
                <w:rFonts w:ascii="宋体" w:hAnsi="宋体" w:cs="宋体" w:eastAsia="宋体" w:hint="default"/>
                <w:sz w:val="20"/>
                <w:szCs w:val="20"/>
              </w:rPr>
            </w:pPr>
            <w:r>
              <w:rPr>
                <w:rFonts w:ascii="宋体" w:hAnsi="宋体" w:cs="宋体" w:eastAsia="宋体" w:hint="default"/>
                <w:sz w:val="20"/>
                <w:szCs w:val="20"/>
              </w:rPr>
              <w:t>实用新型</w:t>
            </w:r>
          </w:p>
        </w:tc>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144"/>
              <w:jc w:val="right"/>
              <w:rPr>
                <w:rFonts w:ascii="宋体" w:hAnsi="宋体" w:cs="宋体" w:eastAsia="宋体" w:hint="default"/>
                <w:sz w:val="20"/>
                <w:szCs w:val="20"/>
              </w:rPr>
            </w:pPr>
            <w:r>
              <w:rPr>
                <w:rFonts w:ascii="宋体"/>
                <w:spacing w:val="-1"/>
                <w:sz w:val="20"/>
              </w:rPr>
              <w:t>201820920849.4</w:t>
            </w: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185"/>
              <w:jc w:val="right"/>
              <w:rPr>
                <w:rFonts w:ascii="宋体" w:hAnsi="宋体" w:cs="宋体" w:eastAsia="宋体" w:hint="default"/>
                <w:sz w:val="20"/>
                <w:szCs w:val="20"/>
              </w:rPr>
            </w:pPr>
            <w:r>
              <w:rPr>
                <w:rFonts w:ascii="宋体" w:hAnsi="宋体" w:cs="宋体" w:eastAsia="宋体" w:hint="default"/>
                <w:sz w:val="20"/>
                <w:szCs w:val="20"/>
              </w:rPr>
              <w:t>2018</w:t>
            </w:r>
            <w:r>
              <w:rPr>
                <w:rFonts w:ascii="宋体" w:hAnsi="宋体" w:cs="宋体" w:eastAsia="宋体" w:hint="default"/>
                <w:spacing w:val="-51"/>
                <w:sz w:val="20"/>
                <w:szCs w:val="20"/>
              </w:rPr>
              <w:t> </w:t>
            </w:r>
            <w:r>
              <w:rPr>
                <w:rFonts w:ascii="宋体" w:hAnsi="宋体" w:cs="宋体" w:eastAsia="宋体" w:hint="default"/>
                <w:sz w:val="20"/>
                <w:szCs w:val="20"/>
              </w:rPr>
              <w:t>年</w:t>
            </w:r>
            <w:r>
              <w:rPr>
                <w:rFonts w:ascii="宋体" w:hAnsi="宋体" w:cs="宋体" w:eastAsia="宋体" w:hint="default"/>
                <w:spacing w:val="-50"/>
                <w:sz w:val="20"/>
                <w:szCs w:val="20"/>
              </w:rPr>
              <w:t> </w:t>
            </w:r>
            <w:r>
              <w:rPr>
                <w:rFonts w:ascii="宋体" w:hAnsi="宋体" w:cs="宋体" w:eastAsia="宋体" w:hint="default"/>
                <w:sz w:val="20"/>
                <w:szCs w:val="20"/>
              </w:rPr>
              <w:t>06</w:t>
            </w:r>
            <w:r>
              <w:rPr>
                <w:rFonts w:ascii="宋体" w:hAnsi="宋体" w:cs="宋体" w:eastAsia="宋体" w:hint="default"/>
                <w:spacing w:val="-51"/>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宋体" w:hAnsi="宋体" w:cs="宋体" w:eastAsia="宋体" w:hint="default"/>
                <w:sz w:val="20"/>
                <w:szCs w:val="20"/>
              </w:rPr>
              <w:t>13</w:t>
            </w:r>
            <w:r>
              <w:rPr>
                <w:rFonts w:ascii="宋体" w:hAnsi="宋体" w:cs="宋体" w:eastAsia="宋体" w:hint="default"/>
                <w:spacing w:val="-49"/>
                <w:sz w:val="20"/>
                <w:szCs w:val="20"/>
              </w:rPr>
              <w:t> </w:t>
            </w:r>
            <w:r>
              <w:rPr>
                <w:rFonts w:ascii="宋体" w:hAnsi="宋体" w:cs="宋体" w:eastAsia="宋体" w:hint="default"/>
                <w:sz w:val="20"/>
                <w:szCs w:val="20"/>
              </w:rPr>
              <w:t>日</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0"/>
                <w:szCs w:val="20"/>
              </w:rPr>
            </w:pPr>
            <w:r>
              <w:rPr>
                <w:rFonts w:ascii="宋体" w:hAnsi="宋体" w:cs="宋体" w:eastAsia="宋体" w:hint="default"/>
                <w:sz w:val="20"/>
                <w:szCs w:val="20"/>
              </w:rPr>
              <w:t>江苏顺泰</w:t>
            </w:r>
          </w:p>
        </w:tc>
      </w:tr>
      <w:tr>
        <w:trPr>
          <w:trHeight w:val="370" w:hRule="exact"/>
        </w:trPr>
        <w:tc>
          <w:tcPr>
            <w:tcW w:w="55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 w:right="0"/>
              <w:jc w:val="center"/>
              <w:rPr>
                <w:rFonts w:ascii="宋体" w:hAnsi="宋体" w:cs="宋体" w:eastAsia="宋体" w:hint="default"/>
                <w:sz w:val="20"/>
                <w:szCs w:val="20"/>
              </w:rPr>
            </w:pPr>
            <w:r>
              <w:rPr>
                <w:rFonts w:ascii="宋体"/>
                <w:sz w:val="20"/>
              </w:rPr>
              <w:t>87</w:t>
            </w:r>
          </w:p>
        </w:tc>
        <w:tc>
          <w:tcPr>
            <w:tcW w:w="3381"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一种全自动气动多功能打包装置</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0"/>
              <w:jc w:val="center"/>
              <w:rPr>
                <w:rFonts w:ascii="宋体" w:hAnsi="宋体" w:cs="宋体" w:eastAsia="宋体" w:hint="default"/>
                <w:sz w:val="20"/>
                <w:szCs w:val="20"/>
              </w:rPr>
            </w:pPr>
            <w:r>
              <w:rPr>
                <w:rFonts w:ascii="宋体" w:hAnsi="宋体" w:cs="宋体" w:eastAsia="宋体" w:hint="default"/>
                <w:sz w:val="20"/>
                <w:szCs w:val="20"/>
              </w:rPr>
              <w:t>实用新型</w:t>
            </w:r>
          </w:p>
        </w:tc>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44"/>
              <w:jc w:val="right"/>
              <w:rPr>
                <w:rFonts w:ascii="宋体" w:hAnsi="宋体" w:cs="宋体" w:eastAsia="宋体" w:hint="default"/>
                <w:sz w:val="20"/>
                <w:szCs w:val="20"/>
              </w:rPr>
            </w:pPr>
            <w:r>
              <w:rPr>
                <w:rFonts w:ascii="宋体"/>
                <w:spacing w:val="-1"/>
                <w:sz w:val="20"/>
              </w:rPr>
              <w:t>201820920846.0</w:t>
            </w: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85"/>
              <w:jc w:val="right"/>
              <w:rPr>
                <w:rFonts w:ascii="宋体" w:hAnsi="宋体" w:cs="宋体" w:eastAsia="宋体" w:hint="default"/>
                <w:sz w:val="20"/>
                <w:szCs w:val="20"/>
              </w:rPr>
            </w:pPr>
            <w:r>
              <w:rPr>
                <w:rFonts w:ascii="宋体" w:hAnsi="宋体" w:cs="宋体" w:eastAsia="宋体" w:hint="default"/>
                <w:sz w:val="20"/>
                <w:szCs w:val="20"/>
              </w:rPr>
              <w:t>2018</w:t>
            </w:r>
            <w:r>
              <w:rPr>
                <w:rFonts w:ascii="宋体" w:hAnsi="宋体" w:cs="宋体" w:eastAsia="宋体" w:hint="default"/>
                <w:spacing w:val="-51"/>
                <w:sz w:val="20"/>
                <w:szCs w:val="20"/>
              </w:rPr>
              <w:t> </w:t>
            </w:r>
            <w:r>
              <w:rPr>
                <w:rFonts w:ascii="宋体" w:hAnsi="宋体" w:cs="宋体" w:eastAsia="宋体" w:hint="default"/>
                <w:sz w:val="20"/>
                <w:szCs w:val="20"/>
              </w:rPr>
              <w:t>年</w:t>
            </w:r>
            <w:r>
              <w:rPr>
                <w:rFonts w:ascii="宋体" w:hAnsi="宋体" w:cs="宋体" w:eastAsia="宋体" w:hint="default"/>
                <w:spacing w:val="-50"/>
                <w:sz w:val="20"/>
                <w:szCs w:val="20"/>
              </w:rPr>
              <w:t> </w:t>
            </w:r>
            <w:r>
              <w:rPr>
                <w:rFonts w:ascii="宋体" w:hAnsi="宋体" w:cs="宋体" w:eastAsia="宋体" w:hint="default"/>
                <w:sz w:val="20"/>
                <w:szCs w:val="20"/>
              </w:rPr>
              <w:t>06</w:t>
            </w:r>
            <w:r>
              <w:rPr>
                <w:rFonts w:ascii="宋体" w:hAnsi="宋体" w:cs="宋体" w:eastAsia="宋体" w:hint="default"/>
                <w:spacing w:val="-51"/>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宋体" w:hAnsi="宋体" w:cs="宋体" w:eastAsia="宋体" w:hint="default"/>
                <w:sz w:val="20"/>
                <w:szCs w:val="20"/>
              </w:rPr>
              <w:t>13</w:t>
            </w:r>
            <w:r>
              <w:rPr>
                <w:rFonts w:ascii="宋体" w:hAnsi="宋体" w:cs="宋体" w:eastAsia="宋体" w:hint="default"/>
                <w:spacing w:val="-49"/>
                <w:sz w:val="20"/>
                <w:szCs w:val="20"/>
              </w:rPr>
              <w:t> </w:t>
            </w:r>
            <w:r>
              <w:rPr>
                <w:rFonts w:ascii="宋体" w:hAnsi="宋体" w:cs="宋体" w:eastAsia="宋体" w:hint="default"/>
                <w:sz w:val="20"/>
                <w:szCs w:val="20"/>
              </w:rPr>
              <w:t>日</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江苏顺泰</w:t>
            </w:r>
          </w:p>
        </w:tc>
      </w:tr>
      <w:tr>
        <w:trPr>
          <w:trHeight w:val="634" w:hRule="exact"/>
        </w:trPr>
        <w:tc>
          <w:tcPr>
            <w:tcW w:w="55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 w:right="0"/>
              <w:jc w:val="center"/>
              <w:rPr>
                <w:rFonts w:ascii="宋体" w:hAnsi="宋体" w:cs="宋体" w:eastAsia="宋体" w:hint="default"/>
                <w:sz w:val="20"/>
                <w:szCs w:val="20"/>
              </w:rPr>
            </w:pPr>
            <w:r>
              <w:rPr>
                <w:rFonts w:ascii="宋体"/>
                <w:sz w:val="20"/>
              </w:rPr>
              <w:t>88</w:t>
            </w:r>
          </w:p>
        </w:tc>
        <w:tc>
          <w:tcPr>
            <w:tcW w:w="3381"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264"/>
              <w:jc w:val="left"/>
              <w:rPr>
                <w:rFonts w:ascii="宋体" w:hAnsi="宋体" w:cs="宋体" w:eastAsia="宋体" w:hint="default"/>
                <w:sz w:val="20"/>
                <w:szCs w:val="20"/>
              </w:rPr>
            </w:pPr>
            <w:r>
              <w:rPr>
                <w:rFonts w:ascii="宋体" w:hAnsi="宋体" w:cs="宋体" w:eastAsia="宋体" w:hint="default"/>
                <w:sz w:val="20"/>
                <w:szCs w:val="20"/>
              </w:rPr>
              <w:t>一种适用于复合转移机除胶吸尘装</w:t>
            </w:r>
            <w:r>
              <w:rPr>
                <w:rFonts w:ascii="宋体" w:hAnsi="宋体" w:cs="宋体" w:eastAsia="宋体" w:hint="default"/>
                <w:w w:val="100"/>
                <w:sz w:val="20"/>
                <w:szCs w:val="20"/>
              </w:rPr>
              <w:t> </w:t>
            </w:r>
            <w:r>
              <w:rPr>
                <w:rFonts w:ascii="宋体" w:hAnsi="宋体" w:cs="宋体" w:eastAsia="宋体" w:hint="default"/>
                <w:sz w:val="20"/>
                <w:szCs w:val="20"/>
              </w:rPr>
              <w:t>置</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0"/>
              <w:jc w:val="center"/>
              <w:rPr>
                <w:rFonts w:ascii="宋体" w:hAnsi="宋体" w:cs="宋体" w:eastAsia="宋体" w:hint="default"/>
                <w:sz w:val="20"/>
                <w:szCs w:val="20"/>
              </w:rPr>
            </w:pPr>
            <w:r>
              <w:rPr>
                <w:rFonts w:ascii="宋体" w:hAnsi="宋体" w:cs="宋体" w:eastAsia="宋体" w:hint="default"/>
                <w:sz w:val="20"/>
                <w:szCs w:val="20"/>
              </w:rPr>
              <w:t>实用新型</w:t>
            </w:r>
          </w:p>
        </w:tc>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44"/>
              <w:jc w:val="right"/>
              <w:rPr>
                <w:rFonts w:ascii="宋体" w:hAnsi="宋体" w:cs="宋体" w:eastAsia="宋体" w:hint="default"/>
                <w:sz w:val="20"/>
                <w:szCs w:val="20"/>
              </w:rPr>
            </w:pPr>
            <w:r>
              <w:rPr>
                <w:rFonts w:ascii="宋体"/>
                <w:spacing w:val="-1"/>
                <w:sz w:val="20"/>
              </w:rPr>
              <w:t>201820911535.8</w:t>
            </w: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85"/>
              <w:jc w:val="right"/>
              <w:rPr>
                <w:rFonts w:ascii="宋体" w:hAnsi="宋体" w:cs="宋体" w:eastAsia="宋体" w:hint="default"/>
                <w:sz w:val="20"/>
                <w:szCs w:val="20"/>
              </w:rPr>
            </w:pPr>
            <w:r>
              <w:rPr>
                <w:rFonts w:ascii="宋体" w:hAnsi="宋体" w:cs="宋体" w:eastAsia="宋体" w:hint="default"/>
                <w:sz w:val="20"/>
                <w:szCs w:val="20"/>
              </w:rPr>
              <w:t>2018</w:t>
            </w:r>
            <w:r>
              <w:rPr>
                <w:rFonts w:ascii="宋体" w:hAnsi="宋体" w:cs="宋体" w:eastAsia="宋体" w:hint="default"/>
                <w:spacing w:val="-51"/>
                <w:sz w:val="20"/>
                <w:szCs w:val="20"/>
              </w:rPr>
              <w:t> </w:t>
            </w:r>
            <w:r>
              <w:rPr>
                <w:rFonts w:ascii="宋体" w:hAnsi="宋体" w:cs="宋体" w:eastAsia="宋体" w:hint="default"/>
                <w:sz w:val="20"/>
                <w:szCs w:val="20"/>
              </w:rPr>
              <w:t>年</w:t>
            </w:r>
            <w:r>
              <w:rPr>
                <w:rFonts w:ascii="宋体" w:hAnsi="宋体" w:cs="宋体" w:eastAsia="宋体" w:hint="default"/>
                <w:spacing w:val="-50"/>
                <w:sz w:val="20"/>
                <w:szCs w:val="20"/>
              </w:rPr>
              <w:t> </w:t>
            </w:r>
            <w:r>
              <w:rPr>
                <w:rFonts w:ascii="宋体" w:hAnsi="宋体" w:cs="宋体" w:eastAsia="宋体" w:hint="default"/>
                <w:sz w:val="20"/>
                <w:szCs w:val="20"/>
              </w:rPr>
              <w:t>06</w:t>
            </w:r>
            <w:r>
              <w:rPr>
                <w:rFonts w:ascii="宋体" w:hAnsi="宋体" w:cs="宋体" w:eastAsia="宋体" w:hint="default"/>
                <w:spacing w:val="-51"/>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宋体" w:hAnsi="宋体" w:cs="宋体" w:eastAsia="宋体" w:hint="default"/>
                <w:sz w:val="20"/>
                <w:szCs w:val="20"/>
              </w:rPr>
              <w:t>13</w:t>
            </w:r>
            <w:r>
              <w:rPr>
                <w:rFonts w:ascii="宋体" w:hAnsi="宋体" w:cs="宋体" w:eastAsia="宋体" w:hint="default"/>
                <w:spacing w:val="-49"/>
                <w:sz w:val="20"/>
                <w:szCs w:val="20"/>
              </w:rPr>
              <w:t> </w:t>
            </w:r>
            <w:r>
              <w:rPr>
                <w:rFonts w:ascii="宋体" w:hAnsi="宋体" w:cs="宋体" w:eastAsia="宋体" w:hint="default"/>
                <w:sz w:val="20"/>
                <w:szCs w:val="20"/>
              </w:rPr>
              <w:t>日</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江苏顺泰</w:t>
            </w:r>
          </w:p>
        </w:tc>
      </w:tr>
      <w:tr>
        <w:trPr>
          <w:trHeight w:val="635" w:hRule="exact"/>
        </w:trPr>
        <w:tc>
          <w:tcPr>
            <w:tcW w:w="556"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1" w:right="0"/>
              <w:jc w:val="center"/>
              <w:rPr>
                <w:rFonts w:ascii="宋体" w:hAnsi="宋体" w:cs="宋体" w:eastAsia="宋体" w:hint="default"/>
                <w:sz w:val="20"/>
                <w:szCs w:val="20"/>
              </w:rPr>
            </w:pPr>
            <w:r>
              <w:rPr>
                <w:rFonts w:ascii="宋体"/>
                <w:sz w:val="20"/>
              </w:rPr>
              <w:t>89</w:t>
            </w:r>
          </w:p>
        </w:tc>
        <w:tc>
          <w:tcPr>
            <w:tcW w:w="3381"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264"/>
              <w:jc w:val="left"/>
              <w:rPr>
                <w:rFonts w:ascii="宋体" w:hAnsi="宋体" w:cs="宋体" w:eastAsia="宋体" w:hint="default"/>
                <w:sz w:val="20"/>
                <w:szCs w:val="20"/>
              </w:rPr>
            </w:pPr>
            <w:r>
              <w:rPr>
                <w:rFonts w:ascii="宋体" w:hAnsi="宋体" w:cs="宋体" w:eastAsia="宋体" w:hint="default"/>
                <w:sz w:val="20"/>
                <w:szCs w:val="20"/>
              </w:rPr>
              <w:t>一种适用于印刷在线色相检测的装</w:t>
            </w:r>
            <w:r>
              <w:rPr>
                <w:rFonts w:ascii="宋体" w:hAnsi="宋体" w:cs="宋体" w:eastAsia="宋体" w:hint="default"/>
                <w:w w:val="100"/>
                <w:sz w:val="20"/>
                <w:szCs w:val="20"/>
              </w:rPr>
              <w:t> </w:t>
            </w:r>
            <w:r>
              <w:rPr>
                <w:rFonts w:ascii="宋体" w:hAnsi="宋体" w:cs="宋体" w:eastAsia="宋体" w:hint="default"/>
                <w:sz w:val="20"/>
                <w:szCs w:val="20"/>
              </w:rPr>
              <w:t>置</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right="0"/>
              <w:jc w:val="center"/>
              <w:rPr>
                <w:rFonts w:ascii="宋体" w:hAnsi="宋体" w:cs="宋体" w:eastAsia="宋体" w:hint="default"/>
                <w:sz w:val="20"/>
                <w:szCs w:val="20"/>
              </w:rPr>
            </w:pPr>
            <w:r>
              <w:rPr>
                <w:rFonts w:ascii="宋体" w:hAnsi="宋体" w:cs="宋体" w:eastAsia="宋体" w:hint="default"/>
                <w:sz w:val="20"/>
                <w:szCs w:val="20"/>
              </w:rPr>
              <w:t>实用新型</w:t>
            </w:r>
          </w:p>
        </w:tc>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right="144"/>
              <w:jc w:val="right"/>
              <w:rPr>
                <w:rFonts w:ascii="宋体" w:hAnsi="宋体" w:cs="宋体" w:eastAsia="宋体" w:hint="default"/>
                <w:sz w:val="20"/>
                <w:szCs w:val="20"/>
              </w:rPr>
            </w:pPr>
            <w:r>
              <w:rPr>
                <w:rFonts w:ascii="宋体"/>
                <w:spacing w:val="-1"/>
                <w:sz w:val="20"/>
              </w:rPr>
              <w:t>201820911543.2</w:t>
            </w: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right="185"/>
              <w:jc w:val="right"/>
              <w:rPr>
                <w:rFonts w:ascii="宋体" w:hAnsi="宋体" w:cs="宋体" w:eastAsia="宋体" w:hint="default"/>
                <w:sz w:val="20"/>
                <w:szCs w:val="20"/>
              </w:rPr>
            </w:pPr>
            <w:r>
              <w:rPr>
                <w:rFonts w:ascii="宋体" w:hAnsi="宋体" w:cs="宋体" w:eastAsia="宋体" w:hint="default"/>
                <w:sz w:val="20"/>
                <w:szCs w:val="20"/>
              </w:rPr>
              <w:t>2018</w:t>
            </w:r>
            <w:r>
              <w:rPr>
                <w:rFonts w:ascii="宋体" w:hAnsi="宋体" w:cs="宋体" w:eastAsia="宋体" w:hint="default"/>
                <w:spacing w:val="-51"/>
                <w:sz w:val="20"/>
                <w:szCs w:val="20"/>
              </w:rPr>
              <w:t> </w:t>
            </w:r>
            <w:r>
              <w:rPr>
                <w:rFonts w:ascii="宋体" w:hAnsi="宋体" w:cs="宋体" w:eastAsia="宋体" w:hint="default"/>
                <w:sz w:val="20"/>
                <w:szCs w:val="20"/>
              </w:rPr>
              <w:t>年</w:t>
            </w:r>
            <w:r>
              <w:rPr>
                <w:rFonts w:ascii="宋体" w:hAnsi="宋体" w:cs="宋体" w:eastAsia="宋体" w:hint="default"/>
                <w:spacing w:val="-50"/>
                <w:sz w:val="20"/>
                <w:szCs w:val="20"/>
              </w:rPr>
              <w:t> </w:t>
            </w:r>
            <w:r>
              <w:rPr>
                <w:rFonts w:ascii="宋体" w:hAnsi="宋体" w:cs="宋体" w:eastAsia="宋体" w:hint="default"/>
                <w:sz w:val="20"/>
                <w:szCs w:val="20"/>
              </w:rPr>
              <w:t>06</w:t>
            </w:r>
            <w:r>
              <w:rPr>
                <w:rFonts w:ascii="宋体" w:hAnsi="宋体" w:cs="宋体" w:eastAsia="宋体" w:hint="default"/>
                <w:spacing w:val="-51"/>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宋体" w:hAnsi="宋体" w:cs="宋体" w:eastAsia="宋体" w:hint="default"/>
                <w:sz w:val="20"/>
                <w:szCs w:val="20"/>
              </w:rPr>
              <w:t>13</w:t>
            </w:r>
            <w:r>
              <w:rPr>
                <w:rFonts w:ascii="宋体" w:hAnsi="宋体" w:cs="宋体" w:eastAsia="宋体" w:hint="default"/>
                <w:spacing w:val="-49"/>
                <w:sz w:val="20"/>
                <w:szCs w:val="20"/>
              </w:rPr>
              <w:t> </w:t>
            </w:r>
            <w:r>
              <w:rPr>
                <w:rFonts w:ascii="宋体" w:hAnsi="宋体" w:cs="宋体" w:eastAsia="宋体" w:hint="default"/>
                <w:sz w:val="20"/>
                <w:szCs w:val="20"/>
              </w:rPr>
              <w:t>日</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103" w:right="0"/>
              <w:jc w:val="left"/>
              <w:rPr>
                <w:rFonts w:ascii="宋体" w:hAnsi="宋体" w:cs="宋体" w:eastAsia="宋体" w:hint="default"/>
                <w:sz w:val="20"/>
                <w:szCs w:val="20"/>
              </w:rPr>
            </w:pPr>
            <w:r>
              <w:rPr>
                <w:rFonts w:ascii="宋体" w:hAnsi="宋体" w:cs="宋体" w:eastAsia="宋体" w:hint="default"/>
                <w:sz w:val="20"/>
                <w:szCs w:val="20"/>
              </w:rPr>
              <w:t>江苏顺泰</w:t>
            </w:r>
          </w:p>
        </w:tc>
      </w:tr>
      <w:tr>
        <w:trPr>
          <w:trHeight w:val="370" w:hRule="exact"/>
        </w:trPr>
        <w:tc>
          <w:tcPr>
            <w:tcW w:w="55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 w:right="0"/>
              <w:jc w:val="center"/>
              <w:rPr>
                <w:rFonts w:ascii="宋体" w:hAnsi="宋体" w:cs="宋体" w:eastAsia="宋体" w:hint="default"/>
                <w:sz w:val="20"/>
                <w:szCs w:val="20"/>
              </w:rPr>
            </w:pPr>
            <w:r>
              <w:rPr>
                <w:rFonts w:ascii="宋体"/>
                <w:sz w:val="20"/>
              </w:rPr>
              <w:t>90</w:t>
            </w:r>
          </w:p>
        </w:tc>
        <w:tc>
          <w:tcPr>
            <w:tcW w:w="3381"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一种易调节的烫金版结构</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0"/>
              <w:jc w:val="center"/>
              <w:rPr>
                <w:rFonts w:ascii="宋体" w:hAnsi="宋体" w:cs="宋体" w:eastAsia="宋体" w:hint="default"/>
                <w:sz w:val="20"/>
                <w:szCs w:val="20"/>
              </w:rPr>
            </w:pPr>
            <w:r>
              <w:rPr>
                <w:rFonts w:ascii="宋体" w:hAnsi="宋体" w:cs="宋体" w:eastAsia="宋体" w:hint="default"/>
                <w:sz w:val="20"/>
                <w:szCs w:val="20"/>
              </w:rPr>
              <w:t>实用新型</w:t>
            </w:r>
          </w:p>
        </w:tc>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44"/>
              <w:jc w:val="right"/>
              <w:rPr>
                <w:rFonts w:ascii="宋体" w:hAnsi="宋体" w:cs="宋体" w:eastAsia="宋体" w:hint="default"/>
                <w:sz w:val="20"/>
                <w:szCs w:val="20"/>
              </w:rPr>
            </w:pPr>
            <w:r>
              <w:rPr>
                <w:rFonts w:ascii="宋体"/>
                <w:spacing w:val="-1"/>
                <w:sz w:val="20"/>
              </w:rPr>
              <w:t>201820911533.9</w:t>
            </w: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85"/>
              <w:jc w:val="right"/>
              <w:rPr>
                <w:rFonts w:ascii="宋体" w:hAnsi="宋体" w:cs="宋体" w:eastAsia="宋体" w:hint="default"/>
                <w:sz w:val="20"/>
                <w:szCs w:val="20"/>
              </w:rPr>
            </w:pPr>
            <w:r>
              <w:rPr>
                <w:rFonts w:ascii="宋体" w:hAnsi="宋体" w:cs="宋体" w:eastAsia="宋体" w:hint="default"/>
                <w:sz w:val="20"/>
                <w:szCs w:val="20"/>
              </w:rPr>
              <w:t>2018</w:t>
            </w:r>
            <w:r>
              <w:rPr>
                <w:rFonts w:ascii="宋体" w:hAnsi="宋体" w:cs="宋体" w:eastAsia="宋体" w:hint="default"/>
                <w:spacing w:val="-51"/>
                <w:sz w:val="20"/>
                <w:szCs w:val="20"/>
              </w:rPr>
              <w:t> </w:t>
            </w:r>
            <w:r>
              <w:rPr>
                <w:rFonts w:ascii="宋体" w:hAnsi="宋体" w:cs="宋体" w:eastAsia="宋体" w:hint="default"/>
                <w:sz w:val="20"/>
                <w:szCs w:val="20"/>
              </w:rPr>
              <w:t>年</w:t>
            </w:r>
            <w:r>
              <w:rPr>
                <w:rFonts w:ascii="宋体" w:hAnsi="宋体" w:cs="宋体" w:eastAsia="宋体" w:hint="default"/>
                <w:spacing w:val="-50"/>
                <w:sz w:val="20"/>
                <w:szCs w:val="20"/>
              </w:rPr>
              <w:t> </w:t>
            </w:r>
            <w:r>
              <w:rPr>
                <w:rFonts w:ascii="宋体" w:hAnsi="宋体" w:cs="宋体" w:eastAsia="宋体" w:hint="default"/>
                <w:sz w:val="20"/>
                <w:szCs w:val="20"/>
              </w:rPr>
              <w:t>06</w:t>
            </w:r>
            <w:r>
              <w:rPr>
                <w:rFonts w:ascii="宋体" w:hAnsi="宋体" w:cs="宋体" w:eastAsia="宋体" w:hint="default"/>
                <w:spacing w:val="-51"/>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宋体" w:hAnsi="宋体" w:cs="宋体" w:eastAsia="宋体" w:hint="default"/>
                <w:sz w:val="20"/>
                <w:szCs w:val="20"/>
              </w:rPr>
              <w:t>13</w:t>
            </w:r>
            <w:r>
              <w:rPr>
                <w:rFonts w:ascii="宋体" w:hAnsi="宋体" w:cs="宋体" w:eastAsia="宋体" w:hint="default"/>
                <w:spacing w:val="-49"/>
                <w:sz w:val="20"/>
                <w:szCs w:val="20"/>
              </w:rPr>
              <w:t> </w:t>
            </w:r>
            <w:r>
              <w:rPr>
                <w:rFonts w:ascii="宋体" w:hAnsi="宋体" w:cs="宋体" w:eastAsia="宋体" w:hint="default"/>
                <w:sz w:val="20"/>
                <w:szCs w:val="20"/>
              </w:rPr>
              <w:t>日</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江苏顺泰</w:t>
            </w:r>
          </w:p>
        </w:tc>
      </w:tr>
      <w:tr>
        <w:trPr>
          <w:trHeight w:val="371" w:hRule="exact"/>
        </w:trPr>
        <w:tc>
          <w:tcPr>
            <w:tcW w:w="55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 w:right="0"/>
              <w:jc w:val="center"/>
              <w:rPr>
                <w:rFonts w:ascii="宋体" w:hAnsi="宋体" w:cs="宋体" w:eastAsia="宋体" w:hint="default"/>
                <w:sz w:val="20"/>
                <w:szCs w:val="20"/>
              </w:rPr>
            </w:pPr>
            <w:r>
              <w:rPr>
                <w:rFonts w:ascii="宋体"/>
                <w:sz w:val="20"/>
              </w:rPr>
              <w:t>91</w:t>
            </w:r>
          </w:p>
        </w:tc>
        <w:tc>
          <w:tcPr>
            <w:tcW w:w="3381"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一种适用于金墨研磨搅拌调配装置</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0"/>
              <w:jc w:val="center"/>
              <w:rPr>
                <w:rFonts w:ascii="宋体" w:hAnsi="宋体" w:cs="宋体" w:eastAsia="宋体" w:hint="default"/>
                <w:sz w:val="20"/>
                <w:szCs w:val="20"/>
              </w:rPr>
            </w:pPr>
            <w:r>
              <w:rPr>
                <w:rFonts w:ascii="宋体" w:hAnsi="宋体" w:cs="宋体" w:eastAsia="宋体" w:hint="default"/>
                <w:sz w:val="20"/>
                <w:szCs w:val="20"/>
              </w:rPr>
              <w:t>实用新型</w:t>
            </w:r>
          </w:p>
        </w:tc>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44"/>
              <w:jc w:val="right"/>
              <w:rPr>
                <w:rFonts w:ascii="宋体" w:hAnsi="宋体" w:cs="宋体" w:eastAsia="宋体" w:hint="default"/>
                <w:sz w:val="20"/>
                <w:szCs w:val="20"/>
              </w:rPr>
            </w:pPr>
            <w:r>
              <w:rPr>
                <w:rFonts w:ascii="宋体"/>
                <w:spacing w:val="-1"/>
                <w:sz w:val="20"/>
              </w:rPr>
              <w:t>201820997830.X</w:t>
            </w: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85"/>
              <w:jc w:val="right"/>
              <w:rPr>
                <w:rFonts w:ascii="宋体" w:hAnsi="宋体" w:cs="宋体" w:eastAsia="宋体" w:hint="default"/>
                <w:sz w:val="20"/>
                <w:szCs w:val="20"/>
              </w:rPr>
            </w:pPr>
            <w:r>
              <w:rPr>
                <w:rFonts w:ascii="宋体" w:hAnsi="宋体" w:cs="宋体" w:eastAsia="宋体" w:hint="default"/>
                <w:sz w:val="20"/>
                <w:szCs w:val="20"/>
              </w:rPr>
              <w:t>2018</w:t>
            </w:r>
            <w:r>
              <w:rPr>
                <w:rFonts w:ascii="宋体" w:hAnsi="宋体" w:cs="宋体" w:eastAsia="宋体" w:hint="default"/>
                <w:spacing w:val="-51"/>
                <w:sz w:val="20"/>
                <w:szCs w:val="20"/>
              </w:rPr>
              <w:t> </w:t>
            </w:r>
            <w:r>
              <w:rPr>
                <w:rFonts w:ascii="宋体" w:hAnsi="宋体" w:cs="宋体" w:eastAsia="宋体" w:hint="default"/>
                <w:sz w:val="20"/>
                <w:szCs w:val="20"/>
              </w:rPr>
              <w:t>年</w:t>
            </w:r>
            <w:r>
              <w:rPr>
                <w:rFonts w:ascii="宋体" w:hAnsi="宋体" w:cs="宋体" w:eastAsia="宋体" w:hint="default"/>
                <w:spacing w:val="-50"/>
                <w:sz w:val="20"/>
                <w:szCs w:val="20"/>
              </w:rPr>
              <w:t> </w:t>
            </w:r>
            <w:r>
              <w:rPr>
                <w:rFonts w:ascii="宋体" w:hAnsi="宋体" w:cs="宋体" w:eastAsia="宋体" w:hint="default"/>
                <w:sz w:val="20"/>
                <w:szCs w:val="20"/>
              </w:rPr>
              <w:t>06</w:t>
            </w:r>
            <w:r>
              <w:rPr>
                <w:rFonts w:ascii="宋体" w:hAnsi="宋体" w:cs="宋体" w:eastAsia="宋体" w:hint="default"/>
                <w:spacing w:val="-51"/>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宋体" w:hAnsi="宋体" w:cs="宋体" w:eastAsia="宋体" w:hint="default"/>
                <w:sz w:val="20"/>
                <w:szCs w:val="20"/>
              </w:rPr>
              <w:t>27</w:t>
            </w:r>
            <w:r>
              <w:rPr>
                <w:rFonts w:ascii="宋体" w:hAnsi="宋体" w:cs="宋体" w:eastAsia="宋体" w:hint="default"/>
                <w:spacing w:val="-49"/>
                <w:sz w:val="20"/>
                <w:szCs w:val="20"/>
              </w:rPr>
              <w:t> </w:t>
            </w:r>
            <w:r>
              <w:rPr>
                <w:rFonts w:ascii="宋体" w:hAnsi="宋体" w:cs="宋体" w:eastAsia="宋体" w:hint="default"/>
                <w:sz w:val="20"/>
                <w:szCs w:val="20"/>
              </w:rPr>
              <w:t>日</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江苏顺泰</w:t>
            </w:r>
          </w:p>
        </w:tc>
      </w:tr>
    </w:tbl>
    <w:p>
      <w:pPr>
        <w:spacing w:after="0" w:line="256" w:lineRule="exact"/>
        <w:jc w:val="left"/>
        <w:rPr>
          <w:rFonts w:ascii="宋体" w:hAnsi="宋体" w:cs="宋体" w:eastAsia="宋体" w:hint="default"/>
          <w:sz w:val="20"/>
          <w:szCs w:val="20"/>
        </w:rPr>
        <w:sectPr>
          <w:pgSz w:w="11910" w:h="16840"/>
          <w:pgMar w:header="747" w:footer="979" w:top="1060" w:bottom="1160" w:left="92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01" w:type="dxa"/>
        <w:tblLayout w:type="fixed"/>
        <w:tblCellMar>
          <w:top w:w="0" w:type="dxa"/>
          <w:left w:w="0" w:type="dxa"/>
          <w:bottom w:w="0" w:type="dxa"/>
          <w:right w:w="0" w:type="dxa"/>
        </w:tblCellMar>
        <w:tblLook w:val="01E0"/>
      </w:tblPr>
      <w:tblGrid>
        <w:gridCol w:w="556"/>
        <w:gridCol w:w="3381"/>
        <w:gridCol w:w="1133"/>
        <w:gridCol w:w="1703"/>
        <w:gridCol w:w="2033"/>
        <w:gridCol w:w="1050"/>
      </w:tblGrid>
      <w:tr>
        <w:trPr>
          <w:trHeight w:val="370" w:hRule="exact"/>
        </w:trPr>
        <w:tc>
          <w:tcPr>
            <w:tcW w:w="55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69"/>
              <w:jc w:val="right"/>
              <w:rPr>
                <w:rFonts w:ascii="宋体" w:hAnsi="宋体" w:cs="宋体" w:eastAsia="宋体" w:hint="default"/>
                <w:sz w:val="20"/>
                <w:szCs w:val="20"/>
              </w:rPr>
            </w:pPr>
            <w:r>
              <w:rPr>
                <w:rFonts w:ascii="宋体"/>
                <w:sz w:val="20"/>
              </w:rPr>
              <w:t>92</w:t>
            </w:r>
          </w:p>
        </w:tc>
        <w:tc>
          <w:tcPr>
            <w:tcW w:w="3381"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一种凹印机的多功能挡墨装置</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0"/>
              <w:jc w:val="center"/>
              <w:rPr>
                <w:rFonts w:ascii="宋体" w:hAnsi="宋体" w:cs="宋体" w:eastAsia="宋体" w:hint="default"/>
                <w:sz w:val="20"/>
                <w:szCs w:val="20"/>
              </w:rPr>
            </w:pPr>
            <w:r>
              <w:rPr>
                <w:rFonts w:ascii="宋体" w:hAnsi="宋体" w:cs="宋体" w:eastAsia="宋体" w:hint="default"/>
                <w:sz w:val="20"/>
                <w:szCs w:val="20"/>
              </w:rPr>
              <w:t>实用新型</w:t>
            </w:r>
          </w:p>
        </w:tc>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46" w:right="0"/>
              <w:jc w:val="left"/>
              <w:rPr>
                <w:rFonts w:ascii="宋体" w:hAnsi="宋体" w:cs="宋体" w:eastAsia="宋体" w:hint="default"/>
                <w:sz w:val="20"/>
                <w:szCs w:val="20"/>
              </w:rPr>
            </w:pPr>
            <w:r>
              <w:rPr>
                <w:rFonts w:ascii="宋体"/>
                <w:sz w:val="20"/>
              </w:rPr>
              <w:t>201821611697.6</w:t>
            </w: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85"/>
              <w:jc w:val="right"/>
              <w:rPr>
                <w:rFonts w:ascii="宋体" w:hAnsi="宋体" w:cs="宋体" w:eastAsia="宋体" w:hint="default"/>
                <w:sz w:val="20"/>
                <w:szCs w:val="20"/>
              </w:rPr>
            </w:pPr>
            <w:r>
              <w:rPr>
                <w:rFonts w:ascii="宋体" w:hAnsi="宋体" w:cs="宋体" w:eastAsia="宋体" w:hint="default"/>
                <w:sz w:val="20"/>
                <w:szCs w:val="20"/>
              </w:rPr>
              <w:t>2018</w:t>
            </w:r>
            <w:r>
              <w:rPr>
                <w:rFonts w:ascii="宋体" w:hAnsi="宋体" w:cs="宋体" w:eastAsia="宋体" w:hint="default"/>
                <w:spacing w:val="-51"/>
                <w:sz w:val="20"/>
                <w:szCs w:val="20"/>
              </w:rPr>
              <w:t> </w:t>
            </w:r>
            <w:r>
              <w:rPr>
                <w:rFonts w:ascii="宋体" w:hAnsi="宋体" w:cs="宋体" w:eastAsia="宋体" w:hint="default"/>
                <w:sz w:val="20"/>
                <w:szCs w:val="20"/>
              </w:rPr>
              <w:t>年</w:t>
            </w:r>
            <w:r>
              <w:rPr>
                <w:rFonts w:ascii="宋体" w:hAnsi="宋体" w:cs="宋体" w:eastAsia="宋体" w:hint="default"/>
                <w:spacing w:val="-50"/>
                <w:sz w:val="20"/>
                <w:szCs w:val="20"/>
              </w:rPr>
              <w:t> </w:t>
            </w:r>
            <w:r>
              <w:rPr>
                <w:rFonts w:ascii="宋体" w:hAnsi="宋体" w:cs="宋体" w:eastAsia="宋体" w:hint="default"/>
                <w:sz w:val="20"/>
                <w:szCs w:val="20"/>
              </w:rPr>
              <w:t>09</w:t>
            </w:r>
            <w:r>
              <w:rPr>
                <w:rFonts w:ascii="宋体" w:hAnsi="宋体" w:cs="宋体" w:eastAsia="宋体" w:hint="default"/>
                <w:spacing w:val="-51"/>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宋体" w:hAnsi="宋体" w:cs="宋体" w:eastAsia="宋体" w:hint="default"/>
                <w:sz w:val="20"/>
                <w:szCs w:val="20"/>
              </w:rPr>
              <w:t>30</w:t>
            </w:r>
            <w:r>
              <w:rPr>
                <w:rFonts w:ascii="宋体" w:hAnsi="宋体" w:cs="宋体" w:eastAsia="宋体" w:hint="default"/>
                <w:spacing w:val="-49"/>
                <w:sz w:val="20"/>
                <w:szCs w:val="20"/>
              </w:rPr>
              <w:t> </w:t>
            </w:r>
            <w:r>
              <w:rPr>
                <w:rFonts w:ascii="宋体" w:hAnsi="宋体" w:cs="宋体" w:eastAsia="宋体" w:hint="default"/>
                <w:sz w:val="20"/>
                <w:szCs w:val="20"/>
              </w:rPr>
              <w:t>日</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江苏顺泰</w:t>
            </w:r>
          </w:p>
        </w:tc>
      </w:tr>
      <w:tr>
        <w:trPr>
          <w:trHeight w:val="371" w:hRule="exact"/>
        </w:trPr>
        <w:tc>
          <w:tcPr>
            <w:tcW w:w="556"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169"/>
              <w:jc w:val="right"/>
              <w:rPr>
                <w:rFonts w:ascii="宋体" w:hAnsi="宋体" w:cs="宋体" w:eastAsia="宋体" w:hint="default"/>
                <w:sz w:val="20"/>
                <w:szCs w:val="20"/>
              </w:rPr>
            </w:pPr>
            <w:r>
              <w:rPr>
                <w:rFonts w:ascii="宋体"/>
                <w:sz w:val="20"/>
              </w:rPr>
              <w:t>93</w:t>
            </w:r>
          </w:p>
        </w:tc>
        <w:tc>
          <w:tcPr>
            <w:tcW w:w="338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0"/>
                <w:szCs w:val="20"/>
              </w:rPr>
            </w:pPr>
            <w:r>
              <w:rPr>
                <w:rFonts w:ascii="宋体" w:hAnsi="宋体" w:cs="宋体" w:eastAsia="宋体" w:hint="default"/>
                <w:sz w:val="20"/>
                <w:szCs w:val="20"/>
              </w:rPr>
              <w:t>一种可自动脱附的活性炭吸附装置</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0"/>
              <w:jc w:val="center"/>
              <w:rPr>
                <w:rFonts w:ascii="宋体" w:hAnsi="宋体" w:cs="宋体" w:eastAsia="宋体" w:hint="default"/>
                <w:sz w:val="20"/>
                <w:szCs w:val="20"/>
              </w:rPr>
            </w:pPr>
            <w:r>
              <w:rPr>
                <w:rFonts w:ascii="宋体" w:hAnsi="宋体" w:cs="宋体" w:eastAsia="宋体" w:hint="default"/>
                <w:sz w:val="20"/>
                <w:szCs w:val="20"/>
              </w:rPr>
              <w:t>实用新型</w:t>
            </w:r>
          </w:p>
        </w:tc>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46" w:right="0"/>
              <w:jc w:val="left"/>
              <w:rPr>
                <w:rFonts w:ascii="宋体" w:hAnsi="宋体" w:cs="宋体" w:eastAsia="宋体" w:hint="default"/>
                <w:sz w:val="20"/>
                <w:szCs w:val="20"/>
              </w:rPr>
            </w:pPr>
            <w:r>
              <w:rPr>
                <w:rFonts w:ascii="宋体"/>
                <w:sz w:val="20"/>
              </w:rPr>
              <w:t>201821611669.4</w:t>
            </w: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185"/>
              <w:jc w:val="right"/>
              <w:rPr>
                <w:rFonts w:ascii="宋体" w:hAnsi="宋体" w:cs="宋体" w:eastAsia="宋体" w:hint="default"/>
                <w:sz w:val="20"/>
                <w:szCs w:val="20"/>
              </w:rPr>
            </w:pPr>
            <w:r>
              <w:rPr>
                <w:rFonts w:ascii="宋体" w:hAnsi="宋体" w:cs="宋体" w:eastAsia="宋体" w:hint="default"/>
                <w:sz w:val="20"/>
                <w:szCs w:val="20"/>
              </w:rPr>
              <w:t>2018</w:t>
            </w:r>
            <w:r>
              <w:rPr>
                <w:rFonts w:ascii="宋体" w:hAnsi="宋体" w:cs="宋体" w:eastAsia="宋体" w:hint="default"/>
                <w:spacing w:val="-51"/>
                <w:sz w:val="20"/>
                <w:szCs w:val="20"/>
              </w:rPr>
              <w:t> </w:t>
            </w:r>
            <w:r>
              <w:rPr>
                <w:rFonts w:ascii="宋体" w:hAnsi="宋体" w:cs="宋体" w:eastAsia="宋体" w:hint="default"/>
                <w:sz w:val="20"/>
                <w:szCs w:val="20"/>
              </w:rPr>
              <w:t>年</w:t>
            </w:r>
            <w:r>
              <w:rPr>
                <w:rFonts w:ascii="宋体" w:hAnsi="宋体" w:cs="宋体" w:eastAsia="宋体" w:hint="default"/>
                <w:spacing w:val="-50"/>
                <w:sz w:val="20"/>
                <w:szCs w:val="20"/>
              </w:rPr>
              <w:t> </w:t>
            </w:r>
            <w:r>
              <w:rPr>
                <w:rFonts w:ascii="宋体" w:hAnsi="宋体" w:cs="宋体" w:eastAsia="宋体" w:hint="default"/>
                <w:sz w:val="20"/>
                <w:szCs w:val="20"/>
              </w:rPr>
              <w:t>09</w:t>
            </w:r>
            <w:r>
              <w:rPr>
                <w:rFonts w:ascii="宋体" w:hAnsi="宋体" w:cs="宋体" w:eastAsia="宋体" w:hint="default"/>
                <w:spacing w:val="-51"/>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宋体" w:hAnsi="宋体" w:cs="宋体" w:eastAsia="宋体" w:hint="default"/>
                <w:sz w:val="20"/>
                <w:szCs w:val="20"/>
              </w:rPr>
              <w:t>30</w:t>
            </w:r>
            <w:r>
              <w:rPr>
                <w:rFonts w:ascii="宋体" w:hAnsi="宋体" w:cs="宋体" w:eastAsia="宋体" w:hint="default"/>
                <w:spacing w:val="-49"/>
                <w:sz w:val="20"/>
                <w:szCs w:val="20"/>
              </w:rPr>
              <w:t> </w:t>
            </w:r>
            <w:r>
              <w:rPr>
                <w:rFonts w:ascii="宋体" w:hAnsi="宋体" w:cs="宋体" w:eastAsia="宋体" w:hint="default"/>
                <w:sz w:val="20"/>
                <w:szCs w:val="20"/>
              </w:rPr>
              <w:t>日</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0"/>
                <w:szCs w:val="20"/>
              </w:rPr>
            </w:pPr>
            <w:r>
              <w:rPr>
                <w:rFonts w:ascii="宋体" w:hAnsi="宋体" w:cs="宋体" w:eastAsia="宋体" w:hint="default"/>
                <w:sz w:val="20"/>
                <w:szCs w:val="20"/>
              </w:rPr>
              <w:t>江苏顺泰</w:t>
            </w:r>
          </w:p>
        </w:tc>
      </w:tr>
      <w:tr>
        <w:trPr>
          <w:trHeight w:val="370" w:hRule="exact"/>
        </w:trPr>
        <w:tc>
          <w:tcPr>
            <w:tcW w:w="55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69"/>
              <w:jc w:val="right"/>
              <w:rPr>
                <w:rFonts w:ascii="宋体" w:hAnsi="宋体" w:cs="宋体" w:eastAsia="宋体" w:hint="default"/>
                <w:sz w:val="20"/>
                <w:szCs w:val="20"/>
              </w:rPr>
            </w:pPr>
            <w:r>
              <w:rPr>
                <w:rFonts w:ascii="宋体"/>
                <w:sz w:val="20"/>
              </w:rPr>
              <w:t>94</w:t>
            </w:r>
          </w:p>
        </w:tc>
        <w:tc>
          <w:tcPr>
            <w:tcW w:w="3381"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一种油墨预搅拌装置</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0"/>
              <w:jc w:val="center"/>
              <w:rPr>
                <w:rFonts w:ascii="宋体" w:hAnsi="宋体" w:cs="宋体" w:eastAsia="宋体" w:hint="default"/>
                <w:sz w:val="20"/>
                <w:szCs w:val="20"/>
              </w:rPr>
            </w:pPr>
            <w:r>
              <w:rPr>
                <w:rFonts w:ascii="宋体" w:hAnsi="宋体" w:cs="宋体" w:eastAsia="宋体" w:hint="default"/>
                <w:sz w:val="20"/>
                <w:szCs w:val="20"/>
              </w:rPr>
              <w:t>实用新型</w:t>
            </w:r>
          </w:p>
        </w:tc>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46" w:right="0"/>
              <w:jc w:val="left"/>
              <w:rPr>
                <w:rFonts w:ascii="宋体" w:hAnsi="宋体" w:cs="宋体" w:eastAsia="宋体" w:hint="default"/>
                <w:sz w:val="20"/>
                <w:szCs w:val="20"/>
              </w:rPr>
            </w:pPr>
            <w:r>
              <w:rPr>
                <w:rFonts w:ascii="宋体"/>
                <w:sz w:val="20"/>
              </w:rPr>
              <w:t>201821611706.1</w:t>
            </w: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85"/>
              <w:jc w:val="right"/>
              <w:rPr>
                <w:rFonts w:ascii="宋体" w:hAnsi="宋体" w:cs="宋体" w:eastAsia="宋体" w:hint="default"/>
                <w:sz w:val="20"/>
                <w:szCs w:val="20"/>
              </w:rPr>
            </w:pPr>
            <w:r>
              <w:rPr>
                <w:rFonts w:ascii="宋体" w:hAnsi="宋体" w:cs="宋体" w:eastAsia="宋体" w:hint="default"/>
                <w:sz w:val="20"/>
                <w:szCs w:val="20"/>
              </w:rPr>
              <w:t>2018</w:t>
            </w:r>
            <w:r>
              <w:rPr>
                <w:rFonts w:ascii="宋体" w:hAnsi="宋体" w:cs="宋体" w:eastAsia="宋体" w:hint="default"/>
                <w:spacing w:val="-51"/>
                <w:sz w:val="20"/>
                <w:szCs w:val="20"/>
              </w:rPr>
              <w:t> </w:t>
            </w:r>
            <w:r>
              <w:rPr>
                <w:rFonts w:ascii="宋体" w:hAnsi="宋体" w:cs="宋体" w:eastAsia="宋体" w:hint="default"/>
                <w:sz w:val="20"/>
                <w:szCs w:val="20"/>
              </w:rPr>
              <w:t>年</w:t>
            </w:r>
            <w:r>
              <w:rPr>
                <w:rFonts w:ascii="宋体" w:hAnsi="宋体" w:cs="宋体" w:eastAsia="宋体" w:hint="default"/>
                <w:spacing w:val="-50"/>
                <w:sz w:val="20"/>
                <w:szCs w:val="20"/>
              </w:rPr>
              <w:t> </w:t>
            </w:r>
            <w:r>
              <w:rPr>
                <w:rFonts w:ascii="宋体" w:hAnsi="宋体" w:cs="宋体" w:eastAsia="宋体" w:hint="default"/>
                <w:sz w:val="20"/>
                <w:szCs w:val="20"/>
              </w:rPr>
              <w:t>09</w:t>
            </w:r>
            <w:r>
              <w:rPr>
                <w:rFonts w:ascii="宋体" w:hAnsi="宋体" w:cs="宋体" w:eastAsia="宋体" w:hint="default"/>
                <w:spacing w:val="-51"/>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宋体" w:hAnsi="宋体" w:cs="宋体" w:eastAsia="宋体" w:hint="default"/>
                <w:sz w:val="20"/>
                <w:szCs w:val="20"/>
              </w:rPr>
              <w:t>30</w:t>
            </w:r>
            <w:r>
              <w:rPr>
                <w:rFonts w:ascii="宋体" w:hAnsi="宋体" w:cs="宋体" w:eastAsia="宋体" w:hint="default"/>
                <w:spacing w:val="-49"/>
                <w:sz w:val="20"/>
                <w:szCs w:val="20"/>
              </w:rPr>
              <w:t> </w:t>
            </w:r>
            <w:r>
              <w:rPr>
                <w:rFonts w:ascii="宋体" w:hAnsi="宋体" w:cs="宋体" w:eastAsia="宋体" w:hint="default"/>
                <w:sz w:val="20"/>
                <w:szCs w:val="20"/>
              </w:rPr>
              <w:t>日</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江苏顺泰</w:t>
            </w:r>
          </w:p>
        </w:tc>
      </w:tr>
      <w:tr>
        <w:trPr>
          <w:trHeight w:val="370" w:hRule="exact"/>
        </w:trPr>
        <w:tc>
          <w:tcPr>
            <w:tcW w:w="55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69"/>
              <w:jc w:val="right"/>
              <w:rPr>
                <w:rFonts w:ascii="宋体" w:hAnsi="宋体" w:cs="宋体" w:eastAsia="宋体" w:hint="default"/>
                <w:sz w:val="20"/>
                <w:szCs w:val="20"/>
              </w:rPr>
            </w:pPr>
            <w:r>
              <w:rPr>
                <w:rFonts w:ascii="宋体"/>
                <w:sz w:val="20"/>
              </w:rPr>
              <w:t>95</w:t>
            </w:r>
          </w:p>
        </w:tc>
        <w:tc>
          <w:tcPr>
            <w:tcW w:w="3381"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一种凹印机烘干系统</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0"/>
              <w:jc w:val="center"/>
              <w:rPr>
                <w:rFonts w:ascii="宋体" w:hAnsi="宋体" w:cs="宋体" w:eastAsia="宋体" w:hint="default"/>
                <w:sz w:val="20"/>
                <w:szCs w:val="20"/>
              </w:rPr>
            </w:pPr>
            <w:r>
              <w:rPr>
                <w:rFonts w:ascii="宋体" w:hAnsi="宋体" w:cs="宋体" w:eastAsia="宋体" w:hint="default"/>
                <w:sz w:val="20"/>
                <w:szCs w:val="20"/>
              </w:rPr>
              <w:t>实用新型</w:t>
            </w:r>
          </w:p>
        </w:tc>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46" w:right="0"/>
              <w:jc w:val="left"/>
              <w:rPr>
                <w:rFonts w:ascii="宋体" w:hAnsi="宋体" w:cs="宋体" w:eastAsia="宋体" w:hint="default"/>
                <w:sz w:val="20"/>
                <w:szCs w:val="20"/>
              </w:rPr>
            </w:pPr>
            <w:r>
              <w:rPr>
                <w:rFonts w:ascii="宋体"/>
                <w:sz w:val="20"/>
              </w:rPr>
              <w:t>201821626503.X</w:t>
            </w: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85"/>
              <w:jc w:val="right"/>
              <w:rPr>
                <w:rFonts w:ascii="宋体" w:hAnsi="宋体" w:cs="宋体" w:eastAsia="宋体" w:hint="default"/>
                <w:sz w:val="20"/>
                <w:szCs w:val="20"/>
              </w:rPr>
            </w:pPr>
            <w:r>
              <w:rPr>
                <w:rFonts w:ascii="宋体" w:hAnsi="宋体" w:cs="宋体" w:eastAsia="宋体" w:hint="default"/>
                <w:sz w:val="20"/>
                <w:szCs w:val="20"/>
              </w:rPr>
              <w:t>2018</w:t>
            </w:r>
            <w:r>
              <w:rPr>
                <w:rFonts w:ascii="宋体" w:hAnsi="宋体" w:cs="宋体" w:eastAsia="宋体" w:hint="default"/>
                <w:spacing w:val="-51"/>
                <w:sz w:val="20"/>
                <w:szCs w:val="20"/>
              </w:rPr>
              <w:t> </w:t>
            </w:r>
            <w:r>
              <w:rPr>
                <w:rFonts w:ascii="宋体" w:hAnsi="宋体" w:cs="宋体" w:eastAsia="宋体" w:hint="default"/>
                <w:sz w:val="20"/>
                <w:szCs w:val="20"/>
              </w:rPr>
              <w:t>年</w:t>
            </w:r>
            <w:r>
              <w:rPr>
                <w:rFonts w:ascii="宋体" w:hAnsi="宋体" w:cs="宋体" w:eastAsia="宋体" w:hint="default"/>
                <w:spacing w:val="-50"/>
                <w:sz w:val="20"/>
                <w:szCs w:val="20"/>
              </w:rPr>
              <w:t> </w:t>
            </w:r>
            <w:r>
              <w:rPr>
                <w:rFonts w:ascii="宋体" w:hAnsi="宋体" w:cs="宋体" w:eastAsia="宋体" w:hint="default"/>
                <w:sz w:val="20"/>
                <w:szCs w:val="20"/>
              </w:rPr>
              <w:t>10</w:t>
            </w:r>
            <w:r>
              <w:rPr>
                <w:rFonts w:ascii="宋体" w:hAnsi="宋体" w:cs="宋体" w:eastAsia="宋体" w:hint="default"/>
                <w:spacing w:val="-51"/>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宋体" w:hAnsi="宋体" w:cs="宋体" w:eastAsia="宋体" w:hint="default"/>
                <w:sz w:val="20"/>
                <w:szCs w:val="20"/>
              </w:rPr>
              <w:t>08</w:t>
            </w:r>
            <w:r>
              <w:rPr>
                <w:rFonts w:ascii="宋体" w:hAnsi="宋体" w:cs="宋体" w:eastAsia="宋体" w:hint="default"/>
                <w:spacing w:val="-49"/>
                <w:sz w:val="20"/>
                <w:szCs w:val="20"/>
              </w:rPr>
              <w:t> </w:t>
            </w:r>
            <w:r>
              <w:rPr>
                <w:rFonts w:ascii="宋体" w:hAnsi="宋体" w:cs="宋体" w:eastAsia="宋体" w:hint="default"/>
                <w:sz w:val="20"/>
                <w:szCs w:val="20"/>
              </w:rPr>
              <w:t>日</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江苏顺泰</w:t>
            </w:r>
          </w:p>
        </w:tc>
      </w:tr>
      <w:tr>
        <w:trPr>
          <w:trHeight w:val="371" w:hRule="exact"/>
        </w:trPr>
        <w:tc>
          <w:tcPr>
            <w:tcW w:w="556"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169"/>
              <w:jc w:val="right"/>
              <w:rPr>
                <w:rFonts w:ascii="宋体" w:hAnsi="宋体" w:cs="宋体" w:eastAsia="宋体" w:hint="default"/>
                <w:sz w:val="20"/>
                <w:szCs w:val="20"/>
              </w:rPr>
            </w:pPr>
            <w:r>
              <w:rPr>
                <w:rFonts w:ascii="宋体"/>
                <w:sz w:val="20"/>
              </w:rPr>
              <w:t>96</w:t>
            </w:r>
          </w:p>
        </w:tc>
        <w:tc>
          <w:tcPr>
            <w:tcW w:w="338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0"/>
                <w:szCs w:val="20"/>
              </w:rPr>
            </w:pPr>
            <w:r>
              <w:rPr>
                <w:rFonts w:ascii="宋体" w:hAnsi="宋体" w:cs="宋体" w:eastAsia="宋体" w:hint="default"/>
                <w:sz w:val="20"/>
                <w:szCs w:val="20"/>
              </w:rPr>
              <w:t>一种全自动纸粉清除装置</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0"/>
              <w:jc w:val="center"/>
              <w:rPr>
                <w:rFonts w:ascii="宋体" w:hAnsi="宋体" w:cs="宋体" w:eastAsia="宋体" w:hint="default"/>
                <w:sz w:val="20"/>
                <w:szCs w:val="20"/>
              </w:rPr>
            </w:pPr>
            <w:r>
              <w:rPr>
                <w:rFonts w:ascii="宋体" w:hAnsi="宋体" w:cs="宋体" w:eastAsia="宋体" w:hint="default"/>
                <w:sz w:val="20"/>
                <w:szCs w:val="20"/>
              </w:rPr>
              <w:t>实用新型</w:t>
            </w:r>
          </w:p>
        </w:tc>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46" w:right="0"/>
              <w:jc w:val="left"/>
              <w:rPr>
                <w:rFonts w:ascii="宋体" w:hAnsi="宋体" w:cs="宋体" w:eastAsia="宋体" w:hint="default"/>
                <w:sz w:val="20"/>
                <w:szCs w:val="20"/>
              </w:rPr>
            </w:pPr>
            <w:r>
              <w:rPr>
                <w:rFonts w:ascii="宋体"/>
                <w:sz w:val="20"/>
              </w:rPr>
              <w:t>201821626171.5</w:t>
            </w: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185"/>
              <w:jc w:val="right"/>
              <w:rPr>
                <w:rFonts w:ascii="宋体" w:hAnsi="宋体" w:cs="宋体" w:eastAsia="宋体" w:hint="default"/>
                <w:sz w:val="20"/>
                <w:szCs w:val="20"/>
              </w:rPr>
            </w:pPr>
            <w:r>
              <w:rPr>
                <w:rFonts w:ascii="宋体" w:hAnsi="宋体" w:cs="宋体" w:eastAsia="宋体" w:hint="default"/>
                <w:sz w:val="20"/>
                <w:szCs w:val="20"/>
              </w:rPr>
              <w:t>2018</w:t>
            </w:r>
            <w:r>
              <w:rPr>
                <w:rFonts w:ascii="宋体" w:hAnsi="宋体" w:cs="宋体" w:eastAsia="宋体" w:hint="default"/>
                <w:spacing w:val="-51"/>
                <w:sz w:val="20"/>
                <w:szCs w:val="20"/>
              </w:rPr>
              <w:t> </w:t>
            </w:r>
            <w:r>
              <w:rPr>
                <w:rFonts w:ascii="宋体" w:hAnsi="宋体" w:cs="宋体" w:eastAsia="宋体" w:hint="default"/>
                <w:sz w:val="20"/>
                <w:szCs w:val="20"/>
              </w:rPr>
              <w:t>年</w:t>
            </w:r>
            <w:r>
              <w:rPr>
                <w:rFonts w:ascii="宋体" w:hAnsi="宋体" w:cs="宋体" w:eastAsia="宋体" w:hint="default"/>
                <w:spacing w:val="-50"/>
                <w:sz w:val="20"/>
                <w:szCs w:val="20"/>
              </w:rPr>
              <w:t> </w:t>
            </w:r>
            <w:r>
              <w:rPr>
                <w:rFonts w:ascii="宋体" w:hAnsi="宋体" w:cs="宋体" w:eastAsia="宋体" w:hint="default"/>
                <w:sz w:val="20"/>
                <w:szCs w:val="20"/>
              </w:rPr>
              <w:t>10</w:t>
            </w:r>
            <w:r>
              <w:rPr>
                <w:rFonts w:ascii="宋体" w:hAnsi="宋体" w:cs="宋体" w:eastAsia="宋体" w:hint="default"/>
                <w:spacing w:val="-51"/>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宋体" w:hAnsi="宋体" w:cs="宋体" w:eastAsia="宋体" w:hint="default"/>
                <w:sz w:val="20"/>
                <w:szCs w:val="20"/>
              </w:rPr>
              <w:t>08</w:t>
            </w:r>
            <w:r>
              <w:rPr>
                <w:rFonts w:ascii="宋体" w:hAnsi="宋体" w:cs="宋体" w:eastAsia="宋体" w:hint="default"/>
                <w:spacing w:val="-49"/>
                <w:sz w:val="20"/>
                <w:szCs w:val="20"/>
              </w:rPr>
              <w:t> </w:t>
            </w:r>
            <w:r>
              <w:rPr>
                <w:rFonts w:ascii="宋体" w:hAnsi="宋体" w:cs="宋体" w:eastAsia="宋体" w:hint="default"/>
                <w:sz w:val="20"/>
                <w:szCs w:val="20"/>
              </w:rPr>
              <w:t>日</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0"/>
                <w:szCs w:val="20"/>
              </w:rPr>
            </w:pPr>
            <w:r>
              <w:rPr>
                <w:rFonts w:ascii="宋体" w:hAnsi="宋体" w:cs="宋体" w:eastAsia="宋体" w:hint="default"/>
                <w:sz w:val="20"/>
                <w:szCs w:val="20"/>
              </w:rPr>
              <w:t>江苏顺泰</w:t>
            </w:r>
          </w:p>
        </w:tc>
      </w:tr>
      <w:tr>
        <w:trPr>
          <w:trHeight w:val="634" w:hRule="exact"/>
        </w:trPr>
        <w:tc>
          <w:tcPr>
            <w:tcW w:w="55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69"/>
              <w:jc w:val="right"/>
              <w:rPr>
                <w:rFonts w:ascii="宋体" w:hAnsi="宋体" w:cs="宋体" w:eastAsia="宋体" w:hint="default"/>
                <w:sz w:val="20"/>
                <w:szCs w:val="20"/>
              </w:rPr>
            </w:pPr>
            <w:r>
              <w:rPr>
                <w:rFonts w:ascii="宋体"/>
                <w:sz w:val="20"/>
              </w:rPr>
              <w:t>97</w:t>
            </w:r>
          </w:p>
        </w:tc>
        <w:tc>
          <w:tcPr>
            <w:tcW w:w="3381"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264"/>
              <w:jc w:val="left"/>
              <w:rPr>
                <w:rFonts w:ascii="宋体" w:hAnsi="宋体" w:cs="宋体" w:eastAsia="宋体" w:hint="default"/>
                <w:sz w:val="20"/>
                <w:szCs w:val="20"/>
              </w:rPr>
            </w:pPr>
            <w:r>
              <w:rPr>
                <w:rFonts w:ascii="宋体" w:hAnsi="宋体" w:cs="宋体" w:eastAsia="宋体" w:hint="default"/>
                <w:sz w:val="20"/>
                <w:szCs w:val="20"/>
              </w:rPr>
              <w:t>一种适用于纸张压痕挺度测量的取</w:t>
            </w:r>
            <w:r>
              <w:rPr>
                <w:rFonts w:ascii="宋体" w:hAnsi="宋体" w:cs="宋体" w:eastAsia="宋体" w:hint="default"/>
                <w:w w:val="100"/>
                <w:sz w:val="20"/>
                <w:szCs w:val="20"/>
              </w:rPr>
              <w:t> </w:t>
            </w:r>
            <w:r>
              <w:rPr>
                <w:rFonts w:ascii="宋体" w:hAnsi="宋体" w:cs="宋体" w:eastAsia="宋体" w:hint="default"/>
                <w:sz w:val="20"/>
                <w:szCs w:val="20"/>
              </w:rPr>
              <w:t>样器</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0"/>
              <w:jc w:val="center"/>
              <w:rPr>
                <w:rFonts w:ascii="宋体" w:hAnsi="宋体" w:cs="宋体" w:eastAsia="宋体" w:hint="default"/>
                <w:sz w:val="20"/>
                <w:szCs w:val="20"/>
              </w:rPr>
            </w:pPr>
            <w:r>
              <w:rPr>
                <w:rFonts w:ascii="宋体" w:hAnsi="宋体" w:cs="宋体" w:eastAsia="宋体" w:hint="default"/>
                <w:sz w:val="20"/>
                <w:szCs w:val="20"/>
              </w:rPr>
              <w:t>实用新型</w:t>
            </w:r>
          </w:p>
        </w:tc>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46" w:right="0"/>
              <w:jc w:val="left"/>
              <w:rPr>
                <w:rFonts w:ascii="宋体" w:hAnsi="宋体" w:cs="宋体" w:eastAsia="宋体" w:hint="default"/>
                <w:sz w:val="20"/>
                <w:szCs w:val="20"/>
              </w:rPr>
            </w:pPr>
            <w:r>
              <w:rPr>
                <w:rFonts w:ascii="宋体"/>
                <w:sz w:val="20"/>
              </w:rPr>
              <w:t>201821626149.0</w:t>
            </w: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85"/>
              <w:jc w:val="right"/>
              <w:rPr>
                <w:rFonts w:ascii="宋体" w:hAnsi="宋体" w:cs="宋体" w:eastAsia="宋体" w:hint="default"/>
                <w:sz w:val="20"/>
                <w:szCs w:val="20"/>
              </w:rPr>
            </w:pPr>
            <w:r>
              <w:rPr>
                <w:rFonts w:ascii="宋体" w:hAnsi="宋体" w:cs="宋体" w:eastAsia="宋体" w:hint="default"/>
                <w:sz w:val="20"/>
                <w:szCs w:val="20"/>
              </w:rPr>
              <w:t>2018</w:t>
            </w:r>
            <w:r>
              <w:rPr>
                <w:rFonts w:ascii="宋体" w:hAnsi="宋体" w:cs="宋体" w:eastAsia="宋体" w:hint="default"/>
                <w:spacing w:val="-51"/>
                <w:sz w:val="20"/>
                <w:szCs w:val="20"/>
              </w:rPr>
              <w:t> </w:t>
            </w:r>
            <w:r>
              <w:rPr>
                <w:rFonts w:ascii="宋体" w:hAnsi="宋体" w:cs="宋体" w:eastAsia="宋体" w:hint="default"/>
                <w:sz w:val="20"/>
                <w:szCs w:val="20"/>
              </w:rPr>
              <w:t>年</w:t>
            </w:r>
            <w:r>
              <w:rPr>
                <w:rFonts w:ascii="宋体" w:hAnsi="宋体" w:cs="宋体" w:eastAsia="宋体" w:hint="default"/>
                <w:spacing w:val="-50"/>
                <w:sz w:val="20"/>
                <w:szCs w:val="20"/>
              </w:rPr>
              <w:t> </w:t>
            </w:r>
            <w:r>
              <w:rPr>
                <w:rFonts w:ascii="宋体" w:hAnsi="宋体" w:cs="宋体" w:eastAsia="宋体" w:hint="default"/>
                <w:sz w:val="20"/>
                <w:szCs w:val="20"/>
              </w:rPr>
              <w:t>10</w:t>
            </w:r>
            <w:r>
              <w:rPr>
                <w:rFonts w:ascii="宋体" w:hAnsi="宋体" w:cs="宋体" w:eastAsia="宋体" w:hint="default"/>
                <w:spacing w:val="-51"/>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宋体" w:hAnsi="宋体" w:cs="宋体" w:eastAsia="宋体" w:hint="default"/>
                <w:sz w:val="20"/>
                <w:szCs w:val="20"/>
              </w:rPr>
              <w:t>08</w:t>
            </w:r>
            <w:r>
              <w:rPr>
                <w:rFonts w:ascii="宋体" w:hAnsi="宋体" w:cs="宋体" w:eastAsia="宋体" w:hint="default"/>
                <w:spacing w:val="-49"/>
                <w:sz w:val="20"/>
                <w:szCs w:val="20"/>
              </w:rPr>
              <w:t> </w:t>
            </w:r>
            <w:r>
              <w:rPr>
                <w:rFonts w:ascii="宋体" w:hAnsi="宋体" w:cs="宋体" w:eastAsia="宋体" w:hint="default"/>
                <w:sz w:val="20"/>
                <w:szCs w:val="20"/>
              </w:rPr>
              <w:t>日</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江苏顺泰</w:t>
            </w:r>
          </w:p>
        </w:tc>
      </w:tr>
      <w:tr>
        <w:trPr>
          <w:trHeight w:val="634" w:hRule="exact"/>
        </w:trPr>
        <w:tc>
          <w:tcPr>
            <w:tcW w:w="55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69"/>
              <w:jc w:val="right"/>
              <w:rPr>
                <w:rFonts w:ascii="宋体" w:hAnsi="宋体" w:cs="宋体" w:eastAsia="宋体" w:hint="default"/>
                <w:sz w:val="20"/>
                <w:szCs w:val="20"/>
              </w:rPr>
            </w:pPr>
            <w:r>
              <w:rPr>
                <w:rFonts w:ascii="宋体"/>
                <w:sz w:val="20"/>
              </w:rPr>
              <w:t>98</w:t>
            </w:r>
          </w:p>
        </w:tc>
        <w:tc>
          <w:tcPr>
            <w:tcW w:w="3381"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264"/>
              <w:jc w:val="left"/>
              <w:rPr>
                <w:rFonts w:ascii="宋体" w:hAnsi="宋体" w:cs="宋体" w:eastAsia="宋体" w:hint="default"/>
                <w:sz w:val="20"/>
                <w:szCs w:val="20"/>
              </w:rPr>
            </w:pPr>
            <w:r>
              <w:rPr>
                <w:rFonts w:ascii="宋体" w:hAnsi="宋体" w:cs="宋体" w:eastAsia="宋体" w:hint="default"/>
                <w:sz w:val="20"/>
                <w:szCs w:val="20"/>
              </w:rPr>
              <w:t>防止限位开关被撞的印刷机给纸升</w:t>
            </w:r>
            <w:r>
              <w:rPr>
                <w:rFonts w:ascii="宋体" w:hAnsi="宋体" w:cs="宋体" w:eastAsia="宋体" w:hint="default"/>
                <w:w w:val="100"/>
                <w:sz w:val="20"/>
                <w:szCs w:val="20"/>
              </w:rPr>
              <w:t> </w:t>
            </w:r>
            <w:r>
              <w:rPr>
                <w:rFonts w:ascii="宋体" w:hAnsi="宋体" w:cs="宋体" w:eastAsia="宋体" w:hint="default"/>
                <w:sz w:val="20"/>
                <w:szCs w:val="20"/>
              </w:rPr>
              <w:t>降装置</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0"/>
              <w:jc w:val="center"/>
              <w:rPr>
                <w:rFonts w:ascii="宋体" w:hAnsi="宋体" w:cs="宋体" w:eastAsia="宋体" w:hint="default"/>
                <w:sz w:val="20"/>
                <w:szCs w:val="20"/>
              </w:rPr>
            </w:pPr>
            <w:r>
              <w:rPr>
                <w:rFonts w:ascii="宋体" w:hAnsi="宋体" w:cs="宋体" w:eastAsia="宋体" w:hint="default"/>
                <w:sz w:val="20"/>
                <w:szCs w:val="20"/>
              </w:rPr>
              <w:t>实用新型</w:t>
            </w:r>
          </w:p>
        </w:tc>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46" w:right="0"/>
              <w:jc w:val="left"/>
              <w:rPr>
                <w:rFonts w:ascii="宋体" w:hAnsi="宋体" w:cs="宋体" w:eastAsia="宋体" w:hint="default"/>
                <w:sz w:val="20"/>
                <w:szCs w:val="20"/>
              </w:rPr>
            </w:pPr>
            <w:r>
              <w:rPr>
                <w:rFonts w:ascii="宋体"/>
                <w:sz w:val="20"/>
              </w:rPr>
              <w:t>201821761217.4</w:t>
            </w: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85"/>
              <w:jc w:val="right"/>
              <w:rPr>
                <w:rFonts w:ascii="宋体" w:hAnsi="宋体" w:cs="宋体" w:eastAsia="宋体" w:hint="default"/>
                <w:sz w:val="20"/>
                <w:szCs w:val="20"/>
              </w:rPr>
            </w:pPr>
            <w:r>
              <w:rPr>
                <w:rFonts w:ascii="宋体" w:hAnsi="宋体" w:cs="宋体" w:eastAsia="宋体" w:hint="default"/>
                <w:sz w:val="20"/>
                <w:szCs w:val="20"/>
              </w:rPr>
              <w:t>2018</w:t>
            </w:r>
            <w:r>
              <w:rPr>
                <w:rFonts w:ascii="宋体" w:hAnsi="宋体" w:cs="宋体" w:eastAsia="宋体" w:hint="default"/>
                <w:spacing w:val="-51"/>
                <w:sz w:val="20"/>
                <w:szCs w:val="20"/>
              </w:rPr>
              <w:t> </w:t>
            </w:r>
            <w:r>
              <w:rPr>
                <w:rFonts w:ascii="宋体" w:hAnsi="宋体" w:cs="宋体" w:eastAsia="宋体" w:hint="default"/>
                <w:sz w:val="20"/>
                <w:szCs w:val="20"/>
              </w:rPr>
              <w:t>年</w:t>
            </w:r>
            <w:r>
              <w:rPr>
                <w:rFonts w:ascii="宋体" w:hAnsi="宋体" w:cs="宋体" w:eastAsia="宋体" w:hint="default"/>
                <w:spacing w:val="-50"/>
                <w:sz w:val="20"/>
                <w:szCs w:val="20"/>
              </w:rPr>
              <w:t> </w:t>
            </w:r>
            <w:r>
              <w:rPr>
                <w:rFonts w:ascii="宋体" w:hAnsi="宋体" w:cs="宋体" w:eastAsia="宋体" w:hint="default"/>
                <w:sz w:val="20"/>
                <w:szCs w:val="20"/>
              </w:rPr>
              <w:t>10</w:t>
            </w:r>
            <w:r>
              <w:rPr>
                <w:rFonts w:ascii="宋体" w:hAnsi="宋体" w:cs="宋体" w:eastAsia="宋体" w:hint="default"/>
                <w:spacing w:val="-51"/>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宋体" w:hAnsi="宋体" w:cs="宋体" w:eastAsia="宋体" w:hint="default"/>
                <w:sz w:val="20"/>
                <w:szCs w:val="20"/>
              </w:rPr>
              <w:t>29</w:t>
            </w:r>
            <w:r>
              <w:rPr>
                <w:rFonts w:ascii="宋体" w:hAnsi="宋体" w:cs="宋体" w:eastAsia="宋体" w:hint="default"/>
                <w:spacing w:val="-49"/>
                <w:sz w:val="20"/>
                <w:szCs w:val="20"/>
              </w:rPr>
              <w:t> </w:t>
            </w:r>
            <w:r>
              <w:rPr>
                <w:rFonts w:ascii="宋体" w:hAnsi="宋体" w:cs="宋体" w:eastAsia="宋体" w:hint="default"/>
                <w:sz w:val="20"/>
                <w:szCs w:val="20"/>
              </w:rPr>
              <w:t>日</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昆明彩印</w:t>
            </w:r>
          </w:p>
        </w:tc>
      </w:tr>
      <w:tr>
        <w:trPr>
          <w:trHeight w:val="371" w:hRule="exact"/>
        </w:trPr>
        <w:tc>
          <w:tcPr>
            <w:tcW w:w="556"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169"/>
              <w:jc w:val="right"/>
              <w:rPr>
                <w:rFonts w:ascii="宋体" w:hAnsi="宋体" w:cs="宋体" w:eastAsia="宋体" w:hint="default"/>
                <w:sz w:val="20"/>
                <w:szCs w:val="20"/>
              </w:rPr>
            </w:pPr>
            <w:r>
              <w:rPr>
                <w:rFonts w:ascii="宋体"/>
                <w:sz w:val="20"/>
              </w:rPr>
              <w:t>99</w:t>
            </w:r>
          </w:p>
        </w:tc>
        <w:tc>
          <w:tcPr>
            <w:tcW w:w="338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0"/>
                <w:szCs w:val="20"/>
              </w:rPr>
            </w:pPr>
            <w:r>
              <w:rPr>
                <w:rFonts w:ascii="宋体" w:hAnsi="宋体" w:cs="宋体" w:eastAsia="宋体" w:hint="default"/>
                <w:sz w:val="20"/>
                <w:szCs w:val="20"/>
              </w:rPr>
              <w:t>一种检品机条盒纸的保护装置</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0"/>
              <w:jc w:val="center"/>
              <w:rPr>
                <w:rFonts w:ascii="宋体" w:hAnsi="宋体" w:cs="宋体" w:eastAsia="宋体" w:hint="default"/>
                <w:sz w:val="20"/>
                <w:szCs w:val="20"/>
              </w:rPr>
            </w:pPr>
            <w:r>
              <w:rPr>
                <w:rFonts w:ascii="宋体" w:hAnsi="宋体" w:cs="宋体" w:eastAsia="宋体" w:hint="default"/>
                <w:sz w:val="20"/>
                <w:szCs w:val="20"/>
              </w:rPr>
              <w:t>实用新型</w:t>
            </w:r>
          </w:p>
        </w:tc>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46" w:right="0"/>
              <w:jc w:val="left"/>
              <w:rPr>
                <w:rFonts w:ascii="宋体" w:hAnsi="宋体" w:cs="宋体" w:eastAsia="宋体" w:hint="default"/>
                <w:sz w:val="20"/>
                <w:szCs w:val="20"/>
              </w:rPr>
            </w:pPr>
            <w:r>
              <w:rPr>
                <w:rFonts w:ascii="宋体"/>
                <w:sz w:val="20"/>
              </w:rPr>
              <w:t>201821761226.3</w:t>
            </w: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185"/>
              <w:jc w:val="right"/>
              <w:rPr>
                <w:rFonts w:ascii="宋体" w:hAnsi="宋体" w:cs="宋体" w:eastAsia="宋体" w:hint="default"/>
                <w:sz w:val="20"/>
                <w:szCs w:val="20"/>
              </w:rPr>
            </w:pPr>
            <w:r>
              <w:rPr>
                <w:rFonts w:ascii="宋体" w:hAnsi="宋体" w:cs="宋体" w:eastAsia="宋体" w:hint="default"/>
                <w:sz w:val="20"/>
                <w:szCs w:val="20"/>
              </w:rPr>
              <w:t>2018</w:t>
            </w:r>
            <w:r>
              <w:rPr>
                <w:rFonts w:ascii="宋体" w:hAnsi="宋体" w:cs="宋体" w:eastAsia="宋体" w:hint="default"/>
                <w:spacing w:val="-51"/>
                <w:sz w:val="20"/>
                <w:szCs w:val="20"/>
              </w:rPr>
              <w:t> </w:t>
            </w:r>
            <w:r>
              <w:rPr>
                <w:rFonts w:ascii="宋体" w:hAnsi="宋体" w:cs="宋体" w:eastAsia="宋体" w:hint="default"/>
                <w:sz w:val="20"/>
                <w:szCs w:val="20"/>
              </w:rPr>
              <w:t>年</w:t>
            </w:r>
            <w:r>
              <w:rPr>
                <w:rFonts w:ascii="宋体" w:hAnsi="宋体" w:cs="宋体" w:eastAsia="宋体" w:hint="default"/>
                <w:spacing w:val="-50"/>
                <w:sz w:val="20"/>
                <w:szCs w:val="20"/>
              </w:rPr>
              <w:t> </w:t>
            </w:r>
            <w:r>
              <w:rPr>
                <w:rFonts w:ascii="宋体" w:hAnsi="宋体" w:cs="宋体" w:eastAsia="宋体" w:hint="default"/>
                <w:sz w:val="20"/>
                <w:szCs w:val="20"/>
              </w:rPr>
              <w:t>10</w:t>
            </w:r>
            <w:r>
              <w:rPr>
                <w:rFonts w:ascii="宋体" w:hAnsi="宋体" w:cs="宋体" w:eastAsia="宋体" w:hint="default"/>
                <w:spacing w:val="-51"/>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宋体" w:hAnsi="宋体" w:cs="宋体" w:eastAsia="宋体" w:hint="default"/>
                <w:sz w:val="20"/>
                <w:szCs w:val="20"/>
              </w:rPr>
              <w:t>29</w:t>
            </w:r>
            <w:r>
              <w:rPr>
                <w:rFonts w:ascii="宋体" w:hAnsi="宋体" w:cs="宋体" w:eastAsia="宋体" w:hint="default"/>
                <w:spacing w:val="-49"/>
                <w:sz w:val="20"/>
                <w:szCs w:val="20"/>
              </w:rPr>
              <w:t> </w:t>
            </w:r>
            <w:r>
              <w:rPr>
                <w:rFonts w:ascii="宋体" w:hAnsi="宋体" w:cs="宋体" w:eastAsia="宋体" w:hint="default"/>
                <w:sz w:val="20"/>
                <w:szCs w:val="20"/>
              </w:rPr>
              <w:t>日</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0"/>
                <w:szCs w:val="20"/>
              </w:rPr>
            </w:pPr>
            <w:r>
              <w:rPr>
                <w:rFonts w:ascii="宋体" w:hAnsi="宋体" w:cs="宋体" w:eastAsia="宋体" w:hint="default"/>
                <w:sz w:val="20"/>
                <w:szCs w:val="20"/>
              </w:rPr>
              <w:t>昆明彩印</w:t>
            </w:r>
          </w:p>
        </w:tc>
      </w:tr>
      <w:tr>
        <w:trPr>
          <w:trHeight w:val="370" w:hRule="exact"/>
        </w:trPr>
        <w:tc>
          <w:tcPr>
            <w:tcW w:w="55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22"/>
              <w:jc w:val="right"/>
              <w:rPr>
                <w:rFonts w:ascii="宋体" w:hAnsi="宋体" w:cs="宋体" w:eastAsia="宋体" w:hint="default"/>
                <w:sz w:val="20"/>
                <w:szCs w:val="20"/>
              </w:rPr>
            </w:pPr>
            <w:r>
              <w:rPr>
                <w:rFonts w:ascii="宋体"/>
                <w:sz w:val="20"/>
              </w:rPr>
              <w:t>100</w:t>
            </w:r>
          </w:p>
        </w:tc>
        <w:tc>
          <w:tcPr>
            <w:tcW w:w="3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一种检品机主传动轴的保护装置</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46" w:right="0"/>
              <w:jc w:val="left"/>
              <w:rPr>
                <w:rFonts w:ascii="宋体" w:hAnsi="宋体" w:cs="宋体" w:eastAsia="宋体" w:hint="default"/>
                <w:sz w:val="20"/>
                <w:szCs w:val="20"/>
              </w:rPr>
            </w:pPr>
            <w:r>
              <w:rPr>
                <w:rFonts w:ascii="宋体"/>
                <w:sz w:val="20"/>
              </w:rPr>
              <w:t>201821762061.1</w:t>
            </w: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85"/>
              <w:jc w:val="right"/>
              <w:rPr>
                <w:rFonts w:ascii="宋体" w:hAnsi="宋体" w:cs="宋体" w:eastAsia="宋体" w:hint="default"/>
                <w:sz w:val="20"/>
                <w:szCs w:val="20"/>
              </w:rPr>
            </w:pPr>
            <w:r>
              <w:rPr>
                <w:rFonts w:ascii="宋体" w:hAnsi="宋体" w:cs="宋体" w:eastAsia="宋体" w:hint="default"/>
                <w:sz w:val="20"/>
                <w:szCs w:val="20"/>
              </w:rPr>
              <w:t>2018</w:t>
            </w:r>
            <w:r>
              <w:rPr>
                <w:rFonts w:ascii="宋体" w:hAnsi="宋体" w:cs="宋体" w:eastAsia="宋体" w:hint="default"/>
                <w:spacing w:val="-51"/>
                <w:sz w:val="20"/>
                <w:szCs w:val="20"/>
              </w:rPr>
              <w:t> </w:t>
            </w:r>
            <w:r>
              <w:rPr>
                <w:rFonts w:ascii="宋体" w:hAnsi="宋体" w:cs="宋体" w:eastAsia="宋体" w:hint="default"/>
                <w:sz w:val="20"/>
                <w:szCs w:val="20"/>
              </w:rPr>
              <w:t>年</w:t>
            </w:r>
            <w:r>
              <w:rPr>
                <w:rFonts w:ascii="宋体" w:hAnsi="宋体" w:cs="宋体" w:eastAsia="宋体" w:hint="default"/>
                <w:spacing w:val="-50"/>
                <w:sz w:val="20"/>
                <w:szCs w:val="20"/>
              </w:rPr>
              <w:t> </w:t>
            </w:r>
            <w:r>
              <w:rPr>
                <w:rFonts w:ascii="宋体" w:hAnsi="宋体" w:cs="宋体" w:eastAsia="宋体" w:hint="default"/>
                <w:sz w:val="20"/>
                <w:szCs w:val="20"/>
              </w:rPr>
              <w:t>10</w:t>
            </w:r>
            <w:r>
              <w:rPr>
                <w:rFonts w:ascii="宋体" w:hAnsi="宋体" w:cs="宋体" w:eastAsia="宋体" w:hint="default"/>
                <w:spacing w:val="-51"/>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宋体" w:hAnsi="宋体" w:cs="宋体" w:eastAsia="宋体" w:hint="default"/>
                <w:sz w:val="20"/>
                <w:szCs w:val="20"/>
              </w:rPr>
              <w:t>29</w:t>
            </w:r>
            <w:r>
              <w:rPr>
                <w:rFonts w:ascii="宋体" w:hAnsi="宋体" w:cs="宋体" w:eastAsia="宋体" w:hint="default"/>
                <w:spacing w:val="-49"/>
                <w:sz w:val="20"/>
                <w:szCs w:val="20"/>
              </w:rPr>
              <w:t> </w:t>
            </w:r>
            <w:r>
              <w:rPr>
                <w:rFonts w:ascii="宋体" w:hAnsi="宋体" w:cs="宋体" w:eastAsia="宋体" w:hint="default"/>
                <w:sz w:val="20"/>
                <w:szCs w:val="20"/>
              </w:rPr>
              <w:t>日</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昆明彩印</w:t>
            </w:r>
          </w:p>
        </w:tc>
      </w:tr>
      <w:tr>
        <w:trPr>
          <w:trHeight w:val="634" w:hRule="exact"/>
        </w:trPr>
        <w:tc>
          <w:tcPr>
            <w:tcW w:w="55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22"/>
              <w:jc w:val="right"/>
              <w:rPr>
                <w:rFonts w:ascii="宋体" w:hAnsi="宋体" w:cs="宋体" w:eastAsia="宋体" w:hint="default"/>
                <w:sz w:val="20"/>
                <w:szCs w:val="20"/>
              </w:rPr>
            </w:pPr>
            <w:r>
              <w:rPr>
                <w:rFonts w:ascii="宋体"/>
                <w:sz w:val="20"/>
              </w:rPr>
              <w:t>101</w:t>
            </w:r>
          </w:p>
        </w:tc>
        <w:tc>
          <w:tcPr>
            <w:tcW w:w="338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207"/>
              <w:jc w:val="left"/>
              <w:rPr>
                <w:rFonts w:ascii="宋体" w:hAnsi="宋体" w:cs="宋体" w:eastAsia="宋体" w:hint="default"/>
                <w:sz w:val="18"/>
                <w:szCs w:val="18"/>
              </w:rPr>
            </w:pPr>
            <w:r>
              <w:rPr>
                <w:rFonts w:ascii="宋体" w:hAnsi="宋体" w:cs="宋体" w:eastAsia="宋体" w:hint="default"/>
                <w:sz w:val="18"/>
                <w:szCs w:val="18"/>
              </w:rPr>
              <w:t>一种模切烫金机的伸缩式万向联轴器的 保护套</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46" w:right="0"/>
              <w:jc w:val="left"/>
              <w:rPr>
                <w:rFonts w:ascii="宋体" w:hAnsi="宋体" w:cs="宋体" w:eastAsia="宋体" w:hint="default"/>
                <w:sz w:val="20"/>
                <w:szCs w:val="20"/>
              </w:rPr>
            </w:pPr>
            <w:r>
              <w:rPr>
                <w:rFonts w:ascii="宋体"/>
                <w:sz w:val="20"/>
              </w:rPr>
              <w:t>201821762063.0</w:t>
            </w: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85"/>
              <w:jc w:val="right"/>
              <w:rPr>
                <w:rFonts w:ascii="宋体" w:hAnsi="宋体" w:cs="宋体" w:eastAsia="宋体" w:hint="default"/>
                <w:sz w:val="20"/>
                <w:szCs w:val="20"/>
              </w:rPr>
            </w:pPr>
            <w:r>
              <w:rPr>
                <w:rFonts w:ascii="宋体" w:hAnsi="宋体" w:cs="宋体" w:eastAsia="宋体" w:hint="default"/>
                <w:sz w:val="20"/>
                <w:szCs w:val="20"/>
              </w:rPr>
              <w:t>2018</w:t>
            </w:r>
            <w:r>
              <w:rPr>
                <w:rFonts w:ascii="宋体" w:hAnsi="宋体" w:cs="宋体" w:eastAsia="宋体" w:hint="default"/>
                <w:spacing w:val="-51"/>
                <w:sz w:val="20"/>
                <w:szCs w:val="20"/>
              </w:rPr>
              <w:t> </w:t>
            </w:r>
            <w:r>
              <w:rPr>
                <w:rFonts w:ascii="宋体" w:hAnsi="宋体" w:cs="宋体" w:eastAsia="宋体" w:hint="default"/>
                <w:sz w:val="20"/>
                <w:szCs w:val="20"/>
              </w:rPr>
              <w:t>年</w:t>
            </w:r>
            <w:r>
              <w:rPr>
                <w:rFonts w:ascii="宋体" w:hAnsi="宋体" w:cs="宋体" w:eastAsia="宋体" w:hint="default"/>
                <w:spacing w:val="-50"/>
                <w:sz w:val="20"/>
                <w:szCs w:val="20"/>
              </w:rPr>
              <w:t> </w:t>
            </w:r>
            <w:r>
              <w:rPr>
                <w:rFonts w:ascii="宋体" w:hAnsi="宋体" w:cs="宋体" w:eastAsia="宋体" w:hint="default"/>
                <w:sz w:val="20"/>
                <w:szCs w:val="20"/>
              </w:rPr>
              <w:t>10</w:t>
            </w:r>
            <w:r>
              <w:rPr>
                <w:rFonts w:ascii="宋体" w:hAnsi="宋体" w:cs="宋体" w:eastAsia="宋体" w:hint="default"/>
                <w:spacing w:val="-51"/>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宋体" w:hAnsi="宋体" w:cs="宋体" w:eastAsia="宋体" w:hint="default"/>
                <w:sz w:val="20"/>
                <w:szCs w:val="20"/>
              </w:rPr>
              <w:t>29</w:t>
            </w:r>
            <w:r>
              <w:rPr>
                <w:rFonts w:ascii="宋体" w:hAnsi="宋体" w:cs="宋体" w:eastAsia="宋体" w:hint="default"/>
                <w:spacing w:val="-49"/>
                <w:sz w:val="20"/>
                <w:szCs w:val="20"/>
              </w:rPr>
              <w:t> </w:t>
            </w:r>
            <w:r>
              <w:rPr>
                <w:rFonts w:ascii="宋体" w:hAnsi="宋体" w:cs="宋体" w:eastAsia="宋体" w:hint="default"/>
                <w:sz w:val="20"/>
                <w:szCs w:val="20"/>
              </w:rPr>
              <w:t>日</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昆明彩印</w:t>
            </w:r>
          </w:p>
        </w:tc>
      </w:tr>
      <w:tr>
        <w:trPr>
          <w:trHeight w:val="371" w:hRule="exact"/>
        </w:trPr>
        <w:tc>
          <w:tcPr>
            <w:tcW w:w="556"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122"/>
              <w:jc w:val="right"/>
              <w:rPr>
                <w:rFonts w:ascii="宋体" w:hAnsi="宋体" w:cs="宋体" w:eastAsia="宋体" w:hint="default"/>
                <w:sz w:val="20"/>
                <w:szCs w:val="20"/>
              </w:rPr>
            </w:pPr>
            <w:r>
              <w:rPr>
                <w:rFonts w:ascii="宋体"/>
                <w:sz w:val="20"/>
              </w:rPr>
              <w:t>102</w:t>
            </w:r>
          </w:p>
        </w:tc>
        <w:tc>
          <w:tcPr>
            <w:tcW w:w="3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一种模切烫金机叼纸牙简易调节工具</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46" w:right="0"/>
              <w:jc w:val="left"/>
              <w:rPr>
                <w:rFonts w:ascii="宋体" w:hAnsi="宋体" w:cs="宋体" w:eastAsia="宋体" w:hint="default"/>
                <w:sz w:val="20"/>
                <w:szCs w:val="20"/>
              </w:rPr>
            </w:pPr>
            <w:r>
              <w:rPr>
                <w:rFonts w:ascii="宋体"/>
                <w:sz w:val="20"/>
              </w:rPr>
              <w:t>201821762062.6</w:t>
            </w: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185"/>
              <w:jc w:val="right"/>
              <w:rPr>
                <w:rFonts w:ascii="宋体" w:hAnsi="宋体" w:cs="宋体" w:eastAsia="宋体" w:hint="default"/>
                <w:sz w:val="20"/>
                <w:szCs w:val="20"/>
              </w:rPr>
            </w:pPr>
            <w:r>
              <w:rPr>
                <w:rFonts w:ascii="宋体" w:hAnsi="宋体" w:cs="宋体" w:eastAsia="宋体" w:hint="default"/>
                <w:sz w:val="20"/>
                <w:szCs w:val="20"/>
              </w:rPr>
              <w:t>2018</w:t>
            </w:r>
            <w:r>
              <w:rPr>
                <w:rFonts w:ascii="宋体" w:hAnsi="宋体" w:cs="宋体" w:eastAsia="宋体" w:hint="default"/>
                <w:spacing w:val="-51"/>
                <w:sz w:val="20"/>
                <w:szCs w:val="20"/>
              </w:rPr>
              <w:t> </w:t>
            </w:r>
            <w:r>
              <w:rPr>
                <w:rFonts w:ascii="宋体" w:hAnsi="宋体" w:cs="宋体" w:eastAsia="宋体" w:hint="default"/>
                <w:sz w:val="20"/>
                <w:szCs w:val="20"/>
              </w:rPr>
              <w:t>年</w:t>
            </w:r>
            <w:r>
              <w:rPr>
                <w:rFonts w:ascii="宋体" w:hAnsi="宋体" w:cs="宋体" w:eastAsia="宋体" w:hint="default"/>
                <w:spacing w:val="-50"/>
                <w:sz w:val="20"/>
                <w:szCs w:val="20"/>
              </w:rPr>
              <w:t> </w:t>
            </w:r>
            <w:r>
              <w:rPr>
                <w:rFonts w:ascii="宋体" w:hAnsi="宋体" w:cs="宋体" w:eastAsia="宋体" w:hint="default"/>
                <w:sz w:val="20"/>
                <w:szCs w:val="20"/>
              </w:rPr>
              <w:t>10</w:t>
            </w:r>
            <w:r>
              <w:rPr>
                <w:rFonts w:ascii="宋体" w:hAnsi="宋体" w:cs="宋体" w:eastAsia="宋体" w:hint="default"/>
                <w:spacing w:val="-51"/>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宋体" w:hAnsi="宋体" w:cs="宋体" w:eastAsia="宋体" w:hint="default"/>
                <w:sz w:val="20"/>
                <w:szCs w:val="20"/>
              </w:rPr>
              <w:t>29</w:t>
            </w:r>
            <w:r>
              <w:rPr>
                <w:rFonts w:ascii="宋体" w:hAnsi="宋体" w:cs="宋体" w:eastAsia="宋体" w:hint="default"/>
                <w:spacing w:val="-49"/>
                <w:sz w:val="20"/>
                <w:szCs w:val="20"/>
              </w:rPr>
              <w:t> </w:t>
            </w:r>
            <w:r>
              <w:rPr>
                <w:rFonts w:ascii="宋体" w:hAnsi="宋体" w:cs="宋体" w:eastAsia="宋体" w:hint="default"/>
                <w:sz w:val="20"/>
                <w:szCs w:val="20"/>
              </w:rPr>
              <w:t>日</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0"/>
                <w:szCs w:val="20"/>
              </w:rPr>
            </w:pPr>
            <w:r>
              <w:rPr>
                <w:rFonts w:ascii="宋体" w:hAnsi="宋体" w:cs="宋体" w:eastAsia="宋体" w:hint="default"/>
                <w:sz w:val="20"/>
                <w:szCs w:val="20"/>
              </w:rPr>
              <w:t>昆明彩印</w:t>
            </w:r>
          </w:p>
        </w:tc>
      </w:tr>
      <w:tr>
        <w:trPr>
          <w:trHeight w:val="370" w:hRule="exact"/>
        </w:trPr>
        <w:tc>
          <w:tcPr>
            <w:tcW w:w="55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22"/>
              <w:jc w:val="right"/>
              <w:rPr>
                <w:rFonts w:ascii="宋体" w:hAnsi="宋体" w:cs="宋体" w:eastAsia="宋体" w:hint="default"/>
                <w:sz w:val="20"/>
                <w:szCs w:val="20"/>
              </w:rPr>
            </w:pPr>
            <w:r>
              <w:rPr>
                <w:rFonts w:ascii="宋体"/>
                <w:sz w:val="20"/>
              </w:rPr>
              <w:t>103</w:t>
            </w:r>
          </w:p>
        </w:tc>
        <w:tc>
          <w:tcPr>
            <w:tcW w:w="3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一种烫金机的电化铝箔传送装置</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46" w:right="0"/>
              <w:jc w:val="left"/>
              <w:rPr>
                <w:rFonts w:ascii="宋体" w:hAnsi="宋体" w:cs="宋体" w:eastAsia="宋体" w:hint="default"/>
                <w:sz w:val="20"/>
                <w:szCs w:val="20"/>
              </w:rPr>
            </w:pPr>
            <w:r>
              <w:rPr>
                <w:rFonts w:ascii="宋体"/>
                <w:sz w:val="20"/>
              </w:rPr>
              <w:t>201821761218.9</w:t>
            </w: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85"/>
              <w:jc w:val="right"/>
              <w:rPr>
                <w:rFonts w:ascii="宋体" w:hAnsi="宋体" w:cs="宋体" w:eastAsia="宋体" w:hint="default"/>
                <w:sz w:val="20"/>
                <w:szCs w:val="20"/>
              </w:rPr>
            </w:pPr>
            <w:r>
              <w:rPr>
                <w:rFonts w:ascii="宋体" w:hAnsi="宋体" w:cs="宋体" w:eastAsia="宋体" w:hint="default"/>
                <w:sz w:val="20"/>
                <w:szCs w:val="20"/>
              </w:rPr>
              <w:t>2018</w:t>
            </w:r>
            <w:r>
              <w:rPr>
                <w:rFonts w:ascii="宋体" w:hAnsi="宋体" w:cs="宋体" w:eastAsia="宋体" w:hint="default"/>
                <w:spacing w:val="-51"/>
                <w:sz w:val="20"/>
                <w:szCs w:val="20"/>
              </w:rPr>
              <w:t> </w:t>
            </w:r>
            <w:r>
              <w:rPr>
                <w:rFonts w:ascii="宋体" w:hAnsi="宋体" w:cs="宋体" w:eastAsia="宋体" w:hint="default"/>
                <w:sz w:val="20"/>
                <w:szCs w:val="20"/>
              </w:rPr>
              <w:t>年</w:t>
            </w:r>
            <w:r>
              <w:rPr>
                <w:rFonts w:ascii="宋体" w:hAnsi="宋体" w:cs="宋体" w:eastAsia="宋体" w:hint="default"/>
                <w:spacing w:val="-50"/>
                <w:sz w:val="20"/>
                <w:szCs w:val="20"/>
              </w:rPr>
              <w:t> </w:t>
            </w:r>
            <w:r>
              <w:rPr>
                <w:rFonts w:ascii="宋体" w:hAnsi="宋体" w:cs="宋体" w:eastAsia="宋体" w:hint="default"/>
                <w:sz w:val="20"/>
                <w:szCs w:val="20"/>
              </w:rPr>
              <w:t>10</w:t>
            </w:r>
            <w:r>
              <w:rPr>
                <w:rFonts w:ascii="宋体" w:hAnsi="宋体" w:cs="宋体" w:eastAsia="宋体" w:hint="default"/>
                <w:spacing w:val="-51"/>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宋体" w:hAnsi="宋体" w:cs="宋体" w:eastAsia="宋体" w:hint="default"/>
                <w:sz w:val="20"/>
                <w:szCs w:val="20"/>
              </w:rPr>
              <w:t>29</w:t>
            </w:r>
            <w:r>
              <w:rPr>
                <w:rFonts w:ascii="宋体" w:hAnsi="宋体" w:cs="宋体" w:eastAsia="宋体" w:hint="default"/>
                <w:spacing w:val="-49"/>
                <w:sz w:val="20"/>
                <w:szCs w:val="20"/>
              </w:rPr>
              <w:t> </w:t>
            </w:r>
            <w:r>
              <w:rPr>
                <w:rFonts w:ascii="宋体" w:hAnsi="宋体" w:cs="宋体" w:eastAsia="宋体" w:hint="default"/>
                <w:sz w:val="20"/>
                <w:szCs w:val="20"/>
              </w:rPr>
              <w:t>日</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昆明彩印</w:t>
            </w:r>
          </w:p>
        </w:tc>
      </w:tr>
      <w:tr>
        <w:trPr>
          <w:trHeight w:val="370" w:hRule="exact"/>
        </w:trPr>
        <w:tc>
          <w:tcPr>
            <w:tcW w:w="55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22"/>
              <w:jc w:val="right"/>
              <w:rPr>
                <w:rFonts w:ascii="宋体" w:hAnsi="宋体" w:cs="宋体" w:eastAsia="宋体" w:hint="default"/>
                <w:sz w:val="20"/>
                <w:szCs w:val="20"/>
              </w:rPr>
            </w:pPr>
            <w:r>
              <w:rPr>
                <w:rFonts w:ascii="宋体"/>
                <w:sz w:val="20"/>
              </w:rPr>
              <w:t>104</w:t>
            </w:r>
          </w:p>
        </w:tc>
        <w:tc>
          <w:tcPr>
            <w:tcW w:w="3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一种印刷机链条的维护装置</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46" w:right="0"/>
              <w:jc w:val="left"/>
              <w:rPr>
                <w:rFonts w:ascii="宋体" w:hAnsi="宋体" w:cs="宋体" w:eastAsia="宋体" w:hint="default"/>
                <w:sz w:val="20"/>
                <w:szCs w:val="20"/>
              </w:rPr>
            </w:pPr>
            <w:r>
              <w:rPr>
                <w:rFonts w:ascii="宋体"/>
                <w:sz w:val="20"/>
              </w:rPr>
              <w:t>201821762060.7</w:t>
            </w: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85"/>
              <w:jc w:val="right"/>
              <w:rPr>
                <w:rFonts w:ascii="宋体" w:hAnsi="宋体" w:cs="宋体" w:eastAsia="宋体" w:hint="default"/>
                <w:sz w:val="20"/>
                <w:szCs w:val="20"/>
              </w:rPr>
            </w:pPr>
            <w:r>
              <w:rPr>
                <w:rFonts w:ascii="宋体" w:hAnsi="宋体" w:cs="宋体" w:eastAsia="宋体" w:hint="default"/>
                <w:sz w:val="20"/>
                <w:szCs w:val="20"/>
              </w:rPr>
              <w:t>2018</w:t>
            </w:r>
            <w:r>
              <w:rPr>
                <w:rFonts w:ascii="宋体" w:hAnsi="宋体" w:cs="宋体" w:eastAsia="宋体" w:hint="default"/>
                <w:spacing w:val="-51"/>
                <w:sz w:val="20"/>
                <w:szCs w:val="20"/>
              </w:rPr>
              <w:t> </w:t>
            </w:r>
            <w:r>
              <w:rPr>
                <w:rFonts w:ascii="宋体" w:hAnsi="宋体" w:cs="宋体" w:eastAsia="宋体" w:hint="default"/>
                <w:sz w:val="20"/>
                <w:szCs w:val="20"/>
              </w:rPr>
              <w:t>年</w:t>
            </w:r>
            <w:r>
              <w:rPr>
                <w:rFonts w:ascii="宋体" w:hAnsi="宋体" w:cs="宋体" w:eastAsia="宋体" w:hint="default"/>
                <w:spacing w:val="-50"/>
                <w:sz w:val="20"/>
                <w:szCs w:val="20"/>
              </w:rPr>
              <w:t> </w:t>
            </w:r>
            <w:r>
              <w:rPr>
                <w:rFonts w:ascii="宋体" w:hAnsi="宋体" w:cs="宋体" w:eastAsia="宋体" w:hint="default"/>
                <w:sz w:val="20"/>
                <w:szCs w:val="20"/>
              </w:rPr>
              <w:t>10</w:t>
            </w:r>
            <w:r>
              <w:rPr>
                <w:rFonts w:ascii="宋体" w:hAnsi="宋体" w:cs="宋体" w:eastAsia="宋体" w:hint="default"/>
                <w:spacing w:val="-51"/>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宋体" w:hAnsi="宋体" w:cs="宋体" w:eastAsia="宋体" w:hint="default"/>
                <w:sz w:val="20"/>
                <w:szCs w:val="20"/>
              </w:rPr>
              <w:t>29</w:t>
            </w:r>
            <w:r>
              <w:rPr>
                <w:rFonts w:ascii="宋体" w:hAnsi="宋体" w:cs="宋体" w:eastAsia="宋体" w:hint="default"/>
                <w:spacing w:val="-49"/>
                <w:sz w:val="20"/>
                <w:szCs w:val="20"/>
              </w:rPr>
              <w:t> </w:t>
            </w:r>
            <w:r>
              <w:rPr>
                <w:rFonts w:ascii="宋体" w:hAnsi="宋体" w:cs="宋体" w:eastAsia="宋体" w:hint="default"/>
                <w:sz w:val="20"/>
                <w:szCs w:val="20"/>
              </w:rPr>
              <w:t>日</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昆明彩印</w:t>
            </w:r>
          </w:p>
        </w:tc>
      </w:tr>
      <w:tr>
        <w:trPr>
          <w:trHeight w:val="371" w:hRule="exact"/>
        </w:trPr>
        <w:tc>
          <w:tcPr>
            <w:tcW w:w="556"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122"/>
              <w:jc w:val="right"/>
              <w:rPr>
                <w:rFonts w:ascii="宋体" w:hAnsi="宋体" w:cs="宋体" w:eastAsia="宋体" w:hint="default"/>
                <w:sz w:val="20"/>
                <w:szCs w:val="20"/>
              </w:rPr>
            </w:pPr>
            <w:r>
              <w:rPr>
                <w:rFonts w:ascii="宋体"/>
                <w:sz w:val="20"/>
              </w:rPr>
              <w:t>105</w:t>
            </w:r>
          </w:p>
        </w:tc>
        <w:tc>
          <w:tcPr>
            <w:tcW w:w="338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0"/>
                <w:szCs w:val="20"/>
              </w:rPr>
            </w:pPr>
            <w:r>
              <w:rPr>
                <w:rFonts w:ascii="宋体" w:hAnsi="宋体" w:cs="宋体" w:eastAsia="宋体" w:hint="default"/>
                <w:sz w:val="20"/>
                <w:szCs w:val="20"/>
              </w:rPr>
              <w:t>立体烫印全息效果特种印刷模具</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0"/>
              <w:jc w:val="center"/>
              <w:rPr>
                <w:rFonts w:ascii="宋体" w:hAnsi="宋体" w:cs="宋体" w:eastAsia="宋体" w:hint="default"/>
                <w:sz w:val="20"/>
                <w:szCs w:val="20"/>
              </w:rPr>
            </w:pPr>
            <w:r>
              <w:rPr>
                <w:rFonts w:ascii="宋体" w:hAnsi="宋体" w:cs="宋体" w:eastAsia="宋体" w:hint="default"/>
                <w:sz w:val="20"/>
                <w:szCs w:val="20"/>
              </w:rPr>
              <w:t>实用新型</w:t>
            </w:r>
          </w:p>
        </w:tc>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46" w:right="0"/>
              <w:jc w:val="left"/>
              <w:rPr>
                <w:rFonts w:ascii="宋体" w:hAnsi="宋体" w:cs="宋体" w:eastAsia="宋体" w:hint="default"/>
                <w:sz w:val="20"/>
                <w:szCs w:val="20"/>
              </w:rPr>
            </w:pPr>
            <w:r>
              <w:rPr>
                <w:rFonts w:ascii="宋体"/>
                <w:sz w:val="20"/>
              </w:rPr>
              <w:t>201820256186.0</w:t>
            </w: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185"/>
              <w:jc w:val="right"/>
              <w:rPr>
                <w:rFonts w:ascii="宋体" w:hAnsi="宋体" w:cs="宋体" w:eastAsia="宋体" w:hint="default"/>
                <w:sz w:val="20"/>
                <w:szCs w:val="20"/>
              </w:rPr>
            </w:pPr>
            <w:r>
              <w:rPr>
                <w:rFonts w:ascii="宋体" w:hAnsi="宋体" w:cs="宋体" w:eastAsia="宋体" w:hint="default"/>
                <w:sz w:val="20"/>
                <w:szCs w:val="20"/>
              </w:rPr>
              <w:t>2018</w:t>
            </w:r>
            <w:r>
              <w:rPr>
                <w:rFonts w:ascii="宋体" w:hAnsi="宋体" w:cs="宋体" w:eastAsia="宋体" w:hint="default"/>
                <w:spacing w:val="-51"/>
                <w:sz w:val="20"/>
                <w:szCs w:val="20"/>
              </w:rPr>
              <w:t> </w:t>
            </w:r>
            <w:r>
              <w:rPr>
                <w:rFonts w:ascii="宋体" w:hAnsi="宋体" w:cs="宋体" w:eastAsia="宋体" w:hint="default"/>
                <w:sz w:val="20"/>
                <w:szCs w:val="20"/>
              </w:rPr>
              <w:t>年</w:t>
            </w:r>
            <w:r>
              <w:rPr>
                <w:rFonts w:ascii="宋体" w:hAnsi="宋体" w:cs="宋体" w:eastAsia="宋体" w:hint="default"/>
                <w:spacing w:val="-50"/>
                <w:sz w:val="20"/>
                <w:szCs w:val="20"/>
              </w:rPr>
              <w:t> </w:t>
            </w:r>
            <w:r>
              <w:rPr>
                <w:rFonts w:ascii="宋体" w:hAnsi="宋体" w:cs="宋体" w:eastAsia="宋体" w:hint="default"/>
                <w:sz w:val="20"/>
                <w:szCs w:val="20"/>
              </w:rPr>
              <w:t>02</w:t>
            </w:r>
            <w:r>
              <w:rPr>
                <w:rFonts w:ascii="宋体" w:hAnsi="宋体" w:cs="宋体" w:eastAsia="宋体" w:hint="default"/>
                <w:spacing w:val="-51"/>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宋体" w:hAnsi="宋体" w:cs="宋体" w:eastAsia="宋体" w:hint="default"/>
                <w:sz w:val="20"/>
                <w:szCs w:val="20"/>
              </w:rPr>
              <w:t>09</w:t>
            </w:r>
            <w:r>
              <w:rPr>
                <w:rFonts w:ascii="宋体" w:hAnsi="宋体" w:cs="宋体" w:eastAsia="宋体" w:hint="default"/>
                <w:spacing w:val="-49"/>
                <w:sz w:val="20"/>
                <w:szCs w:val="20"/>
              </w:rPr>
              <w:t> </w:t>
            </w:r>
            <w:r>
              <w:rPr>
                <w:rFonts w:ascii="宋体" w:hAnsi="宋体" w:cs="宋体" w:eastAsia="宋体" w:hint="default"/>
                <w:sz w:val="20"/>
                <w:szCs w:val="20"/>
              </w:rPr>
              <w:t>日</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0"/>
                <w:szCs w:val="20"/>
              </w:rPr>
            </w:pPr>
            <w:r>
              <w:rPr>
                <w:rFonts w:ascii="宋体" w:hAnsi="宋体" w:cs="宋体" w:eastAsia="宋体" w:hint="default"/>
                <w:sz w:val="20"/>
                <w:szCs w:val="20"/>
              </w:rPr>
              <w:t>长春吉星</w:t>
            </w:r>
          </w:p>
        </w:tc>
      </w:tr>
      <w:tr>
        <w:trPr>
          <w:trHeight w:val="634" w:hRule="exact"/>
        </w:trPr>
        <w:tc>
          <w:tcPr>
            <w:tcW w:w="55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22"/>
              <w:jc w:val="right"/>
              <w:rPr>
                <w:rFonts w:ascii="宋体" w:hAnsi="宋体" w:cs="宋体" w:eastAsia="宋体" w:hint="default"/>
                <w:sz w:val="20"/>
                <w:szCs w:val="20"/>
              </w:rPr>
            </w:pPr>
            <w:r>
              <w:rPr>
                <w:rFonts w:ascii="宋体"/>
                <w:sz w:val="20"/>
              </w:rPr>
              <w:t>106</w:t>
            </w:r>
          </w:p>
        </w:tc>
        <w:tc>
          <w:tcPr>
            <w:tcW w:w="3381"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166"/>
              <w:jc w:val="left"/>
              <w:rPr>
                <w:rFonts w:ascii="宋体" w:hAnsi="宋体" w:cs="宋体" w:eastAsia="宋体" w:hint="default"/>
                <w:sz w:val="20"/>
                <w:szCs w:val="20"/>
              </w:rPr>
            </w:pPr>
            <w:r>
              <w:rPr>
                <w:rFonts w:ascii="宋体" w:hAnsi="宋体" w:cs="宋体" w:eastAsia="宋体" w:hint="default"/>
                <w:sz w:val="20"/>
                <w:szCs w:val="20"/>
              </w:rPr>
              <w:t>金墨特种印刷的凹印油墨缸冷</w:t>
            </w:r>
            <w:r>
              <w:rPr>
                <w:rFonts w:ascii="宋体" w:hAnsi="宋体" w:cs="宋体" w:eastAsia="宋体" w:hint="default"/>
                <w:sz w:val="20"/>
                <w:szCs w:val="20"/>
              </w:rPr>
              <w:t>/</w:t>
            </w:r>
            <w:r>
              <w:rPr>
                <w:rFonts w:ascii="宋体" w:hAnsi="宋体" w:cs="宋体" w:eastAsia="宋体" w:hint="default"/>
                <w:sz w:val="20"/>
                <w:szCs w:val="20"/>
              </w:rPr>
              <w:t>热恒</w:t>
            </w:r>
            <w:r>
              <w:rPr>
                <w:rFonts w:ascii="宋体" w:hAnsi="宋体" w:cs="宋体" w:eastAsia="宋体" w:hint="default"/>
                <w:spacing w:val="-2"/>
                <w:w w:val="100"/>
                <w:sz w:val="20"/>
                <w:szCs w:val="20"/>
              </w:rPr>
              <w:t> </w:t>
            </w:r>
            <w:r>
              <w:rPr>
                <w:rFonts w:ascii="宋体" w:hAnsi="宋体" w:cs="宋体" w:eastAsia="宋体" w:hint="default"/>
                <w:sz w:val="20"/>
                <w:szCs w:val="20"/>
              </w:rPr>
              <w:t>温控制系统</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0"/>
              <w:jc w:val="center"/>
              <w:rPr>
                <w:rFonts w:ascii="宋体" w:hAnsi="宋体" w:cs="宋体" w:eastAsia="宋体" w:hint="default"/>
                <w:sz w:val="20"/>
                <w:szCs w:val="20"/>
              </w:rPr>
            </w:pPr>
            <w:r>
              <w:rPr>
                <w:rFonts w:ascii="宋体" w:hAnsi="宋体" w:cs="宋体" w:eastAsia="宋体" w:hint="default"/>
                <w:sz w:val="20"/>
                <w:szCs w:val="20"/>
              </w:rPr>
              <w:t>实用新型</w:t>
            </w:r>
          </w:p>
        </w:tc>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46" w:right="0"/>
              <w:jc w:val="left"/>
              <w:rPr>
                <w:rFonts w:ascii="宋体" w:hAnsi="宋体" w:cs="宋体" w:eastAsia="宋体" w:hint="default"/>
                <w:sz w:val="20"/>
                <w:szCs w:val="20"/>
              </w:rPr>
            </w:pPr>
            <w:r>
              <w:rPr>
                <w:rFonts w:ascii="宋体"/>
                <w:sz w:val="20"/>
              </w:rPr>
              <w:t>201820231856.3</w:t>
            </w: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85"/>
              <w:jc w:val="right"/>
              <w:rPr>
                <w:rFonts w:ascii="宋体" w:hAnsi="宋体" w:cs="宋体" w:eastAsia="宋体" w:hint="default"/>
                <w:sz w:val="20"/>
                <w:szCs w:val="20"/>
              </w:rPr>
            </w:pPr>
            <w:r>
              <w:rPr>
                <w:rFonts w:ascii="宋体" w:hAnsi="宋体" w:cs="宋体" w:eastAsia="宋体" w:hint="default"/>
                <w:sz w:val="20"/>
                <w:szCs w:val="20"/>
              </w:rPr>
              <w:t>2018</w:t>
            </w:r>
            <w:r>
              <w:rPr>
                <w:rFonts w:ascii="宋体" w:hAnsi="宋体" w:cs="宋体" w:eastAsia="宋体" w:hint="default"/>
                <w:spacing w:val="-51"/>
                <w:sz w:val="20"/>
                <w:szCs w:val="20"/>
              </w:rPr>
              <w:t> </w:t>
            </w:r>
            <w:r>
              <w:rPr>
                <w:rFonts w:ascii="宋体" w:hAnsi="宋体" w:cs="宋体" w:eastAsia="宋体" w:hint="default"/>
                <w:sz w:val="20"/>
                <w:szCs w:val="20"/>
              </w:rPr>
              <w:t>年</w:t>
            </w:r>
            <w:r>
              <w:rPr>
                <w:rFonts w:ascii="宋体" w:hAnsi="宋体" w:cs="宋体" w:eastAsia="宋体" w:hint="default"/>
                <w:spacing w:val="-50"/>
                <w:sz w:val="20"/>
                <w:szCs w:val="20"/>
              </w:rPr>
              <w:t> </w:t>
            </w:r>
            <w:r>
              <w:rPr>
                <w:rFonts w:ascii="宋体" w:hAnsi="宋体" w:cs="宋体" w:eastAsia="宋体" w:hint="default"/>
                <w:sz w:val="20"/>
                <w:szCs w:val="20"/>
              </w:rPr>
              <w:t>02</w:t>
            </w:r>
            <w:r>
              <w:rPr>
                <w:rFonts w:ascii="宋体" w:hAnsi="宋体" w:cs="宋体" w:eastAsia="宋体" w:hint="default"/>
                <w:spacing w:val="-51"/>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宋体" w:hAnsi="宋体" w:cs="宋体" w:eastAsia="宋体" w:hint="default"/>
                <w:sz w:val="20"/>
                <w:szCs w:val="20"/>
              </w:rPr>
              <w:t>09</w:t>
            </w:r>
            <w:r>
              <w:rPr>
                <w:rFonts w:ascii="宋体" w:hAnsi="宋体" w:cs="宋体" w:eastAsia="宋体" w:hint="default"/>
                <w:spacing w:val="-49"/>
                <w:sz w:val="20"/>
                <w:szCs w:val="20"/>
              </w:rPr>
              <w:t> </w:t>
            </w:r>
            <w:r>
              <w:rPr>
                <w:rFonts w:ascii="宋体" w:hAnsi="宋体" w:cs="宋体" w:eastAsia="宋体" w:hint="default"/>
                <w:sz w:val="20"/>
                <w:szCs w:val="20"/>
              </w:rPr>
              <w:t>日</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长春吉星</w:t>
            </w:r>
          </w:p>
        </w:tc>
      </w:tr>
      <w:tr>
        <w:trPr>
          <w:trHeight w:val="370" w:hRule="exact"/>
        </w:trPr>
        <w:tc>
          <w:tcPr>
            <w:tcW w:w="55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22"/>
              <w:jc w:val="right"/>
              <w:rPr>
                <w:rFonts w:ascii="宋体" w:hAnsi="宋体" w:cs="宋体" w:eastAsia="宋体" w:hint="default"/>
                <w:sz w:val="20"/>
                <w:szCs w:val="20"/>
              </w:rPr>
            </w:pPr>
            <w:r>
              <w:rPr>
                <w:rFonts w:ascii="宋体"/>
                <w:sz w:val="20"/>
              </w:rPr>
              <w:t>107</w:t>
            </w:r>
          </w:p>
        </w:tc>
        <w:tc>
          <w:tcPr>
            <w:tcW w:w="3381"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一种光油在线采集系统</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0"/>
              <w:jc w:val="center"/>
              <w:rPr>
                <w:rFonts w:ascii="宋体" w:hAnsi="宋体" w:cs="宋体" w:eastAsia="宋体" w:hint="default"/>
                <w:sz w:val="20"/>
                <w:szCs w:val="20"/>
              </w:rPr>
            </w:pPr>
            <w:r>
              <w:rPr>
                <w:rFonts w:ascii="宋体" w:hAnsi="宋体" w:cs="宋体" w:eastAsia="宋体" w:hint="default"/>
                <w:sz w:val="20"/>
                <w:szCs w:val="20"/>
              </w:rPr>
              <w:t>实用新型</w:t>
            </w:r>
          </w:p>
        </w:tc>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46" w:right="0"/>
              <w:jc w:val="left"/>
              <w:rPr>
                <w:rFonts w:ascii="宋体" w:hAnsi="宋体" w:cs="宋体" w:eastAsia="宋体" w:hint="default"/>
                <w:sz w:val="20"/>
                <w:szCs w:val="20"/>
              </w:rPr>
            </w:pPr>
            <w:r>
              <w:rPr>
                <w:rFonts w:ascii="宋体"/>
                <w:sz w:val="20"/>
              </w:rPr>
              <w:t>201820229401.8</w:t>
            </w: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85"/>
              <w:jc w:val="right"/>
              <w:rPr>
                <w:rFonts w:ascii="宋体" w:hAnsi="宋体" w:cs="宋体" w:eastAsia="宋体" w:hint="default"/>
                <w:sz w:val="20"/>
                <w:szCs w:val="20"/>
              </w:rPr>
            </w:pPr>
            <w:r>
              <w:rPr>
                <w:rFonts w:ascii="宋体" w:hAnsi="宋体" w:cs="宋体" w:eastAsia="宋体" w:hint="default"/>
                <w:sz w:val="20"/>
                <w:szCs w:val="20"/>
              </w:rPr>
              <w:t>2018</w:t>
            </w:r>
            <w:r>
              <w:rPr>
                <w:rFonts w:ascii="宋体" w:hAnsi="宋体" w:cs="宋体" w:eastAsia="宋体" w:hint="default"/>
                <w:spacing w:val="-51"/>
                <w:sz w:val="20"/>
                <w:szCs w:val="20"/>
              </w:rPr>
              <w:t> </w:t>
            </w:r>
            <w:r>
              <w:rPr>
                <w:rFonts w:ascii="宋体" w:hAnsi="宋体" w:cs="宋体" w:eastAsia="宋体" w:hint="default"/>
                <w:sz w:val="20"/>
                <w:szCs w:val="20"/>
              </w:rPr>
              <w:t>年</w:t>
            </w:r>
            <w:r>
              <w:rPr>
                <w:rFonts w:ascii="宋体" w:hAnsi="宋体" w:cs="宋体" w:eastAsia="宋体" w:hint="default"/>
                <w:spacing w:val="-50"/>
                <w:sz w:val="20"/>
                <w:szCs w:val="20"/>
              </w:rPr>
              <w:t> </w:t>
            </w:r>
            <w:r>
              <w:rPr>
                <w:rFonts w:ascii="宋体" w:hAnsi="宋体" w:cs="宋体" w:eastAsia="宋体" w:hint="default"/>
                <w:sz w:val="20"/>
                <w:szCs w:val="20"/>
              </w:rPr>
              <w:t>02</w:t>
            </w:r>
            <w:r>
              <w:rPr>
                <w:rFonts w:ascii="宋体" w:hAnsi="宋体" w:cs="宋体" w:eastAsia="宋体" w:hint="default"/>
                <w:spacing w:val="-51"/>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宋体" w:hAnsi="宋体" w:cs="宋体" w:eastAsia="宋体" w:hint="default"/>
                <w:sz w:val="20"/>
                <w:szCs w:val="20"/>
              </w:rPr>
              <w:t>09</w:t>
            </w:r>
            <w:r>
              <w:rPr>
                <w:rFonts w:ascii="宋体" w:hAnsi="宋体" w:cs="宋体" w:eastAsia="宋体" w:hint="default"/>
                <w:spacing w:val="-49"/>
                <w:sz w:val="20"/>
                <w:szCs w:val="20"/>
              </w:rPr>
              <w:t> </w:t>
            </w:r>
            <w:r>
              <w:rPr>
                <w:rFonts w:ascii="宋体" w:hAnsi="宋体" w:cs="宋体" w:eastAsia="宋体" w:hint="default"/>
                <w:sz w:val="20"/>
                <w:szCs w:val="20"/>
              </w:rPr>
              <w:t>日</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长春吉星</w:t>
            </w:r>
          </w:p>
        </w:tc>
      </w:tr>
      <w:tr>
        <w:trPr>
          <w:trHeight w:val="371" w:hRule="exact"/>
        </w:trPr>
        <w:tc>
          <w:tcPr>
            <w:tcW w:w="556"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122"/>
              <w:jc w:val="right"/>
              <w:rPr>
                <w:rFonts w:ascii="宋体" w:hAnsi="宋体" w:cs="宋体" w:eastAsia="宋体" w:hint="default"/>
                <w:sz w:val="20"/>
                <w:szCs w:val="20"/>
              </w:rPr>
            </w:pPr>
            <w:r>
              <w:rPr>
                <w:rFonts w:ascii="宋体"/>
                <w:sz w:val="20"/>
              </w:rPr>
              <w:t>108</w:t>
            </w:r>
          </w:p>
        </w:tc>
        <w:tc>
          <w:tcPr>
            <w:tcW w:w="338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0"/>
                <w:szCs w:val="20"/>
              </w:rPr>
            </w:pPr>
            <w:r>
              <w:rPr>
                <w:rFonts w:ascii="宋体" w:hAnsi="宋体" w:cs="宋体" w:eastAsia="宋体" w:hint="default"/>
                <w:sz w:val="20"/>
                <w:szCs w:val="20"/>
              </w:rPr>
              <w:t>一种包装盒六通部位的切割模板</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0"/>
              <w:jc w:val="center"/>
              <w:rPr>
                <w:rFonts w:ascii="宋体" w:hAnsi="宋体" w:cs="宋体" w:eastAsia="宋体" w:hint="default"/>
                <w:sz w:val="20"/>
                <w:szCs w:val="20"/>
              </w:rPr>
            </w:pPr>
            <w:r>
              <w:rPr>
                <w:rFonts w:ascii="宋体" w:hAnsi="宋体" w:cs="宋体" w:eastAsia="宋体" w:hint="default"/>
                <w:sz w:val="20"/>
                <w:szCs w:val="20"/>
              </w:rPr>
              <w:t>实用新型</w:t>
            </w:r>
          </w:p>
        </w:tc>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46" w:right="0"/>
              <w:jc w:val="left"/>
              <w:rPr>
                <w:rFonts w:ascii="宋体" w:hAnsi="宋体" w:cs="宋体" w:eastAsia="宋体" w:hint="default"/>
                <w:sz w:val="20"/>
                <w:szCs w:val="20"/>
              </w:rPr>
            </w:pPr>
            <w:r>
              <w:rPr>
                <w:rFonts w:ascii="宋体"/>
                <w:sz w:val="20"/>
              </w:rPr>
              <w:t>201820230667.4</w:t>
            </w: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185"/>
              <w:jc w:val="right"/>
              <w:rPr>
                <w:rFonts w:ascii="宋体" w:hAnsi="宋体" w:cs="宋体" w:eastAsia="宋体" w:hint="default"/>
                <w:sz w:val="20"/>
                <w:szCs w:val="20"/>
              </w:rPr>
            </w:pPr>
            <w:r>
              <w:rPr>
                <w:rFonts w:ascii="宋体" w:hAnsi="宋体" w:cs="宋体" w:eastAsia="宋体" w:hint="default"/>
                <w:sz w:val="20"/>
                <w:szCs w:val="20"/>
              </w:rPr>
              <w:t>2018</w:t>
            </w:r>
            <w:r>
              <w:rPr>
                <w:rFonts w:ascii="宋体" w:hAnsi="宋体" w:cs="宋体" w:eastAsia="宋体" w:hint="default"/>
                <w:spacing w:val="-51"/>
                <w:sz w:val="20"/>
                <w:szCs w:val="20"/>
              </w:rPr>
              <w:t> </w:t>
            </w:r>
            <w:r>
              <w:rPr>
                <w:rFonts w:ascii="宋体" w:hAnsi="宋体" w:cs="宋体" w:eastAsia="宋体" w:hint="default"/>
                <w:sz w:val="20"/>
                <w:szCs w:val="20"/>
              </w:rPr>
              <w:t>年</w:t>
            </w:r>
            <w:r>
              <w:rPr>
                <w:rFonts w:ascii="宋体" w:hAnsi="宋体" w:cs="宋体" w:eastAsia="宋体" w:hint="default"/>
                <w:spacing w:val="-50"/>
                <w:sz w:val="20"/>
                <w:szCs w:val="20"/>
              </w:rPr>
              <w:t> </w:t>
            </w:r>
            <w:r>
              <w:rPr>
                <w:rFonts w:ascii="宋体" w:hAnsi="宋体" w:cs="宋体" w:eastAsia="宋体" w:hint="default"/>
                <w:sz w:val="20"/>
                <w:szCs w:val="20"/>
              </w:rPr>
              <w:t>02</w:t>
            </w:r>
            <w:r>
              <w:rPr>
                <w:rFonts w:ascii="宋体" w:hAnsi="宋体" w:cs="宋体" w:eastAsia="宋体" w:hint="default"/>
                <w:spacing w:val="-51"/>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宋体" w:hAnsi="宋体" w:cs="宋体" w:eastAsia="宋体" w:hint="default"/>
                <w:sz w:val="20"/>
                <w:szCs w:val="20"/>
              </w:rPr>
              <w:t>09</w:t>
            </w:r>
            <w:r>
              <w:rPr>
                <w:rFonts w:ascii="宋体" w:hAnsi="宋体" w:cs="宋体" w:eastAsia="宋体" w:hint="default"/>
                <w:spacing w:val="-49"/>
                <w:sz w:val="20"/>
                <w:szCs w:val="20"/>
              </w:rPr>
              <w:t> </w:t>
            </w:r>
            <w:r>
              <w:rPr>
                <w:rFonts w:ascii="宋体" w:hAnsi="宋体" w:cs="宋体" w:eastAsia="宋体" w:hint="default"/>
                <w:sz w:val="20"/>
                <w:szCs w:val="20"/>
              </w:rPr>
              <w:t>日</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0"/>
                <w:szCs w:val="20"/>
              </w:rPr>
            </w:pPr>
            <w:r>
              <w:rPr>
                <w:rFonts w:ascii="宋体" w:hAnsi="宋体" w:cs="宋体" w:eastAsia="宋体" w:hint="default"/>
                <w:sz w:val="20"/>
                <w:szCs w:val="20"/>
              </w:rPr>
              <w:t>长春吉星</w:t>
            </w:r>
          </w:p>
        </w:tc>
      </w:tr>
      <w:tr>
        <w:trPr>
          <w:trHeight w:val="370" w:hRule="exact"/>
        </w:trPr>
        <w:tc>
          <w:tcPr>
            <w:tcW w:w="55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22"/>
              <w:jc w:val="right"/>
              <w:rPr>
                <w:rFonts w:ascii="宋体" w:hAnsi="宋体" w:cs="宋体" w:eastAsia="宋体" w:hint="default"/>
                <w:sz w:val="20"/>
                <w:szCs w:val="20"/>
              </w:rPr>
            </w:pPr>
            <w:r>
              <w:rPr>
                <w:rFonts w:ascii="宋体"/>
                <w:sz w:val="20"/>
              </w:rPr>
              <w:t>109</w:t>
            </w:r>
          </w:p>
        </w:tc>
        <w:tc>
          <w:tcPr>
            <w:tcW w:w="3381"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一种模切机点齿线刀快捷补压设备</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0"/>
              <w:jc w:val="center"/>
              <w:rPr>
                <w:rFonts w:ascii="宋体" w:hAnsi="宋体" w:cs="宋体" w:eastAsia="宋体" w:hint="default"/>
                <w:sz w:val="20"/>
                <w:szCs w:val="20"/>
              </w:rPr>
            </w:pPr>
            <w:r>
              <w:rPr>
                <w:rFonts w:ascii="宋体" w:hAnsi="宋体" w:cs="宋体" w:eastAsia="宋体" w:hint="default"/>
                <w:sz w:val="20"/>
                <w:szCs w:val="20"/>
              </w:rPr>
              <w:t>实用新型</w:t>
            </w:r>
          </w:p>
        </w:tc>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46" w:right="0"/>
              <w:jc w:val="left"/>
              <w:rPr>
                <w:rFonts w:ascii="宋体" w:hAnsi="宋体" w:cs="宋体" w:eastAsia="宋体" w:hint="default"/>
                <w:sz w:val="20"/>
                <w:szCs w:val="20"/>
              </w:rPr>
            </w:pPr>
            <w:r>
              <w:rPr>
                <w:rFonts w:ascii="宋体"/>
                <w:sz w:val="20"/>
              </w:rPr>
              <w:t>201820230260.1</w:t>
            </w: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85"/>
              <w:jc w:val="right"/>
              <w:rPr>
                <w:rFonts w:ascii="宋体" w:hAnsi="宋体" w:cs="宋体" w:eastAsia="宋体" w:hint="default"/>
                <w:sz w:val="20"/>
                <w:szCs w:val="20"/>
              </w:rPr>
            </w:pPr>
            <w:r>
              <w:rPr>
                <w:rFonts w:ascii="宋体" w:hAnsi="宋体" w:cs="宋体" w:eastAsia="宋体" w:hint="default"/>
                <w:sz w:val="20"/>
                <w:szCs w:val="20"/>
              </w:rPr>
              <w:t>2018</w:t>
            </w:r>
            <w:r>
              <w:rPr>
                <w:rFonts w:ascii="宋体" w:hAnsi="宋体" w:cs="宋体" w:eastAsia="宋体" w:hint="default"/>
                <w:spacing w:val="-51"/>
                <w:sz w:val="20"/>
                <w:szCs w:val="20"/>
              </w:rPr>
              <w:t> </w:t>
            </w:r>
            <w:r>
              <w:rPr>
                <w:rFonts w:ascii="宋体" w:hAnsi="宋体" w:cs="宋体" w:eastAsia="宋体" w:hint="default"/>
                <w:sz w:val="20"/>
                <w:szCs w:val="20"/>
              </w:rPr>
              <w:t>年</w:t>
            </w:r>
            <w:r>
              <w:rPr>
                <w:rFonts w:ascii="宋体" w:hAnsi="宋体" w:cs="宋体" w:eastAsia="宋体" w:hint="default"/>
                <w:spacing w:val="-50"/>
                <w:sz w:val="20"/>
                <w:szCs w:val="20"/>
              </w:rPr>
              <w:t> </w:t>
            </w:r>
            <w:r>
              <w:rPr>
                <w:rFonts w:ascii="宋体" w:hAnsi="宋体" w:cs="宋体" w:eastAsia="宋体" w:hint="default"/>
                <w:sz w:val="20"/>
                <w:szCs w:val="20"/>
              </w:rPr>
              <w:t>02</w:t>
            </w:r>
            <w:r>
              <w:rPr>
                <w:rFonts w:ascii="宋体" w:hAnsi="宋体" w:cs="宋体" w:eastAsia="宋体" w:hint="default"/>
                <w:spacing w:val="-51"/>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宋体" w:hAnsi="宋体" w:cs="宋体" w:eastAsia="宋体" w:hint="default"/>
                <w:sz w:val="20"/>
                <w:szCs w:val="20"/>
              </w:rPr>
              <w:t>09</w:t>
            </w:r>
            <w:r>
              <w:rPr>
                <w:rFonts w:ascii="宋体" w:hAnsi="宋体" w:cs="宋体" w:eastAsia="宋体" w:hint="default"/>
                <w:spacing w:val="-49"/>
                <w:sz w:val="20"/>
                <w:szCs w:val="20"/>
              </w:rPr>
              <w:t> </w:t>
            </w:r>
            <w:r>
              <w:rPr>
                <w:rFonts w:ascii="宋体" w:hAnsi="宋体" w:cs="宋体" w:eastAsia="宋体" w:hint="default"/>
                <w:sz w:val="20"/>
                <w:szCs w:val="20"/>
              </w:rPr>
              <w:t>日</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长春吉星</w:t>
            </w:r>
          </w:p>
        </w:tc>
      </w:tr>
      <w:tr>
        <w:trPr>
          <w:trHeight w:val="370" w:hRule="exact"/>
        </w:trPr>
        <w:tc>
          <w:tcPr>
            <w:tcW w:w="55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22"/>
              <w:jc w:val="right"/>
              <w:rPr>
                <w:rFonts w:ascii="宋体" w:hAnsi="宋体" w:cs="宋体" w:eastAsia="宋体" w:hint="default"/>
                <w:sz w:val="20"/>
                <w:szCs w:val="20"/>
              </w:rPr>
            </w:pPr>
            <w:r>
              <w:rPr>
                <w:rFonts w:ascii="宋体"/>
                <w:sz w:val="20"/>
              </w:rPr>
              <w:t>110</w:t>
            </w:r>
          </w:p>
        </w:tc>
        <w:tc>
          <w:tcPr>
            <w:tcW w:w="3381"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一种高效全开式小盒烟包开盒装置</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0"/>
              <w:jc w:val="center"/>
              <w:rPr>
                <w:rFonts w:ascii="宋体" w:hAnsi="宋体" w:cs="宋体" w:eastAsia="宋体" w:hint="default"/>
                <w:sz w:val="20"/>
                <w:szCs w:val="20"/>
              </w:rPr>
            </w:pPr>
            <w:r>
              <w:rPr>
                <w:rFonts w:ascii="宋体" w:hAnsi="宋体" w:cs="宋体" w:eastAsia="宋体" w:hint="default"/>
                <w:sz w:val="20"/>
                <w:szCs w:val="20"/>
              </w:rPr>
              <w:t>实用新型</w:t>
            </w:r>
          </w:p>
        </w:tc>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46" w:right="0"/>
              <w:jc w:val="left"/>
              <w:rPr>
                <w:rFonts w:ascii="宋体" w:hAnsi="宋体" w:cs="宋体" w:eastAsia="宋体" w:hint="default"/>
                <w:sz w:val="20"/>
                <w:szCs w:val="20"/>
              </w:rPr>
            </w:pPr>
            <w:r>
              <w:rPr>
                <w:rFonts w:ascii="宋体"/>
                <w:sz w:val="20"/>
              </w:rPr>
              <w:t>201820421438.0</w:t>
            </w: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85"/>
              <w:jc w:val="right"/>
              <w:rPr>
                <w:rFonts w:ascii="宋体" w:hAnsi="宋体" w:cs="宋体" w:eastAsia="宋体" w:hint="default"/>
                <w:sz w:val="20"/>
                <w:szCs w:val="20"/>
              </w:rPr>
            </w:pPr>
            <w:r>
              <w:rPr>
                <w:rFonts w:ascii="宋体" w:hAnsi="宋体" w:cs="宋体" w:eastAsia="宋体" w:hint="default"/>
                <w:sz w:val="20"/>
                <w:szCs w:val="20"/>
              </w:rPr>
              <w:t>2018</w:t>
            </w:r>
            <w:r>
              <w:rPr>
                <w:rFonts w:ascii="宋体" w:hAnsi="宋体" w:cs="宋体" w:eastAsia="宋体" w:hint="default"/>
                <w:spacing w:val="-51"/>
                <w:sz w:val="20"/>
                <w:szCs w:val="20"/>
              </w:rPr>
              <w:t> </w:t>
            </w:r>
            <w:r>
              <w:rPr>
                <w:rFonts w:ascii="宋体" w:hAnsi="宋体" w:cs="宋体" w:eastAsia="宋体" w:hint="default"/>
                <w:sz w:val="20"/>
                <w:szCs w:val="20"/>
              </w:rPr>
              <w:t>年</w:t>
            </w:r>
            <w:r>
              <w:rPr>
                <w:rFonts w:ascii="宋体" w:hAnsi="宋体" w:cs="宋体" w:eastAsia="宋体" w:hint="default"/>
                <w:spacing w:val="-50"/>
                <w:sz w:val="20"/>
                <w:szCs w:val="20"/>
              </w:rPr>
              <w:t> </w:t>
            </w:r>
            <w:r>
              <w:rPr>
                <w:rFonts w:ascii="宋体" w:hAnsi="宋体" w:cs="宋体" w:eastAsia="宋体" w:hint="default"/>
                <w:sz w:val="20"/>
                <w:szCs w:val="20"/>
              </w:rPr>
              <w:t>03</w:t>
            </w:r>
            <w:r>
              <w:rPr>
                <w:rFonts w:ascii="宋体" w:hAnsi="宋体" w:cs="宋体" w:eastAsia="宋体" w:hint="default"/>
                <w:spacing w:val="-51"/>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宋体" w:hAnsi="宋体" w:cs="宋体" w:eastAsia="宋体" w:hint="default"/>
                <w:sz w:val="20"/>
                <w:szCs w:val="20"/>
              </w:rPr>
              <w:t>27</w:t>
            </w:r>
            <w:r>
              <w:rPr>
                <w:rFonts w:ascii="宋体" w:hAnsi="宋体" w:cs="宋体" w:eastAsia="宋体" w:hint="default"/>
                <w:spacing w:val="-49"/>
                <w:sz w:val="20"/>
                <w:szCs w:val="20"/>
              </w:rPr>
              <w:t> </w:t>
            </w:r>
            <w:r>
              <w:rPr>
                <w:rFonts w:ascii="宋体" w:hAnsi="宋体" w:cs="宋体" w:eastAsia="宋体" w:hint="default"/>
                <w:sz w:val="20"/>
                <w:szCs w:val="20"/>
              </w:rPr>
              <w:t>日</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智能包装</w:t>
            </w:r>
          </w:p>
        </w:tc>
      </w:tr>
      <w:tr>
        <w:trPr>
          <w:trHeight w:val="371" w:hRule="exact"/>
        </w:trPr>
        <w:tc>
          <w:tcPr>
            <w:tcW w:w="556"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122"/>
              <w:jc w:val="right"/>
              <w:rPr>
                <w:rFonts w:ascii="宋体" w:hAnsi="宋体" w:cs="宋体" w:eastAsia="宋体" w:hint="default"/>
                <w:sz w:val="20"/>
                <w:szCs w:val="20"/>
              </w:rPr>
            </w:pPr>
            <w:r>
              <w:rPr>
                <w:rFonts w:ascii="宋体"/>
                <w:sz w:val="20"/>
              </w:rPr>
              <w:t>111</w:t>
            </w:r>
          </w:p>
        </w:tc>
        <w:tc>
          <w:tcPr>
            <w:tcW w:w="338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0"/>
                <w:szCs w:val="20"/>
              </w:rPr>
            </w:pPr>
            <w:r>
              <w:rPr>
                <w:rFonts w:ascii="宋体" w:hAnsi="宋体" w:cs="宋体" w:eastAsia="宋体" w:hint="default"/>
                <w:sz w:val="20"/>
                <w:szCs w:val="20"/>
              </w:rPr>
              <w:t>一种全开式小盒烟包开刀设备</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0"/>
              <w:jc w:val="center"/>
              <w:rPr>
                <w:rFonts w:ascii="宋体" w:hAnsi="宋体" w:cs="宋体" w:eastAsia="宋体" w:hint="default"/>
                <w:sz w:val="20"/>
                <w:szCs w:val="20"/>
              </w:rPr>
            </w:pPr>
            <w:r>
              <w:rPr>
                <w:rFonts w:ascii="宋体" w:hAnsi="宋体" w:cs="宋体" w:eastAsia="宋体" w:hint="default"/>
                <w:sz w:val="20"/>
                <w:szCs w:val="20"/>
              </w:rPr>
              <w:t>实用新型</w:t>
            </w:r>
          </w:p>
        </w:tc>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46" w:right="0"/>
              <w:jc w:val="left"/>
              <w:rPr>
                <w:rFonts w:ascii="宋体" w:hAnsi="宋体" w:cs="宋体" w:eastAsia="宋体" w:hint="default"/>
                <w:sz w:val="20"/>
                <w:szCs w:val="20"/>
              </w:rPr>
            </w:pPr>
            <w:r>
              <w:rPr>
                <w:rFonts w:ascii="宋体"/>
                <w:sz w:val="20"/>
              </w:rPr>
              <w:t>201810259994.7</w:t>
            </w: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185"/>
              <w:jc w:val="right"/>
              <w:rPr>
                <w:rFonts w:ascii="宋体" w:hAnsi="宋体" w:cs="宋体" w:eastAsia="宋体" w:hint="default"/>
                <w:sz w:val="20"/>
                <w:szCs w:val="20"/>
              </w:rPr>
            </w:pPr>
            <w:r>
              <w:rPr>
                <w:rFonts w:ascii="宋体" w:hAnsi="宋体" w:cs="宋体" w:eastAsia="宋体" w:hint="default"/>
                <w:sz w:val="20"/>
                <w:szCs w:val="20"/>
              </w:rPr>
              <w:t>2018</w:t>
            </w:r>
            <w:r>
              <w:rPr>
                <w:rFonts w:ascii="宋体" w:hAnsi="宋体" w:cs="宋体" w:eastAsia="宋体" w:hint="default"/>
                <w:spacing w:val="-51"/>
                <w:sz w:val="20"/>
                <w:szCs w:val="20"/>
              </w:rPr>
              <w:t> </w:t>
            </w:r>
            <w:r>
              <w:rPr>
                <w:rFonts w:ascii="宋体" w:hAnsi="宋体" w:cs="宋体" w:eastAsia="宋体" w:hint="default"/>
                <w:sz w:val="20"/>
                <w:szCs w:val="20"/>
              </w:rPr>
              <w:t>年</w:t>
            </w:r>
            <w:r>
              <w:rPr>
                <w:rFonts w:ascii="宋体" w:hAnsi="宋体" w:cs="宋体" w:eastAsia="宋体" w:hint="default"/>
                <w:spacing w:val="-50"/>
                <w:sz w:val="20"/>
                <w:szCs w:val="20"/>
              </w:rPr>
              <w:t> </w:t>
            </w:r>
            <w:r>
              <w:rPr>
                <w:rFonts w:ascii="宋体" w:hAnsi="宋体" w:cs="宋体" w:eastAsia="宋体" w:hint="default"/>
                <w:sz w:val="20"/>
                <w:szCs w:val="20"/>
              </w:rPr>
              <w:t>03</w:t>
            </w:r>
            <w:r>
              <w:rPr>
                <w:rFonts w:ascii="宋体" w:hAnsi="宋体" w:cs="宋体" w:eastAsia="宋体" w:hint="default"/>
                <w:spacing w:val="-51"/>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宋体" w:hAnsi="宋体" w:cs="宋体" w:eastAsia="宋体" w:hint="default"/>
                <w:sz w:val="20"/>
                <w:szCs w:val="20"/>
              </w:rPr>
              <w:t>27</w:t>
            </w:r>
            <w:r>
              <w:rPr>
                <w:rFonts w:ascii="宋体" w:hAnsi="宋体" w:cs="宋体" w:eastAsia="宋体" w:hint="default"/>
                <w:spacing w:val="-49"/>
                <w:sz w:val="20"/>
                <w:szCs w:val="20"/>
              </w:rPr>
              <w:t> </w:t>
            </w:r>
            <w:r>
              <w:rPr>
                <w:rFonts w:ascii="宋体" w:hAnsi="宋体" w:cs="宋体" w:eastAsia="宋体" w:hint="default"/>
                <w:sz w:val="20"/>
                <w:szCs w:val="20"/>
              </w:rPr>
              <w:t>日</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0"/>
                <w:szCs w:val="20"/>
              </w:rPr>
            </w:pPr>
            <w:r>
              <w:rPr>
                <w:rFonts w:ascii="宋体" w:hAnsi="宋体" w:cs="宋体" w:eastAsia="宋体" w:hint="default"/>
                <w:sz w:val="20"/>
                <w:szCs w:val="20"/>
              </w:rPr>
              <w:t>智能包装</w:t>
            </w:r>
          </w:p>
        </w:tc>
      </w:tr>
      <w:tr>
        <w:trPr>
          <w:trHeight w:val="370" w:hRule="exact"/>
        </w:trPr>
        <w:tc>
          <w:tcPr>
            <w:tcW w:w="55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22"/>
              <w:jc w:val="right"/>
              <w:rPr>
                <w:rFonts w:ascii="宋体" w:hAnsi="宋体" w:cs="宋体" w:eastAsia="宋体" w:hint="default"/>
                <w:sz w:val="20"/>
                <w:szCs w:val="20"/>
              </w:rPr>
            </w:pPr>
            <w:r>
              <w:rPr>
                <w:rFonts w:ascii="宋体"/>
                <w:sz w:val="20"/>
              </w:rPr>
              <w:t>112</w:t>
            </w:r>
          </w:p>
        </w:tc>
        <w:tc>
          <w:tcPr>
            <w:tcW w:w="3381"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一种烟盒外包装盒生产设备</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0"/>
              <w:jc w:val="center"/>
              <w:rPr>
                <w:rFonts w:ascii="宋体" w:hAnsi="宋体" w:cs="宋体" w:eastAsia="宋体" w:hint="default"/>
                <w:sz w:val="20"/>
                <w:szCs w:val="20"/>
              </w:rPr>
            </w:pPr>
            <w:r>
              <w:rPr>
                <w:rFonts w:ascii="宋体" w:hAnsi="宋体" w:cs="宋体" w:eastAsia="宋体" w:hint="default"/>
                <w:sz w:val="20"/>
                <w:szCs w:val="20"/>
              </w:rPr>
              <w:t>实用新型</w:t>
            </w:r>
          </w:p>
        </w:tc>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46" w:right="0"/>
              <w:jc w:val="left"/>
              <w:rPr>
                <w:rFonts w:ascii="宋体" w:hAnsi="宋体" w:cs="宋体" w:eastAsia="宋体" w:hint="default"/>
                <w:sz w:val="20"/>
                <w:szCs w:val="20"/>
              </w:rPr>
            </w:pPr>
            <w:r>
              <w:rPr>
                <w:rFonts w:ascii="宋体"/>
                <w:sz w:val="20"/>
              </w:rPr>
              <w:t>201820421413.0</w:t>
            </w: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85"/>
              <w:jc w:val="right"/>
              <w:rPr>
                <w:rFonts w:ascii="宋体" w:hAnsi="宋体" w:cs="宋体" w:eastAsia="宋体" w:hint="default"/>
                <w:sz w:val="20"/>
                <w:szCs w:val="20"/>
              </w:rPr>
            </w:pPr>
            <w:r>
              <w:rPr>
                <w:rFonts w:ascii="宋体" w:hAnsi="宋体" w:cs="宋体" w:eastAsia="宋体" w:hint="default"/>
                <w:sz w:val="20"/>
                <w:szCs w:val="20"/>
              </w:rPr>
              <w:t>2018</w:t>
            </w:r>
            <w:r>
              <w:rPr>
                <w:rFonts w:ascii="宋体" w:hAnsi="宋体" w:cs="宋体" w:eastAsia="宋体" w:hint="default"/>
                <w:spacing w:val="-51"/>
                <w:sz w:val="20"/>
                <w:szCs w:val="20"/>
              </w:rPr>
              <w:t> </w:t>
            </w:r>
            <w:r>
              <w:rPr>
                <w:rFonts w:ascii="宋体" w:hAnsi="宋体" w:cs="宋体" w:eastAsia="宋体" w:hint="default"/>
                <w:sz w:val="20"/>
                <w:szCs w:val="20"/>
              </w:rPr>
              <w:t>年</w:t>
            </w:r>
            <w:r>
              <w:rPr>
                <w:rFonts w:ascii="宋体" w:hAnsi="宋体" w:cs="宋体" w:eastAsia="宋体" w:hint="default"/>
                <w:spacing w:val="-50"/>
                <w:sz w:val="20"/>
                <w:szCs w:val="20"/>
              </w:rPr>
              <w:t> </w:t>
            </w:r>
            <w:r>
              <w:rPr>
                <w:rFonts w:ascii="宋体" w:hAnsi="宋体" w:cs="宋体" w:eastAsia="宋体" w:hint="default"/>
                <w:sz w:val="20"/>
                <w:szCs w:val="20"/>
              </w:rPr>
              <w:t>03</w:t>
            </w:r>
            <w:r>
              <w:rPr>
                <w:rFonts w:ascii="宋体" w:hAnsi="宋体" w:cs="宋体" w:eastAsia="宋体" w:hint="default"/>
                <w:spacing w:val="-51"/>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宋体" w:hAnsi="宋体" w:cs="宋体" w:eastAsia="宋体" w:hint="default"/>
                <w:sz w:val="20"/>
                <w:szCs w:val="20"/>
              </w:rPr>
              <w:t>27</w:t>
            </w:r>
            <w:r>
              <w:rPr>
                <w:rFonts w:ascii="宋体" w:hAnsi="宋体" w:cs="宋体" w:eastAsia="宋体" w:hint="default"/>
                <w:spacing w:val="-49"/>
                <w:sz w:val="20"/>
                <w:szCs w:val="20"/>
              </w:rPr>
              <w:t> </w:t>
            </w:r>
            <w:r>
              <w:rPr>
                <w:rFonts w:ascii="宋体" w:hAnsi="宋体" w:cs="宋体" w:eastAsia="宋体" w:hint="default"/>
                <w:sz w:val="20"/>
                <w:szCs w:val="20"/>
              </w:rPr>
              <w:t>日</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智能包装</w:t>
            </w:r>
          </w:p>
        </w:tc>
      </w:tr>
      <w:tr>
        <w:trPr>
          <w:trHeight w:val="370" w:hRule="exact"/>
        </w:trPr>
        <w:tc>
          <w:tcPr>
            <w:tcW w:w="55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22"/>
              <w:jc w:val="right"/>
              <w:rPr>
                <w:rFonts w:ascii="宋体" w:hAnsi="宋体" w:cs="宋体" w:eastAsia="宋体" w:hint="default"/>
                <w:sz w:val="20"/>
                <w:szCs w:val="20"/>
              </w:rPr>
            </w:pPr>
            <w:r>
              <w:rPr>
                <w:rFonts w:ascii="宋体"/>
                <w:sz w:val="20"/>
              </w:rPr>
              <w:t>113</w:t>
            </w:r>
          </w:p>
        </w:tc>
        <w:tc>
          <w:tcPr>
            <w:tcW w:w="3381"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一种烟盒检验设备</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0"/>
              <w:jc w:val="center"/>
              <w:rPr>
                <w:rFonts w:ascii="宋体" w:hAnsi="宋体" w:cs="宋体" w:eastAsia="宋体" w:hint="default"/>
                <w:sz w:val="20"/>
                <w:szCs w:val="20"/>
              </w:rPr>
            </w:pPr>
            <w:r>
              <w:rPr>
                <w:rFonts w:ascii="宋体" w:hAnsi="宋体" w:cs="宋体" w:eastAsia="宋体" w:hint="default"/>
                <w:sz w:val="20"/>
                <w:szCs w:val="20"/>
              </w:rPr>
              <w:t>实用新型</w:t>
            </w:r>
          </w:p>
        </w:tc>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46" w:right="0"/>
              <w:jc w:val="left"/>
              <w:rPr>
                <w:rFonts w:ascii="宋体" w:hAnsi="宋体" w:cs="宋体" w:eastAsia="宋体" w:hint="default"/>
                <w:sz w:val="20"/>
                <w:szCs w:val="20"/>
              </w:rPr>
            </w:pPr>
            <w:r>
              <w:rPr>
                <w:rFonts w:ascii="宋体"/>
                <w:sz w:val="20"/>
              </w:rPr>
              <w:t>201820421437.6</w:t>
            </w: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85"/>
              <w:jc w:val="right"/>
              <w:rPr>
                <w:rFonts w:ascii="宋体" w:hAnsi="宋体" w:cs="宋体" w:eastAsia="宋体" w:hint="default"/>
                <w:sz w:val="20"/>
                <w:szCs w:val="20"/>
              </w:rPr>
            </w:pPr>
            <w:r>
              <w:rPr>
                <w:rFonts w:ascii="宋体" w:hAnsi="宋体" w:cs="宋体" w:eastAsia="宋体" w:hint="default"/>
                <w:sz w:val="20"/>
                <w:szCs w:val="20"/>
              </w:rPr>
              <w:t>2018</w:t>
            </w:r>
            <w:r>
              <w:rPr>
                <w:rFonts w:ascii="宋体" w:hAnsi="宋体" w:cs="宋体" w:eastAsia="宋体" w:hint="default"/>
                <w:spacing w:val="-51"/>
                <w:sz w:val="20"/>
                <w:szCs w:val="20"/>
              </w:rPr>
              <w:t> </w:t>
            </w:r>
            <w:r>
              <w:rPr>
                <w:rFonts w:ascii="宋体" w:hAnsi="宋体" w:cs="宋体" w:eastAsia="宋体" w:hint="default"/>
                <w:sz w:val="20"/>
                <w:szCs w:val="20"/>
              </w:rPr>
              <w:t>年</w:t>
            </w:r>
            <w:r>
              <w:rPr>
                <w:rFonts w:ascii="宋体" w:hAnsi="宋体" w:cs="宋体" w:eastAsia="宋体" w:hint="default"/>
                <w:spacing w:val="-50"/>
                <w:sz w:val="20"/>
                <w:szCs w:val="20"/>
              </w:rPr>
              <w:t> </w:t>
            </w:r>
            <w:r>
              <w:rPr>
                <w:rFonts w:ascii="宋体" w:hAnsi="宋体" w:cs="宋体" w:eastAsia="宋体" w:hint="default"/>
                <w:sz w:val="20"/>
                <w:szCs w:val="20"/>
              </w:rPr>
              <w:t>03</w:t>
            </w:r>
            <w:r>
              <w:rPr>
                <w:rFonts w:ascii="宋体" w:hAnsi="宋体" w:cs="宋体" w:eastAsia="宋体" w:hint="default"/>
                <w:spacing w:val="-51"/>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宋体" w:hAnsi="宋体" w:cs="宋体" w:eastAsia="宋体" w:hint="default"/>
                <w:sz w:val="20"/>
                <w:szCs w:val="20"/>
              </w:rPr>
              <w:t>27</w:t>
            </w:r>
            <w:r>
              <w:rPr>
                <w:rFonts w:ascii="宋体" w:hAnsi="宋体" w:cs="宋体" w:eastAsia="宋体" w:hint="default"/>
                <w:spacing w:val="-49"/>
                <w:sz w:val="20"/>
                <w:szCs w:val="20"/>
              </w:rPr>
              <w:t> </w:t>
            </w:r>
            <w:r>
              <w:rPr>
                <w:rFonts w:ascii="宋体" w:hAnsi="宋体" w:cs="宋体" w:eastAsia="宋体" w:hint="default"/>
                <w:sz w:val="20"/>
                <w:szCs w:val="20"/>
              </w:rPr>
              <w:t>日</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智能包装</w:t>
            </w:r>
          </w:p>
        </w:tc>
      </w:tr>
      <w:tr>
        <w:trPr>
          <w:trHeight w:val="371" w:hRule="exact"/>
        </w:trPr>
        <w:tc>
          <w:tcPr>
            <w:tcW w:w="556"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122"/>
              <w:jc w:val="right"/>
              <w:rPr>
                <w:rFonts w:ascii="宋体" w:hAnsi="宋体" w:cs="宋体" w:eastAsia="宋体" w:hint="default"/>
                <w:sz w:val="20"/>
                <w:szCs w:val="20"/>
              </w:rPr>
            </w:pPr>
            <w:r>
              <w:rPr>
                <w:rFonts w:ascii="宋体"/>
                <w:sz w:val="20"/>
              </w:rPr>
              <w:t>114</w:t>
            </w:r>
          </w:p>
        </w:tc>
        <w:tc>
          <w:tcPr>
            <w:tcW w:w="338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0"/>
                <w:szCs w:val="20"/>
              </w:rPr>
            </w:pPr>
            <w:r>
              <w:rPr>
                <w:rFonts w:ascii="宋体" w:hAnsi="宋体" w:cs="宋体" w:eastAsia="宋体" w:hint="default"/>
                <w:sz w:val="20"/>
                <w:szCs w:val="20"/>
              </w:rPr>
              <w:t>一种智能贴片机</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0"/>
              <w:jc w:val="center"/>
              <w:rPr>
                <w:rFonts w:ascii="宋体" w:hAnsi="宋体" w:cs="宋体" w:eastAsia="宋体" w:hint="default"/>
                <w:sz w:val="20"/>
                <w:szCs w:val="20"/>
              </w:rPr>
            </w:pPr>
            <w:r>
              <w:rPr>
                <w:rFonts w:ascii="宋体" w:hAnsi="宋体" w:cs="宋体" w:eastAsia="宋体" w:hint="default"/>
                <w:sz w:val="20"/>
                <w:szCs w:val="20"/>
              </w:rPr>
              <w:t>实用新型</w:t>
            </w:r>
          </w:p>
        </w:tc>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46" w:right="0"/>
              <w:jc w:val="left"/>
              <w:rPr>
                <w:rFonts w:ascii="宋体" w:hAnsi="宋体" w:cs="宋体" w:eastAsia="宋体" w:hint="default"/>
                <w:sz w:val="20"/>
                <w:szCs w:val="20"/>
              </w:rPr>
            </w:pPr>
            <w:r>
              <w:rPr>
                <w:rFonts w:ascii="宋体"/>
                <w:sz w:val="20"/>
              </w:rPr>
              <w:t>201810258537.6</w:t>
            </w: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185"/>
              <w:jc w:val="right"/>
              <w:rPr>
                <w:rFonts w:ascii="宋体" w:hAnsi="宋体" w:cs="宋体" w:eastAsia="宋体" w:hint="default"/>
                <w:sz w:val="20"/>
                <w:szCs w:val="20"/>
              </w:rPr>
            </w:pPr>
            <w:r>
              <w:rPr>
                <w:rFonts w:ascii="宋体" w:hAnsi="宋体" w:cs="宋体" w:eastAsia="宋体" w:hint="default"/>
                <w:sz w:val="20"/>
                <w:szCs w:val="20"/>
              </w:rPr>
              <w:t>2018</w:t>
            </w:r>
            <w:r>
              <w:rPr>
                <w:rFonts w:ascii="宋体" w:hAnsi="宋体" w:cs="宋体" w:eastAsia="宋体" w:hint="default"/>
                <w:spacing w:val="-51"/>
                <w:sz w:val="20"/>
                <w:szCs w:val="20"/>
              </w:rPr>
              <w:t> </w:t>
            </w:r>
            <w:r>
              <w:rPr>
                <w:rFonts w:ascii="宋体" w:hAnsi="宋体" w:cs="宋体" w:eastAsia="宋体" w:hint="default"/>
                <w:sz w:val="20"/>
                <w:szCs w:val="20"/>
              </w:rPr>
              <w:t>年</w:t>
            </w:r>
            <w:r>
              <w:rPr>
                <w:rFonts w:ascii="宋体" w:hAnsi="宋体" w:cs="宋体" w:eastAsia="宋体" w:hint="default"/>
                <w:spacing w:val="-50"/>
                <w:sz w:val="20"/>
                <w:szCs w:val="20"/>
              </w:rPr>
              <w:t> </w:t>
            </w:r>
            <w:r>
              <w:rPr>
                <w:rFonts w:ascii="宋体" w:hAnsi="宋体" w:cs="宋体" w:eastAsia="宋体" w:hint="default"/>
                <w:sz w:val="20"/>
                <w:szCs w:val="20"/>
              </w:rPr>
              <w:t>03</w:t>
            </w:r>
            <w:r>
              <w:rPr>
                <w:rFonts w:ascii="宋体" w:hAnsi="宋体" w:cs="宋体" w:eastAsia="宋体" w:hint="default"/>
                <w:spacing w:val="-51"/>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宋体" w:hAnsi="宋体" w:cs="宋体" w:eastAsia="宋体" w:hint="default"/>
                <w:sz w:val="20"/>
                <w:szCs w:val="20"/>
              </w:rPr>
              <w:t>27</w:t>
            </w:r>
            <w:r>
              <w:rPr>
                <w:rFonts w:ascii="宋体" w:hAnsi="宋体" w:cs="宋体" w:eastAsia="宋体" w:hint="default"/>
                <w:spacing w:val="-49"/>
                <w:sz w:val="20"/>
                <w:szCs w:val="20"/>
              </w:rPr>
              <w:t> </w:t>
            </w:r>
            <w:r>
              <w:rPr>
                <w:rFonts w:ascii="宋体" w:hAnsi="宋体" w:cs="宋体" w:eastAsia="宋体" w:hint="default"/>
                <w:sz w:val="20"/>
                <w:szCs w:val="20"/>
              </w:rPr>
              <w:t>日</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0"/>
                <w:szCs w:val="20"/>
              </w:rPr>
            </w:pPr>
            <w:r>
              <w:rPr>
                <w:rFonts w:ascii="宋体" w:hAnsi="宋体" w:cs="宋体" w:eastAsia="宋体" w:hint="default"/>
                <w:sz w:val="20"/>
                <w:szCs w:val="20"/>
              </w:rPr>
              <w:t>智能包装</w:t>
            </w:r>
          </w:p>
        </w:tc>
      </w:tr>
      <w:tr>
        <w:trPr>
          <w:trHeight w:val="634" w:hRule="exact"/>
        </w:trPr>
        <w:tc>
          <w:tcPr>
            <w:tcW w:w="55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22"/>
              <w:jc w:val="right"/>
              <w:rPr>
                <w:rFonts w:ascii="宋体" w:hAnsi="宋体" w:cs="宋体" w:eastAsia="宋体" w:hint="default"/>
                <w:sz w:val="20"/>
                <w:szCs w:val="20"/>
              </w:rPr>
            </w:pPr>
            <w:r>
              <w:rPr>
                <w:rFonts w:ascii="宋体"/>
                <w:sz w:val="20"/>
              </w:rPr>
              <w:t>115</w:t>
            </w:r>
          </w:p>
        </w:tc>
        <w:tc>
          <w:tcPr>
            <w:tcW w:w="3381"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264"/>
              <w:jc w:val="left"/>
              <w:rPr>
                <w:rFonts w:ascii="宋体" w:hAnsi="宋体" w:cs="宋体" w:eastAsia="宋体" w:hint="default"/>
                <w:sz w:val="20"/>
                <w:szCs w:val="20"/>
              </w:rPr>
            </w:pPr>
            <w:r>
              <w:rPr>
                <w:rFonts w:ascii="宋体" w:hAnsi="宋体" w:cs="宋体" w:eastAsia="宋体" w:hint="default"/>
                <w:sz w:val="20"/>
                <w:szCs w:val="20"/>
              </w:rPr>
              <w:t>一种新型全幅逻辑光纹无缝材料膜</w:t>
            </w:r>
            <w:r>
              <w:rPr>
                <w:rFonts w:ascii="宋体" w:hAnsi="宋体" w:cs="宋体" w:eastAsia="宋体" w:hint="default"/>
                <w:w w:val="100"/>
                <w:sz w:val="20"/>
                <w:szCs w:val="20"/>
              </w:rPr>
              <w:t> </w:t>
            </w:r>
            <w:r>
              <w:rPr>
                <w:rFonts w:ascii="宋体" w:hAnsi="宋体" w:cs="宋体" w:eastAsia="宋体" w:hint="default"/>
                <w:sz w:val="20"/>
                <w:szCs w:val="20"/>
              </w:rPr>
              <w:t>生产制造工艺</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0"/>
              <w:jc w:val="center"/>
              <w:rPr>
                <w:rFonts w:ascii="宋体" w:hAnsi="宋体" w:cs="宋体" w:eastAsia="宋体" w:hint="default"/>
                <w:sz w:val="20"/>
                <w:szCs w:val="20"/>
              </w:rPr>
            </w:pPr>
            <w:r>
              <w:rPr>
                <w:rFonts w:ascii="宋体" w:hAnsi="宋体" w:cs="宋体" w:eastAsia="宋体" w:hint="default"/>
                <w:sz w:val="20"/>
                <w:szCs w:val="20"/>
              </w:rPr>
              <w:t>实用新型</w:t>
            </w:r>
          </w:p>
        </w:tc>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96" w:right="0"/>
              <w:jc w:val="left"/>
              <w:rPr>
                <w:rFonts w:ascii="宋体" w:hAnsi="宋体" w:cs="宋体" w:eastAsia="宋体" w:hint="default"/>
                <w:sz w:val="20"/>
                <w:szCs w:val="20"/>
              </w:rPr>
            </w:pPr>
            <w:r>
              <w:rPr>
                <w:rFonts w:ascii="宋体"/>
                <w:sz w:val="20"/>
              </w:rPr>
              <w:t>201810481526X</w:t>
            </w: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85"/>
              <w:jc w:val="right"/>
              <w:rPr>
                <w:rFonts w:ascii="宋体" w:hAnsi="宋体" w:cs="宋体" w:eastAsia="宋体" w:hint="default"/>
                <w:sz w:val="20"/>
                <w:szCs w:val="20"/>
              </w:rPr>
            </w:pPr>
            <w:r>
              <w:rPr>
                <w:rFonts w:ascii="宋体" w:hAnsi="宋体" w:cs="宋体" w:eastAsia="宋体" w:hint="default"/>
                <w:sz w:val="20"/>
                <w:szCs w:val="20"/>
              </w:rPr>
              <w:t>2018</w:t>
            </w:r>
            <w:r>
              <w:rPr>
                <w:rFonts w:ascii="宋体" w:hAnsi="宋体" w:cs="宋体" w:eastAsia="宋体" w:hint="default"/>
                <w:spacing w:val="-51"/>
                <w:sz w:val="20"/>
                <w:szCs w:val="20"/>
              </w:rPr>
              <w:t> </w:t>
            </w:r>
            <w:r>
              <w:rPr>
                <w:rFonts w:ascii="宋体" w:hAnsi="宋体" w:cs="宋体" w:eastAsia="宋体" w:hint="default"/>
                <w:sz w:val="20"/>
                <w:szCs w:val="20"/>
              </w:rPr>
              <w:t>年</w:t>
            </w:r>
            <w:r>
              <w:rPr>
                <w:rFonts w:ascii="宋体" w:hAnsi="宋体" w:cs="宋体" w:eastAsia="宋体" w:hint="default"/>
                <w:spacing w:val="-50"/>
                <w:sz w:val="20"/>
                <w:szCs w:val="20"/>
              </w:rPr>
              <w:t> </w:t>
            </w:r>
            <w:r>
              <w:rPr>
                <w:rFonts w:ascii="宋体" w:hAnsi="宋体" w:cs="宋体" w:eastAsia="宋体" w:hint="default"/>
                <w:sz w:val="20"/>
                <w:szCs w:val="20"/>
              </w:rPr>
              <w:t>06</w:t>
            </w:r>
            <w:r>
              <w:rPr>
                <w:rFonts w:ascii="宋体" w:hAnsi="宋体" w:cs="宋体" w:eastAsia="宋体" w:hint="default"/>
                <w:spacing w:val="-51"/>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宋体" w:hAnsi="宋体" w:cs="宋体" w:eastAsia="宋体" w:hint="default"/>
                <w:sz w:val="20"/>
                <w:szCs w:val="20"/>
              </w:rPr>
              <w:t>22</w:t>
            </w:r>
            <w:r>
              <w:rPr>
                <w:rFonts w:ascii="宋体" w:hAnsi="宋体" w:cs="宋体" w:eastAsia="宋体" w:hint="default"/>
                <w:spacing w:val="-49"/>
                <w:sz w:val="20"/>
                <w:szCs w:val="20"/>
              </w:rPr>
              <w:t> </w:t>
            </w:r>
            <w:r>
              <w:rPr>
                <w:rFonts w:ascii="宋体" w:hAnsi="宋体" w:cs="宋体" w:eastAsia="宋体" w:hint="default"/>
                <w:sz w:val="20"/>
                <w:szCs w:val="20"/>
              </w:rPr>
              <w:t>日</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中丰田</w:t>
            </w:r>
          </w:p>
        </w:tc>
      </w:tr>
      <w:tr>
        <w:trPr>
          <w:trHeight w:val="370" w:hRule="exact"/>
        </w:trPr>
        <w:tc>
          <w:tcPr>
            <w:tcW w:w="55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22"/>
              <w:jc w:val="right"/>
              <w:rPr>
                <w:rFonts w:ascii="宋体" w:hAnsi="宋体" w:cs="宋体" w:eastAsia="宋体" w:hint="default"/>
                <w:sz w:val="20"/>
                <w:szCs w:val="20"/>
              </w:rPr>
            </w:pPr>
            <w:r>
              <w:rPr>
                <w:rFonts w:ascii="宋体"/>
                <w:sz w:val="20"/>
              </w:rPr>
              <w:t>116</w:t>
            </w:r>
          </w:p>
        </w:tc>
        <w:tc>
          <w:tcPr>
            <w:tcW w:w="3381"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一种新型电铸液过滤系统装置</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0"/>
              <w:jc w:val="center"/>
              <w:rPr>
                <w:rFonts w:ascii="宋体" w:hAnsi="宋体" w:cs="宋体" w:eastAsia="宋体" w:hint="default"/>
                <w:sz w:val="20"/>
                <w:szCs w:val="20"/>
              </w:rPr>
            </w:pPr>
            <w:r>
              <w:rPr>
                <w:rFonts w:ascii="宋体" w:hAnsi="宋体" w:cs="宋体" w:eastAsia="宋体" w:hint="default"/>
                <w:sz w:val="20"/>
                <w:szCs w:val="20"/>
              </w:rPr>
              <w:t>实用新型</w:t>
            </w:r>
          </w:p>
        </w:tc>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46" w:right="0"/>
              <w:jc w:val="left"/>
              <w:rPr>
                <w:rFonts w:ascii="宋体" w:hAnsi="宋体" w:cs="宋体" w:eastAsia="宋体" w:hint="default"/>
                <w:sz w:val="20"/>
                <w:szCs w:val="20"/>
              </w:rPr>
            </w:pPr>
            <w:r>
              <w:rPr>
                <w:rFonts w:ascii="宋体"/>
                <w:sz w:val="20"/>
              </w:rPr>
              <w:t>201821297376.3</w:t>
            </w: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85"/>
              <w:jc w:val="right"/>
              <w:rPr>
                <w:rFonts w:ascii="宋体" w:hAnsi="宋体" w:cs="宋体" w:eastAsia="宋体" w:hint="default"/>
                <w:sz w:val="20"/>
                <w:szCs w:val="20"/>
              </w:rPr>
            </w:pPr>
            <w:r>
              <w:rPr>
                <w:rFonts w:ascii="宋体" w:hAnsi="宋体" w:cs="宋体" w:eastAsia="宋体" w:hint="default"/>
                <w:sz w:val="20"/>
                <w:szCs w:val="20"/>
              </w:rPr>
              <w:t>2018</w:t>
            </w:r>
            <w:r>
              <w:rPr>
                <w:rFonts w:ascii="宋体" w:hAnsi="宋体" w:cs="宋体" w:eastAsia="宋体" w:hint="default"/>
                <w:spacing w:val="-51"/>
                <w:sz w:val="20"/>
                <w:szCs w:val="20"/>
              </w:rPr>
              <w:t> </w:t>
            </w:r>
            <w:r>
              <w:rPr>
                <w:rFonts w:ascii="宋体" w:hAnsi="宋体" w:cs="宋体" w:eastAsia="宋体" w:hint="default"/>
                <w:sz w:val="20"/>
                <w:szCs w:val="20"/>
              </w:rPr>
              <w:t>年</w:t>
            </w:r>
            <w:r>
              <w:rPr>
                <w:rFonts w:ascii="宋体" w:hAnsi="宋体" w:cs="宋体" w:eastAsia="宋体" w:hint="default"/>
                <w:spacing w:val="-50"/>
                <w:sz w:val="20"/>
                <w:szCs w:val="20"/>
              </w:rPr>
              <w:t> </w:t>
            </w:r>
            <w:r>
              <w:rPr>
                <w:rFonts w:ascii="宋体" w:hAnsi="宋体" w:cs="宋体" w:eastAsia="宋体" w:hint="default"/>
                <w:sz w:val="20"/>
                <w:szCs w:val="20"/>
              </w:rPr>
              <w:t>08</w:t>
            </w:r>
            <w:r>
              <w:rPr>
                <w:rFonts w:ascii="宋体" w:hAnsi="宋体" w:cs="宋体" w:eastAsia="宋体" w:hint="default"/>
                <w:spacing w:val="-51"/>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宋体" w:hAnsi="宋体" w:cs="宋体" w:eastAsia="宋体" w:hint="default"/>
                <w:sz w:val="20"/>
                <w:szCs w:val="20"/>
              </w:rPr>
              <w:t>13</w:t>
            </w:r>
            <w:r>
              <w:rPr>
                <w:rFonts w:ascii="宋体" w:hAnsi="宋体" w:cs="宋体" w:eastAsia="宋体" w:hint="default"/>
                <w:spacing w:val="-49"/>
                <w:sz w:val="20"/>
                <w:szCs w:val="20"/>
              </w:rPr>
              <w:t> </w:t>
            </w:r>
            <w:r>
              <w:rPr>
                <w:rFonts w:ascii="宋体" w:hAnsi="宋体" w:cs="宋体" w:eastAsia="宋体" w:hint="default"/>
                <w:sz w:val="20"/>
                <w:szCs w:val="20"/>
              </w:rPr>
              <w:t>日</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中丰田</w:t>
            </w:r>
          </w:p>
        </w:tc>
      </w:tr>
      <w:tr>
        <w:trPr>
          <w:trHeight w:val="371" w:hRule="exact"/>
        </w:trPr>
        <w:tc>
          <w:tcPr>
            <w:tcW w:w="556"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122"/>
              <w:jc w:val="right"/>
              <w:rPr>
                <w:rFonts w:ascii="宋体" w:hAnsi="宋体" w:cs="宋体" w:eastAsia="宋体" w:hint="default"/>
                <w:sz w:val="20"/>
                <w:szCs w:val="20"/>
              </w:rPr>
            </w:pPr>
            <w:r>
              <w:rPr>
                <w:rFonts w:ascii="宋体"/>
                <w:sz w:val="20"/>
              </w:rPr>
              <w:t>117</w:t>
            </w:r>
          </w:p>
        </w:tc>
        <w:tc>
          <w:tcPr>
            <w:tcW w:w="338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0"/>
                <w:szCs w:val="20"/>
              </w:rPr>
            </w:pPr>
            <w:r>
              <w:rPr>
                <w:rFonts w:ascii="宋体" w:hAnsi="宋体" w:cs="宋体" w:eastAsia="宋体" w:hint="default"/>
                <w:sz w:val="20"/>
                <w:szCs w:val="20"/>
              </w:rPr>
              <w:t>一种快速包装装置</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0"/>
              <w:jc w:val="center"/>
              <w:rPr>
                <w:rFonts w:ascii="宋体" w:hAnsi="宋体" w:cs="宋体" w:eastAsia="宋体" w:hint="default"/>
                <w:sz w:val="20"/>
                <w:szCs w:val="20"/>
              </w:rPr>
            </w:pPr>
            <w:r>
              <w:rPr>
                <w:rFonts w:ascii="宋体" w:hAnsi="宋体" w:cs="宋体" w:eastAsia="宋体" w:hint="default"/>
                <w:sz w:val="20"/>
                <w:szCs w:val="20"/>
              </w:rPr>
              <w:t>实用新型</w:t>
            </w:r>
          </w:p>
        </w:tc>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46" w:right="0"/>
              <w:jc w:val="left"/>
              <w:rPr>
                <w:rFonts w:ascii="宋体" w:hAnsi="宋体" w:cs="宋体" w:eastAsia="宋体" w:hint="default"/>
                <w:sz w:val="20"/>
                <w:szCs w:val="20"/>
              </w:rPr>
            </w:pPr>
            <w:r>
              <w:rPr>
                <w:rFonts w:ascii="宋体"/>
                <w:sz w:val="20"/>
              </w:rPr>
              <w:t>201821336929.1</w:t>
            </w: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185"/>
              <w:jc w:val="right"/>
              <w:rPr>
                <w:rFonts w:ascii="宋体" w:hAnsi="宋体" w:cs="宋体" w:eastAsia="宋体" w:hint="default"/>
                <w:sz w:val="20"/>
                <w:szCs w:val="20"/>
              </w:rPr>
            </w:pPr>
            <w:r>
              <w:rPr>
                <w:rFonts w:ascii="宋体" w:hAnsi="宋体" w:cs="宋体" w:eastAsia="宋体" w:hint="default"/>
                <w:sz w:val="20"/>
                <w:szCs w:val="20"/>
              </w:rPr>
              <w:t>2018</w:t>
            </w:r>
            <w:r>
              <w:rPr>
                <w:rFonts w:ascii="宋体" w:hAnsi="宋体" w:cs="宋体" w:eastAsia="宋体" w:hint="default"/>
                <w:spacing w:val="-51"/>
                <w:sz w:val="20"/>
                <w:szCs w:val="20"/>
              </w:rPr>
              <w:t> </w:t>
            </w:r>
            <w:r>
              <w:rPr>
                <w:rFonts w:ascii="宋体" w:hAnsi="宋体" w:cs="宋体" w:eastAsia="宋体" w:hint="default"/>
                <w:sz w:val="20"/>
                <w:szCs w:val="20"/>
              </w:rPr>
              <w:t>年</w:t>
            </w:r>
            <w:r>
              <w:rPr>
                <w:rFonts w:ascii="宋体" w:hAnsi="宋体" w:cs="宋体" w:eastAsia="宋体" w:hint="default"/>
                <w:spacing w:val="-50"/>
                <w:sz w:val="20"/>
                <w:szCs w:val="20"/>
              </w:rPr>
              <w:t> </w:t>
            </w:r>
            <w:r>
              <w:rPr>
                <w:rFonts w:ascii="宋体" w:hAnsi="宋体" w:cs="宋体" w:eastAsia="宋体" w:hint="default"/>
                <w:sz w:val="20"/>
                <w:szCs w:val="20"/>
              </w:rPr>
              <w:t>08</w:t>
            </w:r>
            <w:r>
              <w:rPr>
                <w:rFonts w:ascii="宋体" w:hAnsi="宋体" w:cs="宋体" w:eastAsia="宋体" w:hint="default"/>
                <w:spacing w:val="-51"/>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宋体" w:hAnsi="宋体" w:cs="宋体" w:eastAsia="宋体" w:hint="default"/>
                <w:sz w:val="20"/>
                <w:szCs w:val="20"/>
              </w:rPr>
              <w:t>20</w:t>
            </w:r>
            <w:r>
              <w:rPr>
                <w:rFonts w:ascii="宋体" w:hAnsi="宋体" w:cs="宋体" w:eastAsia="宋体" w:hint="default"/>
                <w:spacing w:val="-49"/>
                <w:sz w:val="20"/>
                <w:szCs w:val="20"/>
              </w:rPr>
              <w:t> </w:t>
            </w:r>
            <w:r>
              <w:rPr>
                <w:rFonts w:ascii="宋体" w:hAnsi="宋体" w:cs="宋体" w:eastAsia="宋体" w:hint="default"/>
                <w:sz w:val="20"/>
                <w:szCs w:val="20"/>
              </w:rPr>
              <w:t>日</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0"/>
                <w:szCs w:val="20"/>
              </w:rPr>
            </w:pPr>
            <w:r>
              <w:rPr>
                <w:rFonts w:ascii="宋体" w:hAnsi="宋体" w:cs="宋体" w:eastAsia="宋体" w:hint="default"/>
                <w:sz w:val="20"/>
                <w:szCs w:val="20"/>
              </w:rPr>
              <w:t>中丰田</w:t>
            </w:r>
          </w:p>
        </w:tc>
      </w:tr>
      <w:tr>
        <w:trPr>
          <w:trHeight w:val="370" w:hRule="exact"/>
        </w:trPr>
        <w:tc>
          <w:tcPr>
            <w:tcW w:w="55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22"/>
              <w:jc w:val="right"/>
              <w:rPr>
                <w:rFonts w:ascii="宋体" w:hAnsi="宋体" w:cs="宋体" w:eastAsia="宋体" w:hint="default"/>
                <w:sz w:val="20"/>
                <w:szCs w:val="20"/>
              </w:rPr>
            </w:pPr>
            <w:r>
              <w:rPr>
                <w:rFonts w:ascii="宋体"/>
                <w:sz w:val="20"/>
              </w:rPr>
              <w:t>118</w:t>
            </w:r>
          </w:p>
        </w:tc>
        <w:tc>
          <w:tcPr>
            <w:tcW w:w="3381"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线性太阳能聚光条板</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0"/>
              <w:jc w:val="center"/>
              <w:rPr>
                <w:rFonts w:ascii="宋体" w:hAnsi="宋体" w:cs="宋体" w:eastAsia="宋体" w:hint="default"/>
                <w:sz w:val="20"/>
                <w:szCs w:val="20"/>
              </w:rPr>
            </w:pPr>
            <w:r>
              <w:rPr>
                <w:rFonts w:ascii="宋体" w:hAnsi="宋体" w:cs="宋体" w:eastAsia="宋体" w:hint="default"/>
                <w:sz w:val="20"/>
                <w:szCs w:val="20"/>
              </w:rPr>
              <w:t>实用新型</w:t>
            </w:r>
          </w:p>
        </w:tc>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46" w:right="0"/>
              <w:jc w:val="left"/>
              <w:rPr>
                <w:rFonts w:ascii="宋体" w:hAnsi="宋体" w:cs="宋体" w:eastAsia="宋体" w:hint="default"/>
                <w:sz w:val="20"/>
                <w:szCs w:val="20"/>
              </w:rPr>
            </w:pPr>
            <w:r>
              <w:rPr>
                <w:rFonts w:ascii="宋体"/>
                <w:sz w:val="20"/>
              </w:rPr>
              <w:t>201821723750.1</w:t>
            </w: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85"/>
              <w:jc w:val="right"/>
              <w:rPr>
                <w:rFonts w:ascii="宋体" w:hAnsi="宋体" w:cs="宋体" w:eastAsia="宋体" w:hint="default"/>
                <w:sz w:val="20"/>
                <w:szCs w:val="20"/>
              </w:rPr>
            </w:pPr>
            <w:r>
              <w:rPr>
                <w:rFonts w:ascii="宋体" w:hAnsi="宋体" w:cs="宋体" w:eastAsia="宋体" w:hint="default"/>
                <w:sz w:val="20"/>
                <w:szCs w:val="20"/>
              </w:rPr>
              <w:t>2018</w:t>
            </w:r>
            <w:r>
              <w:rPr>
                <w:rFonts w:ascii="宋体" w:hAnsi="宋体" w:cs="宋体" w:eastAsia="宋体" w:hint="default"/>
                <w:spacing w:val="-51"/>
                <w:sz w:val="20"/>
                <w:szCs w:val="20"/>
              </w:rPr>
              <w:t> </w:t>
            </w:r>
            <w:r>
              <w:rPr>
                <w:rFonts w:ascii="宋体" w:hAnsi="宋体" w:cs="宋体" w:eastAsia="宋体" w:hint="default"/>
                <w:sz w:val="20"/>
                <w:szCs w:val="20"/>
              </w:rPr>
              <w:t>年</w:t>
            </w:r>
            <w:r>
              <w:rPr>
                <w:rFonts w:ascii="宋体" w:hAnsi="宋体" w:cs="宋体" w:eastAsia="宋体" w:hint="default"/>
                <w:spacing w:val="-50"/>
                <w:sz w:val="20"/>
                <w:szCs w:val="20"/>
              </w:rPr>
              <w:t> </w:t>
            </w:r>
            <w:r>
              <w:rPr>
                <w:rFonts w:ascii="宋体" w:hAnsi="宋体" w:cs="宋体" w:eastAsia="宋体" w:hint="default"/>
                <w:sz w:val="20"/>
                <w:szCs w:val="20"/>
              </w:rPr>
              <w:t>10</w:t>
            </w:r>
            <w:r>
              <w:rPr>
                <w:rFonts w:ascii="宋体" w:hAnsi="宋体" w:cs="宋体" w:eastAsia="宋体" w:hint="default"/>
                <w:spacing w:val="-51"/>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宋体" w:hAnsi="宋体" w:cs="宋体" w:eastAsia="宋体" w:hint="default"/>
                <w:sz w:val="20"/>
                <w:szCs w:val="20"/>
              </w:rPr>
              <w:t>24</w:t>
            </w:r>
            <w:r>
              <w:rPr>
                <w:rFonts w:ascii="宋体" w:hAnsi="宋体" w:cs="宋体" w:eastAsia="宋体" w:hint="default"/>
                <w:spacing w:val="-49"/>
                <w:sz w:val="20"/>
                <w:szCs w:val="20"/>
              </w:rPr>
              <w:t> </w:t>
            </w:r>
            <w:r>
              <w:rPr>
                <w:rFonts w:ascii="宋体" w:hAnsi="宋体" w:cs="宋体" w:eastAsia="宋体" w:hint="default"/>
                <w:sz w:val="20"/>
                <w:szCs w:val="20"/>
              </w:rPr>
              <w:t>日</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中丰田</w:t>
            </w:r>
          </w:p>
        </w:tc>
      </w:tr>
      <w:tr>
        <w:trPr>
          <w:trHeight w:val="370" w:hRule="exact"/>
        </w:trPr>
        <w:tc>
          <w:tcPr>
            <w:tcW w:w="55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22"/>
              <w:jc w:val="right"/>
              <w:rPr>
                <w:rFonts w:ascii="宋体" w:hAnsi="宋体" w:cs="宋体" w:eastAsia="宋体" w:hint="default"/>
                <w:sz w:val="20"/>
                <w:szCs w:val="20"/>
              </w:rPr>
            </w:pPr>
            <w:r>
              <w:rPr>
                <w:rFonts w:ascii="宋体"/>
                <w:sz w:val="20"/>
              </w:rPr>
              <w:t>119</w:t>
            </w:r>
          </w:p>
        </w:tc>
        <w:tc>
          <w:tcPr>
            <w:tcW w:w="3381"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一种压纹印刷设备</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0"/>
              <w:jc w:val="center"/>
              <w:rPr>
                <w:rFonts w:ascii="宋体" w:hAnsi="宋体" w:cs="宋体" w:eastAsia="宋体" w:hint="default"/>
                <w:sz w:val="20"/>
                <w:szCs w:val="20"/>
              </w:rPr>
            </w:pPr>
            <w:r>
              <w:rPr>
                <w:rFonts w:ascii="宋体" w:hAnsi="宋体" w:cs="宋体" w:eastAsia="宋体" w:hint="default"/>
                <w:sz w:val="20"/>
                <w:szCs w:val="20"/>
              </w:rPr>
              <w:t>外观设计</w:t>
            </w:r>
          </w:p>
        </w:tc>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46" w:right="0"/>
              <w:jc w:val="left"/>
              <w:rPr>
                <w:rFonts w:ascii="宋体" w:hAnsi="宋体" w:cs="宋体" w:eastAsia="宋体" w:hint="default"/>
                <w:sz w:val="20"/>
                <w:szCs w:val="20"/>
              </w:rPr>
            </w:pPr>
            <w:r>
              <w:rPr>
                <w:rFonts w:ascii="宋体"/>
                <w:sz w:val="20"/>
              </w:rPr>
              <w:t>201821468627.X</w:t>
            </w: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85"/>
              <w:jc w:val="right"/>
              <w:rPr>
                <w:rFonts w:ascii="宋体" w:hAnsi="宋体" w:cs="宋体" w:eastAsia="宋体" w:hint="default"/>
                <w:sz w:val="20"/>
                <w:szCs w:val="20"/>
              </w:rPr>
            </w:pPr>
            <w:r>
              <w:rPr>
                <w:rFonts w:ascii="宋体" w:hAnsi="宋体" w:cs="宋体" w:eastAsia="宋体" w:hint="default"/>
                <w:sz w:val="20"/>
                <w:szCs w:val="20"/>
              </w:rPr>
              <w:t>2018</w:t>
            </w:r>
            <w:r>
              <w:rPr>
                <w:rFonts w:ascii="宋体" w:hAnsi="宋体" w:cs="宋体" w:eastAsia="宋体" w:hint="default"/>
                <w:spacing w:val="-51"/>
                <w:sz w:val="20"/>
                <w:szCs w:val="20"/>
              </w:rPr>
              <w:t> </w:t>
            </w:r>
            <w:r>
              <w:rPr>
                <w:rFonts w:ascii="宋体" w:hAnsi="宋体" w:cs="宋体" w:eastAsia="宋体" w:hint="default"/>
                <w:sz w:val="20"/>
                <w:szCs w:val="20"/>
              </w:rPr>
              <w:t>年</w:t>
            </w:r>
            <w:r>
              <w:rPr>
                <w:rFonts w:ascii="宋体" w:hAnsi="宋体" w:cs="宋体" w:eastAsia="宋体" w:hint="default"/>
                <w:spacing w:val="-50"/>
                <w:sz w:val="20"/>
                <w:szCs w:val="20"/>
              </w:rPr>
              <w:t> </w:t>
            </w:r>
            <w:r>
              <w:rPr>
                <w:rFonts w:ascii="宋体" w:hAnsi="宋体" w:cs="宋体" w:eastAsia="宋体" w:hint="default"/>
                <w:sz w:val="20"/>
                <w:szCs w:val="20"/>
              </w:rPr>
              <w:t>09</w:t>
            </w:r>
            <w:r>
              <w:rPr>
                <w:rFonts w:ascii="宋体" w:hAnsi="宋体" w:cs="宋体" w:eastAsia="宋体" w:hint="default"/>
                <w:spacing w:val="-51"/>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宋体" w:hAnsi="宋体" w:cs="宋体" w:eastAsia="宋体" w:hint="default"/>
                <w:sz w:val="20"/>
                <w:szCs w:val="20"/>
              </w:rPr>
              <w:t>10</w:t>
            </w:r>
            <w:r>
              <w:rPr>
                <w:rFonts w:ascii="宋体" w:hAnsi="宋体" w:cs="宋体" w:eastAsia="宋体" w:hint="default"/>
                <w:spacing w:val="-49"/>
                <w:sz w:val="20"/>
                <w:szCs w:val="20"/>
              </w:rPr>
              <w:t> </w:t>
            </w:r>
            <w:r>
              <w:rPr>
                <w:rFonts w:ascii="宋体" w:hAnsi="宋体" w:cs="宋体" w:eastAsia="宋体" w:hint="default"/>
                <w:sz w:val="20"/>
                <w:szCs w:val="20"/>
              </w:rPr>
              <w:t>日</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本公司</w:t>
            </w:r>
          </w:p>
        </w:tc>
      </w:tr>
      <w:tr>
        <w:trPr>
          <w:trHeight w:val="371" w:hRule="exact"/>
        </w:trPr>
        <w:tc>
          <w:tcPr>
            <w:tcW w:w="556"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122"/>
              <w:jc w:val="right"/>
              <w:rPr>
                <w:rFonts w:ascii="宋体" w:hAnsi="宋体" w:cs="宋体" w:eastAsia="宋体" w:hint="default"/>
                <w:sz w:val="20"/>
                <w:szCs w:val="20"/>
              </w:rPr>
            </w:pPr>
            <w:r>
              <w:rPr>
                <w:rFonts w:ascii="宋体"/>
                <w:sz w:val="20"/>
              </w:rPr>
              <w:t>120</w:t>
            </w:r>
          </w:p>
        </w:tc>
        <w:tc>
          <w:tcPr>
            <w:tcW w:w="338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0"/>
                <w:szCs w:val="20"/>
              </w:rPr>
            </w:pPr>
            <w:r>
              <w:rPr>
                <w:rFonts w:ascii="宋体" w:hAnsi="宋体" w:cs="宋体" w:eastAsia="宋体" w:hint="default"/>
                <w:sz w:val="20"/>
                <w:szCs w:val="20"/>
              </w:rPr>
              <w:t>一种</w:t>
            </w:r>
            <w:r>
              <w:rPr>
                <w:rFonts w:ascii="宋体" w:hAnsi="宋体" w:cs="宋体" w:eastAsia="宋体" w:hint="default"/>
                <w:spacing w:val="-69"/>
                <w:sz w:val="20"/>
                <w:szCs w:val="20"/>
              </w:rPr>
              <w:t> </w:t>
            </w:r>
            <w:r>
              <w:rPr>
                <w:rFonts w:ascii="宋体" w:hAnsi="宋体" w:cs="宋体" w:eastAsia="宋体" w:hint="default"/>
                <w:sz w:val="20"/>
                <w:szCs w:val="20"/>
              </w:rPr>
              <w:t>CTP</w:t>
            </w:r>
            <w:r>
              <w:rPr>
                <w:rFonts w:ascii="宋体" w:hAnsi="宋体" w:cs="宋体" w:eastAsia="宋体" w:hint="default"/>
                <w:spacing w:val="-69"/>
                <w:sz w:val="20"/>
                <w:szCs w:val="20"/>
              </w:rPr>
              <w:t> </w:t>
            </w:r>
            <w:r>
              <w:rPr>
                <w:rFonts w:ascii="宋体" w:hAnsi="宋体" w:cs="宋体" w:eastAsia="宋体" w:hint="default"/>
                <w:sz w:val="20"/>
                <w:szCs w:val="20"/>
              </w:rPr>
              <w:t>制版的冲版水循环净化系统</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0"/>
              <w:jc w:val="center"/>
              <w:rPr>
                <w:rFonts w:ascii="宋体" w:hAnsi="宋体" w:cs="宋体" w:eastAsia="宋体" w:hint="default"/>
                <w:sz w:val="20"/>
                <w:szCs w:val="20"/>
              </w:rPr>
            </w:pPr>
            <w:r>
              <w:rPr>
                <w:rFonts w:ascii="宋体" w:hAnsi="宋体" w:cs="宋体" w:eastAsia="宋体" w:hint="default"/>
                <w:sz w:val="20"/>
                <w:szCs w:val="20"/>
              </w:rPr>
              <w:t>外观设计</w:t>
            </w:r>
          </w:p>
        </w:tc>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46" w:right="0"/>
              <w:jc w:val="left"/>
              <w:rPr>
                <w:rFonts w:ascii="宋体" w:hAnsi="宋体" w:cs="宋体" w:eastAsia="宋体" w:hint="default"/>
                <w:sz w:val="20"/>
                <w:szCs w:val="20"/>
              </w:rPr>
            </w:pPr>
            <w:r>
              <w:rPr>
                <w:rFonts w:ascii="宋体"/>
                <w:sz w:val="20"/>
              </w:rPr>
              <w:t>201821796314.7</w:t>
            </w: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185"/>
              <w:jc w:val="right"/>
              <w:rPr>
                <w:rFonts w:ascii="宋体" w:hAnsi="宋体" w:cs="宋体" w:eastAsia="宋体" w:hint="default"/>
                <w:sz w:val="20"/>
                <w:szCs w:val="20"/>
              </w:rPr>
            </w:pPr>
            <w:r>
              <w:rPr>
                <w:rFonts w:ascii="宋体" w:hAnsi="宋体" w:cs="宋体" w:eastAsia="宋体" w:hint="default"/>
                <w:sz w:val="20"/>
                <w:szCs w:val="20"/>
              </w:rPr>
              <w:t>2018</w:t>
            </w:r>
            <w:r>
              <w:rPr>
                <w:rFonts w:ascii="宋体" w:hAnsi="宋体" w:cs="宋体" w:eastAsia="宋体" w:hint="default"/>
                <w:spacing w:val="-51"/>
                <w:sz w:val="20"/>
                <w:szCs w:val="20"/>
              </w:rPr>
              <w:t> </w:t>
            </w:r>
            <w:r>
              <w:rPr>
                <w:rFonts w:ascii="宋体" w:hAnsi="宋体" w:cs="宋体" w:eastAsia="宋体" w:hint="default"/>
                <w:sz w:val="20"/>
                <w:szCs w:val="20"/>
              </w:rPr>
              <w:t>年</w:t>
            </w:r>
            <w:r>
              <w:rPr>
                <w:rFonts w:ascii="宋体" w:hAnsi="宋体" w:cs="宋体" w:eastAsia="宋体" w:hint="default"/>
                <w:spacing w:val="-50"/>
                <w:sz w:val="20"/>
                <w:szCs w:val="20"/>
              </w:rPr>
              <w:t> </w:t>
            </w:r>
            <w:r>
              <w:rPr>
                <w:rFonts w:ascii="宋体" w:hAnsi="宋体" w:cs="宋体" w:eastAsia="宋体" w:hint="default"/>
                <w:sz w:val="20"/>
                <w:szCs w:val="20"/>
              </w:rPr>
              <w:t>11</w:t>
            </w:r>
            <w:r>
              <w:rPr>
                <w:rFonts w:ascii="宋体" w:hAnsi="宋体" w:cs="宋体" w:eastAsia="宋体" w:hint="default"/>
                <w:spacing w:val="-51"/>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宋体" w:hAnsi="宋体" w:cs="宋体" w:eastAsia="宋体" w:hint="default"/>
                <w:sz w:val="20"/>
                <w:szCs w:val="20"/>
              </w:rPr>
              <w:t>02</w:t>
            </w:r>
            <w:r>
              <w:rPr>
                <w:rFonts w:ascii="宋体" w:hAnsi="宋体" w:cs="宋体" w:eastAsia="宋体" w:hint="default"/>
                <w:spacing w:val="-49"/>
                <w:sz w:val="20"/>
                <w:szCs w:val="20"/>
              </w:rPr>
              <w:t> </w:t>
            </w:r>
            <w:r>
              <w:rPr>
                <w:rFonts w:ascii="宋体" w:hAnsi="宋体" w:cs="宋体" w:eastAsia="宋体" w:hint="default"/>
                <w:sz w:val="20"/>
                <w:szCs w:val="20"/>
              </w:rPr>
              <w:t>日</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0"/>
                <w:szCs w:val="20"/>
              </w:rPr>
            </w:pPr>
            <w:r>
              <w:rPr>
                <w:rFonts w:ascii="宋体" w:hAnsi="宋体" w:cs="宋体" w:eastAsia="宋体" w:hint="default"/>
                <w:sz w:val="20"/>
                <w:szCs w:val="20"/>
              </w:rPr>
              <w:t>本公司</w:t>
            </w:r>
          </w:p>
        </w:tc>
      </w:tr>
      <w:tr>
        <w:trPr>
          <w:trHeight w:val="370" w:hRule="exact"/>
        </w:trPr>
        <w:tc>
          <w:tcPr>
            <w:tcW w:w="55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22"/>
              <w:jc w:val="right"/>
              <w:rPr>
                <w:rFonts w:ascii="宋体" w:hAnsi="宋体" w:cs="宋体" w:eastAsia="宋体" w:hint="default"/>
                <w:sz w:val="20"/>
                <w:szCs w:val="20"/>
              </w:rPr>
            </w:pPr>
            <w:r>
              <w:rPr>
                <w:rFonts w:ascii="宋体"/>
                <w:sz w:val="20"/>
              </w:rPr>
              <w:t>121</w:t>
            </w:r>
          </w:p>
        </w:tc>
        <w:tc>
          <w:tcPr>
            <w:tcW w:w="3381"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一种</w:t>
            </w:r>
            <w:r>
              <w:rPr>
                <w:rFonts w:ascii="宋体" w:hAnsi="宋体" w:cs="宋体" w:eastAsia="宋体" w:hint="default"/>
                <w:spacing w:val="-52"/>
                <w:sz w:val="20"/>
                <w:szCs w:val="20"/>
              </w:rPr>
              <w:t> </w:t>
            </w:r>
            <w:r>
              <w:rPr>
                <w:rFonts w:ascii="宋体" w:hAnsi="宋体" w:cs="宋体" w:eastAsia="宋体" w:hint="default"/>
                <w:sz w:val="20"/>
                <w:szCs w:val="20"/>
              </w:rPr>
              <w:t>UV</w:t>
            </w:r>
            <w:r>
              <w:rPr>
                <w:rFonts w:ascii="宋体" w:hAnsi="宋体" w:cs="宋体" w:eastAsia="宋体" w:hint="default"/>
                <w:spacing w:val="-50"/>
                <w:sz w:val="20"/>
                <w:szCs w:val="20"/>
              </w:rPr>
              <w:t> </w:t>
            </w:r>
            <w:r>
              <w:rPr>
                <w:rFonts w:ascii="宋体" w:hAnsi="宋体" w:cs="宋体" w:eastAsia="宋体" w:hint="default"/>
                <w:sz w:val="20"/>
                <w:szCs w:val="20"/>
              </w:rPr>
              <w:t>油墨固化程度的检测设备</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0"/>
              <w:jc w:val="center"/>
              <w:rPr>
                <w:rFonts w:ascii="宋体" w:hAnsi="宋体" w:cs="宋体" w:eastAsia="宋体" w:hint="default"/>
                <w:sz w:val="20"/>
                <w:szCs w:val="20"/>
              </w:rPr>
            </w:pPr>
            <w:r>
              <w:rPr>
                <w:rFonts w:ascii="宋体" w:hAnsi="宋体" w:cs="宋体" w:eastAsia="宋体" w:hint="default"/>
                <w:sz w:val="20"/>
                <w:szCs w:val="20"/>
              </w:rPr>
              <w:t>外观设计</w:t>
            </w:r>
          </w:p>
        </w:tc>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46" w:right="0"/>
              <w:jc w:val="left"/>
              <w:rPr>
                <w:rFonts w:ascii="宋体" w:hAnsi="宋体" w:cs="宋体" w:eastAsia="宋体" w:hint="default"/>
                <w:sz w:val="20"/>
                <w:szCs w:val="20"/>
              </w:rPr>
            </w:pPr>
            <w:r>
              <w:rPr>
                <w:rFonts w:ascii="宋体"/>
                <w:sz w:val="20"/>
              </w:rPr>
              <w:t>201822052786.8</w:t>
            </w: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85"/>
              <w:jc w:val="right"/>
              <w:rPr>
                <w:rFonts w:ascii="宋体" w:hAnsi="宋体" w:cs="宋体" w:eastAsia="宋体" w:hint="default"/>
                <w:sz w:val="20"/>
                <w:szCs w:val="20"/>
              </w:rPr>
            </w:pPr>
            <w:r>
              <w:rPr>
                <w:rFonts w:ascii="宋体" w:hAnsi="宋体" w:cs="宋体" w:eastAsia="宋体" w:hint="default"/>
                <w:sz w:val="20"/>
                <w:szCs w:val="20"/>
              </w:rPr>
              <w:t>2018</w:t>
            </w:r>
            <w:r>
              <w:rPr>
                <w:rFonts w:ascii="宋体" w:hAnsi="宋体" w:cs="宋体" w:eastAsia="宋体" w:hint="default"/>
                <w:spacing w:val="-51"/>
                <w:sz w:val="20"/>
                <w:szCs w:val="20"/>
              </w:rPr>
              <w:t> </w:t>
            </w:r>
            <w:r>
              <w:rPr>
                <w:rFonts w:ascii="宋体" w:hAnsi="宋体" w:cs="宋体" w:eastAsia="宋体" w:hint="default"/>
                <w:sz w:val="20"/>
                <w:szCs w:val="20"/>
              </w:rPr>
              <w:t>年</w:t>
            </w:r>
            <w:r>
              <w:rPr>
                <w:rFonts w:ascii="宋体" w:hAnsi="宋体" w:cs="宋体" w:eastAsia="宋体" w:hint="default"/>
                <w:spacing w:val="-50"/>
                <w:sz w:val="20"/>
                <w:szCs w:val="20"/>
              </w:rPr>
              <w:t> </w:t>
            </w:r>
            <w:r>
              <w:rPr>
                <w:rFonts w:ascii="宋体" w:hAnsi="宋体" w:cs="宋体" w:eastAsia="宋体" w:hint="default"/>
                <w:sz w:val="20"/>
                <w:szCs w:val="20"/>
              </w:rPr>
              <w:t>12</w:t>
            </w:r>
            <w:r>
              <w:rPr>
                <w:rFonts w:ascii="宋体" w:hAnsi="宋体" w:cs="宋体" w:eastAsia="宋体" w:hint="default"/>
                <w:spacing w:val="-51"/>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宋体" w:hAnsi="宋体" w:cs="宋体" w:eastAsia="宋体" w:hint="default"/>
                <w:sz w:val="20"/>
                <w:szCs w:val="20"/>
              </w:rPr>
              <w:t>07</w:t>
            </w:r>
            <w:r>
              <w:rPr>
                <w:rFonts w:ascii="宋体" w:hAnsi="宋体" w:cs="宋体" w:eastAsia="宋体" w:hint="default"/>
                <w:spacing w:val="-49"/>
                <w:sz w:val="20"/>
                <w:szCs w:val="20"/>
              </w:rPr>
              <w:t> </w:t>
            </w:r>
            <w:r>
              <w:rPr>
                <w:rFonts w:ascii="宋体" w:hAnsi="宋体" w:cs="宋体" w:eastAsia="宋体" w:hint="default"/>
                <w:sz w:val="20"/>
                <w:szCs w:val="20"/>
              </w:rPr>
              <w:t>日</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本公司</w:t>
            </w:r>
          </w:p>
        </w:tc>
      </w:tr>
      <w:tr>
        <w:trPr>
          <w:trHeight w:val="634" w:hRule="exact"/>
        </w:trPr>
        <w:tc>
          <w:tcPr>
            <w:tcW w:w="556"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122"/>
              <w:jc w:val="right"/>
              <w:rPr>
                <w:rFonts w:ascii="宋体" w:hAnsi="宋体" w:cs="宋体" w:eastAsia="宋体" w:hint="default"/>
                <w:sz w:val="20"/>
                <w:szCs w:val="20"/>
              </w:rPr>
            </w:pPr>
            <w:r>
              <w:rPr>
                <w:rFonts w:ascii="宋体"/>
                <w:sz w:val="20"/>
              </w:rPr>
              <w:t>122</w:t>
            </w:r>
          </w:p>
        </w:tc>
        <w:tc>
          <w:tcPr>
            <w:tcW w:w="338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0"/>
                <w:szCs w:val="20"/>
              </w:rPr>
            </w:pPr>
            <w:r>
              <w:rPr>
                <w:rFonts w:ascii="宋体" w:hAnsi="宋体" w:cs="宋体" w:eastAsia="宋体" w:hint="default"/>
                <w:sz w:val="20"/>
                <w:szCs w:val="20"/>
              </w:rPr>
              <w:t>一种多功能双层展示包装盒</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0"/>
              <w:jc w:val="center"/>
              <w:rPr>
                <w:rFonts w:ascii="宋体" w:hAnsi="宋体" w:cs="宋体" w:eastAsia="宋体" w:hint="default"/>
                <w:sz w:val="20"/>
                <w:szCs w:val="20"/>
              </w:rPr>
            </w:pPr>
            <w:r>
              <w:rPr>
                <w:rFonts w:ascii="宋体" w:hAnsi="宋体" w:cs="宋体" w:eastAsia="宋体" w:hint="default"/>
                <w:sz w:val="20"/>
                <w:szCs w:val="20"/>
              </w:rPr>
              <w:t>外观设计</w:t>
            </w:r>
          </w:p>
        </w:tc>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46" w:right="0"/>
              <w:jc w:val="left"/>
              <w:rPr>
                <w:rFonts w:ascii="宋体" w:hAnsi="宋体" w:cs="宋体" w:eastAsia="宋体" w:hint="default"/>
                <w:sz w:val="20"/>
                <w:szCs w:val="20"/>
              </w:rPr>
            </w:pPr>
            <w:r>
              <w:rPr>
                <w:rFonts w:ascii="宋体"/>
                <w:sz w:val="20"/>
              </w:rPr>
              <w:t>201821200459.6</w:t>
            </w: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185"/>
              <w:jc w:val="right"/>
              <w:rPr>
                <w:rFonts w:ascii="宋体" w:hAnsi="宋体" w:cs="宋体" w:eastAsia="宋体" w:hint="default"/>
                <w:sz w:val="20"/>
                <w:szCs w:val="20"/>
              </w:rPr>
            </w:pPr>
            <w:r>
              <w:rPr>
                <w:rFonts w:ascii="宋体" w:hAnsi="宋体" w:cs="宋体" w:eastAsia="宋体" w:hint="default"/>
                <w:sz w:val="20"/>
                <w:szCs w:val="20"/>
              </w:rPr>
              <w:t>2018</w:t>
            </w:r>
            <w:r>
              <w:rPr>
                <w:rFonts w:ascii="宋体" w:hAnsi="宋体" w:cs="宋体" w:eastAsia="宋体" w:hint="default"/>
                <w:spacing w:val="-51"/>
                <w:sz w:val="20"/>
                <w:szCs w:val="20"/>
              </w:rPr>
              <w:t> </w:t>
            </w:r>
            <w:r>
              <w:rPr>
                <w:rFonts w:ascii="宋体" w:hAnsi="宋体" w:cs="宋体" w:eastAsia="宋体" w:hint="default"/>
                <w:sz w:val="20"/>
                <w:szCs w:val="20"/>
              </w:rPr>
              <w:t>年</w:t>
            </w:r>
            <w:r>
              <w:rPr>
                <w:rFonts w:ascii="宋体" w:hAnsi="宋体" w:cs="宋体" w:eastAsia="宋体" w:hint="default"/>
                <w:spacing w:val="-50"/>
                <w:sz w:val="20"/>
                <w:szCs w:val="20"/>
              </w:rPr>
              <w:t> </w:t>
            </w:r>
            <w:r>
              <w:rPr>
                <w:rFonts w:ascii="宋体" w:hAnsi="宋体" w:cs="宋体" w:eastAsia="宋体" w:hint="default"/>
                <w:sz w:val="20"/>
                <w:szCs w:val="20"/>
              </w:rPr>
              <w:t>07</w:t>
            </w:r>
            <w:r>
              <w:rPr>
                <w:rFonts w:ascii="宋体" w:hAnsi="宋体" w:cs="宋体" w:eastAsia="宋体" w:hint="default"/>
                <w:spacing w:val="-51"/>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宋体" w:hAnsi="宋体" w:cs="宋体" w:eastAsia="宋体" w:hint="default"/>
                <w:sz w:val="20"/>
                <w:szCs w:val="20"/>
              </w:rPr>
              <w:t>27</w:t>
            </w:r>
            <w:r>
              <w:rPr>
                <w:rFonts w:ascii="宋体" w:hAnsi="宋体" w:cs="宋体" w:eastAsia="宋体" w:hint="default"/>
                <w:spacing w:val="-49"/>
                <w:sz w:val="20"/>
                <w:szCs w:val="20"/>
              </w:rPr>
              <w:t> </w:t>
            </w:r>
            <w:r>
              <w:rPr>
                <w:rFonts w:ascii="宋体" w:hAnsi="宋体" w:cs="宋体" w:eastAsia="宋体" w:hint="default"/>
                <w:sz w:val="20"/>
                <w:szCs w:val="20"/>
              </w:rPr>
              <w:t>日</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133"/>
              <w:jc w:val="left"/>
              <w:rPr>
                <w:rFonts w:ascii="宋体" w:hAnsi="宋体" w:cs="宋体" w:eastAsia="宋体" w:hint="default"/>
                <w:sz w:val="20"/>
                <w:szCs w:val="20"/>
              </w:rPr>
            </w:pPr>
            <w:r>
              <w:rPr>
                <w:rFonts w:ascii="宋体" w:hAnsi="宋体" w:cs="宋体" w:eastAsia="宋体" w:hint="default"/>
                <w:sz w:val="20"/>
                <w:szCs w:val="20"/>
              </w:rPr>
              <w:t>本公司、</w:t>
            </w:r>
            <w:r>
              <w:rPr>
                <w:rFonts w:ascii="宋体" w:hAnsi="宋体" w:cs="宋体" w:eastAsia="宋体" w:hint="default"/>
                <w:w w:val="100"/>
                <w:sz w:val="20"/>
                <w:szCs w:val="20"/>
              </w:rPr>
              <w:t> </w:t>
            </w:r>
            <w:r>
              <w:rPr>
                <w:rFonts w:ascii="宋体" w:hAnsi="宋体" w:cs="宋体" w:eastAsia="宋体" w:hint="default"/>
                <w:sz w:val="20"/>
                <w:szCs w:val="20"/>
              </w:rPr>
              <w:t>安徽安泰</w:t>
            </w:r>
          </w:p>
        </w:tc>
      </w:tr>
      <w:tr>
        <w:trPr>
          <w:trHeight w:val="635" w:hRule="exact"/>
        </w:trPr>
        <w:tc>
          <w:tcPr>
            <w:tcW w:w="556"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122"/>
              <w:jc w:val="right"/>
              <w:rPr>
                <w:rFonts w:ascii="宋体" w:hAnsi="宋体" w:cs="宋体" w:eastAsia="宋体" w:hint="default"/>
                <w:sz w:val="20"/>
                <w:szCs w:val="20"/>
              </w:rPr>
            </w:pPr>
            <w:r>
              <w:rPr>
                <w:rFonts w:ascii="宋体"/>
                <w:sz w:val="20"/>
              </w:rPr>
              <w:t>123</w:t>
            </w:r>
          </w:p>
        </w:tc>
        <w:tc>
          <w:tcPr>
            <w:tcW w:w="338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0"/>
                <w:szCs w:val="20"/>
              </w:rPr>
            </w:pPr>
            <w:r>
              <w:rPr>
                <w:rFonts w:ascii="宋体" w:hAnsi="宋体" w:cs="宋体" w:eastAsia="宋体" w:hint="default"/>
                <w:sz w:val="20"/>
                <w:szCs w:val="20"/>
              </w:rPr>
              <w:t>一种嵌入式反切同步压痕模切板</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0"/>
              <w:jc w:val="center"/>
              <w:rPr>
                <w:rFonts w:ascii="宋体" w:hAnsi="宋体" w:cs="宋体" w:eastAsia="宋体" w:hint="default"/>
                <w:sz w:val="20"/>
                <w:szCs w:val="20"/>
              </w:rPr>
            </w:pPr>
            <w:r>
              <w:rPr>
                <w:rFonts w:ascii="宋体" w:hAnsi="宋体" w:cs="宋体" w:eastAsia="宋体" w:hint="default"/>
                <w:sz w:val="20"/>
                <w:szCs w:val="20"/>
              </w:rPr>
              <w:t>外观设计</w:t>
            </w:r>
          </w:p>
        </w:tc>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46" w:right="0"/>
              <w:jc w:val="left"/>
              <w:rPr>
                <w:rFonts w:ascii="宋体" w:hAnsi="宋体" w:cs="宋体" w:eastAsia="宋体" w:hint="default"/>
                <w:sz w:val="20"/>
                <w:szCs w:val="20"/>
              </w:rPr>
            </w:pPr>
            <w:r>
              <w:rPr>
                <w:rFonts w:ascii="宋体"/>
                <w:sz w:val="20"/>
              </w:rPr>
              <w:t>201821863884.3</w:t>
            </w: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185"/>
              <w:jc w:val="right"/>
              <w:rPr>
                <w:rFonts w:ascii="宋体" w:hAnsi="宋体" w:cs="宋体" w:eastAsia="宋体" w:hint="default"/>
                <w:sz w:val="20"/>
                <w:szCs w:val="20"/>
              </w:rPr>
            </w:pPr>
            <w:r>
              <w:rPr>
                <w:rFonts w:ascii="宋体" w:hAnsi="宋体" w:cs="宋体" w:eastAsia="宋体" w:hint="default"/>
                <w:sz w:val="20"/>
                <w:szCs w:val="20"/>
              </w:rPr>
              <w:t>2018</w:t>
            </w:r>
            <w:r>
              <w:rPr>
                <w:rFonts w:ascii="宋体" w:hAnsi="宋体" w:cs="宋体" w:eastAsia="宋体" w:hint="default"/>
                <w:spacing w:val="-51"/>
                <w:sz w:val="20"/>
                <w:szCs w:val="20"/>
              </w:rPr>
              <w:t> </w:t>
            </w:r>
            <w:r>
              <w:rPr>
                <w:rFonts w:ascii="宋体" w:hAnsi="宋体" w:cs="宋体" w:eastAsia="宋体" w:hint="default"/>
                <w:sz w:val="20"/>
                <w:szCs w:val="20"/>
              </w:rPr>
              <w:t>年</w:t>
            </w:r>
            <w:r>
              <w:rPr>
                <w:rFonts w:ascii="宋体" w:hAnsi="宋体" w:cs="宋体" w:eastAsia="宋体" w:hint="default"/>
                <w:spacing w:val="-50"/>
                <w:sz w:val="20"/>
                <w:szCs w:val="20"/>
              </w:rPr>
              <w:t> </w:t>
            </w:r>
            <w:r>
              <w:rPr>
                <w:rFonts w:ascii="宋体" w:hAnsi="宋体" w:cs="宋体" w:eastAsia="宋体" w:hint="default"/>
                <w:sz w:val="20"/>
                <w:szCs w:val="20"/>
              </w:rPr>
              <w:t>11</w:t>
            </w:r>
            <w:r>
              <w:rPr>
                <w:rFonts w:ascii="宋体" w:hAnsi="宋体" w:cs="宋体" w:eastAsia="宋体" w:hint="default"/>
                <w:spacing w:val="-51"/>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宋体" w:hAnsi="宋体" w:cs="宋体" w:eastAsia="宋体" w:hint="default"/>
                <w:sz w:val="20"/>
                <w:szCs w:val="20"/>
              </w:rPr>
              <w:t>13</w:t>
            </w:r>
            <w:r>
              <w:rPr>
                <w:rFonts w:ascii="宋体" w:hAnsi="宋体" w:cs="宋体" w:eastAsia="宋体" w:hint="default"/>
                <w:spacing w:val="-49"/>
                <w:sz w:val="20"/>
                <w:szCs w:val="20"/>
              </w:rPr>
              <w:t> </w:t>
            </w:r>
            <w:r>
              <w:rPr>
                <w:rFonts w:ascii="宋体" w:hAnsi="宋体" w:cs="宋体" w:eastAsia="宋体" w:hint="default"/>
                <w:sz w:val="20"/>
                <w:szCs w:val="20"/>
              </w:rPr>
              <w:t>日</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133"/>
              <w:jc w:val="left"/>
              <w:rPr>
                <w:rFonts w:ascii="宋体" w:hAnsi="宋体" w:cs="宋体" w:eastAsia="宋体" w:hint="default"/>
                <w:sz w:val="20"/>
                <w:szCs w:val="20"/>
              </w:rPr>
            </w:pPr>
            <w:r>
              <w:rPr>
                <w:rFonts w:ascii="宋体" w:hAnsi="宋体" w:cs="宋体" w:eastAsia="宋体" w:hint="default"/>
                <w:sz w:val="20"/>
                <w:szCs w:val="20"/>
              </w:rPr>
              <w:t>本公司、</w:t>
            </w:r>
            <w:r>
              <w:rPr>
                <w:rFonts w:ascii="宋体" w:hAnsi="宋体" w:cs="宋体" w:eastAsia="宋体" w:hint="default"/>
                <w:w w:val="100"/>
                <w:sz w:val="20"/>
                <w:szCs w:val="20"/>
              </w:rPr>
              <w:t> </w:t>
            </w:r>
            <w:r>
              <w:rPr>
                <w:rFonts w:ascii="宋体" w:hAnsi="宋体" w:cs="宋体" w:eastAsia="宋体" w:hint="default"/>
                <w:sz w:val="20"/>
                <w:szCs w:val="20"/>
              </w:rPr>
              <w:t>深圳金兴</w:t>
            </w:r>
          </w:p>
        </w:tc>
      </w:tr>
    </w:tbl>
    <w:p>
      <w:pPr>
        <w:spacing w:after="0" w:line="285" w:lineRule="auto"/>
        <w:jc w:val="left"/>
        <w:rPr>
          <w:rFonts w:ascii="宋体" w:hAnsi="宋体" w:cs="宋体" w:eastAsia="宋体" w:hint="default"/>
          <w:sz w:val="20"/>
          <w:szCs w:val="20"/>
        </w:rPr>
        <w:sectPr>
          <w:pgSz w:w="11910" w:h="16840"/>
          <w:pgMar w:header="747" w:footer="979" w:top="1060" w:bottom="1160" w:left="92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01" w:type="dxa"/>
        <w:tblLayout w:type="fixed"/>
        <w:tblCellMar>
          <w:top w:w="0" w:type="dxa"/>
          <w:left w:w="0" w:type="dxa"/>
          <w:bottom w:w="0" w:type="dxa"/>
          <w:right w:w="0" w:type="dxa"/>
        </w:tblCellMar>
        <w:tblLook w:val="01E0"/>
      </w:tblPr>
      <w:tblGrid>
        <w:gridCol w:w="556"/>
        <w:gridCol w:w="3381"/>
        <w:gridCol w:w="1133"/>
        <w:gridCol w:w="1703"/>
        <w:gridCol w:w="2033"/>
        <w:gridCol w:w="1050"/>
      </w:tblGrid>
      <w:tr>
        <w:trPr>
          <w:trHeight w:val="370" w:hRule="exact"/>
        </w:trPr>
        <w:tc>
          <w:tcPr>
            <w:tcW w:w="556" w:type="dxa"/>
            <w:tcBorders>
              <w:top w:val="single" w:sz="4" w:space="0" w:color="000000"/>
              <w:left w:val="single" w:sz="4" w:space="0" w:color="000000"/>
              <w:bottom w:val="single" w:sz="4" w:space="0" w:color="000000"/>
              <w:right w:val="single" w:sz="4" w:space="0" w:color="000000"/>
            </w:tcBorders>
          </w:tcPr>
          <w:p>
            <w:pPr/>
          </w:p>
        </w:tc>
        <w:tc>
          <w:tcPr>
            <w:tcW w:w="3381"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703" w:type="dxa"/>
            <w:tcBorders>
              <w:top w:val="single" w:sz="4" w:space="0" w:color="000000"/>
              <w:left w:val="single" w:sz="4" w:space="0" w:color="000000"/>
              <w:bottom w:val="single" w:sz="4" w:space="0" w:color="000000"/>
              <w:right w:val="single" w:sz="4" w:space="0" w:color="000000"/>
            </w:tcBorders>
          </w:tcPr>
          <w:p>
            <w:pPr/>
          </w:p>
        </w:tc>
        <w:tc>
          <w:tcPr>
            <w:tcW w:w="2033" w:type="dxa"/>
            <w:tcBorders>
              <w:top w:val="single" w:sz="4" w:space="0" w:color="000000"/>
              <w:left w:val="single" w:sz="4" w:space="0" w:color="000000"/>
              <w:bottom w:val="single" w:sz="4" w:space="0" w:color="000000"/>
              <w:right w:val="single" w:sz="4" w:space="0" w:color="000000"/>
            </w:tcBorders>
          </w:tcPr>
          <w:p>
            <w:pP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w w:val="100"/>
                <w:sz w:val="20"/>
                <w:szCs w:val="20"/>
              </w:rPr>
              <w:t>盛</w:t>
            </w:r>
          </w:p>
        </w:tc>
      </w:tr>
      <w:tr>
        <w:trPr>
          <w:trHeight w:val="371" w:hRule="exact"/>
        </w:trPr>
        <w:tc>
          <w:tcPr>
            <w:tcW w:w="556"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22" w:right="0"/>
              <w:jc w:val="left"/>
              <w:rPr>
                <w:rFonts w:ascii="宋体" w:hAnsi="宋体" w:cs="宋体" w:eastAsia="宋体" w:hint="default"/>
                <w:sz w:val="20"/>
                <w:szCs w:val="20"/>
              </w:rPr>
            </w:pPr>
            <w:r>
              <w:rPr>
                <w:rFonts w:ascii="宋体"/>
                <w:sz w:val="20"/>
              </w:rPr>
              <w:t>124</w:t>
            </w:r>
          </w:p>
        </w:tc>
        <w:tc>
          <w:tcPr>
            <w:tcW w:w="338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0"/>
                <w:szCs w:val="20"/>
              </w:rPr>
            </w:pPr>
            <w:r>
              <w:rPr>
                <w:rFonts w:ascii="宋体" w:hAnsi="宋体" w:cs="宋体" w:eastAsia="宋体" w:hint="default"/>
                <w:sz w:val="20"/>
                <w:szCs w:val="20"/>
              </w:rPr>
              <w:t>电子烟</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60" w:right="0"/>
              <w:jc w:val="left"/>
              <w:rPr>
                <w:rFonts w:ascii="宋体" w:hAnsi="宋体" w:cs="宋体" w:eastAsia="宋体" w:hint="default"/>
                <w:sz w:val="20"/>
                <w:szCs w:val="20"/>
              </w:rPr>
            </w:pPr>
            <w:r>
              <w:rPr>
                <w:rFonts w:ascii="宋体" w:hAnsi="宋体" w:cs="宋体" w:eastAsia="宋体" w:hint="default"/>
                <w:sz w:val="20"/>
                <w:szCs w:val="20"/>
              </w:rPr>
              <w:t>外观设计</w:t>
            </w:r>
          </w:p>
        </w:tc>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46" w:right="0"/>
              <w:jc w:val="left"/>
              <w:rPr>
                <w:rFonts w:ascii="宋体" w:hAnsi="宋体" w:cs="宋体" w:eastAsia="宋体" w:hint="default"/>
                <w:sz w:val="20"/>
                <w:szCs w:val="20"/>
              </w:rPr>
            </w:pPr>
            <w:r>
              <w:rPr>
                <w:rFonts w:ascii="宋体"/>
                <w:sz w:val="20"/>
              </w:rPr>
              <w:t>201830192351.6</w:t>
            </w: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85" w:right="0"/>
              <w:jc w:val="left"/>
              <w:rPr>
                <w:rFonts w:ascii="宋体" w:hAnsi="宋体" w:cs="宋体" w:eastAsia="宋体" w:hint="default"/>
                <w:sz w:val="20"/>
                <w:szCs w:val="20"/>
              </w:rPr>
            </w:pPr>
            <w:r>
              <w:rPr>
                <w:rFonts w:ascii="宋体" w:hAnsi="宋体" w:cs="宋体" w:eastAsia="宋体" w:hint="default"/>
                <w:sz w:val="20"/>
                <w:szCs w:val="20"/>
              </w:rPr>
              <w:t>2018</w:t>
            </w:r>
            <w:r>
              <w:rPr>
                <w:rFonts w:ascii="宋体" w:hAnsi="宋体" w:cs="宋体" w:eastAsia="宋体" w:hint="default"/>
                <w:spacing w:val="-51"/>
                <w:sz w:val="20"/>
                <w:szCs w:val="20"/>
              </w:rPr>
              <w:t> </w:t>
            </w:r>
            <w:r>
              <w:rPr>
                <w:rFonts w:ascii="宋体" w:hAnsi="宋体" w:cs="宋体" w:eastAsia="宋体" w:hint="default"/>
                <w:sz w:val="20"/>
                <w:szCs w:val="20"/>
              </w:rPr>
              <w:t>年</w:t>
            </w:r>
            <w:r>
              <w:rPr>
                <w:rFonts w:ascii="宋体" w:hAnsi="宋体" w:cs="宋体" w:eastAsia="宋体" w:hint="default"/>
                <w:spacing w:val="-50"/>
                <w:sz w:val="20"/>
                <w:szCs w:val="20"/>
              </w:rPr>
              <w:t> </w:t>
            </w:r>
            <w:r>
              <w:rPr>
                <w:rFonts w:ascii="宋体" w:hAnsi="宋体" w:cs="宋体" w:eastAsia="宋体" w:hint="default"/>
                <w:sz w:val="20"/>
                <w:szCs w:val="20"/>
              </w:rPr>
              <w:t>05</w:t>
            </w:r>
            <w:r>
              <w:rPr>
                <w:rFonts w:ascii="宋体" w:hAnsi="宋体" w:cs="宋体" w:eastAsia="宋体" w:hint="default"/>
                <w:spacing w:val="-51"/>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宋体" w:hAnsi="宋体" w:cs="宋体" w:eastAsia="宋体" w:hint="default"/>
                <w:sz w:val="20"/>
                <w:szCs w:val="20"/>
              </w:rPr>
              <w:t>02</w:t>
            </w:r>
            <w:r>
              <w:rPr>
                <w:rFonts w:ascii="宋体" w:hAnsi="宋体" w:cs="宋体" w:eastAsia="宋体" w:hint="default"/>
                <w:spacing w:val="-49"/>
                <w:sz w:val="20"/>
                <w:szCs w:val="20"/>
              </w:rPr>
              <w:t> </w:t>
            </w:r>
            <w:r>
              <w:rPr>
                <w:rFonts w:ascii="宋体" w:hAnsi="宋体" w:cs="宋体" w:eastAsia="宋体" w:hint="default"/>
                <w:sz w:val="20"/>
                <w:szCs w:val="20"/>
              </w:rPr>
              <w:t>日</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0"/>
                <w:szCs w:val="20"/>
              </w:rPr>
            </w:pPr>
            <w:r>
              <w:rPr>
                <w:rFonts w:ascii="宋体" w:hAnsi="宋体" w:cs="宋体" w:eastAsia="宋体" w:hint="default"/>
                <w:sz w:val="20"/>
                <w:szCs w:val="20"/>
              </w:rPr>
              <w:t>劲嘉科技</w:t>
            </w:r>
          </w:p>
        </w:tc>
      </w:tr>
    </w:tbl>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5"/>
          <w:szCs w:val="15"/>
        </w:rPr>
      </w:pPr>
    </w:p>
    <w:p>
      <w:pPr>
        <w:pStyle w:val="BodyText"/>
        <w:spacing w:line="240" w:lineRule="auto"/>
        <w:ind w:left="214" w:right="1032"/>
        <w:jc w:val="left"/>
      </w:pPr>
      <w:r>
        <w:rPr/>
        <w:t>（</w:t>
      </w:r>
      <w:r>
        <w:rPr>
          <w:rFonts w:ascii="Times New Roman" w:hAnsi="Times New Roman" w:cs="Times New Roman" w:eastAsia="Times New Roman" w:hint="default"/>
        </w:rPr>
        <w:t>2</w:t>
      </w:r>
      <w:r>
        <w:rPr/>
        <w:t>）报告期内获得的专利</w:t>
      </w:r>
    </w:p>
    <w:p>
      <w:pPr>
        <w:spacing w:line="240" w:lineRule="auto" w:before="12"/>
        <w:rPr>
          <w:rFonts w:ascii="宋体" w:hAnsi="宋体" w:cs="宋体" w:eastAsia="宋体" w:hint="default"/>
          <w:sz w:val="6"/>
          <w:szCs w:val="6"/>
        </w:rPr>
      </w:pPr>
    </w:p>
    <w:tbl>
      <w:tblPr>
        <w:tblW w:w="0" w:type="auto"/>
        <w:jc w:val="left"/>
        <w:tblInd w:w="101" w:type="dxa"/>
        <w:tblLayout w:type="fixed"/>
        <w:tblCellMar>
          <w:top w:w="0" w:type="dxa"/>
          <w:left w:w="0" w:type="dxa"/>
          <w:bottom w:w="0" w:type="dxa"/>
          <w:right w:w="0" w:type="dxa"/>
        </w:tblCellMar>
        <w:tblLook w:val="01E0"/>
      </w:tblPr>
      <w:tblGrid>
        <w:gridCol w:w="526"/>
        <w:gridCol w:w="3410"/>
        <w:gridCol w:w="1135"/>
        <w:gridCol w:w="1984"/>
        <w:gridCol w:w="1044"/>
        <w:gridCol w:w="1757"/>
      </w:tblGrid>
      <w:tr>
        <w:trPr>
          <w:trHeight w:val="640" w:hRule="exact"/>
        </w:trPr>
        <w:tc>
          <w:tcPr>
            <w:tcW w:w="52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85" w:lineRule="auto"/>
              <w:ind w:left="157" w:right="156"/>
              <w:jc w:val="left"/>
              <w:rPr>
                <w:rFonts w:ascii="宋体" w:hAnsi="宋体" w:cs="宋体" w:eastAsia="宋体" w:hint="default"/>
                <w:sz w:val="20"/>
                <w:szCs w:val="20"/>
              </w:rPr>
            </w:pPr>
            <w:r>
              <w:rPr>
                <w:rFonts w:ascii="宋体" w:hAnsi="宋体" w:cs="宋体" w:eastAsia="宋体" w:hint="default"/>
                <w:sz w:val="20"/>
                <w:szCs w:val="20"/>
              </w:rPr>
              <w:t>序</w:t>
            </w:r>
            <w:r>
              <w:rPr>
                <w:rFonts w:ascii="宋体" w:hAnsi="宋体" w:cs="宋体" w:eastAsia="宋体" w:hint="default"/>
                <w:w w:val="100"/>
                <w:sz w:val="20"/>
                <w:szCs w:val="20"/>
              </w:rPr>
              <w:t> </w:t>
            </w:r>
            <w:r>
              <w:rPr>
                <w:rFonts w:ascii="宋体" w:hAnsi="宋体" w:cs="宋体" w:eastAsia="宋体" w:hint="default"/>
                <w:sz w:val="20"/>
                <w:szCs w:val="20"/>
              </w:rPr>
              <w:t>号</w:t>
            </w:r>
          </w:p>
        </w:tc>
        <w:tc>
          <w:tcPr>
            <w:tcW w:w="341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54"/>
              <w:ind w:left="1" w:right="0"/>
              <w:jc w:val="center"/>
              <w:rPr>
                <w:rFonts w:ascii="宋体" w:hAnsi="宋体" w:cs="宋体" w:eastAsia="宋体" w:hint="default"/>
                <w:sz w:val="20"/>
                <w:szCs w:val="20"/>
              </w:rPr>
            </w:pPr>
            <w:r>
              <w:rPr>
                <w:rFonts w:ascii="宋体" w:hAnsi="宋体" w:cs="宋体" w:eastAsia="宋体" w:hint="default"/>
                <w:sz w:val="20"/>
                <w:szCs w:val="20"/>
              </w:rPr>
              <w:t>专利名称</w:t>
            </w:r>
          </w:p>
        </w:tc>
        <w:tc>
          <w:tcPr>
            <w:tcW w:w="113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54"/>
              <w:ind w:right="0"/>
              <w:jc w:val="center"/>
              <w:rPr>
                <w:rFonts w:ascii="宋体" w:hAnsi="宋体" w:cs="宋体" w:eastAsia="宋体" w:hint="default"/>
                <w:sz w:val="20"/>
                <w:szCs w:val="20"/>
              </w:rPr>
            </w:pPr>
            <w:r>
              <w:rPr>
                <w:rFonts w:ascii="宋体" w:hAnsi="宋体" w:cs="宋体" w:eastAsia="宋体" w:hint="default"/>
                <w:sz w:val="20"/>
                <w:szCs w:val="20"/>
              </w:rPr>
              <w:t>专利类型</w:t>
            </w:r>
          </w:p>
        </w:tc>
        <w:tc>
          <w:tcPr>
            <w:tcW w:w="198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54"/>
              <w:ind w:right="0"/>
              <w:jc w:val="center"/>
              <w:rPr>
                <w:rFonts w:ascii="宋体" w:hAnsi="宋体" w:cs="宋体" w:eastAsia="宋体" w:hint="default"/>
                <w:sz w:val="20"/>
                <w:szCs w:val="20"/>
              </w:rPr>
            </w:pPr>
            <w:r>
              <w:rPr>
                <w:rFonts w:ascii="宋体" w:hAnsi="宋体" w:cs="宋体" w:eastAsia="宋体" w:hint="default"/>
                <w:sz w:val="20"/>
                <w:szCs w:val="20"/>
              </w:rPr>
              <w:t>专利号</w:t>
            </w:r>
          </w:p>
        </w:tc>
        <w:tc>
          <w:tcPr>
            <w:tcW w:w="104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54"/>
              <w:ind w:right="0"/>
              <w:jc w:val="center"/>
              <w:rPr>
                <w:rFonts w:ascii="宋体" w:hAnsi="宋体" w:cs="宋体" w:eastAsia="宋体" w:hint="default"/>
                <w:sz w:val="20"/>
                <w:szCs w:val="20"/>
              </w:rPr>
            </w:pPr>
            <w:r>
              <w:rPr>
                <w:rFonts w:ascii="宋体" w:hAnsi="宋体" w:cs="宋体" w:eastAsia="宋体" w:hint="default"/>
                <w:sz w:val="20"/>
                <w:szCs w:val="20"/>
              </w:rPr>
              <w:t>专利效期</w:t>
            </w:r>
          </w:p>
        </w:tc>
        <w:tc>
          <w:tcPr>
            <w:tcW w:w="175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54"/>
              <w:ind w:left="472" w:right="0"/>
              <w:jc w:val="left"/>
              <w:rPr>
                <w:rFonts w:ascii="宋体" w:hAnsi="宋体" w:cs="宋体" w:eastAsia="宋体" w:hint="default"/>
                <w:sz w:val="20"/>
                <w:szCs w:val="20"/>
              </w:rPr>
            </w:pPr>
            <w:r>
              <w:rPr>
                <w:rFonts w:ascii="宋体" w:hAnsi="宋体" w:cs="宋体" w:eastAsia="宋体" w:hint="default"/>
                <w:sz w:val="20"/>
                <w:szCs w:val="20"/>
              </w:rPr>
              <w:t>专利权人</w:t>
            </w:r>
          </w:p>
        </w:tc>
      </w:tr>
      <w:tr>
        <w:trPr>
          <w:trHeight w:val="385" w:hRule="exact"/>
        </w:trPr>
        <w:tc>
          <w:tcPr>
            <w:tcW w:w="526"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0"/>
              <w:jc w:val="center"/>
              <w:rPr>
                <w:rFonts w:ascii="宋体" w:hAnsi="宋体" w:cs="宋体" w:eastAsia="宋体" w:hint="default"/>
                <w:sz w:val="20"/>
                <w:szCs w:val="20"/>
              </w:rPr>
            </w:pPr>
            <w:r>
              <w:rPr>
                <w:rFonts w:ascii="宋体"/>
                <w:w w:val="100"/>
                <w:sz w:val="20"/>
              </w:rPr>
              <w:t>1</w:t>
            </w:r>
          </w:p>
        </w:tc>
        <w:tc>
          <w:tcPr>
            <w:tcW w:w="3410"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0"/>
                <w:szCs w:val="20"/>
              </w:rPr>
            </w:pPr>
            <w:r>
              <w:rPr>
                <w:rFonts w:ascii="宋体" w:hAnsi="宋体" w:cs="宋体" w:eastAsia="宋体" w:hint="default"/>
                <w:sz w:val="20"/>
                <w:szCs w:val="20"/>
              </w:rPr>
              <w:t>一种防钢垫块脱落模切版</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0"/>
              <w:jc w:val="center"/>
              <w:rPr>
                <w:rFonts w:ascii="宋体" w:hAnsi="宋体" w:cs="宋体" w:eastAsia="宋体" w:hint="default"/>
                <w:sz w:val="20"/>
                <w:szCs w:val="20"/>
              </w:rPr>
            </w:pPr>
            <w:r>
              <w:rPr>
                <w:rFonts w:ascii="宋体" w:hAnsi="宋体" w:cs="宋体" w:eastAsia="宋体" w:hint="default"/>
                <w:sz w:val="20"/>
                <w:szCs w:val="20"/>
              </w:rPr>
              <w:t>发明</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 w:right="0"/>
              <w:jc w:val="center"/>
              <w:rPr>
                <w:rFonts w:ascii="宋体" w:hAnsi="宋体" w:cs="宋体" w:eastAsia="宋体" w:hint="default"/>
                <w:sz w:val="20"/>
                <w:szCs w:val="20"/>
              </w:rPr>
            </w:pPr>
            <w:r>
              <w:rPr>
                <w:rFonts w:ascii="宋体"/>
                <w:sz w:val="20"/>
              </w:rPr>
              <w:t>ZL201610418192.7</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0"/>
              <w:jc w:val="center"/>
              <w:rPr>
                <w:rFonts w:ascii="宋体" w:hAnsi="宋体" w:cs="宋体" w:eastAsia="宋体" w:hint="default"/>
                <w:sz w:val="20"/>
                <w:szCs w:val="20"/>
              </w:rPr>
            </w:pPr>
            <w:r>
              <w:rPr>
                <w:rFonts w:ascii="宋体" w:hAnsi="宋体" w:cs="宋体" w:eastAsia="宋体" w:hint="default"/>
                <w:sz w:val="20"/>
                <w:szCs w:val="20"/>
              </w:rPr>
              <w:t>20</w:t>
            </w:r>
            <w:r>
              <w:rPr>
                <w:rFonts w:ascii="宋体" w:hAnsi="宋体" w:cs="宋体" w:eastAsia="宋体" w:hint="default"/>
                <w:spacing w:val="-50"/>
                <w:sz w:val="20"/>
                <w:szCs w:val="20"/>
              </w:rPr>
              <w:t> </w:t>
            </w:r>
            <w:r>
              <w:rPr>
                <w:rFonts w:ascii="宋体" w:hAnsi="宋体" w:cs="宋体" w:eastAsia="宋体" w:hint="default"/>
                <w:sz w:val="20"/>
                <w:szCs w:val="20"/>
              </w:rPr>
              <w:t>年</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0"/>
                <w:szCs w:val="20"/>
              </w:rPr>
            </w:pPr>
            <w:r>
              <w:rPr>
                <w:rFonts w:ascii="宋体" w:hAnsi="宋体" w:cs="宋体" w:eastAsia="宋体" w:hint="default"/>
                <w:sz w:val="20"/>
                <w:szCs w:val="20"/>
              </w:rPr>
              <w:t>安徽安泰</w:t>
            </w:r>
          </w:p>
        </w:tc>
      </w:tr>
      <w:tr>
        <w:trPr>
          <w:trHeight w:val="634" w:hRule="exact"/>
        </w:trPr>
        <w:tc>
          <w:tcPr>
            <w:tcW w:w="52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0"/>
              <w:jc w:val="center"/>
              <w:rPr>
                <w:rFonts w:ascii="宋体" w:hAnsi="宋体" w:cs="宋体" w:eastAsia="宋体" w:hint="default"/>
                <w:sz w:val="20"/>
                <w:szCs w:val="20"/>
              </w:rPr>
            </w:pPr>
            <w:r>
              <w:rPr>
                <w:rFonts w:ascii="宋体"/>
                <w:w w:val="100"/>
                <w:sz w:val="20"/>
              </w:rPr>
              <w:t>2</w:t>
            </w:r>
          </w:p>
        </w:tc>
        <w:tc>
          <w:tcPr>
            <w:tcW w:w="3410"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293"/>
              <w:jc w:val="left"/>
              <w:rPr>
                <w:rFonts w:ascii="宋体" w:hAnsi="宋体" w:cs="宋体" w:eastAsia="宋体" w:hint="default"/>
                <w:sz w:val="20"/>
                <w:szCs w:val="20"/>
              </w:rPr>
            </w:pPr>
            <w:r>
              <w:rPr>
                <w:rFonts w:ascii="宋体" w:hAnsi="宋体" w:cs="宋体" w:eastAsia="宋体" w:hint="default"/>
                <w:sz w:val="20"/>
                <w:szCs w:val="20"/>
              </w:rPr>
              <w:t>一种激光镂空雕刻模切清废设备和</w:t>
            </w:r>
            <w:r>
              <w:rPr>
                <w:rFonts w:ascii="宋体" w:hAnsi="宋体" w:cs="宋体" w:eastAsia="宋体" w:hint="default"/>
                <w:w w:val="100"/>
                <w:sz w:val="20"/>
                <w:szCs w:val="20"/>
              </w:rPr>
              <w:t> </w:t>
            </w:r>
            <w:r>
              <w:rPr>
                <w:rFonts w:ascii="宋体" w:hAnsi="宋体" w:cs="宋体" w:eastAsia="宋体" w:hint="default"/>
                <w:sz w:val="20"/>
                <w:szCs w:val="20"/>
              </w:rPr>
              <w:t>模切清废方法</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0"/>
              <w:jc w:val="center"/>
              <w:rPr>
                <w:rFonts w:ascii="宋体" w:hAnsi="宋体" w:cs="宋体" w:eastAsia="宋体" w:hint="default"/>
                <w:sz w:val="20"/>
                <w:szCs w:val="20"/>
              </w:rPr>
            </w:pPr>
            <w:r>
              <w:rPr>
                <w:rFonts w:ascii="宋体" w:hAnsi="宋体" w:cs="宋体" w:eastAsia="宋体" w:hint="default"/>
                <w:sz w:val="20"/>
                <w:szCs w:val="20"/>
              </w:rPr>
              <w:t>发明</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 w:right="0"/>
              <w:jc w:val="center"/>
              <w:rPr>
                <w:rFonts w:ascii="宋体" w:hAnsi="宋体" w:cs="宋体" w:eastAsia="宋体" w:hint="default"/>
                <w:sz w:val="20"/>
                <w:szCs w:val="20"/>
              </w:rPr>
            </w:pPr>
            <w:r>
              <w:rPr>
                <w:rFonts w:ascii="宋体"/>
                <w:sz w:val="20"/>
              </w:rPr>
              <w:t>ZL201610857905.X</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0"/>
              <w:jc w:val="center"/>
              <w:rPr>
                <w:rFonts w:ascii="宋体" w:hAnsi="宋体" w:cs="宋体" w:eastAsia="宋体" w:hint="default"/>
                <w:sz w:val="20"/>
                <w:szCs w:val="20"/>
              </w:rPr>
            </w:pPr>
            <w:r>
              <w:rPr>
                <w:rFonts w:ascii="宋体" w:hAnsi="宋体" w:cs="宋体" w:eastAsia="宋体" w:hint="default"/>
                <w:sz w:val="20"/>
                <w:szCs w:val="20"/>
              </w:rPr>
              <w:t>20</w:t>
            </w:r>
            <w:r>
              <w:rPr>
                <w:rFonts w:ascii="宋体" w:hAnsi="宋体" w:cs="宋体" w:eastAsia="宋体" w:hint="default"/>
                <w:spacing w:val="-50"/>
                <w:sz w:val="20"/>
                <w:szCs w:val="20"/>
              </w:rPr>
              <w:t> </w:t>
            </w:r>
            <w:r>
              <w:rPr>
                <w:rFonts w:ascii="宋体" w:hAnsi="宋体" w:cs="宋体" w:eastAsia="宋体" w:hint="default"/>
                <w:sz w:val="20"/>
                <w:szCs w:val="20"/>
              </w:rPr>
              <w:t>年</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pacing w:val="-8"/>
                <w:sz w:val="20"/>
                <w:szCs w:val="20"/>
              </w:rPr>
              <w:t>本公司、北京弘浩</w:t>
            </w:r>
          </w:p>
        </w:tc>
      </w:tr>
      <w:tr>
        <w:trPr>
          <w:trHeight w:val="635" w:hRule="exact"/>
        </w:trPr>
        <w:tc>
          <w:tcPr>
            <w:tcW w:w="526"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0"/>
              <w:jc w:val="center"/>
              <w:rPr>
                <w:rFonts w:ascii="宋体" w:hAnsi="宋体" w:cs="宋体" w:eastAsia="宋体" w:hint="default"/>
                <w:sz w:val="20"/>
                <w:szCs w:val="20"/>
              </w:rPr>
            </w:pPr>
            <w:r>
              <w:rPr>
                <w:rFonts w:ascii="宋体"/>
                <w:w w:val="100"/>
                <w:sz w:val="20"/>
              </w:rPr>
              <w:t>3</w:t>
            </w:r>
          </w:p>
        </w:tc>
        <w:tc>
          <w:tcPr>
            <w:tcW w:w="3410"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293"/>
              <w:jc w:val="left"/>
              <w:rPr>
                <w:rFonts w:ascii="宋体" w:hAnsi="宋体" w:cs="宋体" w:eastAsia="宋体" w:hint="default"/>
                <w:sz w:val="20"/>
                <w:szCs w:val="20"/>
              </w:rPr>
            </w:pPr>
            <w:r>
              <w:rPr>
                <w:rFonts w:ascii="宋体" w:hAnsi="宋体" w:cs="宋体" w:eastAsia="宋体" w:hint="default"/>
                <w:sz w:val="20"/>
                <w:szCs w:val="20"/>
              </w:rPr>
              <w:t>一种用于印后烫金的凹凸快速装版</w:t>
            </w:r>
            <w:r>
              <w:rPr>
                <w:rFonts w:ascii="宋体" w:hAnsi="宋体" w:cs="宋体" w:eastAsia="宋体" w:hint="default"/>
                <w:w w:val="100"/>
                <w:sz w:val="20"/>
                <w:szCs w:val="20"/>
              </w:rPr>
              <w:t> </w:t>
            </w:r>
            <w:r>
              <w:rPr>
                <w:rFonts w:ascii="宋体" w:hAnsi="宋体" w:cs="宋体" w:eastAsia="宋体" w:hint="default"/>
                <w:sz w:val="20"/>
                <w:szCs w:val="20"/>
              </w:rPr>
              <w:t>系统及方法</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0"/>
              <w:jc w:val="center"/>
              <w:rPr>
                <w:rFonts w:ascii="宋体" w:hAnsi="宋体" w:cs="宋体" w:eastAsia="宋体" w:hint="default"/>
                <w:sz w:val="20"/>
                <w:szCs w:val="20"/>
              </w:rPr>
            </w:pPr>
            <w:r>
              <w:rPr>
                <w:rFonts w:ascii="宋体" w:hAnsi="宋体" w:cs="宋体" w:eastAsia="宋体" w:hint="default"/>
                <w:sz w:val="20"/>
                <w:szCs w:val="20"/>
              </w:rPr>
              <w:t>发明</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 w:right="0"/>
              <w:jc w:val="center"/>
              <w:rPr>
                <w:rFonts w:ascii="宋体" w:hAnsi="宋体" w:cs="宋体" w:eastAsia="宋体" w:hint="default"/>
                <w:sz w:val="20"/>
                <w:szCs w:val="20"/>
              </w:rPr>
            </w:pPr>
            <w:r>
              <w:rPr>
                <w:rFonts w:ascii="宋体"/>
                <w:sz w:val="20"/>
              </w:rPr>
              <w:t>ZL201610406241.5</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0"/>
              <w:jc w:val="center"/>
              <w:rPr>
                <w:rFonts w:ascii="宋体" w:hAnsi="宋体" w:cs="宋体" w:eastAsia="宋体" w:hint="default"/>
                <w:sz w:val="20"/>
                <w:szCs w:val="20"/>
              </w:rPr>
            </w:pPr>
            <w:r>
              <w:rPr>
                <w:rFonts w:ascii="宋体" w:hAnsi="宋体" w:cs="宋体" w:eastAsia="宋体" w:hint="default"/>
                <w:sz w:val="20"/>
                <w:szCs w:val="20"/>
              </w:rPr>
              <w:t>20</w:t>
            </w:r>
            <w:r>
              <w:rPr>
                <w:rFonts w:ascii="宋体" w:hAnsi="宋体" w:cs="宋体" w:eastAsia="宋体" w:hint="default"/>
                <w:spacing w:val="-50"/>
                <w:sz w:val="20"/>
                <w:szCs w:val="20"/>
              </w:rPr>
              <w:t> </w:t>
            </w:r>
            <w:r>
              <w:rPr>
                <w:rFonts w:ascii="宋体" w:hAnsi="宋体" w:cs="宋体" w:eastAsia="宋体" w:hint="default"/>
                <w:sz w:val="20"/>
                <w:szCs w:val="20"/>
              </w:rPr>
              <w:t>年</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0"/>
                <w:szCs w:val="20"/>
              </w:rPr>
            </w:pPr>
            <w:r>
              <w:rPr>
                <w:rFonts w:ascii="宋体" w:hAnsi="宋体" w:cs="宋体" w:eastAsia="宋体" w:hint="default"/>
                <w:sz w:val="20"/>
                <w:szCs w:val="20"/>
              </w:rPr>
              <w:t>贵州劲嘉</w:t>
            </w:r>
          </w:p>
        </w:tc>
      </w:tr>
      <w:tr>
        <w:trPr>
          <w:trHeight w:val="385" w:hRule="exact"/>
        </w:trPr>
        <w:tc>
          <w:tcPr>
            <w:tcW w:w="52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0"/>
              <w:jc w:val="center"/>
              <w:rPr>
                <w:rFonts w:ascii="宋体" w:hAnsi="宋体" w:cs="宋体" w:eastAsia="宋体" w:hint="default"/>
                <w:sz w:val="20"/>
                <w:szCs w:val="20"/>
              </w:rPr>
            </w:pPr>
            <w:r>
              <w:rPr>
                <w:rFonts w:ascii="宋体"/>
                <w:w w:val="100"/>
                <w:sz w:val="20"/>
              </w:rPr>
              <w:t>4</w:t>
            </w:r>
          </w:p>
        </w:tc>
        <w:tc>
          <w:tcPr>
            <w:tcW w:w="341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一种</w:t>
            </w:r>
            <w:r>
              <w:rPr>
                <w:rFonts w:ascii="宋体" w:hAnsi="宋体" w:cs="宋体" w:eastAsia="宋体" w:hint="default"/>
                <w:spacing w:val="-52"/>
                <w:sz w:val="20"/>
                <w:szCs w:val="20"/>
              </w:rPr>
              <w:t> </w:t>
            </w:r>
            <w:r>
              <w:rPr>
                <w:rFonts w:ascii="宋体" w:hAnsi="宋体" w:cs="宋体" w:eastAsia="宋体" w:hint="default"/>
                <w:sz w:val="20"/>
                <w:szCs w:val="20"/>
              </w:rPr>
              <w:t>PET</w:t>
            </w:r>
            <w:r>
              <w:rPr>
                <w:rFonts w:ascii="宋体" w:hAnsi="宋体" w:cs="宋体" w:eastAsia="宋体" w:hint="default"/>
                <w:spacing w:val="-52"/>
                <w:sz w:val="20"/>
                <w:szCs w:val="20"/>
              </w:rPr>
              <w:t> </w:t>
            </w:r>
            <w:r>
              <w:rPr>
                <w:rFonts w:ascii="宋体" w:hAnsi="宋体" w:cs="宋体" w:eastAsia="宋体" w:hint="default"/>
                <w:sz w:val="20"/>
                <w:szCs w:val="20"/>
              </w:rPr>
              <w:t>转移膜循环利用工艺</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0"/>
              <w:jc w:val="center"/>
              <w:rPr>
                <w:rFonts w:ascii="宋体" w:hAnsi="宋体" w:cs="宋体" w:eastAsia="宋体" w:hint="default"/>
                <w:sz w:val="20"/>
                <w:szCs w:val="20"/>
              </w:rPr>
            </w:pPr>
            <w:r>
              <w:rPr>
                <w:rFonts w:ascii="宋体" w:hAnsi="宋体" w:cs="宋体" w:eastAsia="宋体" w:hint="default"/>
                <w:sz w:val="20"/>
                <w:szCs w:val="20"/>
              </w:rPr>
              <w:t>发明</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 w:right="0"/>
              <w:jc w:val="center"/>
              <w:rPr>
                <w:rFonts w:ascii="宋体" w:hAnsi="宋体" w:cs="宋体" w:eastAsia="宋体" w:hint="default"/>
                <w:sz w:val="20"/>
                <w:szCs w:val="20"/>
              </w:rPr>
            </w:pPr>
            <w:r>
              <w:rPr>
                <w:rFonts w:ascii="宋体"/>
                <w:sz w:val="20"/>
              </w:rPr>
              <w:t>ZL201610406245.3</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0"/>
              <w:jc w:val="center"/>
              <w:rPr>
                <w:rFonts w:ascii="宋体" w:hAnsi="宋体" w:cs="宋体" w:eastAsia="宋体" w:hint="default"/>
                <w:sz w:val="20"/>
                <w:szCs w:val="20"/>
              </w:rPr>
            </w:pPr>
            <w:r>
              <w:rPr>
                <w:rFonts w:ascii="宋体" w:hAnsi="宋体" w:cs="宋体" w:eastAsia="宋体" w:hint="default"/>
                <w:sz w:val="20"/>
                <w:szCs w:val="20"/>
              </w:rPr>
              <w:t>20</w:t>
            </w:r>
            <w:r>
              <w:rPr>
                <w:rFonts w:ascii="宋体" w:hAnsi="宋体" w:cs="宋体" w:eastAsia="宋体" w:hint="default"/>
                <w:spacing w:val="-50"/>
                <w:sz w:val="20"/>
                <w:szCs w:val="20"/>
              </w:rPr>
              <w:t> </w:t>
            </w:r>
            <w:r>
              <w:rPr>
                <w:rFonts w:ascii="宋体" w:hAnsi="宋体" w:cs="宋体" w:eastAsia="宋体" w:hint="default"/>
                <w:sz w:val="20"/>
                <w:szCs w:val="20"/>
              </w:rPr>
              <w:t>年</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贵州劲嘉</w:t>
            </w:r>
          </w:p>
        </w:tc>
      </w:tr>
      <w:tr>
        <w:trPr>
          <w:trHeight w:val="634" w:hRule="exact"/>
        </w:trPr>
        <w:tc>
          <w:tcPr>
            <w:tcW w:w="52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0"/>
              <w:jc w:val="center"/>
              <w:rPr>
                <w:rFonts w:ascii="宋体" w:hAnsi="宋体" w:cs="宋体" w:eastAsia="宋体" w:hint="default"/>
                <w:sz w:val="20"/>
                <w:szCs w:val="20"/>
              </w:rPr>
            </w:pPr>
            <w:r>
              <w:rPr>
                <w:rFonts w:ascii="宋体"/>
                <w:w w:val="100"/>
                <w:sz w:val="20"/>
              </w:rPr>
              <w:t>5</w:t>
            </w:r>
          </w:p>
        </w:tc>
        <w:tc>
          <w:tcPr>
            <w:tcW w:w="3410"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194"/>
              <w:jc w:val="left"/>
              <w:rPr>
                <w:rFonts w:ascii="宋体" w:hAnsi="宋体" w:cs="宋体" w:eastAsia="宋体" w:hint="default"/>
                <w:sz w:val="20"/>
                <w:szCs w:val="20"/>
              </w:rPr>
            </w:pPr>
            <w:r>
              <w:rPr>
                <w:rFonts w:ascii="宋体" w:hAnsi="宋体" w:cs="宋体" w:eastAsia="宋体" w:hint="default"/>
                <w:sz w:val="20"/>
                <w:szCs w:val="20"/>
              </w:rPr>
              <w:t>一种无芯片</w:t>
            </w:r>
            <w:r>
              <w:rPr>
                <w:rFonts w:ascii="宋体" w:hAnsi="宋体" w:cs="宋体" w:eastAsia="宋体" w:hint="default"/>
                <w:spacing w:val="-51"/>
                <w:sz w:val="20"/>
                <w:szCs w:val="20"/>
              </w:rPr>
              <w:t> </w:t>
            </w:r>
            <w:r>
              <w:rPr>
                <w:rFonts w:ascii="宋体" w:hAnsi="宋体" w:cs="宋体" w:eastAsia="宋体" w:hint="default"/>
                <w:sz w:val="20"/>
                <w:szCs w:val="20"/>
              </w:rPr>
              <w:t>RFID</w:t>
            </w:r>
            <w:r>
              <w:rPr>
                <w:rFonts w:ascii="宋体" w:hAnsi="宋体" w:cs="宋体" w:eastAsia="宋体" w:hint="default"/>
                <w:spacing w:val="-51"/>
                <w:sz w:val="20"/>
                <w:szCs w:val="20"/>
              </w:rPr>
              <w:t> </w:t>
            </w:r>
            <w:r>
              <w:rPr>
                <w:rFonts w:ascii="宋体" w:hAnsi="宋体" w:cs="宋体" w:eastAsia="宋体" w:hint="default"/>
                <w:sz w:val="20"/>
                <w:szCs w:val="20"/>
              </w:rPr>
              <w:t>电子标签的印刷系</w:t>
            </w:r>
            <w:r>
              <w:rPr>
                <w:rFonts w:ascii="宋体" w:hAnsi="宋体" w:cs="宋体" w:eastAsia="宋体" w:hint="default"/>
                <w:w w:val="100"/>
                <w:sz w:val="20"/>
                <w:szCs w:val="20"/>
              </w:rPr>
              <w:t> </w:t>
            </w:r>
            <w:r>
              <w:rPr>
                <w:rFonts w:ascii="宋体" w:hAnsi="宋体" w:cs="宋体" w:eastAsia="宋体" w:hint="default"/>
                <w:sz w:val="20"/>
                <w:szCs w:val="20"/>
              </w:rPr>
              <w:t>统及印刷方法</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0"/>
              <w:jc w:val="center"/>
              <w:rPr>
                <w:rFonts w:ascii="宋体" w:hAnsi="宋体" w:cs="宋体" w:eastAsia="宋体" w:hint="default"/>
                <w:sz w:val="20"/>
                <w:szCs w:val="20"/>
              </w:rPr>
            </w:pPr>
            <w:r>
              <w:rPr>
                <w:rFonts w:ascii="宋体" w:hAnsi="宋体" w:cs="宋体" w:eastAsia="宋体" w:hint="default"/>
                <w:sz w:val="20"/>
                <w:szCs w:val="20"/>
              </w:rPr>
              <w:t>发明</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 w:right="0"/>
              <w:jc w:val="center"/>
              <w:rPr>
                <w:rFonts w:ascii="宋体" w:hAnsi="宋体" w:cs="宋体" w:eastAsia="宋体" w:hint="default"/>
                <w:sz w:val="20"/>
                <w:szCs w:val="20"/>
              </w:rPr>
            </w:pPr>
            <w:r>
              <w:rPr>
                <w:rFonts w:ascii="宋体"/>
                <w:sz w:val="20"/>
              </w:rPr>
              <w:t>ZL201710138069.4</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0"/>
              <w:jc w:val="center"/>
              <w:rPr>
                <w:rFonts w:ascii="宋体" w:hAnsi="宋体" w:cs="宋体" w:eastAsia="宋体" w:hint="default"/>
                <w:sz w:val="20"/>
                <w:szCs w:val="20"/>
              </w:rPr>
            </w:pPr>
            <w:r>
              <w:rPr>
                <w:rFonts w:ascii="宋体" w:hAnsi="宋体" w:cs="宋体" w:eastAsia="宋体" w:hint="default"/>
                <w:sz w:val="20"/>
                <w:szCs w:val="20"/>
              </w:rPr>
              <w:t>20</w:t>
            </w:r>
            <w:r>
              <w:rPr>
                <w:rFonts w:ascii="宋体" w:hAnsi="宋体" w:cs="宋体" w:eastAsia="宋体" w:hint="default"/>
                <w:spacing w:val="-50"/>
                <w:sz w:val="20"/>
                <w:szCs w:val="20"/>
              </w:rPr>
              <w:t> </w:t>
            </w:r>
            <w:r>
              <w:rPr>
                <w:rFonts w:ascii="宋体" w:hAnsi="宋体" w:cs="宋体" w:eastAsia="宋体" w:hint="default"/>
                <w:sz w:val="20"/>
                <w:szCs w:val="20"/>
              </w:rPr>
              <w:t>年</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贵州劲嘉</w:t>
            </w:r>
          </w:p>
        </w:tc>
      </w:tr>
      <w:tr>
        <w:trPr>
          <w:trHeight w:val="634" w:hRule="exact"/>
        </w:trPr>
        <w:tc>
          <w:tcPr>
            <w:tcW w:w="52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0"/>
              <w:jc w:val="center"/>
              <w:rPr>
                <w:rFonts w:ascii="宋体" w:hAnsi="宋体" w:cs="宋体" w:eastAsia="宋体" w:hint="default"/>
                <w:sz w:val="20"/>
                <w:szCs w:val="20"/>
              </w:rPr>
            </w:pPr>
            <w:r>
              <w:rPr>
                <w:rFonts w:ascii="宋体"/>
                <w:w w:val="100"/>
                <w:sz w:val="20"/>
              </w:rPr>
              <w:t>6</w:t>
            </w:r>
          </w:p>
        </w:tc>
        <w:tc>
          <w:tcPr>
            <w:tcW w:w="3410"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293"/>
              <w:jc w:val="left"/>
              <w:rPr>
                <w:rFonts w:ascii="宋体" w:hAnsi="宋体" w:cs="宋体" w:eastAsia="宋体" w:hint="default"/>
                <w:sz w:val="20"/>
                <w:szCs w:val="20"/>
              </w:rPr>
            </w:pPr>
            <w:r>
              <w:rPr>
                <w:rFonts w:ascii="宋体" w:hAnsi="宋体" w:cs="宋体" w:eastAsia="宋体" w:hint="default"/>
                <w:sz w:val="20"/>
                <w:szCs w:val="20"/>
              </w:rPr>
              <w:t>一种用于多瓶体整体密封的模具及</w:t>
            </w:r>
            <w:r>
              <w:rPr>
                <w:rFonts w:ascii="宋体" w:hAnsi="宋体" w:cs="宋体" w:eastAsia="宋体" w:hint="default"/>
                <w:w w:val="100"/>
                <w:sz w:val="20"/>
                <w:szCs w:val="20"/>
              </w:rPr>
              <w:t> </w:t>
            </w:r>
            <w:r>
              <w:rPr>
                <w:rFonts w:ascii="宋体" w:hAnsi="宋体" w:cs="宋体" w:eastAsia="宋体" w:hint="default"/>
                <w:sz w:val="20"/>
                <w:szCs w:val="20"/>
              </w:rPr>
              <w:t>利用其进行封装的方法</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0"/>
              <w:jc w:val="center"/>
              <w:rPr>
                <w:rFonts w:ascii="宋体" w:hAnsi="宋体" w:cs="宋体" w:eastAsia="宋体" w:hint="default"/>
                <w:sz w:val="20"/>
                <w:szCs w:val="20"/>
              </w:rPr>
            </w:pPr>
            <w:r>
              <w:rPr>
                <w:rFonts w:ascii="宋体" w:hAnsi="宋体" w:cs="宋体" w:eastAsia="宋体" w:hint="default"/>
                <w:sz w:val="20"/>
                <w:szCs w:val="20"/>
              </w:rPr>
              <w:t>发明</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 w:right="0"/>
              <w:jc w:val="center"/>
              <w:rPr>
                <w:rFonts w:ascii="宋体" w:hAnsi="宋体" w:cs="宋体" w:eastAsia="宋体" w:hint="default"/>
                <w:sz w:val="20"/>
                <w:szCs w:val="20"/>
              </w:rPr>
            </w:pPr>
            <w:r>
              <w:rPr>
                <w:rFonts w:ascii="宋体"/>
                <w:sz w:val="20"/>
              </w:rPr>
              <w:t>ZL201610108826.9</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0"/>
              <w:jc w:val="center"/>
              <w:rPr>
                <w:rFonts w:ascii="宋体" w:hAnsi="宋体" w:cs="宋体" w:eastAsia="宋体" w:hint="default"/>
                <w:sz w:val="20"/>
                <w:szCs w:val="20"/>
              </w:rPr>
            </w:pPr>
            <w:r>
              <w:rPr>
                <w:rFonts w:ascii="宋体" w:hAnsi="宋体" w:cs="宋体" w:eastAsia="宋体" w:hint="default"/>
                <w:sz w:val="20"/>
                <w:szCs w:val="20"/>
              </w:rPr>
              <w:t>20</w:t>
            </w:r>
            <w:r>
              <w:rPr>
                <w:rFonts w:ascii="宋体" w:hAnsi="宋体" w:cs="宋体" w:eastAsia="宋体" w:hint="default"/>
                <w:spacing w:val="-50"/>
                <w:sz w:val="20"/>
                <w:szCs w:val="20"/>
              </w:rPr>
              <w:t> </w:t>
            </w:r>
            <w:r>
              <w:rPr>
                <w:rFonts w:ascii="宋体" w:hAnsi="宋体" w:cs="宋体" w:eastAsia="宋体" w:hint="default"/>
                <w:sz w:val="20"/>
                <w:szCs w:val="20"/>
              </w:rPr>
              <w:t>年</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贵州劲瑞</w:t>
            </w:r>
          </w:p>
        </w:tc>
      </w:tr>
      <w:tr>
        <w:trPr>
          <w:trHeight w:val="635" w:hRule="exact"/>
        </w:trPr>
        <w:tc>
          <w:tcPr>
            <w:tcW w:w="526"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0"/>
              <w:jc w:val="center"/>
              <w:rPr>
                <w:rFonts w:ascii="宋体" w:hAnsi="宋体" w:cs="宋体" w:eastAsia="宋体" w:hint="default"/>
                <w:sz w:val="20"/>
                <w:szCs w:val="20"/>
              </w:rPr>
            </w:pPr>
            <w:r>
              <w:rPr>
                <w:rFonts w:ascii="宋体"/>
                <w:w w:val="100"/>
                <w:sz w:val="20"/>
              </w:rPr>
              <w:t>7</w:t>
            </w:r>
          </w:p>
        </w:tc>
        <w:tc>
          <w:tcPr>
            <w:tcW w:w="3410"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192"/>
              <w:jc w:val="left"/>
              <w:rPr>
                <w:rFonts w:ascii="宋体" w:hAnsi="宋体" w:cs="宋体" w:eastAsia="宋体" w:hint="default"/>
                <w:sz w:val="20"/>
                <w:szCs w:val="20"/>
              </w:rPr>
            </w:pPr>
            <w:r>
              <w:rPr>
                <w:rFonts w:ascii="宋体" w:hAnsi="宋体" w:cs="宋体" w:eastAsia="宋体" w:hint="default"/>
                <w:sz w:val="20"/>
                <w:szCs w:val="20"/>
              </w:rPr>
              <w:t>一种用于塑</w:t>
            </w:r>
            <w:r>
              <w:rPr>
                <w:rFonts w:ascii="宋体" w:hAnsi="宋体" w:cs="宋体" w:eastAsia="宋体" w:hint="default"/>
                <w:sz w:val="20"/>
                <w:szCs w:val="20"/>
              </w:rPr>
              <w:t>/</w:t>
            </w:r>
            <w:r>
              <w:rPr>
                <w:rFonts w:ascii="宋体" w:hAnsi="宋体" w:cs="宋体" w:eastAsia="宋体" w:hint="default"/>
                <w:sz w:val="20"/>
                <w:szCs w:val="20"/>
              </w:rPr>
              <w:t>塑复合的含磷丙烯酸酯</w:t>
            </w:r>
            <w:r>
              <w:rPr>
                <w:rFonts w:ascii="宋体" w:hAnsi="宋体" w:cs="宋体" w:eastAsia="宋体" w:hint="default"/>
                <w:w w:val="100"/>
                <w:sz w:val="20"/>
                <w:szCs w:val="20"/>
              </w:rPr>
              <w:t> </w:t>
            </w:r>
            <w:r>
              <w:rPr>
                <w:rFonts w:ascii="宋体" w:hAnsi="宋体" w:cs="宋体" w:eastAsia="宋体" w:hint="default"/>
                <w:sz w:val="20"/>
                <w:szCs w:val="20"/>
              </w:rPr>
              <w:t>粘合剂及其制备方法</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0"/>
              <w:jc w:val="center"/>
              <w:rPr>
                <w:rFonts w:ascii="宋体" w:hAnsi="宋体" w:cs="宋体" w:eastAsia="宋体" w:hint="default"/>
                <w:sz w:val="20"/>
                <w:szCs w:val="20"/>
              </w:rPr>
            </w:pPr>
            <w:r>
              <w:rPr>
                <w:rFonts w:ascii="宋体" w:hAnsi="宋体" w:cs="宋体" w:eastAsia="宋体" w:hint="default"/>
                <w:sz w:val="20"/>
                <w:szCs w:val="20"/>
              </w:rPr>
              <w:t>发明</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 w:right="0"/>
              <w:jc w:val="center"/>
              <w:rPr>
                <w:rFonts w:ascii="宋体" w:hAnsi="宋体" w:cs="宋体" w:eastAsia="宋体" w:hint="default"/>
                <w:sz w:val="20"/>
                <w:szCs w:val="20"/>
              </w:rPr>
            </w:pPr>
            <w:r>
              <w:rPr>
                <w:rFonts w:ascii="宋体"/>
                <w:sz w:val="20"/>
              </w:rPr>
              <w:t>ZL201510173674.6</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0"/>
              <w:jc w:val="center"/>
              <w:rPr>
                <w:rFonts w:ascii="宋体" w:hAnsi="宋体" w:cs="宋体" w:eastAsia="宋体" w:hint="default"/>
                <w:sz w:val="20"/>
                <w:szCs w:val="20"/>
              </w:rPr>
            </w:pPr>
            <w:r>
              <w:rPr>
                <w:rFonts w:ascii="宋体" w:hAnsi="宋体" w:cs="宋体" w:eastAsia="宋体" w:hint="default"/>
                <w:sz w:val="20"/>
                <w:szCs w:val="20"/>
              </w:rPr>
              <w:t>20</w:t>
            </w:r>
            <w:r>
              <w:rPr>
                <w:rFonts w:ascii="宋体" w:hAnsi="宋体" w:cs="宋体" w:eastAsia="宋体" w:hint="default"/>
                <w:spacing w:val="-50"/>
                <w:sz w:val="20"/>
                <w:szCs w:val="20"/>
              </w:rPr>
              <w:t> </w:t>
            </w:r>
            <w:r>
              <w:rPr>
                <w:rFonts w:ascii="宋体" w:hAnsi="宋体" w:cs="宋体" w:eastAsia="宋体" w:hint="default"/>
                <w:sz w:val="20"/>
                <w:szCs w:val="20"/>
              </w:rPr>
              <w:t>年</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101"/>
              <w:jc w:val="left"/>
              <w:rPr>
                <w:rFonts w:ascii="宋体" w:hAnsi="宋体" w:cs="宋体" w:eastAsia="宋体" w:hint="default"/>
                <w:sz w:val="20"/>
                <w:szCs w:val="20"/>
              </w:rPr>
            </w:pPr>
            <w:r>
              <w:rPr>
                <w:rFonts w:ascii="宋体" w:hAnsi="宋体" w:cs="宋体" w:eastAsia="宋体" w:hint="default"/>
                <w:spacing w:val="-8"/>
                <w:sz w:val="20"/>
                <w:szCs w:val="20"/>
              </w:rPr>
              <w:t>江苏劲嘉、宏峰行</w:t>
            </w:r>
            <w:r>
              <w:rPr>
                <w:rFonts w:ascii="宋体" w:hAnsi="宋体" w:cs="宋体" w:eastAsia="宋体" w:hint="default"/>
                <w:spacing w:val="-97"/>
                <w:sz w:val="20"/>
                <w:szCs w:val="20"/>
              </w:rPr>
              <w:t> </w:t>
            </w:r>
            <w:r>
              <w:rPr>
                <w:rFonts w:ascii="宋体" w:hAnsi="宋体" w:cs="宋体" w:eastAsia="宋体" w:hint="default"/>
                <w:spacing w:val="-97"/>
                <w:sz w:val="20"/>
                <w:szCs w:val="20"/>
              </w:rPr>
            </w:r>
            <w:r>
              <w:rPr>
                <w:rFonts w:ascii="宋体" w:hAnsi="宋体" w:cs="宋体" w:eastAsia="宋体" w:hint="default"/>
                <w:sz w:val="20"/>
                <w:szCs w:val="20"/>
              </w:rPr>
              <w:t>化工</w:t>
            </w:r>
          </w:p>
        </w:tc>
      </w:tr>
      <w:tr>
        <w:trPr>
          <w:trHeight w:val="634" w:hRule="exact"/>
        </w:trPr>
        <w:tc>
          <w:tcPr>
            <w:tcW w:w="52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0"/>
              <w:jc w:val="center"/>
              <w:rPr>
                <w:rFonts w:ascii="宋体" w:hAnsi="宋体" w:cs="宋体" w:eastAsia="宋体" w:hint="default"/>
                <w:sz w:val="20"/>
                <w:szCs w:val="20"/>
              </w:rPr>
            </w:pPr>
            <w:r>
              <w:rPr>
                <w:rFonts w:ascii="宋体"/>
                <w:w w:val="100"/>
                <w:sz w:val="20"/>
              </w:rPr>
              <w:t>8</w:t>
            </w:r>
          </w:p>
        </w:tc>
        <w:tc>
          <w:tcPr>
            <w:tcW w:w="3410"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192"/>
              <w:jc w:val="left"/>
              <w:rPr>
                <w:rFonts w:ascii="宋体" w:hAnsi="宋体" w:cs="宋体" w:eastAsia="宋体" w:hint="default"/>
                <w:sz w:val="20"/>
                <w:szCs w:val="20"/>
              </w:rPr>
            </w:pPr>
            <w:r>
              <w:rPr>
                <w:rFonts w:ascii="宋体" w:hAnsi="宋体" w:cs="宋体" w:eastAsia="宋体" w:hint="default"/>
                <w:sz w:val="20"/>
                <w:szCs w:val="20"/>
              </w:rPr>
              <w:t>一种用于塑</w:t>
            </w:r>
            <w:r>
              <w:rPr>
                <w:rFonts w:ascii="宋体" w:hAnsi="宋体" w:cs="宋体" w:eastAsia="宋体" w:hint="default"/>
                <w:sz w:val="20"/>
                <w:szCs w:val="20"/>
              </w:rPr>
              <w:t>/</w:t>
            </w:r>
            <w:r>
              <w:rPr>
                <w:rFonts w:ascii="宋体" w:hAnsi="宋体" w:cs="宋体" w:eastAsia="宋体" w:hint="default"/>
                <w:sz w:val="20"/>
                <w:szCs w:val="20"/>
              </w:rPr>
              <w:t>塑复合的水性聚氨酯丙</w:t>
            </w:r>
            <w:r>
              <w:rPr>
                <w:rFonts w:ascii="宋体" w:hAnsi="宋体" w:cs="宋体" w:eastAsia="宋体" w:hint="default"/>
                <w:w w:val="100"/>
                <w:sz w:val="20"/>
                <w:szCs w:val="20"/>
              </w:rPr>
              <w:t> </w:t>
            </w:r>
            <w:r>
              <w:rPr>
                <w:rFonts w:ascii="宋体" w:hAnsi="宋体" w:cs="宋体" w:eastAsia="宋体" w:hint="default"/>
                <w:sz w:val="20"/>
                <w:szCs w:val="20"/>
              </w:rPr>
              <w:t>烯酸酯粘合剂及其制备方法</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0"/>
              <w:jc w:val="center"/>
              <w:rPr>
                <w:rFonts w:ascii="宋体" w:hAnsi="宋体" w:cs="宋体" w:eastAsia="宋体" w:hint="default"/>
                <w:sz w:val="20"/>
                <w:szCs w:val="20"/>
              </w:rPr>
            </w:pPr>
            <w:r>
              <w:rPr>
                <w:rFonts w:ascii="宋体" w:hAnsi="宋体" w:cs="宋体" w:eastAsia="宋体" w:hint="default"/>
                <w:sz w:val="20"/>
                <w:szCs w:val="20"/>
              </w:rPr>
              <w:t>发明</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 w:right="0"/>
              <w:jc w:val="center"/>
              <w:rPr>
                <w:rFonts w:ascii="宋体" w:hAnsi="宋体" w:cs="宋体" w:eastAsia="宋体" w:hint="default"/>
                <w:sz w:val="20"/>
                <w:szCs w:val="20"/>
              </w:rPr>
            </w:pPr>
            <w:r>
              <w:rPr>
                <w:rFonts w:ascii="宋体"/>
                <w:sz w:val="20"/>
              </w:rPr>
              <w:t>ZL201510173718.5</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0"/>
              <w:jc w:val="center"/>
              <w:rPr>
                <w:rFonts w:ascii="宋体" w:hAnsi="宋体" w:cs="宋体" w:eastAsia="宋体" w:hint="default"/>
                <w:sz w:val="20"/>
                <w:szCs w:val="20"/>
              </w:rPr>
            </w:pPr>
            <w:r>
              <w:rPr>
                <w:rFonts w:ascii="宋体" w:hAnsi="宋体" w:cs="宋体" w:eastAsia="宋体" w:hint="default"/>
                <w:sz w:val="20"/>
                <w:szCs w:val="20"/>
              </w:rPr>
              <w:t>20</w:t>
            </w:r>
            <w:r>
              <w:rPr>
                <w:rFonts w:ascii="宋体" w:hAnsi="宋体" w:cs="宋体" w:eastAsia="宋体" w:hint="default"/>
                <w:spacing w:val="-50"/>
                <w:sz w:val="20"/>
                <w:szCs w:val="20"/>
              </w:rPr>
              <w:t> </w:t>
            </w:r>
            <w:r>
              <w:rPr>
                <w:rFonts w:ascii="宋体" w:hAnsi="宋体" w:cs="宋体" w:eastAsia="宋体" w:hint="default"/>
                <w:sz w:val="20"/>
                <w:szCs w:val="20"/>
              </w:rPr>
              <w:t>年</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101"/>
              <w:jc w:val="left"/>
              <w:rPr>
                <w:rFonts w:ascii="宋体" w:hAnsi="宋体" w:cs="宋体" w:eastAsia="宋体" w:hint="default"/>
                <w:sz w:val="20"/>
                <w:szCs w:val="20"/>
              </w:rPr>
            </w:pPr>
            <w:r>
              <w:rPr>
                <w:rFonts w:ascii="宋体" w:hAnsi="宋体" w:cs="宋体" w:eastAsia="宋体" w:hint="default"/>
                <w:spacing w:val="-8"/>
                <w:sz w:val="20"/>
                <w:szCs w:val="20"/>
              </w:rPr>
              <w:t>江苏劲嘉、宏峰行</w:t>
            </w:r>
            <w:r>
              <w:rPr>
                <w:rFonts w:ascii="宋体" w:hAnsi="宋体" w:cs="宋体" w:eastAsia="宋体" w:hint="default"/>
                <w:spacing w:val="-97"/>
                <w:sz w:val="20"/>
                <w:szCs w:val="20"/>
              </w:rPr>
              <w:t> </w:t>
            </w:r>
            <w:r>
              <w:rPr>
                <w:rFonts w:ascii="宋体" w:hAnsi="宋体" w:cs="宋体" w:eastAsia="宋体" w:hint="default"/>
                <w:spacing w:val="-97"/>
                <w:sz w:val="20"/>
                <w:szCs w:val="20"/>
              </w:rPr>
            </w:r>
            <w:r>
              <w:rPr>
                <w:rFonts w:ascii="宋体" w:hAnsi="宋体" w:cs="宋体" w:eastAsia="宋体" w:hint="default"/>
                <w:sz w:val="20"/>
                <w:szCs w:val="20"/>
              </w:rPr>
              <w:t>化工</w:t>
            </w:r>
          </w:p>
        </w:tc>
      </w:tr>
      <w:tr>
        <w:trPr>
          <w:trHeight w:val="634" w:hRule="exact"/>
        </w:trPr>
        <w:tc>
          <w:tcPr>
            <w:tcW w:w="52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0"/>
              <w:jc w:val="center"/>
              <w:rPr>
                <w:rFonts w:ascii="宋体" w:hAnsi="宋体" w:cs="宋体" w:eastAsia="宋体" w:hint="default"/>
                <w:sz w:val="20"/>
                <w:szCs w:val="20"/>
              </w:rPr>
            </w:pPr>
            <w:r>
              <w:rPr>
                <w:rFonts w:ascii="宋体"/>
                <w:w w:val="100"/>
                <w:sz w:val="20"/>
              </w:rPr>
              <w:t>9</w:t>
            </w:r>
          </w:p>
        </w:tc>
        <w:tc>
          <w:tcPr>
            <w:tcW w:w="3410"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293"/>
              <w:jc w:val="left"/>
              <w:rPr>
                <w:rFonts w:ascii="宋体" w:hAnsi="宋体" w:cs="宋体" w:eastAsia="宋体" w:hint="default"/>
                <w:sz w:val="20"/>
                <w:szCs w:val="20"/>
              </w:rPr>
            </w:pPr>
            <w:r>
              <w:rPr>
                <w:rFonts w:ascii="宋体" w:hAnsi="宋体" w:cs="宋体" w:eastAsia="宋体" w:hint="default"/>
                <w:sz w:val="20"/>
                <w:szCs w:val="20"/>
              </w:rPr>
              <w:t>一种用于高速凹印机的印刷缺陷标</w:t>
            </w:r>
            <w:r>
              <w:rPr>
                <w:rFonts w:ascii="宋体" w:hAnsi="宋体" w:cs="宋体" w:eastAsia="宋体" w:hint="default"/>
                <w:w w:val="100"/>
                <w:sz w:val="20"/>
                <w:szCs w:val="20"/>
              </w:rPr>
              <w:t> </w:t>
            </w:r>
            <w:r>
              <w:rPr>
                <w:rFonts w:ascii="宋体" w:hAnsi="宋体" w:cs="宋体" w:eastAsia="宋体" w:hint="default"/>
                <w:sz w:val="20"/>
                <w:szCs w:val="20"/>
              </w:rPr>
              <w:t>识装置及其工作方法</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0"/>
              <w:jc w:val="center"/>
              <w:rPr>
                <w:rFonts w:ascii="宋体" w:hAnsi="宋体" w:cs="宋体" w:eastAsia="宋体" w:hint="default"/>
                <w:sz w:val="20"/>
                <w:szCs w:val="20"/>
              </w:rPr>
            </w:pPr>
            <w:r>
              <w:rPr>
                <w:rFonts w:ascii="宋体" w:hAnsi="宋体" w:cs="宋体" w:eastAsia="宋体" w:hint="default"/>
                <w:sz w:val="20"/>
                <w:szCs w:val="20"/>
              </w:rPr>
              <w:t>发明</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 w:right="0"/>
              <w:jc w:val="center"/>
              <w:rPr>
                <w:rFonts w:ascii="宋体" w:hAnsi="宋体" w:cs="宋体" w:eastAsia="宋体" w:hint="default"/>
                <w:sz w:val="20"/>
                <w:szCs w:val="20"/>
              </w:rPr>
            </w:pPr>
            <w:r>
              <w:rPr>
                <w:rFonts w:ascii="宋体"/>
                <w:sz w:val="20"/>
              </w:rPr>
              <w:t>ZL201510729935.8</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0"/>
              <w:jc w:val="center"/>
              <w:rPr>
                <w:rFonts w:ascii="宋体" w:hAnsi="宋体" w:cs="宋体" w:eastAsia="宋体" w:hint="default"/>
                <w:sz w:val="20"/>
                <w:szCs w:val="20"/>
              </w:rPr>
            </w:pPr>
            <w:r>
              <w:rPr>
                <w:rFonts w:ascii="宋体" w:hAnsi="宋体" w:cs="宋体" w:eastAsia="宋体" w:hint="default"/>
                <w:sz w:val="20"/>
                <w:szCs w:val="20"/>
              </w:rPr>
              <w:t>20</w:t>
            </w:r>
            <w:r>
              <w:rPr>
                <w:rFonts w:ascii="宋体" w:hAnsi="宋体" w:cs="宋体" w:eastAsia="宋体" w:hint="default"/>
                <w:spacing w:val="-50"/>
                <w:sz w:val="20"/>
                <w:szCs w:val="20"/>
              </w:rPr>
              <w:t> </w:t>
            </w:r>
            <w:r>
              <w:rPr>
                <w:rFonts w:ascii="宋体" w:hAnsi="宋体" w:cs="宋体" w:eastAsia="宋体" w:hint="default"/>
                <w:sz w:val="20"/>
                <w:szCs w:val="20"/>
              </w:rPr>
              <w:t>年</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江苏顺泰</w:t>
            </w:r>
          </w:p>
        </w:tc>
      </w:tr>
      <w:tr>
        <w:trPr>
          <w:trHeight w:val="635" w:hRule="exact"/>
        </w:trPr>
        <w:tc>
          <w:tcPr>
            <w:tcW w:w="526"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0"/>
              <w:jc w:val="center"/>
              <w:rPr>
                <w:rFonts w:ascii="宋体" w:hAnsi="宋体" w:cs="宋体" w:eastAsia="宋体" w:hint="default"/>
                <w:sz w:val="20"/>
                <w:szCs w:val="20"/>
              </w:rPr>
            </w:pPr>
            <w:r>
              <w:rPr>
                <w:rFonts w:ascii="宋体"/>
                <w:sz w:val="20"/>
              </w:rPr>
              <w:t>10</w:t>
            </w:r>
          </w:p>
        </w:tc>
        <w:tc>
          <w:tcPr>
            <w:tcW w:w="3410"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293"/>
              <w:jc w:val="left"/>
              <w:rPr>
                <w:rFonts w:ascii="宋体" w:hAnsi="宋体" w:cs="宋体" w:eastAsia="宋体" w:hint="default"/>
                <w:sz w:val="20"/>
                <w:szCs w:val="20"/>
              </w:rPr>
            </w:pPr>
            <w:r>
              <w:rPr>
                <w:rFonts w:ascii="宋体" w:hAnsi="宋体" w:cs="宋体" w:eastAsia="宋体" w:hint="default"/>
                <w:sz w:val="20"/>
                <w:szCs w:val="20"/>
              </w:rPr>
              <w:t>一种基于凹版印刷的印刷刀架系统</w:t>
            </w:r>
            <w:r>
              <w:rPr>
                <w:rFonts w:ascii="宋体" w:hAnsi="宋体" w:cs="宋体" w:eastAsia="宋体" w:hint="default"/>
                <w:w w:val="100"/>
                <w:sz w:val="20"/>
                <w:szCs w:val="20"/>
              </w:rPr>
              <w:t> </w:t>
            </w:r>
            <w:r>
              <w:rPr>
                <w:rFonts w:ascii="宋体" w:hAnsi="宋体" w:cs="宋体" w:eastAsia="宋体" w:hint="default"/>
                <w:sz w:val="20"/>
                <w:szCs w:val="20"/>
              </w:rPr>
              <w:t>及其工作方法</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0"/>
              <w:jc w:val="center"/>
              <w:rPr>
                <w:rFonts w:ascii="宋体" w:hAnsi="宋体" w:cs="宋体" w:eastAsia="宋体" w:hint="default"/>
                <w:sz w:val="20"/>
                <w:szCs w:val="20"/>
              </w:rPr>
            </w:pPr>
            <w:r>
              <w:rPr>
                <w:rFonts w:ascii="宋体" w:hAnsi="宋体" w:cs="宋体" w:eastAsia="宋体" w:hint="default"/>
                <w:sz w:val="20"/>
                <w:szCs w:val="20"/>
              </w:rPr>
              <w:t>发明</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 w:right="0"/>
              <w:jc w:val="center"/>
              <w:rPr>
                <w:rFonts w:ascii="宋体" w:hAnsi="宋体" w:cs="宋体" w:eastAsia="宋体" w:hint="default"/>
                <w:sz w:val="20"/>
                <w:szCs w:val="20"/>
              </w:rPr>
            </w:pPr>
            <w:r>
              <w:rPr>
                <w:rFonts w:ascii="宋体"/>
                <w:sz w:val="20"/>
              </w:rPr>
              <w:t>ZL201510730039.3</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0"/>
              <w:jc w:val="center"/>
              <w:rPr>
                <w:rFonts w:ascii="宋体" w:hAnsi="宋体" w:cs="宋体" w:eastAsia="宋体" w:hint="default"/>
                <w:sz w:val="20"/>
                <w:szCs w:val="20"/>
              </w:rPr>
            </w:pPr>
            <w:r>
              <w:rPr>
                <w:rFonts w:ascii="宋体" w:hAnsi="宋体" w:cs="宋体" w:eastAsia="宋体" w:hint="default"/>
                <w:sz w:val="20"/>
                <w:szCs w:val="20"/>
              </w:rPr>
              <w:t>20</w:t>
            </w:r>
            <w:r>
              <w:rPr>
                <w:rFonts w:ascii="宋体" w:hAnsi="宋体" w:cs="宋体" w:eastAsia="宋体" w:hint="default"/>
                <w:spacing w:val="-50"/>
                <w:sz w:val="20"/>
                <w:szCs w:val="20"/>
              </w:rPr>
              <w:t> </w:t>
            </w:r>
            <w:r>
              <w:rPr>
                <w:rFonts w:ascii="宋体" w:hAnsi="宋体" w:cs="宋体" w:eastAsia="宋体" w:hint="default"/>
                <w:sz w:val="20"/>
                <w:szCs w:val="20"/>
              </w:rPr>
              <w:t>年</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0"/>
                <w:szCs w:val="20"/>
              </w:rPr>
            </w:pPr>
            <w:r>
              <w:rPr>
                <w:rFonts w:ascii="宋体" w:hAnsi="宋体" w:cs="宋体" w:eastAsia="宋体" w:hint="default"/>
                <w:sz w:val="20"/>
                <w:szCs w:val="20"/>
              </w:rPr>
              <w:t>江苏顺泰</w:t>
            </w:r>
          </w:p>
        </w:tc>
      </w:tr>
      <w:tr>
        <w:trPr>
          <w:trHeight w:val="634" w:hRule="exact"/>
        </w:trPr>
        <w:tc>
          <w:tcPr>
            <w:tcW w:w="52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0"/>
              <w:jc w:val="center"/>
              <w:rPr>
                <w:rFonts w:ascii="宋体" w:hAnsi="宋体" w:cs="宋体" w:eastAsia="宋体" w:hint="default"/>
                <w:sz w:val="20"/>
                <w:szCs w:val="20"/>
              </w:rPr>
            </w:pPr>
            <w:r>
              <w:rPr>
                <w:rFonts w:ascii="宋体"/>
                <w:sz w:val="20"/>
              </w:rPr>
              <w:t>11</w:t>
            </w:r>
          </w:p>
        </w:tc>
        <w:tc>
          <w:tcPr>
            <w:tcW w:w="3410"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293"/>
              <w:jc w:val="left"/>
              <w:rPr>
                <w:rFonts w:ascii="宋体" w:hAnsi="宋体" w:cs="宋体" w:eastAsia="宋体" w:hint="default"/>
                <w:sz w:val="20"/>
                <w:szCs w:val="20"/>
              </w:rPr>
            </w:pPr>
            <w:r>
              <w:rPr>
                <w:rFonts w:ascii="宋体" w:hAnsi="宋体" w:cs="宋体" w:eastAsia="宋体" w:hint="default"/>
                <w:sz w:val="20"/>
                <w:szCs w:val="20"/>
              </w:rPr>
              <w:t>避免跳纸的烟盒纸检纸机自动进料</w:t>
            </w:r>
            <w:r>
              <w:rPr>
                <w:rFonts w:ascii="宋体" w:hAnsi="宋体" w:cs="宋体" w:eastAsia="宋体" w:hint="default"/>
                <w:w w:val="100"/>
                <w:sz w:val="20"/>
                <w:szCs w:val="20"/>
              </w:rPr>
              <w:t> </w:t>
            </w:r>
            <w:r>
              <w:rPr>
                <w:rFonts w:ascii="宋体" w:hAnsi="宋体" w:cs="宋体" w:eastAsia="宋体" w:hint="default"/>
                <w:sz w:val="20"/>
                <w:szCs w:val="20"/>
              </w:rPr>
              <w:t>装置</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0"/>
              <w:jc w:val="center"/>
              <w:rPr>
                <w:rFonts w:ascii="宋体" w:hAnsi="宋体" w:cs="宋体" w:eastAsia="宋体" w:hint="default"/>
                <w:sz w:val="20"/>
                <w:szCs w:val="20"/>
              </w:rPr>
            </w:pPr>
            <w:r>
              <w:rPr>
                <w:rFonts w:ascii="宋体" w:hAnsi="宋体" w:cs="宋体" w:eastAsia="宋体" w:hint="default"/>
                <w:sz w:val="20"/>
                <w:szCs w:val="20"/>
              </w:rPr>
              <w:t>发明</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 w:right="0"/>
              <w:jc w:val="center"/>
              <w:rPr>
                <w:rFonts w:ascii="宋体" w:hAnsi="宋体" w:cs="宋体" w:eastAsia="宋体" w:hint="default"/>
                <w:sz w:val="20"/>
                <w:szCs w:val="20"/>
              </w:rPr>
            </w:pPr>
            <w:r>
              <w:rPr>
                <w:rFonts w:ascii="宋体"/>
                <w:sz w:val="20"/>
              </w:rPr>
              <w:t>ZL201610684329.3</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0"/>
              <w:jc w:val="center"/>
              <w:rPr>
                <w:rFonts w:ascii="宋体" w:hAnsi="宋体" w:cs="宋体" w:eastAsia="宋体" w:hint="default"/>
                <w:sz w:val="20"/>
                <w:szCs w:val="20"/>
              </w:rPr>
            </w:pPr>
            <w:r>
              <w:rPr>
                <w:rFonts w:ascii="宋体" w:hAnsi="宋体" w:cs="宋体" w:eastAsia="宋体" w:hint="default"/>
                <w:sz w:val="20"/>
                <w:szCs w:val="20"/>
              </w:rPr>
              <w:t>20</w:t>
            </w:r>
            <w:r>
              <w:rPr>
                <w:rFonts w:ascii="宋体" w:hAnsi="宋体" w:cs="宋体" w:eastAsia="宋体" w:hint="default"/>
                <w:spacing w:val="-50"/>
                <w:sz w:val="20"/>
                <w:szCs w:val="20"/>
              </w:rPr>
              <w:t> </w:t>
            </w:r>
            <w:r>
              <w:rPr>
                <w:rFonts w:ascii="宋体" w:hAnsi="宋体" w:cs="宋体" w:eastAsia="宋体" w:hint="default"/>
                <w:sz w:val="20"/>
                <w:szCs w:val="20"/>
              </w:rPr>
              <w:t>年</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江苏顺泰</w:t>
            </w:r>
          </w:p>
        </w:tc>
      </w:tr>
      <w:tr>
        <w:trPr>
          <w:trHeight w:val="385" w:hRule="exact"/>
        </w:trPr>
        <w:tc>
          <w:tcPr>
            <w:tcW w:w="52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0"/>
              <w:jc w:val="center"/>
              <w:rPr>
                <w:rFonts w:ascii="宋体" w:hAnsi="宋体" w:cs="宋体" w:eastAsia="宋体" w:hint="default"/>
                <w:sz w:val="20"/>
                <w:szCs w:val="20"/>
              </w:rPr>
            </w:pPr>
            <w:r>
              <w:rPr>
                <w:rFonts w:ascii="宋体"/>
                <w:sz w:val="20"/>
              </w:rPr>
              <w:t>12</w:t>
            </w:r>
          </w:p>
        </w:tc>
        <w:tc>
          <w:tcPr>
            <w:tcW w:w="341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组合式可调框架镂空模压钢模</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0"/>
              <w:jc w:val="center"/>
              <w:rPr>
                <w:rFonts w:ascii="宋体" w:hAnsi="宋体" w:cs="宋体" w:eastAsia="宋体" w:hint="default"/>
                <w:sz w:val="20"/>
                <w:szCs w:val="20"/>
              </w:rPr>
            </w:pPr>
            <w:r>
              <w:rPr>
                <w:rFonts w:ascii="宋体" w:hAnsi="宋体" w:cs="宋体" w:eastAsia="宋体" w:hint="default"/>
                <w:sz w:val="20"/>
                <w:szCs w:val="20"/>
              </w:rPr>
              <w:t>发明</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 w:right="0"/>
              <w:jc w:val="center"/>
              <w:rPr>
                <w:rFonts w:ascii="宋体" w:hAnsi="宋体" w:cs="宋体" w:eastAsia="宋体" w:hint="default"/>
                <w:sz w:val="20"/>
                <w:szCs w:val="20"/>
              </w:rPr>
            </w:pPr>
            <w:r>
              <w:rPr>
                <w:rFonts w:ascii="宋体"/>
                <w:sz w:val="20"/>
              </w:rPr>
              <w:t>ZL201610755703.4</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0"/>
              <w:jc w:val="center"/>
              <w:rPr>
                <w:rFonts w:ascii="宋体" w:hAnsi="宋体" w:cs="宋体" w:eastAsia="宋体" w:hint="default"/>
                <w:sz w:val="20"/>
                <w:szCs w:val="20"/>
              </w:rPr>
            </w:pPr>
            <w:r>
              <w:rPr>
                <w:rFonts w:ascii="宋体" w:hAnsi="宋体" w:cs="宋体" w:eastAsia="宋体" w:hint="default"/>
                <w:sz w:val="20"/>
                <w:szCs w:val="20"/>
              </w:rPr>
              <w:t>20</w:t>
            </w:r>
            <w:r>
              <w:rPr>
                <w:rFonts w:ascii="宋体" w:hAnsi="宋体" w:cs="宋体" w:eastAsia="宋体" w:hint="default"/>
                <w:spacing w:val="-50"/>
                <w:sz w:val="20"/>
                <w:szCs w:val="20"/>
              </w:rPr>
              <w:t> </w:t>
            </w:r>
            <w:r>
              <w:rPr>
                <w:rFonts w:ascii="宋体" w:hAnsi="宋体" w:cs="宋体" w:eastAsia="宋体" w:hint="default"/>
                <w:sz w:val="20"/>
                <w:szCs w:val="20"/>
              </w:rPr>
              <w:t>年</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江苏顺泰</w:t>
            </w:r>
          </w:p>
        </w:tc>
      </w:tr>
      <w:tr>
        <w:trPr>
          <w:trHeight w:val="385" w:hRule="exact"/>
        </w:trPr>
        <w:tc>
          <w:tcPr>
            <w:tcW w:w="52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0"/>
              <w:jc w:val="center"/>
              <w:rPr>
                <w:rFonts w:ascii="宋体" w:hAnsi="宋体" w:cs="宋体" w:eastAsia="宋体" w:hint="default"/>
                <w:sz w:val="20"/>
                <w:szCs w:val="20"/>
              </w:rPr>
            </w:pPr>
            <w:r>
              <w:rPr>
                <w:rFonts w:ascii="宋体"/>
                <w:sz w:val="20"/>
              </w:rPr>
              <w:t>13</w:t>
            </w:r>
          </w:p>
        </w:tc>
        <w:tc>
          <w:tcPr>
            <w:tcW w:w="341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凹版印刷机及其油墨冷却系统</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0"/>
              <w:jc w:val="center"/>
              <w:rPr>
                <w:rFonts w:ascii="宋体" w:hAnsi="宋体" w:cs="宋体" w:eastAsia="宋体" w:hint="default"/>
                <w:sz w:val="20"/>
                <w:szCs w:val="20"/>
              </w:rPr>
            </w:pPr>
            <w:r>
              <w:rPr>
                <w:rFonts w:ascii="宋体" w:hAnsi="宋体" w:cs="宋体" w:eastAsia="宋体" w:hint="default"/>
                <w:sz w:val="20"/>
                <w:szCs w:val="20"/>
              </w:rPr>
              <w:t>实用新型</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 w:right="0"/>
              <w:jc w:val="center"/>
              <w:rPr>
                <w:rFonts w:ascii="宋体" w:hAnsi="宋体" w:cs="宋体" w:eastAsia="宋体" w:hint="default"/>
                <w:sz w:val="20"/>
                <w:szCs w:val="20"/>
              </w:rPr>
            </w:pPr>
            <w:r>
              <w:rPr>
                <w:rFonts w:ascii="宋体"/>
                <w:sz w:val="20"/>
              </w:rPr>
              <w:t>ZL201720414128.1</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0"/>
              <w:jc w:val="center"/>
              <w:rPr>
                <w:rFonts w:ascii="宋体" w:hAnsi="宋体" w:cs="宋体" w:eastAsia="宋体" w:hint="default"/>
                <w:sz w:val="20"/>
                <w:szCs w:val="20"/>
              </w:rPr>
            </w:pPr>
            <w:r>
              <w:rPr>
                <w:rFonts w:ascii="宋体" w:hAnsi="宋体" w:cs="宋体" w:eastAsia="宋体" w:hint="default"/>
                <w:sz w:val="20"/>
                <w:szCs w:val="20"/>
              </w:rPr>
              <w:t>10</w:t>
            </w:r>
            <w:r>
              <w:rPr>
                <w:rFonts w:ascii="宋体" w:hAnsi="宋体" w:cs="宋体" w:eastAsia="宋体" w:hint="default"/>
                <w:spacing w:val="-50"/>
                <w:sz w:val="20"/>
                <w:szCs w:val="20"/>
              </w:rPr>
              <w:t> </w:t>
            </w:r>
            <w:r>
              <w:rPr>
                <w:rFonts w:ascii="宋体" w:hAnsi="宋体" w:cs="宋体" w:eastAsia="宋体" w:hint="default"/>
                <w:sz w:val="20"/>
                <w:szCs w:val="20"/>
              </w:rPr>
              <w:t>年</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本公司</w:t>
            </w:r>
          </w:p>
        </w:tc>
      </w:tr>
      <w:tr>
        <w:trPr>
          <w:trHeight w:val="384" w:hRule="exact"/>
        </w:trPr>
        <w:tc>
          <w:tcPr>
            <w:tcW w:w="52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0"/>
              <w:jc w:val="center"/>
              <w:rPr>
                <w:rFonts w:ascii="宋体" w:hAnsi="宋体" w:cs="宋体" w:eastAsia="宋体" w:hint="default"/>
                <w:sz w:val="20"/>
                <w:szCs w:val="20"/>
              </w:rPr>
            </w:pPr>
            <w:r>
              <w:rPr>
                <w:rFonts w:ascii="宋体"/>
                <w:sz w:val="20"/>
              </w:rPr>
              <w:t>14</w:t>
            </w:r>
          </w:p>
        </w:tc>
        <w:tc>
          <w:tcPr>
            <w:tcW w:w="341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一种保湿卷烟包装盒</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0"/>
              <w:jc w:val="center"/>
              <w:rPr>
                <w:rFonts w:ascii="宋体" w:hAnsi="宋体" w:cs="宋体" w:eastAsia="宋体" w:hint="default"/>
                <w:sz w:val="20"/>
                <w:szCs w:val="20"/>
              </w:rPr>
            </w:pPr>
            <w:r>
              <w:rPr>
                <w:rFonts w:ascii="宋体" w:hAnsi="宋体" w:cs="宋体" w:eastAsia="宋体" w:hint="default"/>
                <w:sz w:val="20"/>
                <w:szCs w:val="20"/>
              </w:rPr>
              <w:t>实用新型</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 w:right="0"/>
              <w:jc w:val="center"/>
              <w:rPr>
                <w:rFonts w:ascii="宋体" w:hAnsi="宋体" w:cs="宋体" w:eastAsia="宋体" w:hint="default"/>
                <w:sz w:val="20"/>
                <w:szCs w:val="20"/>
              </w:rPr>
            </w:pPr>
            <w:r>
              <w:rPr>
                <w:rFonts w:ascii="宋体"/>
                <w:sz w:val="20"/>
              </w:rPr>
              <w:t>ZL201721105758.7</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0"/>
              <w:jc w:val="center"/>
              <w:rPr>
                <w:rFonts w:ascii="宋体" w:hAnsi="宋体" w:cs="宋体" w:eastAsia="宋体" w:hint="default"/>
                <w:sz w:val="20"/>
                <w:szCs w:val="20"/>
              </w:rPr>
            </w:pPr>
            <w:r>
              <w:rPr>
                <w:rFonts w:ascii="宋体" w:hAnsi="宋体" w:cs="宋体" w:eastAsia="宋体" w:hint="default"/>
                <w:sz w:val="20"/>
                <w:szCs w:val="20"/>
              </w:rPr>
              <w:t>10</w:t>
            </w:r>
            <w:r>
              <w:rPr>
                <w:rFonts w:ascii="宋体" w:hAnsi="宋体" w:cs="宋体" w:eastAsia="宋体" w:hint="default"/>
                <w:spacing w:val="-50"/>
                <w:sz w:val="20"/>
                <w:szCs w:val="20"/>
              </w:rPr>
              <w:t> </w:t>
            </w:r>
            <w:r>
              <w:rPr>
                <w:rFonts w:ascii="宋体" w:hAnsi="宋体" w:cs="宋体" w:eastAsia="宋体" w:hint="default"/>
                <w:sz w:val="20"/>
                <w:szCs w:val="20"/>
              </w:rPr>
              <w:t>年</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本公司</w:t>
            </w:r>
          </w:p>
        </w:tc>
      </w:tr>
      <w:tr>
        <w:trPr>
          <w:trHeight w:val="385" w:hRule="exact"/>
        </w:trPr>
        <w:tc>
          <w:tcPr>
            <w:tcW w:w="526"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0"/>
              <w:jc w:val="center"/>
              <w:rPr>
                <w:rFonts w:ascii="宋体" w:hAnsi="宋体" w:cs="宋体" w:eastAsia="宋体" w:hint="default"/>
                <w:sz w:val="20"/>
                <w:szCs w:val="20"/>
              </w:rPr>
            </w:pPr>
            <w:r>
              <w:rPr>
                <w:rFonts w:ascii="宋体"/>
                <w:sz w:val="20"/>
              </w:rPr>
              <w:t>15</w:t>
            </w:r>
          </w:p>
        </w:tc>
        <w:tc>
          <w:tcPr>
            <w:tcW w:w="3410"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0"/>
                <w:szCs w:val="20"/>
              </w:rPr>
            </w:pPr>
            <w:r>
              <w:rPr>
                <w:rFonts w:ascii="宋体" w:hAnsi="宋体" w:cs="宋体" w:eastAsia="宋体" w:hint="default"/>
                <w:sz w:val="20"/>
                <w:szCs w:val="20"/>
              </w:rPr>
              <w:t>一种印刷品自动分离设备</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0"/>
              <w:jc w:val="center"/>
              <w:rPr>
                <w:rFonts w:ascii="宋体" w:hAnsi="宋体" w:cs="宋体" w:eastAsia="宋体" w:hint="default"/>
                <w:sz w:val="20"/>
                <w:szCs w:val="20"/>
              </w:rPr>
            </w:pPr>
            <w:r>
              <w:rPr>
                <w:rFonts w:ascii="宋体" w:hAnsi="宋体" w:cs="宋体" w:eastAsia="宋体" w:hint="default"/>
                <w:sz w:val="20"/>
                <w:szCs w:val="20"/>
              </w:rPr>
              <w:t>实用新型</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 w:right="0"/>
              <w:jc w:val="center"/>
              <w:rPr>
                <w:rFonts w:ascii="宋体" w:hAnsi="宋体" w:cs="宋体" w:eastAsia="宋体" w:hint="default"/>
                <w:sz w:val="20"/>
                <w:szCs w:val="20"/>
              </w:rPr>
            </w:pPr>
            <w:r>
              <w:rPr>
                <w:rFonts w:ascii="宋体"/>
                <w:sz w:val="20"/>
              </w:rPr>
              <w:t>ZL201721604544.4</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0"/>
              <w:jc w:val="center"/>
              <w:rPr>
                <w:rFonts w:ascii="宋体" w:hAnsi="宋体" w:cs="宋体" w:eastAsia="宋体" w:hint="default"/>
                <w:sz w:val="20"/>
                <w:szCs w:val="20"/>
              </w:rPr>
            </w:pPr>
            <w:r>
              <w:rPr>
                <w:rFonts w:ascii="宋体" w:hAnsi="宋体" w:cs="宋体" w:eastAsia="宋体" w:hint="default"/>
                <w:sz w:val="20"/>
                <w:szCs w:val="20"/>
              </w:rPr>
              <w:t>10</w:t>
            </w:r>
            <w:r>
              <w:rPr>
                <w:rFonts w:ascii="宋体" w:hAnsi="宋体" w:cs="宋体" w:eastAsia="宋体" w:hint="default"/>
                <w:spacing w:val="-50"/>
                <w:sz w:val="20"/>
                <w:szCs w:val="20"/>
              </w:rPr>
              <w:t> </w:t>
            </w:r>
            <w:r>
              <w:rPr>
                <w:rFonts w:ascii="宋体" w:hAnsi="宋体" w:cs="宋体" w:eastAsia="宋体" w:hint="default"/>
                <w:sz w:val="20"/>
                <w:szCs w:val="20"/>
              </w:rPr>
              <w:t>年</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0"/>
                <w:szCs w:val="20"/>
              </w:rPr>
            </w:pPr>
            <w:r>
              <w:rPr>
                <w:rFonts w:ascii="宋体" w:hAnsi="宋体" w:cs="宋体" w:eastAsia="宋体" w:hint="default"/>
                <w:sz w:val="20"/>
                <w:szCs w:val="20"/>
              </w:rPr>
              <w:t>本公司</w:t>
            </w:r>
          </w:p>
        </w:tc>
      </w:tr>
      <w:tr>
        <w:trPr>
          <w:trHeight w:val="385" w:hRule="exact"/>
        </w:trPr>
        <w:tc>
          <w:tcPr>
            <w:tcW w:w="526"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0"/>
              <w:jc w:val="center"/>
              <w:rPr>
                <w:rFonts w:ascii="宋体" w:hAnsi="宋体" w:cs="宋体" w:eastAsia="宋体" w:hint="default"/>
                <w:sz w:val="20"/>
                <w:szCs w:val="20"/>
              </w:rPr>
            </w:pPr>
            <w:r>
              <w:rPr>
                <w:rFonts w:ascii="宋体"/>
                <w:sz w:val="20"/>
              </w:rPr>
              <w:t>16</w:t>
            </w:r>
          </w:p>
        </w:tc>
        <w:tc>
          <w:tcPr>
            <w:tcW w:w="3410"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0"/>
                <w:szCs w:val="20"/>
              </w:rPr>
            </w:pPr>
            <w:r>
              <w:rPr>
                <w:rFonts w:ascii="宋体" w:hAnsi="宋体" w:cs="宋体" w:eastAsia="宋体" w:hint="default"/>
                <w:sz w:val="20"/>
                <w:szCs w:val="20"/>
              </w:rPr>
              <w:t>一种自动清洗及废液回收设备</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0"/>
              <w:jc w:val="center"/>
              <w:rPr>
                <w:rFonts w:ascii="宋体" w:hAnsi="宋体" w:cs="宋体" w:eastAsia="宋体" w:hint="default"/>
                <w:sz w:val="20"/>
                <w:szCs w:val="20"/>
              </w:rPr>
            </w:pPr>
            <w:r>
              <w:rPr>
                <w:rFonts w:ascii="宋体" w:hAnsi="宋体" w:cs="宋体" w:eastAsia="宋体" w:hint="default"/>
                <w:sz w:val="20"/>
                <w:szCs w:val="20"/>
              </w:rPr>
              <w:t>实用新型</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 w:right="0"/>
              <w:jc w:val="center"/>
              <w:rPr>
                <w:rFonts w:ascii="宋体" w:hAnsi="宋体" w:cs="宋体" w:eastAsia="宋体" w:hint="default"/>
                <w:sz w:val="20"/>
                <w:szCs w:val="20"/>
              </w:rPr>
            </w:pPr>
            <w:r>
              <w:rPr>
                <w:rFonts w:ascii="宋体"/>
                <w:sz w:val="20"/>
              </w:rPr>
              <w:t>ZL201721754046.8</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0"/>
              <w:jc w:val="center"/>
              <w:rPr>
                <w:rFonts w:ascii="宋体" w:hAnsi="宋体" w:cs="宋体" w:eastAsia="宋体" w:hint="default"/>
                <w:sz w:val="20"/>
                <w:szCs w:val="20"/>
              </w:rPr>
            </w:pPr>
            <w:r>
              <w:rPr>
                <w:rFonts w:ascii="宋体" w:hAnsi="宋体" w:cs="宋体" w:eastAsia="宋体" w:hint="default"/>
                <w:sz w:val="20"/>
                <w:szCs w:val="20"/>
              </w:rPr>
              <w:t>10</w:t>
            </w:r>
            <w:r>
              <w:rPr>
                <w:rFonts w:ascii="宋体" w:hAnsi="宋体" w:cs="宋体" w:eastAsia="宋体" w:hint="default"/>
                <w:spacing w:val="-50"/>
                <w:sz w:val="20"/>
                <w:szCs w:val="20"/>
              </w:rPr>
              <w:t> </w:t>
            </w:r>
            <w:r>
              <w:rPr>
                <w:rFonts w:ascii="宋体" w:hAnsi="宋体" w:cs="宋体" w:eastAsia="宋体" w:hint="default"/>
                <w:sz w:val="20"/>
                <w:szCs w:val="20"/>
              </w:rPr>
              <w:t>年</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0"/>
                <w:szCs w:val="20"/>
              </w:rPr>
            </w:pPr>
            <w:r>
              <w:rPr>
                <w:rFonts w:ascii="宋体" w:hAnsi="宋体" w:cs="宋体" w:eastAsia="宋体" w:hint="default"/>
                <w:sz w:val="20"/>
                <w:szCs w:val="20"/>
              </w:rPr>
              <w:t>本公司</w:t>
            </w:r>
          </w:p>
        </w:tc>
      </w:tr>
      <w:tr>
        <w:trPr>
          <w:trHeight w:val="385" w:hRule="exact"/>
        </w:trPr>
        <w:tc>
          <w:tcPr>
            <w:tcW w:w="52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0"/>
              <w:jc w:val="center"/>
              <w:rPr>
                <w:rFonts w:ascii="宋体" w:hAnsi="宋体" w:cs="宋体" w:eastAsia="宋体" w:hint="default"/>
                <w:sz w:val="20"/>
                <w:szCs w:val="20"/>
              </w:rPr>
            </w:pPr>
            <w:r>
              <w:rPr>
                <w:rFonts w:ascii="宋体"/>
                <w:sz w:val="20"/>
              </w:rPr>
              <w:t>17</w:t>
            </w:r>
          </w:p>
        </w:tc>
        <w:tc>
          <w:tcPr>
            <w:tcW w:w="341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一种全自动装箱系统</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0"/>
              <w:jc w:val="center"/>
              <w:rPr>
                <w:rFonts w:ascii="宋体" w:hAnsi="宋体" w:cs="宋体" w:eastAsia="宋体" w:hint="default"/>
                <w:sz w:val="20"/>
                <w:szCs w:val="20"/>
              </w:rPr>
            </w:pPr>
            <w:r>
              <w:rPr>
                <w:rFonts w:ascii="宋体" w:hAnsi="宋体" w:cs="宋体" w:eastAsia="宋体" w:hint="default"/>
                <w:sz w:val="20"/>
                <w:szCs w:val="20"/>
              </w:rPr>
              <w:t>实用新型</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 w:right="0"/>
              <w:jc w:val="center"/>
              <w:rPr>
                <w:rFonts w:ascii="宋体" w:hAnsi="宋体" w:cs="宋体" w:eastAsia="宋体" w:hint="default"/>
                <w:sz w:val="20"/>
                <w:szCs w:val="20"/>
              </w:rPr>
            </w:pPr>
            <w:r>
              <w:rPr>
                <w:rFonts w:ascii="宋体"/>
                <w:sz w:val="20"/>
              </w:rPr>
              <w:t>ZL201721130363.2</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0"/>
              <w:jc w:val="center"/>
              <w:rPr>
                <w:rFonts w:ascii="宋体" w:hAnsi="宋体" w:cs="宋体" w:eastAsia="宋体" w:hint="default"/>
                <w:sz w:val="20"/>
                <w:szCs w:val="20"/>
              </w:rPr>
            </w:pPr>
            <w:r>
              <w:rPr>
                <w:rFonts w:ascii="宋体" w:hAnsi="宋体" w:cs="宋体" w:eastAsia="宋体" w:hint="default"/>
                <w:sz w:val="20"/>
                <w:szCs w:val="20"/>
              </w:rPr>
              <w:t>10</w:t>
            </w:r>
            <w:r>
              <w:rPr>
                <w:rFonts w:ascii="宋体" w:hAnsi="宋体" w:cs="宋体" w:eastAsia="宋体" w:hint="default"/>
                <w:spacing w:val="-50"/>
                <w:sz w:val="20"/>
                <w:szCs w:val="20"/>
              </w:rPr>
              <w:t> </w:t>
            </w:r>
            <w:r>
              <w:rPr>
                <w:rFonts w:ascii="宋体" w:hAnsi="宋体" w:cs="宋体" w:eastAsia="宋体" w:hint="default"/>
                <w:sz w:val="20"/>
                <w:szCs w:val="20"/>
              </w:rPr>
              <w:t>年</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pacing w:val="-8"/>
                <w:sz w:val="20"/>
                <w:szCs w:val="20"/>
              </w:rPr>
              <w:t>本公司、安徽安泰</w:t>
            </w:r>
          </w:p>
        </w:tc>
      </w:tr>
      <w:tr>
        <w:trPr>
          <w:trHeight w:val="634" w:hRule="exact"/>
        </w:trPr>
        <w:tc>
          <w:tcPr>
            <w:tcW w:w="52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0"/>
              <w:jc w:val="center"/>
              <w:rPr>
                <w:rFonts w:ascii="宋体" w:hAnsi="宋体" w:cs="宋体" w:eastAsia="宋体" w:hint="default"/>
                <w:sz w:val="20"/>
                <w:szCs w:val="20"/>
              </w:rPr>
            </w:pPr>
            <w:r>
              <w:rPr>
                <w:rFonts w:ascii="宋体"/>
                <w:sz w:val="20"/>
              </w:rPr>
              <w:t>18</w:t>
            </w:r>
          </w:p>
        </w:tc>
        <w:tc>
          <w:tcPr>
            <w:tcW w:w="3410"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293"/>
              <w:jc w:val="left"/>
              <w:rPr>
                <w:rFonts w:ascii="宋体" w:hAnsi="宋体" w:cs="宋体" w:eastAsia="宋体" w:hint="default"/>
                <w:sz w:val="20"/>
                <w:szCs w:val="20"/>
              </w:rPr>
            </w:pPr>
            <w:r>
              <w:rPr>
                <w:rFonts w:ascii="宋体" w:hAnsi="宋体" w:cs="宋体" w:eastAsia="宋体" w:hint="default"/>
                <w:sz w:val="20"/>
                <w:szCs w:val="20"/>
              </w:rPr>
              <w:t>一种溶剂混合控制系统和凹版印刷</w:t>
            </w:r>
            <w:r>
              <w:rPr>
                <w:rFonts w:ascii="宋体" w:hAnsi="宋体" w:cs="宋体" w:eastAsia="宋体" w:hint="default"/>
                <w:w w:val="100"/>
                <w:sz w:val="20"/>
                <w:szCs w:val="20"/>
              </w:rPr>
              <w:t> </w:t>
            </w:r>
            <w:r>
              <w:rPr>
                <w:rFonts w:ascii="宋体" w:hAnsi="宋体" w:cs="宋体" w:eastAsia="宋体" w:hint="default"/>
                <w:sz w:val="20"/>
                <w:szCs w:val="20"/>
              </w:rPr>
              <w:t>设备</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0"/>
              <w:jc w:val="center"/>
              <w:rPr>
                <w:rFonts w:ascii="宋体" w:hAnsi="宋体" w:cs="宋体" w:eastAsia="宋体" w:hint="default"/>
                <w:sz w:val="20"/>
                <w:szCs w:val="20"/>
              </w:rPr>
            </w:pPr>
            <w:r>
              <w:rPr>
                <w:rFonts w:ascii="宋体" w:hAnsi="宋体" w:cs="宋体" w:eastAsia="宋体" w:hint="default"/>
                <w:sz w:val="20"/>
                <w:szCs w:val="20"/>
              </w:rPr>
              <w:t>实用新型</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 w:right="0"/>
              <w:jc w:val="center"/>
              <w:rPr>
                <w:rFonts w:ascii="宋体" w:hAnsi="宋体" w:cs="宋体" w:eastAsia="宋体" w:hint="default"/>
                <w:sz w:val="20"/>
                <w:szCs w:val="20"/>
              </w:rPr>
            </w:pPr>
            <w:r>
              <w:rPr>
                <w:rFonts w:ascii="宋体"/>
                <w:sz w:val="20"/>
              </w:rPr>
              <w:t>ZL201721571681.2</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0"/>
              <w:jc w:val="center"/>
              <w:rPr>
                <w:rFonts w:ascii="宋体" w:hAnsi="宋体" w:cs="宋体" w:eastAsia="宋体" w:hint="default"/>
                <w:sz w:val="20"/>
                <w:szCs w:val="20"/>
              </w:rPr>
            </w:pPr>
            <w:r>
              <w:rPr>
                <w:rFonts w:ascii="宋体" w:hAnsi="宋体" w:cs="宋体" w:eastAsia="宋体" w:hint="default"/>
                <w:sz w:val="20"/>
                <w:szCs w:val="20"/>
              </w:rPr>
              <w:t>10</w:t>
            </w:r>
            <w:r>
              <w:rPr>
                <w:rFonts w:ascii="宋体" w:hAnsi="宋体" w:cs="宋体" w:eastAsia="宋体" w:hint="default"/>
                <w:spacing w:val="-50"/>
                <w:sz w:val="20"/>
                <w:szCs w:val="20"/>
              </w:rPr>
              <w:t> </w:t>
            </w:r>
            <w:r>
              <w:rPr>
                <w:rFonts w:ascii="宋体" w:hAnsi="宋体" w:cs="宋体" w:eastAsia="宋体" w:hint="default"/>
                <w:sz w:val="20"/>
                <w:szCs w:val="20"/>
              </w:rPr>
              <w:t>年</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pacing w:val="-8"/>
                <w:sz w:val="20"/>
                <w:szCs w:val="20"/>
              </w:rPr>
              <w:t>本公司、安徽安泰</w:t>
            </w:r>
          </w:p>
        </w:tc>
      </w:tr>
      <w:tr>
        <w:trPr>
          <w:trHeight w:val="385" w:hRule="exact"/>
        </w:trPr>
        <w:tc>
          <w:tcPr>
            <w:tcW w:w="526"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0"/>
              <w:jc w:val="center"/>
              <w:rPr>
                <w:rFonts w:ascii="宋体" w:hAnsi="宋体" w:cs="宋体" w:eastAsia="宋体" w:hint="default"/>
                <w:sz w:val="20"/>
                <w:szCs w:val="20"/>
              </w:rPr>
            </w:pPr>
            <w:r>
              <w:rPr>
                <w:rFonts w:ascii="宋体"/>
                <w:sz w:val="20"/>
              </w:rPr>
              <w:t>19</w:t>
            </w:r>
          </w:p>
        </w:tc>
        <w:tc>
          <w:tcPr>
            <w:tcW w:w="3410"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0"/>
                <w:szCs w:val="20"/>
              </w:rPr>
            </w:pPr>
            <w:r>
              <w:rPr>
                <w:rFonts w:ascii="宋体" w:hAnsi="宋体" w:cs="宋体" w:eastAsia="宋体" w:hint="default"/>
                <w:sz w:val="20"/>
                <w:szCs w:val="20"/>
              </w:rPr>
              <w:t>一种凹印版辊检测设备</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0"/>
              <w:jc w:val="center"/>
              <w:rPr>
                <w:rFonts w:ascii="宋体" w:hAnsi="宋体" w:cs="宋体" w:eastAsia="宋体" w:hint="default"/>
                <w:sz w:val="20"/>
                <w:szCs w:val="20"/>
              </w:rPr>
            </w:pPr>
            <w:r>
              <w:rPr>
                <w:rFonts w:ascii="宋体" w:hAnsi="宋体" w:cs="宋体" w:eastAsia="宋体" w:hint="default"/>
                <w:sz w:val="20"/>
                <w:szCs w:val="20"/>
              </w:rPr>
              <w:t>实用新型</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 w:right="0"/>
              <w:jc w:val="center"/>
              <w:rPr>
                <w:rFonts w:ascii="宋体" w:hAnsi="宋体" w:cs="宋体" w:eastAsia="宋体" w:hint="default"/>
                <w:sz w:val="20"/>
                <w:szCs w:val="20"/>
              </w:rPr>
            </w:pPr>
            <w:r>
              <w:rPr>
                <w:rFonts w:ascii="宋体"/>
                <w:sz w:val="20"/>
              </w:rPr>
              <w:t>ZL201820611518.2</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0"/>
              <w:jc w:val="center"/>
              <w:rPr>
                <w:rFonts w:ascii="宋体" w:hAnsi="宋体" w:cs="宋体" w:eastAsia="宋体" w:hint="default"/>
                <w:sz w:val="20"/>
                <w:szCs w:val="20"/>
              </w:rPr>
            </w:pPr>
            <w:r>
              <w:rPr>
                <w:rFonts w:ascii="宋体" w:hAnsi="宋体" w:cs="宋体" w:eastAsia="宋体" w:hint="default"/>
                <w:sz w:val="20"/>
                <w:szCs w:val="20"/>
              </w:rPr>
              <w:t>10</w:t>
            </w:r>
            <w:r>
              <w:rPr>
                <w:rFonts w:ascii="宋体" w:hAnsi="宋体" w:cs="宋体" w:eastAsia="宋体" w:hint="default"/>
                <w:spacing w:val="-50"/>
                <w:sz w:val="20"/>
                <w:szCs w:val="20"/>
              </w:rPr>
              <w:t> </w:t>
            </w:r>
            <w:r>
              <w:rPr>
                <w:rFonts w:ascii="宋体" w:hAnsi="宋体" w:cs="宋体" w:eastAsia="宋体" w:hint="default"/>
                <w:sz w:val="20"/>
                <w:szCs w:val="20"/>
              </w:rPr>
              <w:t>年</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0"/>
                <w:szCs w:val="20"/>
              </w:rPr>
            </w:pPr>
            <w:r>
              <w:rPr>
                <w:rFonts w:ascii="宋体" w:hAnsi="宋体" w:cs="宋体" w:eastAsia="宋体" w:hint="default"/>
                <w:spacing w:val="-8"/>
                <w:sz w:val="20"/>
                <w:szCs w:val="20"/>
              </w:rPr>
              <w:t>本公司、安徽安泰</w:t>
            </w:r>
          </w:p>
        </w:tc>
      </w:tr>
      <w:tr>
        <w:trPr>
          <w:trHeight w:val="385" w:hRule="exact"/>
        </w:trPr>
        <w:tc>
          <w:tcPr>
            <w:tcW w:w="52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0"/>
              <w:jc w:val="center"/>
              <w:rPr>
                <w:rFonts w:ascii="宋体" w:hAnsi="宋体" w:cs="宋体" w:eastAsia="宋体" w:hint="default"/>
                <w:sz w:val="20"/>
                <w:szCs w:val="20"/>
              </w:rPr>
            </w:pPr>
            <w:r>
              <w:rPr>
                <w:rFonts w:ascii="宋体"/>
                <w:sz w:val="20"/>
              </w:rPr>
              <w:t>20</w:t>
            </w:r>
          </w:p>
        </w:tc>
        <w:tc>
          <w:tcPr>
            <w:tcW w:w="341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一种凹版印刷机及其干燥系统</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0"/>
              <w:jc w:val="center"/>
              <w:rPr>
                <w:rFonts w:ascii="宋体" w:hAnsi="宋体" w:cs="宋体" w:eastAsia="宋体" w:hint="default"/>
                <w:sz w:val="20"/>
                <w:szCs w:val="20"/>
              </w:rPr>
            </w:pPr>
            <w:r>
              <w:rPr>
                <w:rFonts w:ascii="宋体" w:hAnsi="宋体" w:cs="宋体" w:eastAsia="宋体" w:hint="default"/>
                <w:sz w:val="20"/>
                <w:szCs w:val="20"/>
              </w:rPr>
              <w:t>实用新型</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 w:right="0"/>
              <w:jc w:val="center"/>
              <w:rPr>
                <w:rFonts w:ascii="宋体" w:hAnsi="宋体" w:cs="宋体" w:eastAsia="宋体" w:hint="default"/>
                <w:sz w:val="20"/>
                <w:szCs w:val="20"/>
              </w:rPr>
            </w:pPr>
            <w:r>
              <w:rPr>
                <w:rFonts w:ascii="宋体"/>
                <w:sz w:val="20"/>
              </w:rPr>
              <w:t>ZL201820621095.2</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0"/>
              <w:jc w:val="center"/>
              <w:rPr>
                <w:rFonts w:ascii="宋体" w:hAnsi="宋体" w:cs="宋体" w:eastAsia="宋体" w:hint="default"/>
                <w:sz w:val="20"/>
                <w:szCs w:val="20"/>
              </w:rPr>
            </w:pPr>
            <w:r>
              <w:rPr>
                <w:rFonts w:ascii="宋体" w:hAnsi="宋体" w:cs="宋体" w:eastAsia="宋体" w:hint="default"/>
                <w:sz w:val="20"/>
                <w:szCs w:val="20"/>
              </w:rPr>
              <w:t>10</w:t>
            </w:r>
            <w:r>
              <w:rPr>
                <w:rFonts w:ascii="宋体" w:hAnsi="宋体" w:cs="宋体" w:eastAsia="宋体" w:hint="default"/>
                <w:spacing w:val="-50"/>
                <w:sz w:val="20"/>
                <w:szCs w:val="20"/>
              </w:rPr>
              <w:t> </w:t>
            </w:r>
            <w:r>
              <w:rPr>
                <w:rFonts w:ascii="宋体" w:hAnsi="宋体" w:cs="宋体" w:eastAsia="宋体" w:hint="default"/>
                <w:sz w:val="20"/>
                <w:szCs w:val="20"/>
              </w:rPr>
              <w:t>年</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pacing w:val="-8"/>
                <w:sz w:val="20"/>
                <w:szCs w:val="20"/>
              </w:rPr>
              <w:t>本公司、安徽安泰</w:t>
            </w:r>
          </w:p>
        </w:tc>
      </w:tr>
      <w:tr>
        <w:trPr>
          <w:trHeight w:val="634" w:hRule="exact"/>
        </w:trPr>
        <w:tc>
          <w:tcPr>
            <w:tcW w:w="52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0"/>
              <w:jc w:val="center"/>
              <w:rPr>
                <w:rFonts w:ascii="宋体" w:hAnsi="宋体" w:cs="宋体" w:eastAsia="宋体" w:hint="default"/>
                <w:sz w:val="20"/>
                <w:szCs w:val="20"/>
              </w:rPr>
            </w:pPr>
            <w:r>
              <w:rPr>
                <w:rFonts w:ascii="宋体"/>
                <w:sz w:val="20"/>
              </w:rPr>
              <w:t>21</w:t>
            </w:r>
          </w:p>
        </w:tc>
        <w:tc>
          <w:tcPr>
            <w:tcW w:w="3410"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293"/>
              <w:jc w:val="left"/>
              <w:rPr>
                <w:rFonts w:ascii="宋体" w:hAnsi="宋体" w:cs="宋体" w:eastAsia="宋体" w:hint="default"/>
                <w:sz w:val="20"/>
                <w:szCs w:val="20"/>
              </w:rPr>
            </w:pPr>
            <w:r>
              <w:rPr>
                <w:rFonts w:ascii="宋体" w:hAnsi="宋体" w:cs="宋体" w:eastAsia="宋体" w:hint="default"/>
                <w:sz w:val="20"/>
                <w:szCs w:val="20"/>
              </w:rPr>
              <w:t>一种激光模切瓦楞纸箱全自动包装</w:t>
            </w:r>
            <w:r>
              <w:rPr>
                <w:rFonts w:ascii="宋体" w:hAnsi="宋体" w:cs="宋体" w:eastAsia="宋体" w:hint="default"/>
                <w:w w:val="100"/>
                <w:sz w:val="20"/>
                <w:szCs w:val="20"/>
              </w:rPr>
              <w:t> </w:t>
            </w:r>
            <w:r>
              <w:rPr>
                <w:rFonts w:ascii="宋体" w:hAnsi="宋体" w:cs="宋体" w:eastAsia="宋体" w:hint="default"/>
                <w:sz w:val="20"/>
                <w:szCs w:val="20"/>
              </w:rPr>
              <w:t>机构</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0"/>
              <w:jc w:val="center"/>
              <w:rPr>
                <w:rFonts w:ascii="宋体" w:hAnsi="宋体" w:cs="宋体" w:eastAsia="宋体" w:hint="default"/>
                <w:sz w:val="20"/>
                <w:szCs w:val="20"/>
              </w:rPr>
            </w:pPr>
            <w:r>
              <w:rPr>
                <w:rFonts w:ascii="宋体" w:hAnsi="宋体" w:cs="宋体" w:eastAsia="宋体" w:hint="default"/>
                <w:sz w:val="20"/>
                <w:szCs w:val="20"/>
              </w:rPr>
              <w:t>实用新型</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 w:right="0"/>
              <w:jc w:val="center"/>
              <w:rPr>
                <w:rFonts w:ascii="宋体" w:hAnsi="宋体" w:cs="宋体" w:eastAsia="宋体" w:hint="default"/>
                <w:sz w:val="20"/>
                <w:szCs w:val="20"/>
              </w:rPr>
            </w:pPr>
            <w:r>
              <w:rPr>
                <w:rFonts w:ascii="宋体"/>
                <w:sz w:val="20"/>
              </w:rPr>
              <w:t>ZL201721172411.4</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0"/>
              <w:jc w:val="center"/>
              <w:rPr>
                <w:rFonts w:ascii="宋体" w:hAnsi="宋体" w:cs="宋体" w:eastAsia="宋体" w:hint="default"/>
                <w:sz w:val="20"/>
                <w:szCs w:val="20"/>
              </w:rPr>
            </w:pPr>
            <w:r>
              <w:rPr>
                <w:rFonts w:ascii="宋体" w:hAnsi="宋体" w:cs="宋体" w:eastAsia="宋体" w:hint="default"/>
                <w:sz w:val="20"/>
                <w:szCs w:val="20"/>
              </w:rPr>
              <w:t>10</w:t>
            </w:r>
            <w:r>
              <w:rPr>
                <w:rFonts w:ascii="宋体" w:hAnsi="宋体" w:cs="宋体" w:eastAsia="宋体" w:hint="default"/>
                <w:spacing w:val="-50"/>
                <w:sz w:val="20"/>
                <w:szCs w:val="20"/>
              </w:rPr>
              <w:t> </w:t>
            </w:r>
            <w:r>
              <w:rPr>
                <w:rFonts w:ascii="宋体" w:hAnsi="宋体" w:cs="宋体" w:eastAsia="宋体" w:hint="default"/>
                <w:sz w:val="20"/>
                <w:szCs w:val="20"/>
              </w:rPr>
              <w:t>年</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pacing w:val="-8"/>
                <w:sz w:val="20"/>
                <w:szCs w:val="20"/>
              </w:rPr>
              <w:t>本公司、北京弘浩</w:t>
            </w:r>
          </w:p>
        </w:tc>
      </w:tr>
      <w:tr>
        <w:trPr>
          <w:trHeight w:val="385" w:hRule="exact"/>
        </w:trPr>
        <w:tc>
          <w:tcPr>
            <w:tcW w:w="526"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0"/>
              <w:jc w:val="center"/>
              <w:rPr>
                <w:rFonts w:ascii="宋体" w:hAnsi="宋体" w:cs="宋体" w:eastAsia="宋体" w:hint="default"/>
                <w:sz w:val="20"/>
                <w:szCs w:val="20"/>
              </w:rPr>
            </w:pPr>
            <w:r>
              <w:rPr>
                <w:rFonts w:ascii="宋体"/>
                <w:sz w:val="20"/>
              </w:rPr>
              <w:t>22</w:t>
            </w:r>
          </w:p>
        </w:tc>
        <w:tc>
          <w:tcPr>
            <w:tcW w:w="3410"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0"/>
                <w:szCs w:val="20"/>
              </w:rPr>
            </w:pPr>
            <w:r>
              <w:rPr>
                <w:rFonts w:ascii="宋体" w:hAnsi="宋体" w:cs="宋体" w:eastAsia="宋体" w:hint="default"/>
                <w:sz w:val="20"/>
                <w:szCs w:val="20"/>
              </w:rPr>
              <w:t>自动烫印凹凸模切一体装置</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0"/>
              <w:jc w:val="center"/>
              <w:rPr>
                <w:rFonts w:ascii="宋体" w:hAnsi="宋体" w:cs="宋体" w:eastAsia="宋体" w:hint="default"/>
                <w:sz w:val="20"/>
                <w:szCs w:val="20"/>
              </w:rPr>
            </w:pPr>
            <w:r>
              <w:rPr>
                <w:rFonts w:ascii="宋体" w:hAnsi="宋体" w:cs="宋体" w:eastAsia="宋体" w:hint="default"/>
                <w:sz w:val="20"/>
                <w:szCs w:val="20"/>
              </w:rPr>
              <w:t>实用新型</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 w:right="0"/>
              <w:jc w:val="center"/>
              <w:rPr>
                <w:rFonts w:ascii="宋体" w:hAnsi="宋体" w:cs="宋体" w:eastAsia="宋体" w:hint="default"/>
                <w:sz w:val="20"/>
                <w:szCs w:val="20"/>
              </w:rPr>
            </w:pPr>
            <w:r>
              <w:rPr>
                <w:rFonts w:ascii="宋体"/>
                <w:sz w:val="20"/>
              </w:rPr>
              <w:t>ZL201721045153.3</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0"/>
              <w:jc w:val="center"/>
              <w:rPr>
                <w:rFonts w:ascii="宋体" w:hAnsi="宋体" w:cs="宋体" w:eastAsia="宋体" w:hint="default"/>
                <w:sz w:val="20"/>
                <w:szCs w:val="20"/>
              </w:rPr>
            </w:pPr>
            <w:r>
              <w:rPr>
                <w:rFonts w:ascii="宋体" w:hAnsi="宋体" w:cs="宋体" w:eastAsia="宋体" w:hint="default"/>
                <w:sz w:val="20"/>
                <w:szCs w:val="20"/>
              </w:rPr>
              <w:t>10</w:t>
            </w:r>
            <w:r>
              <w:rPr>
                <w:rFonts w:ascii="宋体" w:hAnsi="宋体" w:cs="宋体" w:eastAsia="宋体" w:hint="default"/>
                <w:spacing w:val="-50"/>
                <w:sz w:val="20"/>
                <w:szCs w:val="20"/>
              </w:rPr>
              <w:t> </w:t>
            </w:r>
            <w:r>
              <w:rPr>
                <w:rFonts w:ascii="宋体" w:hAnsi="宋体" w:cs="宋体" w:eastAsia="宋体" w:hint="default"/>
                <w:sz w:val="20"/>
                <w:szCs w:val="20"/>
              </w:rPr>
              <w:t>年</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0"/>
                <w:szCs w:val="20"/>
              </w:rPr>
            </w:pPr>
            <w:r>
              <w:rPr>
                <w:rFonts w:ascii="宋体" w:hAnsi="宋体" w:cs="宋体" w:eastAsia="宋体" w:hint="default"/>
                <w:sz w:val="20"/>
                <w:szCs w:val="20"/>
              </w:rPr>
              <w:t>丰彩丽</w:t>
            </w:r>
          </w:p>
        </w:tc>
      </w:tr>
      <w:tr>
        <w:trPr>
          <w:trHeight w:val="385" w:hRule="exact"/>
        </w:trPr>
        <w:tc>
          <w:tcPr>
            <w:tcW w:w="52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0"/>
              <w:jc w:val="center"/>
              <w:rPr>
                <w:rFonts w:ascii="宋体" w:hAnsi="宋体" w:cs="宋体" w:eastAsia="宋体" w:hint="default"/>
                <w:sz w:val="20"/>
                <w:szCs w:val="20"/>
              </w:rPr>
            </w:pPr>
            <w:r>
              <w:rPr>
                <w:rFonts w:ascii="宋体"/>
                <w:sz w:val="20"/>
              </w:rPr>
              <w:t>23</w:t>
            </w:r>
          </w:p>
        </w:tc>
        <w:tc>
          <w:tcPr>
            <w:tcW w:w="341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成套烟标自动有序收集装置</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0"/>
              <w:jc w:val="center"/>
              <w:rPr>
                <w:rFonts w:ascii="宋体" w:hAnsi="宋体" w:cs="宋体" w:eastAsia="宋体" w:hint="default"/>
                <w:sz w:val="20"/>
                <w:szCs w:val="20"/>
              </w:rPr>
            </w:pPr>
            <w:r>
              <w:rPr>
                <w:rFonts w:ascii="宋体" w:hAnsi="宋体" w:cs="宋体" w:eastAsia="宋体" w:hint="default"/>
                <w:sz w:val="20"/>
                <w:szCs w:val="20"/>
              </w:rPr>
              <w:t>实用新型</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 w:right="0"/>
              <w:jc w:val="center"/>
              <w:rPr>
                <w:rFonts w:ascii="宋体" w:hAnsi="宋体" w:cs="宋体" w:eastAsia="宋体" w:hint="default"/>
                <w:sz w:val="20"/>
                <w:szCs w:val="20"/>
              </w:rPr>
            </w:pPr>
            <w:r>
              <w:rPr>
                <w:rFonts w:ascii="宋体"/>
                <w:sz w:val="20"/>
              </w:rPr>
              <w:t>ZL201820286006.3</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0"/>
              <w:jc w:val="center"/>
              <w:rPr>
                <w:rFonts w:ascii="宋体" w:hAnsi="宋体" w:cs="宋体" w:eastAsia="宋体" w:hint="default"/>
                <w:sz w:val="20"/>
                <w:szCs w:val="20"/>
              </w:rPr>
            </w:pPr>
            <w:r>
              <w:rPr>
                <w:rFonts w:ascii="宋体" w:hAnsi="宋体" w:cs="宋体" w:eastAsia="宋体" w:hint="default"/>
                <w:sz w:val="20"/>
                <w:szCs w:val="20"/>
              </w:rPr>
              <w:t>10</w:t>
            </w:r>
            <w:r>
              <w:rPr>
                <w:rFonts w:ascii="宋体" w:hAnsi="宋体" w:cs="宋体" w:eastAsia="宋体" w:hint="default"/>
                <w:spacing w:val="-50"/>
                <w:sz w:val="20"/>
                <w:szCs w:val="20"/>
              </w:rPr>
              <w:t> </w:t>
            </w:r>
            <w:r>
              <w:rPr>
                <w:rFonts w:ascii="宋体" w:hAnsi="宋体" w:cs="宋体" w:eastAsia="宋体" w:hint="default"/>
                <w:sz w:val="20"/>
                <w:szCs w:val="20"/>
              </w:rPr>
              <w:t>年</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嘉颐泽</w:t>
            </w:r>
          </w:p>
        </w:tc>
      </w:tr>
    </w:tbl>
    <w:p>
      <w:pPr>
        <w:spacing w:after="0" w:line="256" w:lineRule="exact"/>
        <w:jc w:val="left"/>
        <w:rPr>
          <w:rFonts w:ascii="宋体" w:hAnsi="宋体" w:cs="宋体" w:eastAsia="宋体" w:hint="default"/>
          <w:sz w:val="20"/>
          <w:szCs w:val="20"/>
        </w:rPr>
        <w:sectPr>
          <w:pgSz w:w="11910" w:h="16840"/>
          <w:pgMar w:header="747" w:footer="979" w:top="1060" w:bottom="1160" w:left="92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01" w:type="dxa"/>
        <w:tblLayout w:type="fixed"/>
        <w:tblCellMar>
          <w:top w:w="0" w:type="dxa"/>
          <w:left w:w="0" w:type="dxa"/>
          <w:bottom w:w="0" w:type="dxa"/>
          <w:right w:w="0" w:type="dxa"/>
        </w:tblCellMar>
        <w:tblLook w:val="01E0"/>
      </w:tblPr>
      <w:tblGrid>
        <w:gridCol w:w="526"/>
        <w:gridCol w:w="3410"/>
        <w:gridCol w:w="1135"/>
        <w:gridCol w:w="1984"/>
        <w:gridCol w:w="1044"/>
        <w:gridCol w:w="1757"/>
      </w:tblGrid>
      <w:tr>
        <w:trPr>
          <w:trHeight w:val="385" w:hRule="exact"/>
        </w:trPr>
        <w:tc>
          <w:tcPr>
            <w:tcW w:w="52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0"/>
              <w:jc w:val="center"/>
              <w:rPr>
                <w:rFonts w:ascii="宋体" w:hAnsi="宋体" w:cs="宋体" w:eastAsia="宋体" w:hint="default"/>
                <w:sz w:val="20"/>
                <w:szCs w:val="20"/>
              </w:rPr>
            </w:pPr>
            <w:r>
              <w:rPr>
                <w:rFonts w:ascii="宋体"/>
                <w:sz w:val="20"/>
              </w:rPr>
              <w:t>24</w:t>
            </w:r>
          </w:p>
        </w:tc>
        <w:tc>
          <w:tcPr>
            <w:tcW w:w="341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一种新型温控丝印刮刀组件</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0"/>
              <w:jc w:val="center"/>
              <w:rPr>
                <w:rFonts w:ascii="宋体" w:hAnsi="宋体" w:cs="宋体" w:eastAsia="宋体" w:hint="default"/>
                <w:sz w:val="20"/>
                <w:szCs w:val="20"/>
              </w:rPr>
            </w:pPr>
            <w:r>
              <w:rPr>
                <w:rFonts w:ascii="宋体" w:hAnsi="宋体" w:cs="宋体" w:eastAsia="宋体" w:hint="default"/>
                <w:sz w:val="20"/>
                <w:szCs w:val="20"/>
              </w:rPr>
              <w:t>实用新型</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84"/>
              <w:jc w:val="right"/>
              <w:rPr>
                <w:rFonts w:ascii="宋体" w:hAnsi="宋体" w:cs="宋体" w:eastAsia="宋体" w:hint="default"/>
                <w:sz w:val="20"/>
                <w:szCs w:val="20"/>
              </w:rPr>
            </w:pPr>
            <w:r>
              <w:rPr>
                <w:rFonts w:ascii="宋体"/>
                <w:spacing w:val="-1"/>
                <w:sz w:val="20"/>
              </w:rPr>
              <w:t>ZL201820286015.2</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0"/>
              <w:jc w:val="center"/>
              <w:rPr>
                <w:rFonts w:ascii="宋体" w:hAnsi="宋体" w:cs="宋体" w:eastAsia="宋体" w:hint="default"/>
                <w:sz w:val="20"/>
                <w:szCs w:val="20"/>
              </w:rPr>
            </w:pPr>
            <w:r>
              <w:rPr>
                <w:rFonts w:ascii="宋体" w:hAnsi="宋体" w:cs="宋体" w:eastAsia="宋体" w:hint="default"/>
                <w:sz w:val="20"/>
                <w:szCs w:val="20"/>
              </w:rPr>
              <w:t>10</w:t>
            </w:r>
            <w:r>
              <w:rPr>
                <w:rFonts w:ascii="宋体" w:hAnsi="宋体" w:cs="宋体" w:eastAsia="宋体" w:hint="default"/>
                <w:spacing w:val="-50"/>
                <w:sz w:val="20"/>
                <w:szCs w:val="20"/>
              </w:rPr>
              <w:t> </w:t>
            </w:r>
            <w:r>
              <w:rPr>
                <w:rFonts w:ascii="宋体" w:hAnsi="宋体" w:cs="宋体" w:eastAsia="宋体" w:hint="default"/>
                <w:sz w:val="20"/>
                <w:szCs w:val="20"/>
              </w:rPr>
              <w:t>年</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嘉颐泽</w:t>
            </w:r>
          </w:p>
        </w:tc>
      </w:tr>
      <w:tr>
        <w:trPr>
          <w:trHeight w:val="385" w:hRule="exact"/>
        </w:trPr>
        <w:tc>
          <w:tcPr>
            <w:tcW w:w="52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0"/>
              <w:jc w:val="center"/>
              <w:rPr>
                <w:rFonts w:ascii="宋体" w:hAnsi="宋体" w:cs="宋体" w:eastAsia="宋体" w:hint="default"/>
                <w:sz w:val="20"/>
                <w:szCs w:val="20"/>
              </w:rPr>
            </w:pPr>
            <w:r>
              <w:rPr>
                <w:rFonts w:ascii="宋体"/>
                <w:sz w:val="20"/>
              </w:rPr>
              <w:t>25</w:t>
            </w:r>
          </w:p>
        </w:tc>
        <w:tc>
          <w:tcPr>
            <w:tcW w:w="341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烫金机电化铝自动回收装置</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0"/>
              <w:jc w:val="center"/>
              <w:rPr>
                <w:rFonts w:ascii="宋体" w:hAnsi="宋体" w:cs="宋体" w:eastAsia="宋体" w:hint="default"/>
                <w:sz w:val="20"/>
                <w:szCs w:val="20"/>
              </w:rPr>
            </w:pPr>
            <w:r>
              <w:rPr>
                <w:rFonts w:ascii="宋体" w:hAnsi="宋体" w:cs="宋体" w:eastAsia="宋体" w:hint="default"/>
                <w:sz w:val="20"/>
                <w:szCs w:val="20"/>
              </w:rPr>
              <w:t>实用新型</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84"/>
              <w:jc w:val="right"/>
              <w:rPr>
                <w:rFonts w:ascii="宋体" w:hAnsi="宋体" w:cs="宋体" w:eastAsia="宋体" w:hint="default"/>
                <w:sz w:val="20"/>
                <w:szCs w:val="20"/>
              </w:rPr>
            </w:pPr>
            <w:r>
              <w:rPr>
                <w:rFonts w:ascii="宋体"/>
                <w:spacing w:val="-1"/>
                <w:sz w:val="20"/>
              </w:rPr>
              <w:t>ZL201721452446.3</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0"/>
              <w:jc w:val="center"/>
              <w:rPr>
                <w:rFonts w:ascii="宋体" w:hAnsi="宋体" w:cs="宋体" w:eastAsia="宋体" w:hint="default"/>
                <w:sz w:val="20"/>
                <w:szCs w:val="20"/>
              </w:rPr>
            </w:pPr>
            <w:r>
              <w:rPr>
                <w:rFonts w:ascii="宋体" w:hAnsi="宋体" w:cs="宋体" w:eastAsia="宋体" w:hint="default"/>
                <w:sz w:val="20"/>
                <w:szCs w:val="20"/>
              </w:rPr>
              <w:t>10</w:t>
            </w:r>
            <w:r>
              <w:rPr>
                <w:rFonts w:ascii="宋体" w:hAnsi="宋体" w:cs="宋体" w:eastAsia="宋体" w:hint="default"/>
                <w:spacing w:val="-50"/>
                <w:sz w:val="20"/>
                <w:szCs w:val="20"/>
              </w:rPr>
              <w:t> </w:t>
            </w:r>
            <w:r>
              <w:rPr>
                <w:rFonts w:ascii="宋体" w:hAnsi="宋体" w:cs="宋体" w:eastAsia="宋体" w:hint="default"/>
                <w:sz w:val="20"/>
                <w:szCs w:val="20"/>
              </w:rPr>
              <w:t>年</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江苏劲嘉</w:t>
            </w:r>
          </w:p>
        </w:tc>
      </w:tr>
      <w:tr>
        <w:trPr>
          <w:trHeight w:val="385" w:hRule="exact"/>
        </w:trPr>
        <w:tc>
          <w:tcPr>
            <w:tcW w:w="52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0"/>
              <w:jc w:val="center"/>
              <w:rPr>
                <w:rFonts w:ascii="宋体" w:hAnsi="宋体" w:cs="宋体" w:eastAsia="宋体" w:hint="default"/>
                <w:sz w:val="20"/>
                <w:szCs w:val="20"/>
              </w:rPr>
            </w:pPr>
            <w:r>
              <w:rPr>
                <w:rFonts w:ascii="宋体"/>
                <w:sz w:val="20"/>
              </w:rPr>
              <w:t>26</w:t>
            </w:r>
          </w:p>
        </w:tc>
        <w:tc>
          <w:tcPr>
            <w:tcW w:w="341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包装盒纸覆膜一体生产线</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0"/>
              <w:jc w:val="center"/>
              <w:rPr>
                <w:rFonts w:ascii="宋体" w:hAnsi="宋体" w:cs="宋体" w:eastAsia="宋体" w:hint="default"/>
                <w:sz w:val="20"/>
                <w:szCs w:val="20"/>
              </w:rPr>
            </w:pPr>
            <w:r>
              <w:rPr>
                <w:rFonts w:ascii="宋体" w:hAnsi="宋体" w:cs="宋体" w:eastAsia="宋体" w:hint="default"/>
                <w:sz w:val="20"/>
                <w:szCs w:val="20"/>
              </w:rPr>
              <w:t>实用新型</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84"/>
              <w:jc w:val="right"/>
              <w:rPr>
                <w:rFonts w:ascii="宋体" w:hAnsi="宋体" w:cs="宋体" w:eastAsia="宋体" w:hint="default"/>
                <w:sz w:val="20"/>
                <w:szCs w:val="20"/>
              </w:rPr>
            </w:pPr>
            <w:r>
              <w:rPr>
                <w:rFonts w:ascii="宋体"/>
                <w:spacing w:val="-1"/>
                <w:sz w:val="20"/>
              </w:rPr>
              <w:t>ZL201721452817.8</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0"/>
              <w:jc w:val="center"/>
              <w:rPr>
                <w:rFonts w:ascii="宋体" w:hAnsi="宋体" w:cs="宋体" w:eastAsia="宋体" w:hint="default"/>
                <w:sz w:val="20"/>
                <w:szCs w:val="20"/>
              </w:rPr>
            </w:pPr>
            <w:r>
              <w:rPr>
                <w:rFonts w:ascii="宋体" w:hAnsi="宋体" w:cs="宋体" w:eastAsia="宋体" w:hint="default"/>
                <w:sz w:val="20"/>
                <w:szCs w:val="20"/>
              </w:rPr>
              <w:t>10</w:t>
            </w:r>
            <w:r>
              <w:rPr>
                <w:rFonts w:ascii="宋体" w:hAnsi="宋体" w:cs="宋体" w:eastAsia="宋体" w:hint="default"/>
                <w:spacing w:val="-50"/>
                <w:sz w:val="20"/>
                <w:szCs w:val="20"/>
              </w:rPr>
              <w:t> </w:t>
            </w:r>
            <w:r>
              <w:rPr>
                <w:rFonts w:ascii="宋体" w:hAnsi="宋体" w:cs="宋体" w:eastAsia="宋体" w:hint="default"/>
                <w:sz w:val="20"/>
                <w:szCs w:val="20"/>
              </w:rPr>
              <w:t>年</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江苏劲嘉</w:t>
            </w:r>
          </w:p>
        </w:tc>
      </w:tr>
      <w:tr>
        <w:trPr>
          <w:trHeight w:val="384" w:hRule="exact"/>
        </w:trPr>
        <w:tc>
          <w:tcPr>
            <w:tcW w:w="526"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0"/>
              <w:jc w:val="center"/>
              <w:rPr>
                <w:rFonts w:ascii="宋体" w:hAnsi="宋体" w:cs="宋体" w:eastAsia="宋体" w:hint="default"/>
                <w:sz w:val="20"/>
                <w:szCs w:val="20"/>
              </w:rPr>
            </w:pPr>
            <w:r>
              <w:rPr>
                <w:rFonts w:ascii="宋体"/>
                <w:sz w:val="20"/>
              </w:rPr>
              <w:t>27</w:t>
            </w:r>
          </w:p>
        </w:tc>
        <w:tc>
          <w:tcPr>
            <w:tcW w:w="3410"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0"/>
                <w:szCs w:val="20"/>
              </w:rPr>
            </w:pPr>
            <w:r>
              <w:rPr>
                <w:rFonts w:ascii="宋体" w:hAnsi="宋体" w:cs="宋体" w:eastAsia="宋体" w:hint="default"/>
                <w:sz w:val="20"/>
                <w:szCs w:val="20"/>
              </w:rPr>
              <w:t>印刷烫金打样机</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0"/>
              <w:jc w:val="center"/>
              <w:rPr>
                <w:rFonts w:ascii="宋体" w:hAnsi="宋体" w:cs="宋体" w:eastAsia="宋体" w:hint="default"/>
                <w:sz w:val="20"/>
                <w:szCs w:val="20"/>
              </w:rPr>
            </w:pPr>
            <w:r>
              <w:rPr>
                <w:rFonts w:ascii="宋体" w:hAnsi="宋体" w:cs="宋体" w:eastAsia="宋体" w:hint="default"/>
                <w:sz w:val="20"/>
                <w:szCs w:val="20"/>
              </w:rPr>
              <w:t>实用新型</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184"/>
              <w:jc w:val="right"/>
              <w:rPr>
                <w:rFonts w:ascii="宋体" w:hAnsi="宋体" w:cs="宋体" w:eastAsia="宋体" w:hint="default"/>
                <w:sz w:val="20"/>
                <w:szCs w:val="20"/>
              </w:rPr>
            </w:pPr>
            <w:r>
              <w:rPr>
                <w:rFonts w:ascii="宋体"/>
                <w:spacing w:val="-1"/>
                <w:sz w:val="20"/>
              </w:rPr>
              <w:t>ZL201721540103.2</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0"/>
              <w:jc w:val="center"/>
              <w:rPr>
                <w:rFonts w:ascii="宋体" w:hAnsi="宋体" w:cs="宋体" w:eastAsia="宋体" w:hint="default"/>
                <w:sz w:val="20"/>
                <w:szCs w:val="20"/>
              </w:rPr>
            </w:pPr>
            <w:r>
              <w:rPr>
                <w:rFonts w:ascii="宋体" w:hAnsi="宋体" w:cs="宋体" w:eastAsia="宋体" w:hint="default"/>
                <w:sz w:val="20"/>
                <w:szCs w:val="20"/>
              </w:rPr>
              <w:t>10</w:t>
            </w:r>
            <w:r>
              <w:rPr>
                <w:rFonts w:ascii="宋体" w:hAnsi="宋体" w:cs="宋体" w:eastAsia="宋体" w:hint="default"/>
                <w:spacing w:val="-50"/>
                <w:sz w:val="20"/>
                <w:szCs w:val="20"/>
              </w:rPr>
              <w:t> </w:t>
            </w:r>
            <w:r>
              <w:rPr>
                <w:rFonts w:ascii="宋体" w:hAnsi="宋体" w:cs="宋体" w:eastAsia="宋体" w:hint="default"/>
                <w:sz w:val="20"/>
                <w:szCs w:val="20"/>
              </w:rPr>
              <w:t>年</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0"/>
                <w:szCs w:val="20"/>
              </w:rPr>
            </w:pPr>
            <w:r>
              <w:rPr>
                <w:rFonts w:ascii="宋体" w:hAnsi="宋体" w:cs="宋体" w:eastAsia="宋体" w:hint="default"/>
                <w:sz w:val="20"/>
                <w:szCs w:val="20"/>
              </w:rPr>
              <w:t>江苏劲嘉</w:t>
            </w:r>
          </w:p>
        </w:tc>
      </w:tr>
      <w:tr>
        <w:trPr>
          <w:trHeight w:val="385" w:hRule="exact"/>
        </w:trPr>
        <w:tc>
          <w:tcPr>
            <w:tcW w:w="526"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0"/>
              <w:jc w:val="center"/>
              <w:rPr>
                <w:rFonts w:ascii="宋体" w:hAnsi="宋体" w:cs="宋体" w:eastAsia="宋体" w:hint="default"/>
                <w:sz w:val="20"/>
                <w:szCs w:val="20"/>
              </w:rPr>
            </w:pPr>
            <w:r>
              <w:rPr>
                <w:rFonts w:ascii="宋体"/>
                <w:sz w:val="20"/>
              </w:rPr>
              <w:t>28</w:t>
            </w:r>
          </w:p>
        </w:tc>
        <w:tc>
          <w:tcPr>
            <w:tcW w:w="3410"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0"/>
                <w:szCs w:val="20"/>
              </w:rPr>
            </w:pPr>
            <w:r>
              <w:rPr>
                <w:rFonts w:ascii="宋体" w:hAnsi="宋体" w:cs="宋体" w:eastAsia="宋体" w:hint="default"/>
                <w:sz w:val="20"/>
                <w:szCs w:val="20"/>
              </w:rPr>
              <w:t>具有杀菌功能的烟盒检纸机</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0"/>
              <w:jc w:val="center"/>
              <w:rPr>
                <w:rFonts w:ascii="宋体" w:hAnsi="宋体" w:cs="宋体" w:eastAsia="宋体" w:hint="default"/>
                <w:sz w:val="20"/>
                <w:szCs w:val="20"/>
              </w:rPr>
            </w:pPr>
            <w:r>
              <w:rPr>
                <w:rFonts w:ascii="宋体" w:hAnsi="宋体" w:cs="宋体" w:eastAsia="宋体" w:hint="default"/>
                <w:sz w:val="20"/>
                <w:szCs w:val="20"/>
              </w:rPr>
              <w:t>实用新型</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184"/>
              <w:jc w:val="right"/>
              <w:rPr>
                <w:rFonts w:ascii="宋体" w:hAnsi="宋体" w:cs="宋体" w:eastAsia="宋体" w:hint="default"/>
                <w:sz w:val="20"/>
                <w:szCs w:val="20"/>
              </w:rPr>
            </w:pPr>
            <w:r>
              <w:rPr>
                <w:rFonts w:ascii="宋体"/>
                <w:spacing w:val="-1"/>
                <w:sz w:val="20"/>
              </w:rPr>
              <w:t>ZL201721540104.7</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0"/>
              <w:jc w:val="center"/>
              <w:rPr>
                <w:rFonts w:ascii="宋体" w:hAnsi="宋体" w:cs="宋体" w:eastAsia="宋体" w:hint="default"/>
                <w:sz w:val="20"/>
                <w:szCs w:val="20"/>
              </w:rPr>
            </w:pPr>
            <w:r>
              <w:rPr>
                <w:rFonts w:ascii="宋体" w:hAnsi="宋体" w:cs="宋体" w:eastAsia="宋体" w:hint="default"/>
                <w:sz w:val="20"/>
                <w:szCs w:val="20"/>
              </w:rPr>
              <w:t>10</w:t>
            </w:r>
            <w:r>
              <w:rPr>
                <w:rFonts w:ascii="宋体" w:hAnsi="宋体" w:cs="宋体" w:eastAsia="宋体" w:hint="default"/>
                <w:spacing w:val="-50"/>
                <w:sz w:val="20"/>
                <w:szCs w:val="20"/>
              </w:rPr>
              <w:t> </w:t>
            </w:r>
            <w:r>
              <w:rPr>
                <w:rFonts w:ascii="宋体" w:hAnsi="宋体" w:cs="宋体" w:eastAsia="宋体" w:hint="default"/>
                <w:sz w:val="20"/>
                <w:szCs w:val="20"/>
              </w:rPr>
              <w:t>年</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0"/>
                <w:szCs w:val="20"/>
              </w:rPr>
            </w:pPr>
            <w:r>
              <w:rPr>
                <w:rFonts w:ascii="宋体" w:hAnsi="宋体" w:cs="宋体" w:eastAsia="宋体" w:hint="default"/>
                <w:sz w:val="20"/>
                <w:szCs w:val="20"/>
              </w:rPr>
              <w:t>江苏劲嘉</w:t>
            </w:r>
          </w:p>
        </w:tc>
      </w:tr>
      <w:tr>
        <w:trPr>
          <w:trHeight w:val="385" w:hRule="exact"/>
        </w:trPr>
        <w:tc>
          <w:tcPr>
            <w:tcW w:w="526"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0"/>
              <w:jc w:val="center"/>
              <w:rPr>
                <w:rFonts w:ascii="宋体" w:hAnsi="宋体" w:cs="宋体" w:eastAsia="宋体" w:hint="default"/>
                <w:sz w:val="20"/>
                <w:szCs w:val="20"/>
              </w:rPr>
            </w:pPr>
            <w:r>
              <w:rPr>
                <w:rFonts w:ascii="宋体"/>
                <w:sz w:val="20"/>
              </w:rPr>
              <w:t>29</w:t>
            </w:r>
          </w:p>
        </w:tc>
        <w:tc>
          <w:tcPr>
            <w:tcW w:w="3410"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0"/>
                <w:szCs w:val="20"/>
              </w:rPr>
            </w:pPr>
            <w:r>
              <w:rPr>
                <w:rFonts w:ascii="宋体" w:hAnsi="宋体" w:cs="宋体" w:eastAsia="宋体" w:hint="default"/>
                <w:sz w:val="20"/>
                <w:szCs w:val="20"/>
              </w:rPr>
              <w:t>一种新型丝网机多用途烘道</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0"/>
              <w:jc w:val="center"/>
              <w:rPr>
                <w:rFonts w:ascii="宋体" w:hAnsi="宋体" w:cs="宋体" w:eastAsia="宋体" w:hint="default"/>
                <w:sz w:val="20"/>
                <w:szCs w:val="20"/>
              </w:rPr>
            </w:pPr>
            <w:r>
              <w:rPr>
                <w:rFonts w:ascii="宋体" w:hAnsi="宋体" w:cs="宋体" w:eastAsia="宋体" w:hint="default"/>
                <w:sz w:val="20"/>
                <w:szCs w:val="20"/>
              </w:rPr>
              <w:t>实用新型</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184"/>
              <w:jc w:val="right"/>
              <w:rPr>
                <w:rFonts w:ascii="宋体" w:hAnsi="宋体" w:cs="宋体" w:eastAsia="宋体" w:hint="default"/>
                <w:sz w:val="20"/>
                <w:szCs w:val="20"/>
              </w:rPr>
            </w:pPr>
            <w:r>
              <w:rPr>
                <w:rFonts w:ascii="宋体"/>
                <w:spacing w:val="-1"/>
                <w:sz w:val="20"/>
              </w:rPr>
              <w:t>ZL201820010857.5</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0"/>
              <w:jc w:val="center"/>
              <w:rPr>
                <w:rFonts w:ascii="宋体" w:hAnsi="宋体" w:cs="宋体" w:eastAsia="宋体" w:hint="default"/>
                <w:sz w:val="20"/>
                <w:szCs w:val="20"/>
              </w:rPr>
            </w:pPr>
            <w:r>
              <w:rPr>
                <w:rFonts w:ascii="宋体" w:hAnsi="宋体" w:cs="宋体" w:eastAsia="宋体" w:hint="default"/>
                <w:sz w:val="20"/>
                <w:szCs w:val="20"/>
              </w:rPr>
              <w:t>10</w:t>
            </w:r>
            <w:r>
              <w:rPr>
                <w:rFonts w:ascii="宋体" w:hAnsi="宋体" w:cs="宋体" w:eastAsia="宋体" w:hint="default"/>
                <w:spacing w:val="-50"/>
                <w:sz w:val="20"/>
                <w:szCs w:val="20"/>
              </w:rPr>
              <w:t> </w:t>
            </w:r>
            <w:r>
              <w:rPr>
                <w:rFonts w:ascii="宋体" w:hAnsi="宋体" w:cs="宋体" w:eastAsia="宋体" w:hint="default"/>
                <w:sz w:val="20"/>
                <w:szCs w:val="20"/>
              </w:rPr>
              <w:t>年</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0"/>
                <w:szCs w:val="20"/>
              </w:rPr>
            </w:pPr>
            <w:r>
              <w:rPr>
                <w:rFonts w:ascii="宋体" w:hAnsi="宋体" w:cs="宋体" w:eastAsia="宋体" w:hint="default"/>
                <w:sz w:val="20"/>
                <w:szCs w:val="20"/>
              </w:rPr>
              <w:t>江苏劲嘉</w:t>
            </w:r>
          </w:p>
        </w:tc>
      </w:tr>
      <w:tr>
        <w:trPr>
          <w:trHeight w:val="385" w:hRule="exact"/>
        </w:trPr>
        <w:tc>
          <w:tcPr>
            <w:tcW w:w="52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0"/>
              <w:jc w:val="center"/>
              <w:rPr>
                <w:rFonts w:ascii="宋体" w:hAnsi="宋体" w:cs="宋体" w:eastAsia="宋体" w:hint="default"/>
                <w:sz w:val="20"/>
                <w:szCs w:val="20"/>
              </w:rPr>
            </w:pPr>
            <w:r>
              <w:rPr>
                <w:rFonts w:ascii="宋体"/>
                <w:sz w:val="20"/>
              </w:rPr>
              <w:t>30</w:t>
            </w:r>
          </w:p>
        </w:tc>
        <w:tc>
          <w:tcPr>
            <w:tcW w:w="341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凹印机自动检测多级分料设备</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0"/>
              <w:jc w:val="center"/>
              <w:rPr>
                <w:rFonts w:ascii="宋体" w:hAnsi="宋体" w:cs="宋体" w:eastAsia="宋体" w:hint="default"/>
                <w:sz w:val="20"/>
                <w:szCs w:val="20"/>
              </w:rPr>
            </w:pPr>
            <w:r>
              <w:rPr>
                <w:rFonts w:ascii="宋体" w:hAnsi="宋体" w:cs="宋体" w:eastAsia="宋体" w:hint="default"/>
                <w:sz w:val="20"/>
                <w:szCs w:val="20"/>
              </w:rPr>
              <w:t>实用新型</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84"/>
              <w:jc w:val="right"/>
              <w:rPr>
                <w:rFonts w:ascii="宋体" w:hAnsi="宋体" w:cs="宋体" w:eastAsia="宋体" w:hint="default"/>
                <w:sz w:val="20"/>
                <w:szCs w:val="20"/>
              </w:rPr>
            </w:pPr>
            <w:r>
              <w:rPr>
                <w:rFonts w:ascii="宋体"/>
                <w:spacing w:val="-1"/>
                <w:sz w:val="20"/>
              </w:rPr>
              <w:t>ZL201820012257.2</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0"/>
              <w:jc w:val="center"/>
              <w:rPr>
                <w:rFonts w:ascii="宋体" w:hAnsi="宋体" w:cs="宋体" w:eastAsia="宋体" w:hint="default"/>
                <w:sz w:val="20"/>
                <w:szCs w:val="20"/>
              </w:rPr>
            </w:pPr>
            <w:r>
              <w:rPr>
                <w:rFonts w:ascii="宋体" w:hAnsi="宋体" w:cs="宋体" w:eastAsia="宋体" w:hint="default"/>
                <w:sz w:val="20"/>
                <w:szCs w:val="20"/>
              </w:rPr>
              <w:t>10</w:t>
            </w:r>
            <w:r>
              <w:rPr>
                <w:rFonts w:ascii="宋体" w:hAnsi="宋体" w:cs="宋体" w:eastAsia="宋体" w:hint="default"/>
                <w:spacing w:val="-50"/>
                <w:sz w:val="20"/>
                <w:szCs w:val="20"/>
              </w:rPr>
              <w:t> </w:t>
            </w:r>
            <w:r>
              <w:rPr>
                <w:rFonts w:ascii="宋体" w:hAnsi="宋体" w:cs="宋体" w:eastAsia="宋体" w:hint="default"/>
                <w:sz w:val="20"/>
                <w:szCs w:val="20"/>
              </w:rPr>
              <w:t>年</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江苏劲嘉</w:t>
            </w:r>
          </w:p>
        </w:tc>
      </w:tr>
      <w:tr>
        <w:trPr>
          <w:trHeight w:val="385" w:hRule="exact"/>
        </w:trPr>
        <w:tc>
          <w:tcPr>
            <w:tcW w:w="52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0"/>
              <w:jc w:val="center"/>
              <w:rPr>
                <w:rFonts w:ascii="宋体" w:hAnsi="宋体" w:cs="宋体" w:eastAsia="宋体" w:hint="default"/>
                <w:sz w:val="20"/>
                <w:szCs w:val="20"/>
              </w:rPr>
            </w:pPr>
            <w:r>
              <w:rPr>
                <w:rFonts w:ascii="宋体"/>
                <w:sz w:val="20"/>
              </w:rPr>
              <w:t>31</w:t>
            </w:r>
          </w:p>
        </w:tc>
        <w:tc>
          <w:tcPr>
            <w:tcW w:w="341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检品剔废装置</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0"/>
              <w:jc w:val="center"/>
              <w:rPr>
                <w:rFonts w:ascii="宋体" w:hAnsi="宋体" w:cs="宋体" w:eastAsia="宋体" w:hint="default"/>
                <w:sz w:val="20"/>
                <w:szCs w:val="20"/>
              </w:rPr>
            </w:pPr>
            <w:r>
              <w:rPr>
                <w:rFonts w:ascii="宋体" w:hAnsi="宋体" w:cs="宋体" w:eastAsia="宋体" w:hint="default"/>
                <w:sz w:val="20"/>
                <w:szCs w:val="20"/>
              </w:rPr>
              <w:t>实用新型</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84"/>
              <w:jc w:val="right"/>
              <w:rPr>
                <w:rFonts w:ascii="宋体" w:hAnsi="宋体" w:cs="宋体" w:eastAsia="宋体" w:hint="default"/>
                <w:sz w:val="20"/>
                <w:szCs w:val="20"/>
              </w:rPr>
            </w:pPr>
            <w:r>
              <w:rPr>
                <w:rFonts w:ascii="宋体"/>
                <w:spacing w:val="-1"/>
                <w:sz w:val="20"/>
              </w:rPr>
              <w:t>ZL201820214333.8</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0"/>
              <w:jc w:val="center"/>
              <w:rPr>
                <w:rFonts w:ascii="宋体" w:hAnsi="宋体" w:cs="宋体" w:eastAsia="宋体" w:hint="default"/>
                <w:sz w:val="20"/>
                <w:szCs w:val="20"/>
              </w:rPr>
            </w:pPr>
            <w:r>
              <w:rPr>
                <w:rFonts w:ascii="宋体" w:hAnsi="宋体" w:cs="宋体" w:eastAsia="宋体" w:hint="default"/>
                <w:sz w:val="20"/>
                <w:szCs w:val="20"/>
              </w:rPr>
              <w:t>10</w:t>
            </w:r>
            <w:r>
              <w:rPr>
                <w:rFonts w:ascii="宋体" w:hAnsi="宋体" w:cs="宋体" w:eastAsia="宋体" w:hint="default"/>
                <w:spacing w:val="-50"/>
                <w:sz w:val="20"/>
                <w:szCs w:val="20"/>
              </w:rPr>
              <w:t> </w:t>
            </w:r>
            <w:r>
              <w:rPr>
                <w:rFonts w:ascii="宋体" w:hAnsi="宋体" w:cs="宋体" w:eastAsia="宋体" w:hint="default"/>
                <w:sz w:val="20"/>
                <w:szCs w:val="20"/>
              </w:rPr>
              <w:t>年</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江苏劲嘉</w:t>
            </w:r>
          </w:p>
        </w:tc>
      </w:tr>
      <w:tr>
        <w:trPr>
          <w:trHeight w:val="385" w:hRule="exact"/>
        </w:trPr>
        <w:tc>
          <w:tcPr>
            <w:tcW w:w="52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0"/>
              <w:jc w:val="center"/>
              <w:rPr>
                <w:rFonts w:ascii="宋体" w:hAnsi="宋体" w:cs="宋体" w:eastAsia="宋体" w:hint="default"/>
                <w:sz w:val="20"/>
                <w:szCs w:val="20"/>
              </w:rPr>
            </w:pPr>
            <w:r>
              <w:rPr>
                <w:rFonts w:ascii="宋体"/>
                <w:sz w:val="20"/>
              </w:rPr>
              <w:t>32</w:t>
            </w:r>
          </w:p>
        </w:tc>
        <w:tc>
          <w:tcPr>
            <w:tcW w:w="341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检品剔废烫金机</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0"/>
              <w:jc w:val="center"/>
              <w:rPr>
                <w:rFonts w:ascii="宋体" w:hAnsi="宋体" w:cs="宋体" w:eastAsia="宋体" w:hint="default"/>
                <w:sz w:val="20"/>
                <w:szCs w:val="20"/>
              </w:rPr>
            </w:pPr>
            <w:r>
              <w:rPr>
                <w:rFonts w:ascii="宋体" w:hAnsi="宋体" w:cs="宋体" w:eastAsia="宋体" w:hint="default"/>
                <w:sz w:val="20"/>
                <w:szCs w:val="20"/>
              </w:rPr>
              <w:t>实用新型</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84"/>
              <w:jc w:val="right"/>
              <w:rPr>
                <w:rFonts w:ascii="宋体" w:hAnsi="宋体" w:cs="宋体" w:eastAsia="宋体" w:hint="default"/>
                <w:sz w:val="20"/>
                <w:szCs w:val="20"/>
              </w:rPr>
            </w:pPr>
            <w:r>
              <w:rPr>
                <w:rFonts w:ascii="宋体"/>
                <w:spacing w:val="-1"/>
                <w:sz w:val="20"/>
              </w:rPr>
              <w:t>ZL201820216018.9</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0"/>
              <w:jc w:val="center"/>
              <w:rPr>
                <w:rFonts w:ascii="宋体" w:hAnsi="宋体" w:cs="宋体" w:eastAsia="宋体" w:hint="default"/>
                <w:sz w:val="20"/>
                <w:szCs w:val="20"/>
              </w:rPr>
            </w:pPr>
            <w:r>
              <w:rPr>
                <w:rFonts w:ascii="宋体" w:hAnsi="宋体" w:cs="宋体" w:eastAsia="宋体" w:hint="default"/>
                <w:sz w:val="20"/>
                <w:szCs w:val="20"/>
              </w:rPr>
              <w:t>10</w:t>
            </w:r>
            <w:r>
              <w:rPr>
                <w:rFonts w:ascii="宋体" w:hAnsi="宋体" w:cs="宋体" w:eastAsia="宋体" w:hint="default"/>
                <w:spacing w:val="-50"/>
                <w:sz w:val="20"/>
                <w:szCs w:val="20"/>
              </w:rPr>
              <w:t> </w:t>
            </w:r>
            <w:r>
              <w:rPr>
                <w:rFonts w:ascii="宋体" w:hAnsi="宋体" w:cs="宋体" w:eastAsia="宋体" w:hint="default"/>
                <w:sz w:val="20"/>
                <w:szCs w:val="20"/>
              </w:rPr>
              <w:t>年</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江苏劲嘉</w:t>
            </w:r>
          </w:p>
        </w:tc>
      </w:tr>
      <w:tr>
        <w:trPr>
          <w:trHeight w:val="384" w:hRule="exact"/>
        </w:trPr>
        <w:tc>
          <w:tcPr>
            <w:tcW w:w="52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0"/>
              <w:jc w:val="center"/>
              <w:rPr>
                <w:rFonts w:ascii="宋体" w:hAnsi="宋体" w:cs="宋体" w:eastAsia="宋体" w:hint="default"/>
                <w:sz w:val="20"/>
                <w:szCs w:val="20"/>
              </w:rPr>
            </w:pPr>
            <w:r>
              <w:rPr>
                <w:rFonts w:ascii="宋体"/>
                <w:sz w:val="20"/>
              </w:rPr>
              <w:t>33</w:t>
            </w:r>
          </w:p>
        </w:tc>
        <w:tc>
          <w:tcPr>
            <w:tcW w:w="341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印刷污水处理设备</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0"/>
              <w:jc w:val="center"/>
              <w:rPr>
                <w:rFonts w:ascii="宋体" w:hAnsi="宋体" w:cs="宋体" w:eastAsia="宋体" w:hint="default"/>
                <w:sz w:val="20"/>
                <w:szCs w:val="20"/>
              </w:rPr>
            </w:pPr>
            <w:r>
              <w:rPr>
                <w:rFonts w:ascii="宋体" w:hAnsi="宋体" w:cs="宋体" w:eastAsia="宋体" w:hint="default"/>
                <w:sz w:val="20"/>
                <w:szCs w:val="20"/>
              </w:rPr>
              <w:t>实用新型</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84"/>
              <w:jc w:val="right"/>
              <w:rPr>
                <w:rFonts w:ascii="宋体" w:hAnsi="宋体" w:cs="宋体" w:eastAsia="宋体" w:hint="default"/>
                <w:sz w:val="20"/>
                <w:szCs w:val="20"/>
              </w:rPr>
            </w:pPr>
            <w:r>
              <w:rPr>
                <w:rFonts w:ascii="宋体"/>
                <w:spacing w:val="-1"/>
                <w:sz w:val="20"/>
              </w:rPr>
              <w:t>ZL201820216020.6</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0"/>
              <w:jc w:val="center"/>
              <w:rPr>
                <w:rFonts w:ascii="宋体" w:hAnsi="宋体" w:cs="宋体" w:eastAsia="宋体" w:hint="default"/>
                <w:sz w:val="20"/>
                <w:szCs w:val="20"/>
              </w:rPr>
            </w:pPr>
            <w:r>
              <w:rPr>
                <w:rFonts w:ascii="宋体" w:hAnsi="宋体" w:cs="宋体" w:eastAsia="宋体" w:hint="default"/>
                <w:sz w:val="20"/>
                <w:szCs w:val="20"/>
              </w:rPr>
              <w:t>10</w:t>
            </w:r>
            <w:r>
              <w:rPr>
                <w:rFonts w:ascii="宋体" w:hAnsi="宋体" w:cs="宋体" w:eastAsia="宋体" w:hint="default"/>
                <w:spacing w:val="-50"/>
                <w:sz w:val="20"/>
                <w:szCs w:val="20"/>
              </w:rPr>
              <w:t> </w:t>
            </w:r>
            <w:r>
              <w:rPr>
                <w:rFonts w:ascii="宋体" w:hAnsi="宋体" w:cs="宋体" w:eastAsia="宋体" w:hint="default"/>
                <w:sz w:val="20"/>
                <w:szCs w:val="20"/>
              </w:rPr>
              <w:t>年</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江苏劲嘉</w:t>
            </w:r>
          </w:p>
        </w:tc>
      </w:tr>
      <w:tr>
        <w:trPr>
          <w:trHeight w:val="385" w:hRule="exact"/>
        </w:trPr>
        <w:tc>
          <w:tcPr>
            <w:tcW w:w="526"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0"/>
              <w:jc w:val="center"/>
              <w:rPr>
                <w:rFonts w:ascii="宋体" w:hAnsi="宋体" w:cs="宋体" w:eastAsia="宋体" w:hint="default"/>
                <w:sz w:val="20"/>
                <w:szCs w:val="20"/>
              </w:rPr>
            </w:pPr>
            <w:r>
              <w:rPr>
                <w:rFonts w:ascii="宋体"/>
                <w:sz w:val="20"/>
              </w:rPr>
              <w:t>34</w:t>
            </w:r>
          </w:p>
        </w:tc>
        <w:tc>
          <w:tcPr>
            <w:tcW w:w="3410"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0"/>
                <w:szCs w:val="20"/>
              </w:rPr>
            </w:pPr>
            <w:r>
              <w:rPr>
                <w:rFonts w:ascii="宋体" w:hAnsi="宋体" w:cs="宋体" w:eastAsia="宋体" w:hint="default"/>
                <w:sz w:val="20"/>
                <w:szCs w:val="20"/>
              </w:rPr>
              <w:t>新型补压模切机</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0"/>
              <w:jc w:val="center"/>
              <w:rPr>
                <w:rFonts w:ascii="宋体" w:hAnsi="宋体" w:cs="宋体" w:eastAsia="宋体" w:hint="default"/>
                <w:sz w:val="20"/>
                <w:szCs w:val="20"/>
              </w:rPr>
            </w:pPr>
            <w:r>
              <w:rPr>
                <w:rFonts w:ascii="宋体" w:hAnsi="宋体" w:cs="宋体" w:eastAsia="宋体" w:hint="default"/>
                <w:sz w:val="20"/>
                <w:szCs w:val="20"/>
              </w:rPr>
              <w:t>实用新型</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184"/>
              <w:jc w:val="right"/>
              <w:rPr>
                <w:rFonts w:ascii="宋体" w:hAnsi="宋体" w:cs="宋体" w:eastAsia="宋体" w:hint="default"/>
                <w:sz w:val="20"/>
                <w:szCs w:val="20"/>
              </w:rPr>
            </w:pPr>
            <w:r>
              <w:rPr>
                <w:rFonts w:ascii="宋体"/>
                <w:spacing w:val="-1"/>
                <w:sz w:val="20"/>
              </w:rPr>
              <w:t>ZL201820441206.1</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0"/>
              <w:jc w:val="center"/>
              <w:rPr>
                <w:rFonts w:ascii="宋体" w:hAnsi="宋体" w:cs="宋体" w:eastAsia="宋体" w:hint="default"/>
                <w:sz w:val="20"/>
                <w:szCs w:val="20"/>
              </w:rPr>
            </w:pPr>
            <w:r>
              <w:rPr>
                <w:rFonts w:ascii="宋体" w:hAnsi="宋体" w:cs="宋体" w:eastAsia="宋体" w:hint="default"/>
                <w:sz w:val="20"/>
                <w:szCs w:val="20"/>
              </w:rPr>
              <w:t>10</w:t>
            </w:r>
            <w:r>
              <w:rPr>
                <w:rFonts w:ascii="宋体" w:hAnsi="宋体" w:cs="宋体" w:eastAsia="宋体" w:hint="default"/>
                <w:spacing w:val="-50"/>
                <w:sz w:val="20"/>
                <w:szCs w:val="20"/>
              </w:rPr>
              <w:t> </w:t>
            </w:r>
            <w:r>
              <w:rPr>
                <w:rFonts w:ascii="宋体" w:hAnsi="宋体" w:cs="宋体" w:eastAsia="宋体" w:hint="default"/>
                <w:sz w:val="20"/>
                <w:szCs w:val="20"/>
              </w:rPr>
              <w:t>年</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0"/>
                <w:szCs w:val="20"/>
              </w:rPr>
            </w:pPr>
            <w:r>
              <w:rPr>
                <w:rFonts w:ascii="宋体" w:hAnsi="宋体" w:cs="宋体" w:eastAsia="宋体" w:hint="default"/>
                <w:sz w:val="20"/>
                <w:szCs w:val="20"/>
              </w:rPr>
              <w:t>江苏劲嘉</w:t>
            </w:r>
          </w:p>
        </w:tc>
      </w:tr>
      <w:tr>
        <w:trPr>
          <w:trHeight w:val="634" w:hRule="exact"/>
        </w:trPr>
        <w:tc>
          <w:tcPr>
            <w:tcW w:w="526"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0"/>
              <w:jc w:val="center"/>
              <w:rPr>
                <w:rFonts w:ascii="宋体" w:hAnsi="宋体" w:cs="宋体" w:eastAsia="宋体" w:hint="default"/>
                <w:sz w:val="20"/>
                <w:szCs w:val="20"/>
              </w:rPr>
            </w:pPr>
            <w:r>
              <w:rPr>
                <w:rFonts w:ascii="宋体"/>
                <w:sz w:val="20"/>
              </w:rPr>
              <w:t>35</w:t>
            </w:r>
          </w:p>
        </w:tc>
        <w:tc>
          <w:tcPr>
            <w:tcW w:w="3410"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100"/>
              <w:jc w:val="left"/>
              <w:rPr>
                <w:rFonts w:ascii="宋体" w:hAnsi="宋体" w:cs="宋体" w:eastAsia="宋体" w:hint="default"/>
                <w:sz w:val="20"/>
                <w:szCs w:val="20"/>
              </w:rPr>
            </w:pPr>
            <w:r>
              <w:rPr>
                <w:rFonts w:ascii="宋体" w:hAnsi="宋体" w:cs="宋体" w:eastAsia="宋体" w:hint="default"/>
                <w:spacing w:val="-1"/>
                <w:sz w:val="20"/>
                <w:szCs w:val="20"/>
              </w:rPr>
              <w:t>一种适用于纸、膜包装用的复合溶剂</w:t>
            </w:r>
            <w:r>
              <w:rPr>
                <w:rFonts w:ascii="宋体" w:hAnsi="宋体" w:cs="宋体" w:eastAsia="宋体" w:hint="default"/>
                <w:spacing w:val="-94"/>
                <w:sz w:val="20"/>
                <w:szCs w:val="20"/>
              </w:rPr>
              <w:t> </w:t>
            </w:r>
            <w:r>
              <w:rPr>
                <w:rFonts w:ascii="宋体" w:hAnsi="宋体" w:cs="宋体" w:eastAsia="宋体" w:hint="default"/>
                <w:spacing w:val="-94"/>
                <w:sz w:val="20"/>
                <w:szCs w:val="20"/>
              </w:rPr>
            </w:r>
            <w:r>
              <w:rPr>
                <w:rFonts w:ascii="宋体" w:hAnsi="宋体" w:cs="宋体" w:eastAsia="宋体" w:hint="default"/>
                <w:sz w:val="20"/>
                <w:szCs w:val="20"/>
              </w:rPr>
              <w:t>调配装置</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0"/>
              <w:jc w:val="center"/>
              <w:rPr>
                <w:rFonts w:ascii="宋体" w:hAnsi="宋体" w:cs="宋体" w:eastAsia="宋体" w:hint="default"/>
                <w:sz w:val="20"/>
                <w:szCs w:val="20"/>
              </w:rPr>
            </w:pPr>
            <w:r>
              <w:rPr>
                <w:rFonts w:ascii="宋体" w:hAnsi="宋体" w:cs="宋体" w:eastAsia="宋体" w:hint="default"/>
                <w:sz w:val="20"/>
                <w:szCs w:val="20"/>
              </w:rPr>
              <w:t>实用新型</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184"/>
              <w:jc w:val="right"/>
              <w:rPr>
                <w:rFonts w:ascii="宋体" w:hAnsi="宋体" w:cs="宋体" w:eastAsia="宋体" w:hint="default"/>
                <w:sz w:val="20"/>
                <w:szCs w:val="20"/>
              </w:rPr>
            </w:pPr>
            <w:r>
              <w:rPr>
                <w:rFonts w:ascii="宋体"/>
                <w:spacing w:val="-1"/>
                <w:sz w:val="20"/>
              </w:rPr>
              <w:t>ZL201721035648.8</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0"/>
              <w:jc w:val="center"/>
              <w:rPr>
                <w:rFonts w:ascii="宋体" w:hAnsi="宋体" w:cs="宋体" w:eastAsia="宋体" w:hint="default"/>
                <w:sz w:val="20"/>
                <w:szCs w:val="20"/>
              </w:rPr>
            </w:pPr>
            <w:r>
              <w:rPr>
                <w:rFonts w:ascii="宋体" w:hAnsi="宋体" w:cs="宋体" w:eastAsia="宋体" w:hint="default"/>
                <w:sz w:val="20"/>
                <w:szCs w:val="20"/>
              </w:rPr>
              <w:t>10</w:t>
            </w:r>
            <w:r>
              <w:rPr>
                <w:rFonts w:ascii="宋体" w:hAnsi="宋体" w:cs="宋体" w:eastAsia="宋体" w:hint="default"/>
                <w:spacing w:val="-50"/>
                <w:sz w:val="20"/>
                <w:szCs w:val="20"/>
              </w:rPr>
              <w:t> </w:t>
            </w:r>
            <w:r>
              <w:rPr>
                <w:rFonts w:ascii="宋体" w:hAnsi="宋体" w:cs="宋体" w:eastAsia="宋体" w:hint="default"/>
                <w:sz w:val="20"/>
                <w:szCs w:val="20"/>
              </w:rPr>
              <w:t>年</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0"/>
                <w:szCs w:val="20"/>
              </w:rPr>
            </w:pPr>
            <w:r>
              <w:rPr>
                <w:rFonts w:ascii="宋体" w:hAnsi="宋体" w:cs="宋体" w:eastAsia="宋体" w:hint="default"/>
                <w:sz w:val="20"/>
                <w:szCs w:val="20"/>
              </w:rPr>
              <w:t>江苏顺泰</w:t>
            </w:r>
          </w:p>
        </w:tc>
      </w:tr>
      <w:tr>
        <w:trPr>
          <w:trHeight w:val="635" w:hRule="exact"/>
        </w:trPr>
        <w:tc>
          <w:tcPr>
            <w:tcW w:w="526"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0"/>
              <w:jc w:val="center"/>
              <w:rPr>
                <w:rFonts w:ascii="宋体" w:hAnsi="宋体" w:cs="宋体" w:eastAsia="宋体" w:hint="default"/>
                <w:sz w:val="20"/>
                <w:szCs w:val="20"/>
              </w:rPr>
            </w:pPr>
            <w:r>
              <w:rPr>
                <w:rFonts w:ascii="宋体"/>
                <w:sz w:val="20"/>
              </w:rPr>
              <w:t>36</w:t>
            </w:r>
          </w:p>
        </w:tc>
        <w:tc>
          <w:tcPr>
            <w:tcW w:w="3410"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293"/>
              <w:jc w:val="left"/>
              <w:rPr>
                <w:rFonts w:ascii="宋体" w:hAnsi="宋体" w:cs="宋体" w:eastAsia="宋体" w:hint="default"/>
                <w:sz w:val="20"/>
                <w:szCs w:val="20"/>
              </w:rPr>
            </w:pPr>
            <w:r>
              <w:rPr>
                <w:rFonts w:ascii="宋体" w:hAnsi="宋体" w:cs="宋体" w:eastAsia="宋体" w:hint="default"/>
                <w:sz w:val="20"/>
                <w:szCs w:val="20"/>
              </w:rPr>
              <w:t>一种多功能全自动纸张印前处理系</w:t>
            </w:r>
            <w:r>
              <w:rPr>
                <w:rFonts w:ascii="宋体" w:hAnsi="宋体" w:cs="宋体" w:eastAsia="宋体" w:hint="default"/>
                <w:w w:val="100"/>
                <w:sz w:val="20"/>
                <w:szCs w:val="20"/>
              </w:rPr>
              <w:t> </w:t>
            </w:r>
            <w:r>
              <w:rPr>
                <w:rFonts w:ascii="宋体" w:hAnsi="宋体" w:cs="宋体" w:eastAsia="宋体" w:hint="default"/>
                <w:sz w:val="20"/>
                <w:szCs w:val="20"/>
              </w:rPr>
              <w:t>统</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0"/>
              <w:jc w:val="center"/>
              <w:rPr>
                <w:rFonts w:ascii="宋体" w:hAnsi="宋体" w:cs="宋体" w:eastAsia="宋体" w:hint="default"/>
                <w:sz w:val="20"/>
                <w:szCs w:val="20"/>
              </w:rPr>
            </w:pPr>
            <w:r>
              <w:rPr>
                <w:rFonts w:ascii="宋体" w:hAnsi="宋体" w:cs="宋体" w:eastAsia="宋体" w:hint="default"/>
                <w:sz w:val="20"/>
                <w:szCs w:val="20"/>
              </w:rPr>
              <w:t>实用新型</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184"/>
              <w:jc w:val="right"/>
              <w:rPr>
                <w:rFonts w:ascii="宋体" w:hAnsi="宋体" w:cs="宋体" w:eastAsia="宋体" w:hint="default"/>
                <w:sz w:val="20"/>
                <w:szCs w:val="20"/>
              </w:rPr>
            </w:pPr>
            <w:r>
              <w:rPr>
                <w:rFonts w:ascii="宋体"/>
                <w:spacing w:val="-1"/>
                <w:sz w:val="20"/>
              </w:rPr>
              <w:t>ZL201721258061.3</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0"/>
              <w:jc w:val="center"/>
              <w:rPr>
                <w:rFonts w:ascii="宋体" w:hAnsi="宋体" w:cs="宋体" w:eastAsia="宋体" w:hint="default"/>
                <w:sz w:val="20"/>
                <w:szCs w:val="20"/>
              </w:rPr>
            </w:pPr>
            <w:r>
              <w:rPr>
                <w:rFonts w:ascii="宋体" w:hAnsi="宋体" w:cs="宋体" w:eastAsia="宋体" w:hint="default"/>
                <w:sz w:val="20"/>
                <w:szCs w:val="20"/>
              </w:rPr>
              <w:t>10</w:t>
            </w:r>
            <w:r>
              <w:rPr>
                <w:rFonts w:ascii="宋体" w:hAnsi="宋体" w:cs="宋体" w:eastAsia="宋体" w:hint="default"/>
                <w:spacing w:val="-50"/>
                <w:sz w:val="20"/>
                <w:szCs w:val="20"/>
              </w:rPr>
              <w:t> </w:t>
            </w:r>
            <w:r>
              <w:rPr>
                <w:rFonts w:ascii="宋体" w:hAnsi="宋体" w:cs="宋体" w:eastAsia="宋体" w:hint="default"/>
                <w:sz w:val="20"/>
                <w:szCs w:val="20"/>
              </w:rPr>
              <w:t>年</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0"/>
                <w:szCs w:val="20"/>
              </w:rPr>
            </w:pPr>
            <w:r>
              <w:rPr>
                <w:rFonts w:ascii="宋体" w:hAnsi="宋体" w:cs="宋体" w:eastAsia="宋体" w:hint="default"/>
                <w:sz w:val="20"/>
                <w:szCs w:val="20"/>
              </w:rPr>
              <w:t>江苏顺泰</w:t>
            </w:r>
          </w:p>
        </w:tc>
      </w:tr>
      <w:tr>
        <w:trPr>
          <w:trHeight w:val="385" w:hRule="exact"/>
        </w:trPr>
        <w:tc>
          <w:tcPr>
            <w:tcW w:w="52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0"/>
              <w:jc w:val="center"/>
              <w:rPr>
                <w:rFonts w:ascii="宋体" w:hAnsi="宋体" w:cs="宋体" w:eastAsia="宋体" w:hint="default"/>
                <w:sz w:val="20"/>
                <w:szCs w:val="20"/>
              </w:rPr>
            </w:pPr>
            <w:r>
              <w:rPr>
                <w:rFonts w:ascii="宋体"/>
                <w:sz w:val="20"/>
              </w:rPr>
              <w:t>37</w:t>
            </w:r>
          </w:p>
        </w:tc>
        <w:tc>
          <w:tcPr>
            <w:tcW w:w="341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一种可调节多功能全自动清废机</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0"/>
              <w:jc w:val="center"/>
              <w:rPr>
                <w:rFonts w:ascii="宋体" w:hAnsi="宋体" w:cs="宋体" w:eastAsia="宋体" w:hint="default"/>
                <w:sz w:val="20"/>
                <w:szCs w:val="20"/>
              </w:rPr>
            </w:pPr>
            <w:r>
              <w:rPr>
                <w:rFonts w:ascii="宋体" w:hAnsi="宋体" w:cs="宋体" w:eastAsia="宋体" w:hint="default"/>
                <w:sz w:val="20"/>
                <w:szCs w:val="20"/>
              </w:rPr>
              <w:t>实用新型</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84"/>
              <w:jc w:val="right"/>
              <w:rPr>
                <w:rFonts w:ascii="宋体" w:hAnsi="宋体" w:cs="宋体" w:eastAsia="宋体" w:hint="default"/>
                <w:sz w:val="20"/>
                <w:szCs w:val="20"/>
              </w:rPr>
            </w:pPr>
            <w:r>
              <w:rPr>
                <w:rFonts w:ascii="宋体"/>
                <w:spacing w:val="-1"/>
                <w:sz w:val="20"/>
              </w:rPr>
              <w:t>ZL201721259890.3</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0"/>
              <w:jc w:val="center"/>
              <w:rPr>
                <w:rFonts w:ascii="宋体" w:hAnsi="宋体" w:cs="宋体" w:eastAsia="宋体" w:hint="default"/>
                <w:sz w:val="20"/>
                <w:szCs w:val="20"/>
              </w:rPr>
            </w:pPr>
            <w:r>
              <w:rPr>
                <w:rFonts w:ascii="宋体" w:hAnsi="宋体" w:cs="宋体" w:eastAsia="宋体" w:hint="default"/>
                <w:sz w:val="20"/>
                <w:szCs w:val="20"/>
              </w:rPr>
              <w:t>10</w:t>
            </w:r>
            <w:r>
              <w:rPr>
                <w:rFonts w:ascii="宋体" w:hAnsi="宋体" w:cs="宋体" w:eastAsia="宋体" w:hint="default"/>
                <w:spacing w:val="-50"/>
                <w:sz w:val="20"/>
                <w:szCs w:val="20"/>
              </w:rPr>
              <w:t> </w:t>
            </w:r>
            <w:r>
              <w:rPr>
                <w:rFonts w:ascii="宋体" w:hAnsi="宋体" w:cs="宋体" w:eastAsia="宋体" w:hint="default"/>
                <w:sz w:val="20"/>
                <w:szCs w:val="20"/>
              </w:rPr>
              <w:t>年</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江苏顺泰</w:t>
            </w:r>
          </w:p>
        </w:tc>
      </w:tr>
      <w:tr>
        <w:trPr>
          <w:trHeight w:val="384" w:hRule="exact"/>
        </w:trPr>
        <w:tc>
          <w:tcPr>
            <w:tcW w:w="52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0"/>
              <w:jc w:val="center"/>
              <w:rPr>
                <w:rFonts w:ascii="宋体" w:hAnsi="宋体" w:cs="宋体" w:eastAsia="宋体" w:hint="default"/>
                <w:sz w:val="20"/>
                <w:szCs w:val="20"/>
              </w:rPr>
            </w:pPr>
            <w:r>
              <w:rPr>
                <w:rFonts w:ascii="宋体"/>
                <w:sz w:val="20"/>
              </w:rPr>
              <w:t>38</w:t>
            </w:r>
          </w:p>
        </w:tc>
        <w:tc>
          <w:tcPr>
            <w:tcW w:w="341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一种自动化装版卸版装置</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0"/>
              <w:jc w:val="center"/>
              <w:rPr>
                <w:rFonts w:ascii="宋体" w:hAnsi="宋体" w:cs="宋体" w:eastAsia="宋体" w:hint="default"/>
                <w:sz w:val="20"/>
                <w:szCs w:val="20"/>
              </w:rPr>
            </w:pPr>
            <w:r>
              <w:rPr>
                <w:rFonts w:ascii="宋体" w:hAnsi="宋体" w:cs="宋体" w:eastAsia="宋体" w:hint="default"/>
                <w:sz w:val="20"/>
                <w:szCs w:val="20"/>
              </w:rPr>
              <w:t>实用新型</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84"/>
              <w:jc w:val="right"/>
              <w:rPr>
                <w:rFonts w:ascii="宋体" w:hAnsi="宋体" w:cs="宋体" w:eastAsia="宋体" w:hint="default"/>
                <w:sz w:val="20"/>
                <w:szCs w:val="20"/>
              </w:rPr>
            </w:pPr>
            <w:r>
              <w:rPr>
                <w:rFonts w:ascii="宋体"/>
                <w:spacing w:val="-1"/>
                <w:sz w:val="20"/>
              </w:rPr>
              <w:t>ZL201721391769.6</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0"/>
              <w:jc w:val="center"/>
              <w:rPr>
                <w:rFonts w:ascii="宋体" w:hAnsi="宋体" w:cs="宋体" w:eastAsia="宋体" w:hint="default"/>
                <w:sz w:val="20"/>
                <w:szCs w:val="20"/>
              </w:rPr>
            </w:pPr>
            <w:r>
              <w:rPr>
                <w:rFonts w:ascii="宋体" w:hAnsi="宋体" w:cs="宋体" w:eastAsia="宋体" w:hint="default"/>
                <w:sz w:val="20"/>
                <w:szCs w:val="20"/>
              </w:rPr>
              <w:t>10</w:t>
            </w:r>
            <w:r>
              <w:rPr>
                <w:rFonts w:ascii="宋体" w:hAnsi="宋体" w:cs="宋体" w:eastAsia="宋体" w:hint="default"/>
                <w:spacing w:val="-50"/>
                <w:sz w:val="20"/>
                <w:szCs w:val="20"/>
              </w:rPr>
              <w:t> </w:t>
            </w:r>
            <w:r>
              <w:rPr>
                <w:rFonts w:ascii="宋体" w:hAnsi="宋体" w:cs="宋体" w:eastAsia="宋体" w:hint="default"/>
                <w:sz w:val="20"/>
                <w:szCs w:val="20"/>
              </w:rPr>
              <w:t>年</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江苏顺泰</w:t>
            </w:r>
          </w:p>
        </w:tc>
      </w:tr>
      <w:tr>
        <w:trPr>
          <w:trHeight w:val="385" w:hRule="exact"/>
        </w:trPr>
        <w:tc>
          <w:tcPr>
            <w:tcW w:w="526"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0"/>
              <w:jc w:val="center"/>
              <w:rPr>
                <w:rFonts w:ascii="宋体" w:hAnsi="宋体" w:cs="宋体" w:eastAsia="宋体" w:hint="default"/>
                <w:sz w:val="20"/>
                <w:szCs w:val="20"/>
              </w:rPr>
            </w:pPr>
            <w:r>
              <w:rPr>
                <w:rFonts w:ascii="宋体"/>
                <w:sz w:val="20"/>
              </w:rPr>
              <w:t>39</w:t>
            </w:r>
          </w:p>
        </w:tc>
        <w:tc>
          <w:tcPr>
            <w:tcW w:w="3410"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0"/>
                <w:szCs w:val="20"/>
              </w:rPr>
            </w:pPr>
            <w:r>
              <w:rPr>
                <w:rFonts w:ascii="宋体" w:hAnsi="宋体" w:cs="宋体" w:eastAsia="宋体" w:hint="default"/>
                <w:sz w:val="20"/>
                <w:szCs w:val="20"/>
              </w:rPr>
              <w:t>一种多功能可提高精度的套印装置</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0"/>
              <w:jc w:val="center"/>
              <w:rPr>
                <w:rFonts w:ascii="宋体" w:hAnsi="宋体" w:cs="宋体" w:eastAsia="宋体" w:hint="default"/>
                <w:sz w:val="20"/>
                <w:szCs w:val="20"/>
              </w:rPr>
            </w:pPr>
            <w:r>
              <w:rPr>
                <w:rFonts w:ascii="宋体" w:hAnsi="宋体" w:cs="宋体" w:eastAsia="宋体" w:hint="default"/>
                <w:sz w:val="20"/>
                <w:szCs w:val="20"/>
              </w:rPr>
              <w:t>实用新型</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184"/>
              <w:jc w:val="right"/>
              <w:rPr>
                <w:rFonts w:ascii="宋体" w:hAnsi="宋体" w:cs="宋体" w:eastAsia="宋体" w:hint="default"/>
                <w:sz w:val="20"/>
                <w:szCs w:val="20"/>
              </w:rPr>
            </w:pPr>
            <w:r>
              <w:rPr>
                <w:rFonts w:ascii="宋体"/>
                <w:spacing w:val="-1"/>
                <w:sz w:val="20"/>
              </w:rPr>
              <w:t>ZL201721483535.4</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0"/>
              <w:jc w:val="center"/>
              <w:rPr>
                <w:rFonts w:ascii="宋体" w:hAnsi="宋体" w:cs="宋体" w:eastAsia="宋体" w:hint="default"/>
                <w:sz w:val="20"/>
                <w:szCs w:val="20"/>
              </w:rPr>
            </w:pPr>
            <w:r>
              <w:rPr>
                <w:rFonts w:ascii="宋体" w:hAnsi="宋体" w:cs="宋体" w:eastAsia="宋体" w:hint="default"/>
                <w:sz w:val="20"/>
                <w:szCs w:val="20"/>
              </w:rPr>
              <w:t>10</w:t>
            </w:r>
            <w:r>
              <w:rPr>
                <w:rFonts w:ascii="宋体" w:hAnsi="宋体" w:cs="宋体" w:eastAsia="宋体" w:hint="default"/>
                <w:spacing w:val="-50"/>
                <w:sz w:val="20"/>
                <w:szCs w:val="20"/>
              </w:rPr>
              <w:t> </w:t>
            </w:r>
            <w:r>
              <w:rPr>
                <w:rFonts w:ascii="宋体" w:hAnsi="宋体" w:cs="宋体" w:eastAsia="宋体" w:hint="default"/>
                <w:sz w:val="20"/>
                <w:szCs w:val="20"/>
              </w:rPr>
              <w:t>年</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0"/>
                <w:szCs w:val="20"/>
              </w:rPr>
            </w:pPr>
            <w:r>
              <w:rPr>
                <w:rFonts w:ascii="宋体" w:hAnsi="宋体" w:cs="宋体" w:eastAsia="宋体" w:hint="default"/>
                <w:sz w:val="20"/>
                <w:szCs w:val="20"/>
              </w:rPr>
              <w:t>江苏顺泰</w:t>
            </w:r>
          </w:p>
        </w:tc>
      </w:tr>
      <w:tr>
        <w:trPr>
          <w:trHeight w:val="635" w:hRule="exact"/>
        </w:trPr>
        <w:tc>
          <w:tcPr>
            <w:tcW w:w="526"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0"/>
              <w:jc w:val="center"/>
              <w:rPr>
                <w:rFonts w:ascii="宋体" w:hAnsi="宋体" w:cs="宋体" w:eastAsia="宋体" w:hint="default"/>
                <w:sz w:val="20"/>
                <w:szCs w:val="20"/>
              </w:rPr>
            </w:pPr>
            <w:r>
              <w:rPr>
                <w:rFonts w:ascii="宋体"/>
                <w:sz w:val="20"/>
              </w:rPr>
              <w:t>40</w:t>
            </w:r>
          </w:p>
        </w:tc>
        <w:tc>
          <w:tcPr>
            <w:tcW w:w="3410"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293"/>
              <w:jc w:val="left"/>
              <w:rPr>
                <w:rFonts w:ascii="宋体" w:hAnsi="宋体" w:cs="宋体" w:eastAsia="宋体" w:hint="default"/>
                <w:sz w:val="20"/>
                <w:szCs w:val="20"/>
              </w:rPr>
            </w:pPr>
            <w:r>
              <w:rPr>
                <w:rFonts w:ascii="宋体" w:hAnsi="宋体" w:cs="宋体" w:eastAsia="宋体" w:hint="default"/>
                <w:sz w:val="20"/>
                <w:szCs w:val="20"/>
              </w:rPr>
              <w:t>一种适用于印刷在线色相检测的装</w:t>
            </w:r>
            <w:r>
              <w:rPr>
                <w:rFonts w:ascii="宋体" w:hAnsi="宋体" w:cs="宋体" w:eastAsia="宋体" w:hint="default"/>
                <w:w w:val="100"/>
                <w:sz w:val="20"/>
                <w:szCs w:val="20"/>
              </w:rPr>
              <w:t> </w:t>
            </w:r>
            <w:r>
              <w:rPr>
                <w:rFonts w:ascii="宋体" w:hAnsi="宋体" w:cs="宋体" w:eastAsia="宋体" w:hint="default"/>
                <w:sz w:val="20"/>
                <w:szCs w:val="20"/>
              </w:rPr>
              <w:t>置</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0"/>
              <w:jc w:val="center"/>
              <w:rPr>
                <w:rFonts w:ascii="宋体" w:hAnsi="宋体" w:cs="宋体" w:eastAsia="宋体" w:hint="default"/>
                <w:sz w:val="20"/>
                <w:szCs w:val="20"/>
              </w:rPr>
            </w:pPr>
            <w:r>
              <w:rPr>
                <w:rFonts w:ascii="宋体" w:hAnsi="宋体" w:cs="宋体" w:eastAsia="宋体" w:hint="default"/>
                <w:sz w:val="20"/>
                <w:szCs w:val="20"/>
              </w:rPr>
              <w:t>实用新型</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184"/>
              <w:jc w:val="right"/>
              <w:rPr>
                <w:rFonts w:ascii="宋体" w:hAnsi="宋体" w:cs="宋体" w:eastAsia="宋体" w:hint="default"/>
                <w:sz w:val="20"/>
                <w:szCs w:val="20"/>
              </w:rPr>
            </w:pPr>
            <w:r>
              <w:rPr>
                <w:rFonts w:ascii="宋体"/>
                <w:spacing w:val="-1"/>
                <w:sz w:val="20"/>
              </w:rPr>
              <w:t>ZL201820911543.2</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0"/>
              <w:jc w:val="center"/>
              <w:rPr>
                <w:rFonts w:ascii="宋体" w:hAnsi="宋体" w:cs="宋体" w:eastAsia="宋体" w:hint="default"/>
                <w:sz w:val="20"/>
                <w:szCs w:val="20"/>
              </w:rPr>
            </w:pPr>
            <w:r>
              <w:rPr>
                <w:rFonts w:ascii="宋体" w:hAnsi="宋体" w:cs="宋体" w:eastAsia="宋体" w:hint="default"/>
                <w:sz w:val="20"/>
                <w:szCs w:val="20"/>
              </w:rPr>
              <w:t>10</w:t>
            </w:r>
            <w:r>
              <w:rPr>
                <w:rFonts w:ascii="宋体" w:hAnsi="宋体" w:cs="宋体" w:eastAsia="宋体" w:hint="default"/>
                <w:spacing w:val="-50"/>
                <w:sz w:val="20"/>
                <w:szCs w:val="20"/>
              </w:rPr>
              <w:t> </w:t>
            </w:r>
            <w:r>
              <w:rPr>
                <w:rFonts w:ascii="宋体" w:hAnsi="宋体" w:cs="宋体" w:eastAsia="宋体" w:hint="default"/>
                <w:sz w:val="20"/>
                <w:szCs w:val="20"/>
              </w:rPr>
              <w:t>年</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0"/>
                <w:szCs w:val="20"/>
              </w:rPr>
            </w:pPr>
            <w:r>
              <w:rPr>
                <w:rFonts w:ascii="宋体" w:hAnsi="宋体" w:cs="宋体" w:eastAsia="宋体" w:hint="default"/>
                <w:sz w:val="20"/>
                <w:szCs w:val="20"/>
              </w:rPr>
              <w:t>江苏顺泰</w:t>
            </w:r>
          </w:p>
        </w:tc>
      </w:tr>
      <w:tr>
        <w:trPr>
          <w:trHeight w:val="384" w:hRule="exact"/>
        </w:trPr>
        <w:tc>
          <w:tcPr>
            <w:tcW w:w="52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0"/>
              <w:jc w:val="center"/>
              <w:rPr>
                <w:rFonts w:ascii="宋体" w:hAnsi="宋体" w:cs="宋体" w:eastAsia="宋体" w:hint="default"/>
                <w:sz w:val="20"/>
                <w:szCs w:val="20"/>
              </w:rPr>
            </w:pPr>
            <w:r>
              <w:rPr>
                <w:rFonts w:ascii="宋体"/>
                <w:sz w:val="20"/>
              </w:rPr>
              <w:t>41</w:t>
            </w:r>
          </w:p>
        </w:tc>
        <w:tc>
          <w:tcPr>
            <w:tcW w:w="341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一种位置可调的导纸辊</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0"/>
              <w:jc w:val="center"/>
              <w:rPr>
                <w:rFonts w:ascii="宋体" w:hAnsi="宋体" w:cs="宋体" w:eastAsia="宋体" w:hint="default"/>
                <w:sz w:val="20"/>
                <w:szCs w:val="20"/>
              </w:rPr>
            </w:pPr>
            <w:r>
              <w:rPr>
                <w:rFonts w:ascii="宋体" w:hAnsi="宋体" w:cs="宋体" w:eastAsia="宋体" w:hint="default"/>
                <w:sz w:val="20"/>
                <w:szCs w:val="20"/>
              </w:rPr>
              <w:t>实用新型</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84"/>
              <w:jc w:val="right"/>
              <w:rPr>
                <w:rFonts w:ascii="宋体" w:hAnsi="宋体" w:cs="宋体" w:eastAsia="宋体" w:hint="default"/>
                <w:sz w:val="20"/>
                <w:szCs w:val="20"/>
              </w:rPr>
            </w:pPr>
            <w:r>
              <w:rPr>
                <w:rFonts w:ascii="宋体"/>
                <w:spacing w:val="-1"/>
                <w:sz w:val="20"/>
              </w:rPr>
              <w:t>ZL201721033042.0</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0"/>
              <w:jc w:val="center"/>
              <w:rPr>
                <w:rFonts w:ascii="宋体" w:hAnsi="宋体" w:cs="宋体" w:eastAsia="宋体" w:hint="default"/>
                <w:sz w:val="20"/>
                <w:szCs w:val="20"/>
              </w:rPr>
            </w:pPr>
            <w:r>
              <w:rPr>
                <w:rFonts w:ascii="宋体" w:hAnsi="宋体" w:cs="宋体" w:eastAsia="宋体" w:hint="default"/>
                <w:sz w:val="20"/>
                <w:szCs w:val="20"/>
              </w:rPr>
              <w:t>10</w:t>
            </w:r>
            <w:r>
              <w:rPr>
                <w:rFonts w:ascii="宋体" w:hAnsi="宋体" w:cs="宋体" w:eastAsia="宋体" w:hint="default"/>
                <w:spacing w:val="-50"/>
                <w:sz w:val="20"/>
                <w:szCs w:val="20"/>
              </w:rPr>
              <w:t> </w:t>
            </w:r>
            <w:r>
              <w:rPr>
                <w:rFonts w:ascii="宋体" w:hAnsi="宋体" w:cs="宋体" w:eastAsia="宋体" w:hint="default"/>
                <w:sz w:val="20"/>
                <w:szCs w:val="20"/>
              </w:rPr>
              <w:t>年</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昆明彩印</w:t>
            </w:r>
          </w:p>
        </w:tc>
      </w:tr>
      <w:tr>
        <w:trPr>
          <w:trHeight w:val="385" w:hRule="exact"/>
        </w:trPr>
        <w:tc>
          <w:tcPr>
            <w:tcW w:w="526"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0"/>
              <w:jc w:val="center"/>
              <w:rPr>
                <w:rFonts w:ascii="宋体" w:hAnsi="宋体" w:cs="宋体" w:eastAsia="宋体" w:hint="default"/>
                <w:sz w:val="20"/>
                <w:szCs w:val="20"/>
              </w:rPr>
            </w:pPr>
            <w:r>
              <w:rPr>
                <w:rFonts w:ascii="宋体"/>
                <w:sz w:val="20"/>
              </w:rPr>
              <w:t>42</w:t>
            </w:r>
          </w:p>
        </w:tc>
        <w:tc>
          <w:tcPr>
            <w:tcW w:w="3410"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0"/>
                <w:szCs w:val="20"/>
              </w:rPr>
            </w:pPr>
            <w:r>
              <w:rPr>
                <w:rFonts w:ascii="宋体" w:hAnsi="宋体" w:cs="宋体" w:eastAsia="宋体" w:hint="default"/>
                <w:sz w:val="20"/>
                <w:szCs w:val="20"/>
              </w:rPr>
              <w:t>一种消除静电的检品机输送带</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0"/>
              <w:jc w:val="center"/>
              <w:rPr>
                <w:rFonts w:ascii="宋体" w:hAnsi="宋体" w:cs="宋体" w:eastAsia="宋体" w:hint="default"/>
                <w:sz w:val="20"/>
                <w:szCs w:val="20"/>
              </w:rPr>
            </w:pPr>
            <w:r>
              <w:rPr>
                <w:rFonts w:ascii="宋体" w:hAnsi="宋体" w:cs="宋体" w:eastAsia="宋体" w:hint="default"/>
                <w:sz w:val="20"/>
                <w:szCs w:val="20"/>
              </w:rPr>
              <w:t>实用新型</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184"/>
              <w:jc w:val="right"/>
              <w:rPr>
                <w:rFonts w:ascii="宋体" w:hAnsi="宋体" w:cs="宋体" w:eastAsia="宋体" w:hint="default"/>
                <w:sz w:val="20"/>
                <w:szCs w:val="20"/>
              </w:rPr>
            </w:pPr>
            <w:r>
              <w:rPr>
                <w:rFonts w:ascii="宋体"/>
                <w:spacing w:val="-1"/>
                <w:sz w:val="20"/>
              </w:rPr>
              <w:t>ZL201721033790.9</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0"/>
              <w:jc w:val="center"/>
              <w:rPr>
                <w:rFonts w:ascii="宋体" w:hAnsi="宋体" w:cs="宋体" w:eastAsia="宋体" w:hint="default"/>
                <w:sz w:val="20"/>
                <w:szCs w:val="20"/>
              </w:rPr>
            </w:pPr>
            <w:r>
              <w:rPr>
                <w:rFonts w:ascii="宋体" w:hAnsi="宋体" w:cs="宋体" w:eastAsia="宋体" w:hint="default"/>
                <w:sz w:val="20"/>
                <w:szCs w:val="20"/>
              </w:rPr>
              <w:t>10</w:t>
            </w:r>
            <w:r>
              <w:rPr>
                <w:rFonts w:ascii="宋体" w:hAnsi="宋体" w:cs="宋体" w:eastAsia="宋体" w:hint="default"/>
                <w:spacing w:val="-50"/>
                <w:sz w:val="20"/>
                <w:szCs w:val="20"/>
              </w:rPr>
              <w:t> </w:t>
            </w:r>
            <w:r>
              <w:rPr>
                <w:rFonts w:ascii="宋体" w:hAnsi="宋体" w:cs="宋体" w:eastAsia="宋体" w:hint="default"/>
                <w:sz w:val="20"/>
                <w:szCs w:val="20"/>
              </w:rPr>
              <w:t>年</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0"/>
                <w:szCs w:val="20"/>
              </w:rPr>
            </w:pPr>
            <w:r>
              <w:rPr>
                <w:rFonts w:ascii="宋体" w:hAnsi="宋体" w:cs="宋体" w:eastAsia="宋体" w:hint="default"/>
                <w:sz w:val="20"/>
                <w:szCs w:val="20"/>
              </w:rPr>
              <w:t>昆明彩印</w:t>
            </w:r>
          </w:p>
        </w:tc>
      </w:tr>
      <w:tr>
        <w:trPr>
          <w:trHeight w:val="385" w:hRule="exact"/>
        </w:trPr>
        <w:tc>
          <w:tcPr>
            <w:tcW w:w="526"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0"/>
              <w:jc w:val="center"/>
              <w:rPr>
                <w:rFonts w:ascii="宋体" w:hAnsi="宋体" w:cs="宋体" w:eastAsia="宋体" w:hint="default"/>
                <w:sz w:val="20"/>
                <w:szCs w:val="20"/>
              </w:rPr>
            </w:pPr>
            <w:r>
              <w:rPr>
                <w:rFonts w:ascii="宋体"/>
                <w:sz w:val="20"/>
              </w:rPr>
              <w:t>43</w:t>
            </w:r>
          </w:p>
        </w:tc>
        <w:tc>
          <w:tcPr>
            <w:tcW w:w="3410"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0"/>
                <w:szCs w:val="20"/>
              </w:rPr>
            </w:pPr>
            <w:r>
              <w:rPr>
                <w:rFonts w:ascii="宋体" w:hAnsi="宋体" w:cs="宋体" w:eastAsia="宋体" w:hint="default"/>
                <w:sz w:val="20"/>
                <w:szCs w:val="20"/>
              </w:rPr>
              <w:t>一种印刷纸张分垛输送装置</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0"/>
              <w:jc w:val="center"/>
              <w:rPr>
                <w:rFonts w:ascii="宋体" w:hAnsi="宋体" w:cs="宋体" w:eastAsia="宋体" w:hint="default"/>
                <w:sz w:val="20"/>
                <w:szCs w:val="20"/>
              </w:rPr>
            </w:pPr>
            <w:r>
              <w:rPr>
                <w:rFonts w:ascii="宋体" w:hAnsi="宋体" w:cs="宋体" w:eastAsia="宋体" w:hint="default"/>
                <w:sz w:val="20"/>
                <w:szCs w:val="20"/>
              </w:rPr>
              <w:t>实用新型</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184"/>
              <w:jc w:val="right"/>
              <w:rPr>
                <w:rFonts w:ascii="宋体" w:hAnsi="宋体" w:cs="宋体" w:eastAsia="宋体" w:hint="default"/>
                <w:sz w:val="20"/>
                <w:szCs w:val="20"/>
              </w:rPr>
            </w:pPr>
            <w:r>
              <w:rPr>
                <w:rFonts w:ascii="宋体"/>
                <w:spacing w:val="-1"/>
                <w:sz w:val="20"/>
              </w:rPr>
              <w:t>ZL201721061729.5</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0"/>
              <w:jc w:val="center"/>
              <w:rPr>
                <w:rFonts w:ascii="宋体" w:hAnsi="宋体" w:cs="宋体" w:eastAsia="宋体" w:hint="default"/>
                <w:sz w:val="20"/>
                <w:szCs w:val="20"/>
              </w:rPr>
            </w:pPr>
            <w:r>
              <w:rPr>
                <w:rFonts w:ascii="宋体" w:hAnsi="宋体" w:cs="宋体" w:eastAsia="宋体" w:hint="default"/>
                <w:sz w:val="20"/>
                <w:szCs w:val="20"/>
              </w:rPr>
              <w:t>10</w:t>
            </w:r>
            <w:r>
              <w:rPr>
                <w:rFonts w:ascii="宋体" w:hAnsi="宋体" w:cs="宋体" w:eastAsia="宋体" w:hint="default"/>
                <w:spacing w:val="-50"/>
                <w:sz w:val="20"/>
                <w:szCs w:val="20"/>
              </w:rPr>
              <w:t> </w:t>
            </w:r>
            <w:r>
              <w:rPr>
                <w:rFonts w:ascii="宋体" w:hAnsi="宋体" w:cs="宋体" w:eastAsia="宋体" w:hint="default"/>
                <w:sz w:val="20"/>
                <w:szCs w:val="20"/>
              </w:rPr>
              <w:t>年</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0"/>
                <w:szCs w:val="20"/>
              </w:rPr>
            </w:pPr>
            <w:r>
              <w:rPr>
                <w:rFonts w:ascii="宋体" w:hAnsi="宋体" w:cs="宋体" w:eastAsia="宋体" w:hint="default"/>
                <w:sz w:val="20"/>
                <w:szCs w:val="20"/>
              </w:rPr>
              <w:t>昆明彩印</w:t>
            </w:r>
          </w:p>
        </w:tc>
      </w:tr>
      <w:tr>
        <w:trPr>
          <w:trHeight w:val="385" w:hRule="exact"/>
        </w:trPr>
        <w:tc>
          <w:tcPr>
            <w:tcW w:w="52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0"/>
              <w:jc w:val="center"/>
              <w:rPr>
                <w:rFonts w:ascii="宋体" w:hAnsi="宋体" w:cs="宋体" w:eastAsia="宋体" w:hint="default"/>
                <w:sz w:val="20"/>
                <w:szCs w:val="20"/>
              </w:rPr>
            </w:pPr>
            <w:r>
              <w:rPr>
                <w:rFonts w:ascii="宋体"/>
                <w:sz w:val="20"/>
              </w:rPr>
              <w:t>44</w:t>
            </w:r>
          </w:p>
        </w:tc>
        <w:tc>
          <w:tcPr>
            <w:tcW w:w="341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印刷机叼纸牙排定位装置</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0"/>
              <w:jc w:val="center"/>
              <w:rPr>
                <w:rFonts w:ascii="宋体" w:hAnsi="宋体" w:cs="宋体" w:eastAsia="宋体" w:hint="default"/>
                <w:sz w:val="20"/>
                <w:szCs w:val="20"/>
              </w:rPr>
            </w:pPr>
            <w:r>
              <w:rPr>
                <w:rFonts w:ascii="宋体" w:hAnsi="宋体" w:cs="宋体" w:eastAsia="宋体" w:hint="default"/>
                <w:sz w:val="20"/>
                <w:szCs w:val="20"/>
              </w:rPr>
              <w:t>实用新型</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84"/>
              <w:jc w:val="right"/>
              <w:rPr>
                <w:rFonts w:ascii="宋体" w:hAnsi="宋体" w:cs="宋体" w:eastAsia="宋体" w:hint="default"/>
                <w:sz w:val="20"/>
                <w:szCs w:val="20"/>
              </w:rPr>
            </w:pPr>
            <w:r>
              <w:rPr>
                <w:rFonts w:ascii="宋体"/>
                <w:spacing w:val="-1"/>
                <w:sz w:val="20"/>
              </w:rPr>
              <w:t>ZL201721061731.2</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0"/>
              <w:jc w:val="center"/>
              <w:rPr>
                <w:rFonts w:ascii="宋体" w:hAnsi="宋体" w:cs="宋体" w:eastAsia="宋体" w:hint="default"/>
                <w:sz w:val="20"/>
                <w:szCs w:val="20"/>
              </w:rPr>
            </w:pPr>
            <w:r>
              <w:rPr>
                <w:rFonts w:ascii="宋体" w:hAnsi="宋体" w:cs="宋体" w:eastAsia="宋体" w:hint="default"/>
                <w:sz w:val="20"/>
                <w:szCs w:val="20"/>
              </w:rPr>
              <w:t>10</w:t>
            </w:r>
            <w:r>
              <w:rPr>
                <w:rFonts w:ascii="宋体" w:hAnsi="宋体" w:cs="宋体" w:eastAsia="宋体" w:hint="default"/>
                <w:spacing w:val="-50"/>
                <w:sz w:val="20"/>
                <w:szCs w:val="20"/>
              </w:rPr>
              <w:t> </w:t>
            </w:r>
            <w:r>
              <w:rPr>
                <w:rFonts w:ascii="宋体" w:hAnsi="宋体" w:cs="宋体" w:eastAsia="宋体" w:hint="default"/>
                <w:sz w:val="20"/>
                <w:szCs w:val="20"/>
              </w:rPr>
              <w:t>年</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昆明彩印</w:t>
            </w:r>
          </w:p>
        </w:tc>
      </w:tr>
      <w:tr>
        <w:trPr>
          <w:trHeight w:val="385" w:hRule="exact"/>
        </w:trPr>
        <w:tc>
          <w:tcPr>
            <w:tcW w:w="52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0"/>
              <w:jc w:val="center"/>
              <w:rPr>
                <w:rFonts w:ascii="宋体" w:hAnsi="宋体" w:cs="宋体" w:eastAsia="宋体" w:hint="default"/>
                <w:sz w:val="20"/>
                <w:szCs w:val="20"/>
              </w:rPr>
            </w:pPr>
            <w:r>
              <w:rPr>
                <w:rFonts w:ascii="宋体"/>
                <w:sz w:val="20"/>
              </w:rPr>
              <w:t>45</w:t>
            </w:r>
          </w:p>
        </w:tc>
        <w:tc>
          <w:tcPr>
            <w:tcW w:w="341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一种印油供给回收装置</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0"/>
              <w:jc w:val="center"/>
              <w:rPr>
                <w:rFonts w:ascii="宋体" w:hAnsi="宋体" w:cs="宋体" w:eastAsia="宋体" w:hint="default"/>
                <w:sz w:val="20"/>
                <w:szCs w:val="20"/>
              </w:rPr>
            </w:pPr>
            <w:r>
              <w:rPr>
                <w:rFonts w:ascii="宋体" w:hAnsi="宋体" w:cs="宋体" w:eastAsia="宋体" w:hint="default"/>
                <w:sz w:val="20"/>
                <w:szCs w:val="20"/>
              </w:rPr>
              <w:t>实用新型</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84"/>
              <w:jc w:val="right"/>
              <w:rPr>
                <w:rFonts w:ascii="宋体" w:hAnsi="宋体" w:cs="宋体" w:eastAsia="宋体" w:hint="default"/>
                <w:sz w:val="20"/>
                <w:szCs w:val="20"/>
              </w:rPr>
            </w:pPr>
            <w:r>
              <w:rPr>
                <w:rFonts w:ascii="宋体"/>
                <w:spacing w:val="-1"/>
                <w:sz w:val="20"/>
              </w:rPr>
              <w:t>ZL201721068491.9</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0"/>
              <w:jc w:val="center"/>
              <w:rPr>
                <w:rFonts w:ascii="宋体" w:hAnsi="宋体" w:cs="宋体" w:eastAsia="宋体" w:hint="default"/>
                <w:sz w:val="20"/>
                <w:szCs w:val="20"/>
              </w:rPr>
            </w:pPr>
            <w:r>
              <w:rPr>
                <w:rFonts w:ascii="宋体" w:hAnsi="宋体" w:cs="宋体" w:eastAsia="宋体" w:hint="default"/>
                <w:sz w:val="20"/>
                <w:szCs w:val="20"/>
              </w:rPr>
              <w:t>10</w:t>
            </w:r>
            <w:r>
              <w:rPr>
                <w:rFonts w:ascii="宋体" w:hAnsi="宋体" w:cs="宋体" w:eastAsia="宋体" w:hint="default"/>
                <w:spacing w:val="-50"/>
                <w:sz w:val="20"/>
                <w:szCs w:val="20"/>
              </w:rPr>
              <w:t> </w:t>
            </w:r>
            <w:r>
              <w:rPr>
                <w:rFonts w:ascii="宋体" w:hAnsi="宋体" w:cs="宋体" w:eastAsia="宋体" w:hint="default"/>
                <w:sz w:val="20"/>
                <w:szCs w:val="20"/>
              </w:rPr>
              <w:t>年</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昆明彩印</w:t>
            </w:r>
          </w:p>
        </w:tc>
      </w:tr>
      <w:tr>
        <w:trPr>
          <w:trHeight w:val="385" w:hRule="exact"/>
        </w:trPr>
        <w:tc>
          <w:tcPr>
            <w:tcW w:w="52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0"/>
              <w:jc w:val="center"/>
              <w:rPr>
                <w:rFonts w:ascii="宋体" w:hAnsi="宋体" w:cs="宋体" w:eastAsia="宋体" w:hint="default"/>
                <w:sz w:val="20"/>
                <w:szCs w:val="20"/>
              </w:rPr>
            </w:pPr>
            <w:r>
              <w:rPr>
                <w:rFonts w:ascii="宋体"/>
                <w:sz w:val="20"/>
              </w:rPr>
              <w:t>46</w:t>
            </w:r>
          </w:p>
        </w:tc>
        <w:tc>
          <w:tcPr>
            <w:tcW w:w="341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一种模切机点齿线刀快捷补压设备</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0"/>
              <w:jc w:val="center"/>
              <w:rPr>
                <w:rFonts w:ascii="宋体" w:hAnsi="宋体" w:cs="宋体" w:eastAsia="宋体" w:hint="default"/>
                <w:sz w:val="20"/>
                <w:szCs w:val="20"/>
              </w:rPr>
            </w:pPr>
            <w:r>
              <w:rPr>
                <w:rFonts w:ascii="宋体" w:hAnsi="宋体" w:cs="宋体" w:eastAsia="宋体" w:hint="default"/>
                <w:sz w:val="20"/>
                <w:szCs w:val="20"/>
              </w:rPr>
              <w:t>实用新型</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84"/>
              <w:jc w:val="right"/>
              <w:rPr>
                <w:rFonts w:ascii="宋体" w:hAnsi="宋体" w:cs="宋体" w:eastAsia="宋体" w:hint="default"/>
                <w:sz w:val="20"/>
                <w:szCs w:val="20"/>
              </w:rPr>
            </w:pPr>
            <w:r>
              <w:rPr>
                <w:rFonts w:ascii="宋体"/>
                <w:spacing w:val="-1"/>
                <w:sz w:val="20"/>
              </w:rPr>
              <w:t>ZL201820230260.1</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0"/>
              <w:jc w:val="center"/>
              <w:rPr>
                <w:rFonts w:ascii="宋体" w:hAnsi="宋体" w:cs="宋体" w:eastAsia="宋体" w:hint="default"/>
                <w:sz w:val="20"/>
                <w:szCs w:val="20"/>
              </w:rPr>
            </w:pPr>
            <w:r>
              <w:rPr>
                <w:rFonts w:ascii="宋体" w:hAnsi="宋体" w:cs="宋体" w:eastAsia="宋体" w:hint="default"/>
                <w:sz w:val="20"/>
                <w:szCs w:val="20"/>
              </w:rPr>
              <w:t>10</w:t>
            </w:r>
            <w:r>
              <w:rPr>
                <w:rFonts w:ascii="宋体" w:hAnsi="宋体" w:cs="宋体" w:eastAsia="宋体" w:hint="default"/>
                <w:spacing w:val="-50"/>
                <w:sz w:val="20"/>
                <w:szCs w:val="20"/>
              </w:rPr>
              <w:t> </w:t>
            </w:r>
            <w:r>
              <w:rPr>
                <w:rFonts w:ascii="宋体" w:hAnsi="宋体" w:cs="宋体" w:eastAsia="宋体" w:hint="default"/>
                <w:sz w:val="20"/>
                <w:szCs w:val="20"/>
              </w:rPr>
              <w:t>年</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长春吉星</w:t>
            </w:r>
          </w:p>
        </w:tc>
      </w:tr>
      <w:tr>
        <w:trPr>
          <w:trHeight w:val="384" w:hRule="exact"/>
        </w:trPr>
        <w:tc>
          <w:tcPr>
            <w:tcW w:w="52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0"/>
              <w:jc w:val="center"/>
              <w:rPr>
                <w:rFonts w:ascii="宋体" w:hAnsi="宋体" w:cs="宋体" w:eastAsia="宋体" w:hint="default"/>
                <w:sz w:val="20"/>
                <w:szCs w:val="20"/>
              </w:rPr>
            </w:pPr>
            <w:r>
              <w:rPr>
                <w:rFonts w:ascii="宋体"/>
                <w:sz w:val="20"/>
              </w:rPr>
              <w:t>47</w:t>
            </w:r>
          </w:p>
        </w:tc>
        <w:tc>
          <w:tcPr>
            <w:tcW w:w="341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一种包装盒六通部位的切割模板</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0"/>
              <w:jc w:val="center"/>
              <w:rPr>
                <w:rFonts w:ascii="宋体" w:hAnsi="宋体" w:cs="宋体" w:eastAsia="宋体" w:hint="default"/>
                <w:sz w:val="20"/>
                <w:szCs w:val="20"/>
              </w:rPr>
            </w:pPr>
            <w:r>
              <w:rPr>
                <w:rFonts w:ascii="宋体" w:hAnsi="宋体" w:cs="宋体" w:eastAsia="宋体" w:hint="default"/>
                <w:sz w:val="20"/>
                <w:szCs w:val="20"/>
              </w:rPr>
              <w:t>实用新型</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84"/>
              <w:jc w:val="right"/>
              <w:rPr>
                <w:rFonts w:ascii="宋体" w:hAnsi="宋体" w:cs="宋体" w:eastAsia="宋体" w:hint="default"/>
                <w:sz w:val="20"/>
                <w:szCs w:val="20"/>
              </w:rPr>
            </w:pPr>
            <w:r>
              <w:rPr>
                <w:rFonts w:ascii="宋体"/>
                <w:spacing w:val="-1"/>
                <w:sz w:val="20"/>
              </w:rPr>
              <w:t>ZL201820230667.4</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0"/>
              <w:jc w:val="center"/>
              <w:rPr>
                <w:rFonts w:ascii="宋体" w:hAnsi="宋体" w:cs="宋体" w:eastAsia="宋体" w:hint="default"/>
                <w:sz w:val="20"/>
                <w:szCs w:val="20"/>
              </w:rPr>
            </w:pPr>
            <w:r>
              <w:rPr>
                <w:rFonts w:ascii="宋体" w:hAnsi="宋体" w:cs="宋体" w:eastAsia="宋体" w:hint="default"/>
                <w:sz w:val="20"/>
                <w:szCs w:val="20"/>
              </w:rPr>
              <w:t>10</w:t>
            </w:r>
            <w:r>
              <w:rPr>
                <w:rFonts w:ascii="宋体" w:hAnsi="宋体" w:cs="宋体" w:eastAsia="宋体" w:hint="default"/>
                <w:spacing w:val="-50"/>
                <w:sz w:val="20"/>
                <w:szCs w:val="20"/>
              </w:rPr>
              <w:t> </w:t>
            </w:r>
            <w:r>
              <w:rPr>
                <w:rFonts w:ascii="宋体" w:hAnsi="宋体" w:cs="宋体" w:eastAsia="宋体" w:hint="default"/>
                <w:sz w:val="20"/>
                <w:szCs w:val="20"/>
              </w:rPr>
              <w:t>年</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长春吉星</w:t>
            </w:r>
          </w:p>
        </w:tc>
      </w:tr>
      <w:tr>
        <w:trPr>
          <w:trHeight w:val="635" w:hRule="exact"/>
        </w:trPr>
        <w:tc>
          <w:tcPr>
            <w:tcW w:w="526"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0"/>
              <w:jc w:val="center"/>
              <w:rPr>
                <w:rFonts w:ascii="宋体" w:hAnsi="宋体" w:cs="宋体" w:eastAsia="宋体" w:hint="default"/>
                <w:sz w:val="20"/>
                <w:szCs w:val="20"/>
              </w:rPr>
            </w:pPr>
            <w:r>
              <w:rPr>
                <w:rFonts w:ascii="宋体"/>
                <w:sz w:val="20"/>
              </w:rPr>
              <w:t>48</w:t>
            </w:r>
          </w:p>
        </w:tc>
        <w:tc>
          <w:tcPr>
            <w:tcW w:w="3410"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195"/>
              <w:jc w:val="left"/>
              <w:rPr>
                <w:rFonts w:ascii="宋体" w:hAnsi="宋体" w:cs="宋体" w:eastAsia="宋体" w:hint="default"/>
                <w:sz w:val="20"/>
                <w:szCs w:val="20"/>
              </w:rPr>
            </w:pPr>
            <w:r>
              <w:rPr>
                <w:rFonts w:ascii="宋体" w:hAnsi="宋体" w:cs="宋体" w:eastAsia="宋体" w:hint="default"/>
                <w:spacing w:val="-1"/>
                <w:sz w:val="20"/>
                <w:szCs w:val="20"/>
              </w:rPr>
              <w:t>金墨特种印刷的凹印油墨缸冷</w:t>
            </w:r>
            <w:r>
              <w:rPr>
                <w:rFonts w:ascii="宋体" w:hAnsi="宋体" w:cs="宋体" w:eastAsia="宋体" w:hint="default"/>
                <w:spacing w:val="-1"/>
                <w:sz w:val="20"/>
                <w:szCs w:val="20"/>
              </w:rPr>
              <w:t>/</w:t>
            </w:r>
            <w:r>
              <w:rPr>
                <w:rFonts w:ascii="宋体" w:hAnsi="宋体" w:cs="宋体" w:eastAsia="宋体" w:hint="default"/>
                <w:spacing w:val="-1"/>
                <w:sz w:val="20"/>
                <w:szCs w:val="20"/>
              </w:rPr>
              <w:t>热恒</w:t>
            </w:r>
            <w:r>
              <w:rPr>
                <w:rFonts w:ascii="宋体" w:hAnsi="宋体" w:cs="宋体" w:eastAsia="宋体" w:hint="default"/>
                <w:spacing w:val="-90"/>
                <w:sz w:val="20"/>
                <w:szCs w:val="20"/>
              </w:rPr>
              <w:t> </w:t>
            </w:r>
            <w:r>
              <w:rPr>
                <w:rFonts w:ascii="宋体" w:hAnsi="宋体" w:cs="宋体" w:eastAsia="宋体" w:hint="default"/>
                <w:sz w:val="20"/>
                <w:szCs w:val="20"/>
              </w:rPr>
              <w:t>温控制系统</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0"/>
              <w:jc w:val="center"/>
              <w:rPr>
                <w:rFonts w:ascii="宋体" w:hAnsi="宋体" w:cs="宋体" w:eastAsia="宋体" w:hint="default"/>
                <w:sz w:val="20"/>
                <w:szCs w:val="20"/>
              </w:rPr>
            </w:pPr>
            <w:r>
              <w:rPr>
                <w:rFonts w:ascii="宋体" w:hAnsi="宋体" w:cs="宋体" w:eastAsia="宋体" w:hint="default"/>
                <w:sz w:val="20"/>
                <w:szCs w:val="20"/>
              </w:rPr>
              <w:t>实用新型</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184"/>
              <w:jc w:val="right"/>
              <w:rPr>
                <w:rFonts w:ascii="宋体" w:hAnsi="宋体" w:cs="宋体" w:eastAsia="宋体" w:hint="default"/>
                <w:sz w:val="20"/>
                <w:szCs w:val="20"/>
              </w:rPr>
            </w:pPr>
            <w:r>
              <w:rPr>
                <w:rFonts w:ascii="宋体"/>
                <w:spacing w:val="-1"/>
                <w:sz w:val="20"/>
              </w:rPr>
              <w:t>ZL201820231856.3</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0"/>
              <w:jc w:val="center"/>
              <w:rPr>
                <w:rFonts w:ascii="宋体" w:hAnsi="宋体" w:cs="宋体" w:eastAsia="宋体" w:hint="default"/>
                <w:sz w:val="20"/>
                <w:szCs w:val="20"/>
              </w:rPr>
            </w:pPr>
            <w:r>
              <w:rPr>
                <w:rFonts w:ascii="宋体" w:hAnsi="宋体" w:cs="宋体" w:eastAsia="宋体" w:hint="default"/>
                <w:sz w:val="20"/>
                <w:szCs w:val="20"/>
              </w:rPr>
              <w:t>10</w:t>
            </w:r>
            <w:r>
              <w:rPr>
                <w:rFonts w:ascii="宋体" w:hAnsi="宋体" w:cs="宋体" w:eastAsia="宋体" w:hint="default"/>
                <w:spacing w:val="-50"/>
                <w:sz w:val="20"/>
                <w:szCs w:val="20"/>
              </w:rPr>
              <w:t> </w:t>
            </w:r>
            <w:r>
              <w:rPr>
                <w:rFonts w:ascii="宋体" w:hAnsi="宋体" w:cs="宋体" w:eastAsia="宋体" w:hint="default"/>
                <w:sz w:val="20"/>
                <w:szCs w:val="20"/>
              </w:rPr>
              <w:t>年</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0"/>
                <w:szCs w:val="20"/>
              </w:rPr>
            </w:pPr>
            <w:r>
              <w:rPr>
                <w:rFonts w:ascii="宋体" w:hAnsi="宋体" w:cs="宋体" w:eastAsia="宋体" w:hint="default"/>
                <w:sz w:val="20"/>
                <w:szCs w:val="20"/>
              </w:rPr>
              <w:t>长春吉星</w:t>
            </w:r>
          </w:p>
        </w:tc>
      </w:tr>
      <w:tr>
        <w:trPr>
          <w:trHeight w:val="385" w:hRule="exact"/>
        </w:trPr>
        <w:tc>
          <w:tcPr>
            <w:tcW w:w="52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0"/>
              <w:jc w:val="center"/>
              <w:rPr>
                <w:rFonts w:ascii="宋体" w:hAnsi="宋体" w:cs="宋体" w:eastAsia="宋体" w:hint="default"/>
                <w:sz w:val="20"/>
                <w:szCs w:val="20"/>
              </w:rPr>
            </w:pPr>
            <w:r>
              <w:rPr>
                <w:rFonts w:ascii="宋体"/>
                <w:sz w:val="20"/>
              </w:rPr>
              <w:t>49</w:t>
            </w:r>
          </w:p>
        </w:tc>
        <w:tc>
          <w:tcPr>
            <w:tcW w:w="341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立体烫印全息效果特种印刷模具</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0"/>
              <w:jc w:val="center"/>
              <w:rPr>
                <w:rFonts w:ascii="宋体" w:hAnsi="宋体" w:cs="宋体" w:eastAsia="宋体" w:hint="default"/>
                <w:sz w:val="20"/>
                <w:szCs w:val="20"/>
              </w:rPr>
            </w:pPr>
            <w:r>
              <w:rPr>
                <w:rFonts w:ascii="宋体" w:hAnsi="宋体" w:cs="宋体" w:eastAsia="宋体" w:hint="default"/>
                <w:sz w:val="20"/>
                <w:szCs w:val="20"/>
              </w:rPr>
              <w:t>实用新型</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84"/>
              <w:jc w:val="right"/>
              <w:rPr>
                <w:rFonts w:ascii="宋体" w:hAnsi="宋体" w:cs="宋体" w:eastAsia="宋体" w:hint="default"/>
                <w:sz w:val="20"/>
                <w:szCs w:val="20"/>
              </w:rPr>
            </w:pPr>
            <w:r>
              <w:rPr>
                <w:rFonts w:ascii="宋体"/>
                <w:spacing w:val="-1"/>
                <w:sz w:val="20"/>
              </w:rPr>
              <w:t>ZL201820256186.0</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0"/>
              <w:jc w:val="center"/>
              <w:rPr>
                <w:rFonts w:ascii="宋体" w:hAnsi="宋体" w:cs="宋体" w:eastAsia="宋体" w:hint="default"/>
                <w:sz w:val="20"/>
                <w:szCs w:val="20"/>
              </w:rPr>
            </w:pPr>
            <w:r>
              <w:rPr>
                <w:rFonts w:ascii="宋体" w:hAnsi="宋体" w:cs="宋体" w:eastAsia="宋体" w:hint="default"/>
                <w:sz w:val="20"/>
                <w:szCs w:val="20"/>
              </w:rPr>
              <w:t>10</w:t>
            </w:r>
            <w:r>
              <w:rPr>
                <w:rFonts w:ascii="宋体" w:hAnsi="宋体" w:cs="宋体" w:eastAsia="宋体" w:hint="default"/>
                <w:spacing w:val="-50"/>
                <w:sz w:val="20"/>
                <w:szCs w:val="20"/>
              </w:rPr>
              <w:t> </w:t>
            </w:r>
            <w:r>
              <w:rPr>
                <w:rFonts w:ascii="宋体" w:hAnsi="宋体" w:cs="宋体" w:eastAsia="宋体" w:hint="default"/>
                <w:sz w:val="20"/>
                <w:szCs w:val="20"/>
              </w:rPr>
              <w:t>年</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长春吉星</w:t>
            </w:r>
          </w:p>
        </w:tc>
      </w:tr>
      <w:tr>
        <w:trPr>
          <w:trHeight w:val="384" w:hRule="exact"/>
        </w:trPr>
        <w:tc>
          <w:tcPr>
            <w:tcW w:w="52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0"/>
              <w:jc w:val="center"/>
              <w:rPr>
                <w:rFonts w:ascii="宋体" w:hAnsi="宋体" w:cs="宋体" w:eastAsia="宋体" w:hint="default"/>
                <w:sz w:val="20"/>
                <w:szCs w:val="20"/>
              </w:rPr>
            </w:pPr>
            <w:r>
              <w:rPr>
                <w:rFonts w:ascii="宋体"/>
                <w:sz w:val="20"/>
              </w:rPr>
              <w:t>50</w:t>
            </w:r>
          </w:p>
        </w:tc>
        <w:tc>
          <w:tcPr>
            <w:tcW w:w="341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一种便于运输的包装盒</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0"/>
              <w:jc w:val="center"/>
              <w:rPr>
                <w:rFonts w:ascii="宋体" w:hAnsi="宋体" w:cs="宋体" w:eastAsia="宋体" w:hint="default"/>
                <w:sz w:val="20"/>
                <w:szCs w:val="20"/>
              </w:rPr>
            </w:pPr>
            <w:r>
              <w:rPr>
                <w:rFonts w:ascii="宋体" w:hAnsi="宋体" w:cs="宋体" w:eastAsia="宋体" w:hint="default"/>
                <w:sz w:val="20"/>
                <w:szCs w:val="20"/>
              </w:rPr>
              <w:t>实用新型</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84"/>
              <w:jc w:val="right"/>
              <w:rPr>
                <w:rFonts w:ascii="宋体" w:hAnsi="宋体" w:cs="宋体" w:eastAsia="宋体" w:hint="default"/>
                <w:sz w:val="20"/>
                <w:szCs w:val="20"/>
              </w:rPr>
            </w:pPr>
            <w:r>
              <w:rPr>
                <w:rFonts w:ascii="宋体"/>
                <w:spacing w:val="-1"/>
                <w:sz w:val="20"/>
              </w:rPr>
              <w:t>ZL201620335091.9</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0"/>
              <w:jc w:val="center"/>
              <w:rPr>
                <w:rFonts w:ascii="宋体" w:hAnsi="宋体" w:cs="宋体" w:eastAsia="宋体" w:hint="default"/>
                <w:sz w:val="20"/>
                <w:szCs w:val="20"/>
              </w:rPr>
            </w:pPr>
            <w:r>
              <w:rPr>
                <w:rFonts w:ascii="宋体" w:hAnsi="宋体" w:cs="宋体" w:eastAsia="宋体" w:hint="default"/>
                <w:sz w:val="20"/>
                <w:szCs w:val="20"/>
              </w:rPr>
              <w:t>10</w:t>
            </w:r>
            <w:r>
              <w:rPr>
                <w:rFonts w:ascii="宋体" w:hAnsi="宋体" w:cs="宋体" w:eastAsia="宋体" w:hint="default"/>
                <w:spacing w:val="-50"/>
                <w:sz w:val="20"/>
                <w:szCs w:val="20"/>
              </w:rPr>
              <w:t> </w:t>
            </w:r>
            <w:r>
              <w:rPr>
                <w:rFonts w:ascii="宋体" w:hAnsi="宋体" w:cs="宋体" w:eastAsia="宋体" w:hint="default"/>
                <w:sz w:val="20"/>
                <w:szCs w:val="20"/>
              </w:rPr>
              <w:t>年</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智能包装</w:t>
            </w:r>
          </w:p>
        </w:tc>
      </w:tr>
      <w:tr>
        <w:trPr>
          <w:trHeight w:val="385" w:hRule="exact"/>
        </w:trPr>
        <w:tc>
          <w:tcPr>
            <w:tcW w:w="526"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0"/>
              <w:jc w:val="center"/>
              <w:rPr>
                <w:rFonts w:ascii="宋体" w:hAnsi="宋体" w:cs="宋体" w:eastAsia="宋体" w:hint="default"/>
                <w:sz w:val="20"/>
                <w:szCs w:val="20"/>
              </w:rPr>
            </w:pPr>
            <w:r>
              <w:rPr>
                <w:rFonts w:ascii="宋体"/>
                <w:sz w:val="20"/>
              </w:rPr>
              <w:t>51</w:t>
            </w:r>
          </w:p>
        </w:tc>
        <w:tc>
          <w:tcPr>
            <w:tcW w:w="3410"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0"/>
                <w:szCs w:val="20"/>
              </w:rPr>
            </w:pPr>
            <w:r>
              <w:rPr>
                <w:rFonts w:ascii="宋体" w:hAnsi="宋体" w:cs="宋体" w:eastAsia="宋体" w:hint="default"/>
                <w:sz w:val="20"/>
                <w:szCs w:val="20"/>
              </w:rPr>
              <w:t>一种高效全开式小盒烟包开盒装置</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0"/>
              <w:jc w:val="center"/>
              <w:rPr>
                <w:rFonts w:ascii="宋体" w:hAnsi="宋体" w:cs="宋体" w:eastAsia="宋体" w:hint="default"/>
                <w:sz w:val="20"/>
                <w:szCs w:val="20"/>
              </w:rPr>
            </w:pPr>
            <w:r>
              <w:rPr>
                <w:rFonts w:ascii="宋体" w:hAnsi="宋体" w:cs="宋体" w:eastAsia="宋体" w:hint="default"/>
                <w:sz w:val="20"/>
                <w:szCs w:val="20"/>
              </w:rPr>
              <w:t>实用新型</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184"/>
              <w:jc w:val="right"/>
              <w:rPr>
                <w:rFonts w:ascii="宋体" w:hAnsi="宋体" w:cs="宋体" w:eastAsia="宋体" w:hint="default"/>
                <w:sz w:val="20"/>
                <w:szCs w:val="20"/>
              </w:rPr>
            </w:pPr>
            <w:r>
              <w:rPr>
                <w:rFonts w:ascii="宋体"/>
                <w:spacing w:val="-1"/>
                <w:sz w:val="20"/>
              </w:rPr>
              <w:t>ZL201820421438.0</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0"/>
              <w:jc w:val="center"/>
              <w:rPr>
                <w:rFonts w:ascii="宋体" w:hAnsi="宋体" w:cs="宋体" w:eastAsia="宋体" w:hint="default"/>
                <w:sz w:val="20"/>
                <w:szCs w:val="20"/>
              </w:rPr>
            </w:pPr>
            <w:r>
              <w:rPr>
                <w:rFonts w:ascii="宋体" w:hAnsi="宋体" w:cs="宋体" w:eastAsia="宋体" w:hint="default"/>
                <w:sz w:val="20"/>
                <w:szCs w:val="20"/>
              </w:rPr>
              <w:t>10</w:t>
            </w:r>
            <w:r>
              <w:rPr>
                <w:rFonts w:ascii="宋体" w:hAnsi="宋体" w:cs="宋体" w:eastAsia="宋体" w:hint="default"/>
                <w:spacing w:val="-50"/>
                <w:sz w:val="20"/>
                <w:szCs w:val="20"/>
              </w:rPr>
              <w:t> </w:t>
            </w:r>
            <w:r>
              <w:rPr>
                <w:rFonts w:ascii="宋体" w:hAnsi="宋体" w:cs="宋体" w:eastAsia="宋体" w:hint="default"/>
                <w:sz w:val="20"/>
                <w:szCs w:val="20"/>
              </w:rPr>
              <w:t>年</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0"/>
                <w:szCs w:val="20"/>
              </w:rPr>
            </w:pPr>
            <w:r>
              <w:rPr>
                <w:rFonts w:ascii="宋体" w:hAnsi="宋体" w:cs="宋体" w:eastAsia="宋体" w:hint="default"/>
                <w:sz w:val="20"/>
                <w:szCs w:val="20"/>
              </w:rPr>
              <w:t>智能包装</w:t>
            </w:r>
          </w:p>
        </w:tc>
      </w:tr>
      <w:tr>
        <w:trPr>
          <w:trHeight w:val="385" w:hRule="exact"/>
        </w:trPr>
        <w:tc>
          <w:tcPr>
            <w:tcW w:w="526"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0"/>
              <w:jc w:val="center"/>
              <w:rPr>
                <w:rFonts w:ascii="宋体" w:hAnsi="宋体" w:cs="宋体" w:eastAsia="宋体" w:hint="default"/>
                <w:sz w:val="20"/>
                <w:szCs w:val="20"/>
              </w:rPr>
            </w:pPr>
            <w:r>
              <w:rPr>
                <w:rFonts w:ascii="宋体"/>
                <w:sz w:val="20"/>
              </w:rPr>
              <w:t>52</w:t>
            </w:r>
          </w:p>
        </w:tc>
        <w:tc>
          <w:tcPr>
            <w:tcW w:w="3410"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0"/>
                <w:szCs w:val="20"/>
              </w:rPr>
            </w:pPr>
            <w:r>
              <w:rPr>
                <w:rFonts w:ascii="宋体" w:hAnsi="宋体" w:cs="宋体" w:eastAsia="宋体" w:hint="default"/>
                <w:sz w:val="20"/>
                <w:szCs w:val="20"/>
              </w:rPr>
              <w:t>一种新型膜压机定位控制调整装置</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0"/>
              <w:jc w:val="center"/>
              <w:rPr>
                <w:rFonts w:ascii="宋体" w:hAnsi="宋体" w:cs="宋体" w:eastAsia="宋体" w:hint="default"/>
                <w:sz w:val="20"/>
                <w:szCs w:val="20"/>
              </w:rPr>
            </w:pPr>
            <w:r>
              <w:rPr>
                <w:rFonts w:ascii="宋体" w:hAnsi="宋体" w:cs="宋体" w:eastAsia="宋体" w:hint="default"/>
                <w:sz w:val="20"/>
                <w:szCs w:val="20"/>
              </w:rPr>
              <w:t>实用新型</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184"/>
              <w:jc w:val="right"/>
              <w:rPr>
                <w:rFonts w:ascii="宋体" w:hAnsi="宋体" w:cs="宋体" w:eastAsia="宋体" w:hint="default"/>
                <w:sz w:val="20"/>
                <w:szCs w:val="20"/>
              </w:rPr>
            </w:pPr>
            <w:r>
              <w:rPr>
                <w:rFonts w:ascii="宋体"/>
                <w:spacing w:val="-1"/>
                <w:sz w:val="20"/>
              </w:rPr>
              <w:t>ZL201720511763.1</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0"/>
              <w:jc w:val="center"/>
              <w:rPr>
                <w:rFonts w:ascii="宋体" w:hAnsi="宋体" w:cs="宋体" w:eastAsia="宋体" w:hint="default"/>
                <w:sz w:val="20"/>
                <w:szCs w:val="20"/>
              </w:rPr>
            </w:pPr>
            <w:r>
              <w:rPr>
                <w:rFonts w:ascii="宋体" w:hAnsi="宋体" w:cs="宋体" w:eastAsia="宋体" w:hint="default"/>
                <w:sz w:val="20"/>
                <w:szCs w:val="20"/>
              </w:rPr>
              <w:t>10</w:t>
            </w:r>
            <w:r>
              <w:rPr>
                <w:rFonts w:ascii="宋体" w:hAnsi="宋体" w:cs="宋体" w:eastAsia="宋体" w:hint="default"/>
                <w:spacing w:val="-50"/>
                <w:sz w:val="20"/>
                <w:szCs w:val="20"/>
              </w:rPr>
              <w:t> </w:t>
            </w:r>
            <w:r>
              <w:rPr>
                <w:rFonts w:ascii="宋体" w:hAnsi="宋体" w:cs="宋体" w:eastAsia="宋体" w:hint="default"/>
                <w:sz w:val="20"/>
                <w:szCs w:val="20"/>
              </w:rPr>
              <w:t>年</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0"/>
                <w:szCs w:val="20"/>
              </w:rPr>
            </w:pPr>
            <w:r>
              <w:rPr>
                <w:rFonts w:ascii="宋体" w:hAnsi="宋体" w:cs="宋体" w:eastAsia="宋体" w:hint="default"/>
                <w:sz w:val="20"/>
                <w:szCs w:val="20"/>
              </w:rPr>
              <w:t>中丰田</w:t>
            </w:r>
          </w:p>
        </w:tc>
      </w:tr>
      <w:tr>
        <w:trPr>
          <w:trHeight w:val="385" w:hRule="exact"/>
        </w:trPr>
        <w:tc>
          <w:tcPr>
            <w:tcW w:w="52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0"/>
              <w:jc w:val="center"/>
              <w:rPr>
                <w:rFonts w:ascii="宋体" w:hAnsi="宋体" w:cs="宋体" w:eastAsia="宋体" w:hint="default"/>
                <w:sz w:val="20"/>
                <w:szCs w:val="20"/>
              </w:rPr>
            </w:pPr>
            <w:r>
              <w:rPr>
                <w:rFonts w:ascii="宋体"/>
                <w:sz w:val="20"/>
              </w:rPr>
              <w:t>53</w:t>
            </w:r>
          </w:p>
        </w:tc>
        <w:tc>
          <w:tcPr>
            <w:tcW w:w="341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一种新型涂布网目辊出膜包角</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0"/>
              <w:jc w:val="center"/>
              <w:rPr>
                <w:rFonts w:ascii="宋体" w:hAnsi="宋体" w:cs="宋体" w:eastAsia="宋体" w:hint="default"/>
                <w:sz w:val="20"/>
                <w:szCs w:val="20"/>
              </w:rPr>
            </w:pPr>
            <w:r>
              <w:rPr>
                <w:rFonts w:ascii="宋体" w:hAnsi="宋体" w:cs="宋体" w:eastAsia="宋体" w:hint="default"/>
                <w:sz w:val="20"/>
                <w:szCs w:val="20"/>
              </w:rPr>
              <w:t>实用新型</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84"/>
              <w:jc w:val="right"/>
              <w:rPr>
                <w:rFonts w:ascii="宋体" w:hAnsi="宋体" w:cs="宋体" w:eastAsia="宋体" w:hint="default"/>
                <w:sz w:val="20"/>
                <w:szCs w:val="20"/>
              </w:rPr>
            </w:pPr>
            <w:r>
              <w:rPr>
                <w:rFonts w:ascii="宋体"/>
                <w:spacing w:val="-1"/>
                <w:sz w:val="20"/>
              </w:rPr>
              <w:t>ZL201720511783.9</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0"/>
              <w:jc w:val="center"/>
              <w:rPr>
                <w:rFonts w:ascii="宋体" w:hAnsi="宋体" w:cs="宋体" w:eastAsia="宋体" w:hint="default"/>
                <w:sz w:val="20"/>
                <w:szCs w:val="20"/>
              </w:rPr>
            </w:pPr>
            <w:r>
              <w:rPr>
                <w:rFonts w:ascii="宋体" w:hAnsi="宋体" w:cs="宋体" w:eastAsia="宋体" w:hint="default"/>
                <w:sz w:val="20"/>
                <w:szCs w:val="20"/>
              </w:rPr>
              <w:t>10</w:t>
            </w:r>
            <w:r>
              <w:rPr>
                <w:rFonts w:ascii="宋体" w:hAnsi="宋体" w:cs="宋体" w:eastAsia="宋体" w:hint="default"/>
                <w:spacing w:val="-50"/>
                <w:sz w:val="20"/>
                <w:szCs w:val="20"/>
              </w:rPr>
              <w:t> </w:t>
            </w:r>
            <w:r>
              <w:rPr>
                <w:rFonts w:ascii="宋体" w:hAnsi="宋体" w:cs="宋体" w:eastAsia="宋体" w:hint="default"/>
                <w:sz w:val="20"/>
                <w:szCs w:val="20"/>
              </w:rPr>
              <w:t>年</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中丰田</w:t>
            </w:r>
          </w:p>
        </w:tc>
      </w:tr>
      <w:tr>
        <w:trPr>
          <w:trHeight w:val="386" w:hRule="exact"/>
        </w:trPr>
        <w:tc>
          <w:tcPr>
            <w:tcW w:w="526"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0"/>
              <w:jc w:val="center"/>
              <w:rPr>
                <w:rFonts w:ascii="宋体" w:hAnsi="宋体" w:cs="宋体" w:eastAsia="宋体" w:hint="default"/>
                <w:sz w:val="20"/>
                <w:szCs w:val="20"/>
              </w:rPr>
            </w:pPr>
            <w:r>
              <w:rPr>
                <w:rFonts w:ascii="宋体"/>
                <w:sz w:val="20"/>
              </w:rPr>
              <w:t>54</w:t>
            </w:r>
          </w:p>
        </w:tc>
        <w:tc>
          <w:tcPr>
            <w:tcW w:w="3410"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0"/>
                <w:szCs w:val="20"/>
              </w:rPr>
            </w:pPr>
            <w:r>
              <w:rPr>
                <w:rFonts w:ascii="宋体" w:hAnsi="宋体" w:cs="宋体" w:eastAsia="宋体" w:hint="default"/>
                <w:sz w:val="20"/>
                <w:szCs w:val="20"/>
              </w:rPr>
              <w:t>一种新型涂布机收卷轴套</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0"/>
              <w:jc w:val="center"/>
              <w:rPr>
                <w:rFonts w:ascii="宋体" w:hAnsi="宋体" w:cs="宋体" w:eastAsia="宋体" w:hint="default"/>
                <w:sz w:val="20"/>
                <w:szCs w:val="20"/>
              </w:rPr>
            </w:pPr>
            <w:r>
              <w:rPr>
                <w:rFonts w:ascii="宋体" w:hAnsi="宋体" w:cs="宋体" w:eastAsia="宋体" w:hint="default"/>
                <w:sz w:val="20"/>
                <w:szCs w:val="20"/>
              </w:rPr>
              <w:t>实用新型</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184"/>
              <w:jc w:val="right"/>
              <w:rPr>
                <w:rFonts w:ascii="宋体" w:hAnsi="宋体" w:cs="宋体" w:eastAsia="宋体" w:hint="default"/>
                <w:sz w:val="20"/>
                <w:szCs w:val="20"/>
              </w:rPr>
            </w:pPr>
            <w:r>
              <w:rPr>
                <w:rFonts w:ascii="宋体"/>
                <w:spacing w:val="-1"/>
                <w:sz w:val="20"/>
              </w:rPr>
              <w:t>ZL201720511860.0</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0"/>
              <w:jc w:val="center"/>
              <w:rPr>
                <w:rFonts w:ascii="宋体" w:hAnsi="宋体" w:cs="宋体" w:eastAsia="宋体" w:hint="default"/>
                <w:sz w:val="20"/>
                <w:szCs w:val="20"/>
              </w:rPr>
            </w:pPr>
            <w:r>
              <w:rPr>
                <w:rFonts w:ascii="宋体" w:hAnsi="宋体" w:cs="宋体" w:eastAsia="宋体" w:hint="default"/>
                <w:sz w:val="20"/>
                <w:szCs w:val="20"/>
              </w:rPr>
              <w:t>10</w:t>
            </w:r>
            <w:r>
              <w:rPr>
                <w:rFonts w:ascii="宋体" w:hAnsi="宋体" w:cs="宋体" w:eastAsia="宋体" w:hint="default"/>
                <w:spacing w:val="-50"/>
                <w:sz w:val="20"/>
                <w:szCs w:val="20"/>
              </w:rPr>
              <w:t> </w:t>
            </w:r>
            <w:r>
              <w:rPr>
                <w:rFonts w:ascii="宋体" w:hAnsi="宋体" w:cs="宋体" w:eastAsia="宋体" w:hint="default"/>
                <w:sz w:val="20"/>
                <w:szCs w:val="20"/>
              </w:rPr>
              <w:t>年</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0"/>
                <w:szCs w:val="20"/>
              </w:rPr>
            </w:pPr>
            <w:r>
              <w:rPr>
                <w:rFonts w:ascii="宋体" w:hAnsi="宋体" w:cs="宋体" w:eastAsia="宋体" w:hint="default"/>
                <w:sz w:val="20"/>
                <w:szCs w:val="20"/>
              </w:rPr>
              <w:t>中丰田</w:t>
            </w:r>
          </w:p>
        </w:tc>
      </w:tr>
      <w:tr>
        <w:trPr>
          <w:trHeight w:val="634" w:hRule="exact"/>
        </w:trPr>
        <w:tc>
          <w:tcPr>
            <w:tcW w:w="52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0"/>
              <w:jc w:val="center"/>
              <w:rPr>
                <w:rFonts w:ascii="宋体" w:hAnsi="宋体" w:cs="宋体" w:eastAsia="宋体" w:hint="default"/>
                <w:sz w:val="20"/>
                <w:szCs w:val="20"/>
              </w:rPr>
            </w:pPr>
            <w:r>
              <w:rPr>
                <w:rFonts w:ascii="宋体"/>
                <w:sz w:val="20"/>
              </w:rPr>
              <w:t>55</w:t>
            </w:r>
          </w:p>
        </w:tc>
        <w:tc>
          <w:tcPr>
            <w:tcW w:w="3410"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293"/>
              <w:jc w:val="left"/>
              <w:rPr>
                <w:rFonts w:ascii="宋体" w:hAnsi="宋体" w:cs="宋体" w:eastAsia="宋体" w:hint="default"/>
                <w:sz w:val="20"/>
                <w:szCs w:val="20"/>
              </w:rPr>
            </w:pPr>
            <w:r>
              <w:rPr>
                <w:rFonts w:ascii="宋体" w:hAnsi="宋体" w:cs="宋体" w:eastAsia="宋体" w:hint="default"/>
                <w:sz w:val="20"/>
                <w:szCs w:val="20"/>
              </w:rPr>
              <w:t>一种镭射转移纸表面镭射层附着力</w:t>
            </w:r>
            <w:r>
              <w:rPr>
                <w:rFonts w:ascii="宋体" w:hAnsi="宋体" w:cs="宋体" w:eastAsia="宋体" w:hint="default"/>
                <w:w w:val="100"/>
                <w:sz w:val="20"/>
                <w:szCs w:val="20"/>
              </w:rPr>
              <w:t> </w:t>
            </w:r>
            <w:r>
              <w:rPr>
                <w:rFonts w:ascii="宋体" w:hAnsi="宋体" w:cs="宋体" w:eastAsia="宋体" w:hint="default"/>
                <w:sz w:val="20"/>
                <w:szCs w:val="20"/>
              </w:rPr>
              <w:t>的测试装置</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0"/>
              <w:jc w:val="center"/>
              <w:rPr>
                <w:rFonts w:ascii="宋体" w:hAnsi="宋体" w:cs="宋体" w:eastAsia="宋体" w:hint="default"/>
                <w:sz w:val="20"/>
                <w:szCs w:val="20"/>
              </w:rPr>
            </w:pPr>
            <w:r>
              <w:rPr>
                <w:rFonts w:ascii="宋体" w:hAnsi="宋体" w:cs="宋体" w:eastAsia="宋体" w:hint="default"/>
                <w:sz w:val="20"/>
                <w:szCs w:val="20"/>
              </w:rPr>
              <w:t>实用新型</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84"/>
              <w:jc w:val="right"/>
              <w:rPr>
                <w:rFonts w:ascii="宋体" w:hAnsi="宋体" w:cs="宋体" w:eastAsia="宋体" w:hint="default"/>
                <w:sz w:val="20"/>
                <w:szCs w:val="20"/>
              </w:rPr>
            </w:pPr>
            <w:r>
              <w:rPr>
                <w:rFonts w:ascii="宋体"/>
                <w:spacing w:val="-1"/>
                <w:sz w:val="20"/>
              </w:rPr>
              <w:t>ZL201720598194.9</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0"/>
              <w:jc w:val="center"/>
              <w:rPr>
                <w:rFonts w:ascii="宋体" w:hAnsi="宋体" w:cs="宋体" w:eastAsia="宋体" w:hint="default"/>
                <w:sz w:val="20"/>
                <w:szCs w:val="20"/>
              </w:rPr>
            </w:pPr>
            <w:r>
              <w:rPr>
                <w:rFonts w:ascii="宋体" w:hAnsi="宋体" w:cs="宋体" w:eastAsia="宋体" w:hint="default"/>
                <w:sz w:val="20"/>
                <w:szCs w:val="20"/>
              </w:rPr>
              <w:t>10</w:t>
            </w:r>
            <w:r>
              <w:rPr>
                <w:rFonts w:ascii="宋体" w:hAnsi="宋体" w:cs="宋体" w:eastAsia="宋体" w:hint="default"/>
                <w:spacing w:val="-50"/>
                <w:sz w:val="20"/>
                <w:szCs w:val="20"/>
              </w:rPr>
              <w:t> </w:t>
            </w:r>
            <w:r>
              <w:rPr>
                <w:rFonts w:ascii="宋体" w:hAnsi="宋体" w:cs="宋体" w:eastAsia="宋体" w:hint="default"/>
                <w:sz w:val="20"/>
                <w:szCs w:val="20"/>
              </w:rPr>
              <w:t>年</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中丰田</w:t>
            </w:r>
          </w:p>
        </w:tc>
      </w:tr>
    </w:tbl>
    <w:p>
      <w:pPr>
        <w:spacing w:after="0" w:line="256" w:lineRule="exact"/>
        <w:jc w:val="left"/>
        <w:rPr>
          <w:rFonts w:ascii="宋体" w:hAnsi="宋体" w:cs="宋体" w:eastAsia="宋体" w:hint="default"/>
          <w:sz w:val="20"/>
          <w:szCs w:val="20"/>
        </w:rPr>
        <w:sectPr>
          <w:pgSz w:w="11910" w:h="16840"/>
          <w:pgMar w:header="747" w:footer="979" w:top="1060" w:bottom="1160" w:left="92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01" w:type="dxa"/>
        <w:tblLayout w:type="fixed"/>
        <w:tblCellMar>
          <w:top w:w="0" w:type="dxa"/>
          <w:left w:w="0" w:type="dxa"/>
          <w:bottom w:w="0" w:type="dxa"/>
          <w:right w:w="0" w:type="dxa"/>
        </w:tblCellMar>
        <w:tblLook w:val="01E0"/>
      </w:tblPr>
      <w:tblGrid>
        <w:gridCol w:w="526"/>
        <w:gridCol w:w="3410"/>
        <w:gridCol w:w="1135"/>
        <w:gridCol w:w="1984"/>
        <w:gridCol w:w="1044"/>
        <w:gridCol w:w="1757"/>
      </w:tblGrid>
      <w:tr>
        <w:trPr>
          <w:trHeight w:val="385" w:hRule="exact"/>
        </w:trPr>
        <w:tc>
          <w:tcPr>
            <w:tcW w:w="52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0"/>
              <w:jc w:val="center"/>
              <w:rPr>
                <w:rFonts w:ascii="宋体" w:hAnsi="宋体" w:cs="宋体" w:eastAsia="宋体" w:hint="default"/>
                <w:sz w:val="20"/>
                <w:szCs w:val="20"/>
              </w:rPr>
            </w:pPr>
            <w:r>
              <w:rPr>
                <w:rFonts w:ascii="宋体"/>
                <w:sz w:val="20"/>
              </w:rPr>
              <w:t>56</w:t>
            </w:r>
          </w:p>
        </w:tc>
        <w:tc>
          <w:tcPr>
            <w:tcW w:w="341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一种镭射转印纸爆裂测试装置</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0"/>
              <w:jc w:val="center"/>
              <w:rPr>
                <w:rFonts w:ascii="宋体" w:hAnsi="宋体" w:cs="宋体" w:eastAsia="宋体" w:hint="default"/>
                <w:sz w:val="20"/>
                <w:szCs w:val="20"/>
              </w:rPr>
            </w:pPr>
            <w:r>
              <w:rPr>
                <w:rFonts w:ascii="宋体" w:hAnsi="宋体" w:cs="宋体" w:eastAsia="宋体" w:hint="default"/>
                <w:sz w:val="20"/>
                <w:szCs w:val="20"/>
              </w:rPr>
              <w:t>实用新型</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84"/>
              <w:jc w:val="right"/>
              <w:rPr>
                <w:rFonts w:ascii="宋体" w:hAnsi="宋体" w:cs="宋体" w:eastAsia="宋体" w:hint="default"/>
                <w:sz w:val="20"/>
                <w:szCs w:val="20"/>
              </w:rPr>
            </w:pPr>
            <w:r>
              <w:rPr>
                <w:rFonts w:ascii="宋体"/>
                <w:spacing w:val="-1"/>
                <w:sz w:val="20"/>
              </w:rPr>
              <w:t>ZL201720598195.3</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0"/>
              <w:jc w:val="center"/>
              <w:rPr>
                <w:rFonts w:ascii="宋体" w:hAnsi="宋体" w:cs="宋体" w:eastAsia="宋体" w:hint="default"/>
                <w:sz w:val="20"/>
                <w:szCs w:val="20"/>
              </w:rPr>
            </w:pPr>
            <w:r>
              <w:rPr>
                <w:rFonts w:ascii="宋体" w:hAnsi="宋体" w:cs="宋体" w:eastAsia="宋体" w:hint="default"/>
                <w:sz w:val="20"/>
                <w:szCs w:val="20"/>
              </w:rPr>
              <w:t>10</w:t>
            </w:r>
            <w:r>
              <w:rPr>
                <w:rFonts w:ascii="宋体" w:hAnsi="宋体" w:cs="宋体" w:eastAsia="宋体" w:hint="default"/>
                <w:spacing w:val="-50"/>
                <w:sz w:val="20"/>
                <w:szCs w:val="20"/>
              </w:rPr>
              <w:t> </w:t>
            </w:r>
            <w:r>
              <w:rPr>
                <w:rFonts w:ascii="宋体" w:hAnsi="宋体" w:cs="宋体" w:eastAsia="宋体" w:hint="default"/>
                <w:sz w:val="20"/>
                <w:szCs w:val="20"/>
              </w:rPr>
              <w:t>年</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中丰田</w:t>
            </w:r>
          </w:p>
        </w:tc>
      </w:tr>
      <w:tr>
        <w:trPr>
          <w:trHeight w:val="385" w:hRule="exact"/>
        </w:trPr>
        <w:tc>
          <w:tcPr>
            <w:tcW w:w="52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0"/>
              <w:jc w:val="center"/>
              <w:rPr>
                <w:rFonts w:ascii="宋体" w:hAnsi="宋体" w:cs="宋体" w:eastAsia="宋体" w:hint="default"/>
                <w:sz w:val="20"/>
                <w:szCs w:val="20"/>
              </w:rPr>
            </w:pPr>
            <w:r>
              <w:rPr>
                <w:rFonts w:ascii="宋体"/>
                <w:sz w:val="20"/>
              </w:rPr>
              <w:t>57</w:t>
            </w:r>
          </w:p>
        </w:tc>
        <w:tc>
          <w:tcPr>
            <w:tcW w:w="341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一种复膜装置</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0"/>
              <w:jc w:val="center"/>
              <w:rPr>
                <w:rFonts w:ascii="宋体" w:hAnsi="宋体" w:cs="宋体" w:eastAsia="宋体" w:hint="default"/>
                <w:sz w:val="20"/>
                <w:szCs w:val="20"/>
              </w:rPr>
            </w:pPr>
            <w:r>
              <w:rPr>
                <w:rFonts w:ascii="宋体" w:hAnsi="宋体" w:cs="宋体" w:eastAsia="宋体" w:hint="default"/>
                <w:sz w:val="20"/>
                <w:szCs w:val="20"/>
              </w:rPr>
              <w:t>实用新型</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84"/>
              <w:jc w:val="right"/>
              <w:rPr>
                <w:rFonts w:ascii="宋体" w:hAnsi="宋体" w:cs="宋体" w:eastAsia="宋体" w:hint="default"/>
                <w:sz w:val="20"/>
                <w:szCs w:val="20"/>
              </w:rPr>
            </w:pPr>
            <w:r>
              <w:rPr>
                <w:rFonts w:ascii="宋体"/>
                <w:spacing w:val="-1"/>
                <w:sz w:val="20"/>
              </w:rPr>
              <w:t>ZL201720598197.2</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0"/>
              <w:jc w:val="center"/>
              <w:rPr>
                <w:rFonts w:ascii="宋体" w:hAnsi="宋体" w:cs="宋体" w:eastAsia="宋体" w:hint="default"/>
                <w:sz w:val="20"/>
                <w:szCs w:val="20"/>
              </w:rPr>
            </w:pPr>
            <w:r>
              <w:rPr>
                <w:rFonts w:ascii="宋体" w:hAnsi="宋体" w:cs="宋体" w:eastAsia="宋体" w:hint="default"/>
                <w:sz w:val="20"/>
                <w:szCs w:val="20"/>
              </w:rPr>
              <w:t>10</w:t>
            </w:r>
            <w:r>
              <w:rPr>
                <w:rFonts w:ascii="宋体" w:hAnsi="宋体" w:cs="宋体" w:eastAsia="宋体" w:hint="default"/>
                <w:spacing w:val="-50"/>
                <w:sz w:val="20"/>
                <w:szCs w:val="20"/>
              </w:rPr>
              <w:t> </w:t>
            </w:r>
            <w:r>
              <w:rPr>
                <w:rFonts w:ascii="宋体" w:hAnsi="宋体" w:cs="宋体" w:eastAsia="宋体" w:hint="default"/>
                <w:sz w:val="20"/>
                <w:szCs w:val="20"/>
              </w:rPr>
              <w:t>年</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中丰田</w:t>
            </w:r>
          </w:p>
        </w:tc>
      </w:tr>
      <w:tr>
        <w:trPr>
          <w:trHeight w:val="634" w:hRule="exact"/>
        </w:trPr>
        <w:tc>
          <w:tcPr>
            <w:tcW w:w="52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0"/>
              <w:jc w:val="center"/>
              <w:rPr>
                <w:rFonts w:ascii="宋体" w:hAnsi="宋体" w:cs="宋体" w:eastAsia="宋体" w:hint="default"/>
                <w:sz w:val="20"/>
                <w:szCs w:val="20"/>
              </w:rPr>
            </w:pPr>
            <w:r>
              <w:rPr>
                <w:rFonts w:ascii="宋体"/>
                <w:sz w:val="20"/>
              </w:rPr>
              <w:t>58</w:t>
            </w:r>
          </w:p>
        </w:tc>
        <w:tc>
          <w:tcPr>
            <w:tcW w:w="3410"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293"/>
              <w:jc w:val="left"/>
              <w:rPr>
                <w:rFonts w:ascii="宋体" w:hAnsi="宋体" w:cs="宋体" w:eastAsia="宋体" w:hint="default"/>
                <w:sz w:val="20"/>
                <w:szCs w:val="20"/>
              </w:rPr>
            </w:pPr>
            <w:r>
              <w:rPr>
                <w:rFonts w:ascii="宋体" w:hAnsi="宋体" w:cs="宋体" w:eastAsia="宋体" w:hint="default"/>
                <w:sz w:val="20"/>
                <w:szCs w:val="20"/>
              </w:rPr>
              <w:t>一种专用于逻辑光纹无缝材料膜的</w:t>
            </w:r>
            <w:r>
              <w:rPr>
                <w:rFonts w:ascii="宋体" w:hAnsi="宋体" w:cs="宋体" w:eastAsia="宋体" w:hint="default"/>
                <w:w w:val="100"/>
                <w:sz w:val="20"/>
                <w:szCs w:val="20"/>
              </w:rPr>
              <w:t> </w:t>
            </w:r>
            <w:r>
              <w:rPr>
                <w:rFonts w:ascii="宋体" w:hAnsi="宋体" w:cs="宋体" w:eastAsia="宋体" w:hint="default"/>
                <w:sz w:val="20"/>
                <w:szCs w:val="20"/>
              </w:rPr>
              <w:t>膜压机</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0"/>
              <w:jc w:val="center"/>
              <w:rPr>
                <w:rFonts w:ascii="宋体" w:hAnsi="宋体" w:cs="宋体" w:eastAsia="宋体" w:hint="default"/>
                <w:sz w:val="20"/>
                <w:szCs w:val="20"/>
              </w:rPr>
            </w:pPr>
            <w:r>
              <w:rPr>
                <w:rFonts w:ascii="宋体" w:hAnsi="宋体" w:cs="宋体" w:eastAsia="宋体" w:hint="default"/>
                <w:sz w:val="20"/>
                <w:szCs w:val="20"/>
              </w:rPr>
              <w:t>实用新型</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84"/>
              <w:jc w:val="right"/>
              <w:rPr>
                <w:rFonts w:ascii="宋体" w:hAnsi="宋体" w:cs="宋体" w:eastAsia="宋体" w:hint="default"/>
                <w:sz w:val="20"/>
                <w:szCs w:val="20"/>
              </w:rPr>
            </w:pPr>
            <w:r>
              <w:rPr>
                <w:rFonts w:ascii="宋体"/>
                <w:spacing w:val="-1"/>
                <w:sz w:val="20"/>
              </w:rPr>
              <w:t>ZL201720732254.1</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0"/>
              <w:jc w:val="center"/>
              <w:rPr>
                <w:rFonts w:ascii="宋体" w:hAnsi="宋体" w:cs="宋体" w:eastAsia="宋体" w:hint="default"/>
                <w:sz w:val="20"/>
                <w:szCs w:val="20"/>
              </w:rPr>
            </w:pPr>
            <w:r>
              <w:rPr>
                <w:rFonts w:ascii="宋体" w:hAnsi="宋体" w:cs="宋体" w:eastAsia="宋体" w:hint="default"/>
                <w:sz w:val="20"/>
                <w:szCs w:val="20"/>
              </w:rPr>
              <w:t>10</w:t>
            </w:r>
            <w:r>
              <w:rPr>
                <w:rFonts w:ascii="宋体" w:hAnsi="宋体" w:cs="宋体" w:eastAsia="宋体" w:hint="default"/>
                <w:spacing w:val="-50"/>
                <w:sz w:val="20"/>
                <w:szCs w:val="20"/>
              </w:rPr>
              <w:t> </w:t>
            </w:r>
            <w:r>
              <w:rPr>
                <w:rFonts w:ascii="宋体" w:hAnsi="宋体" w:cs="宋体" w:eastAsia="宋体" w:hint="default"/>
                <w:sz w:val="20"/>
                <w:szCs w:val="20"/>
              </w:rPr>
              <w:t>年</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中丰田</w:t>
            </w:r>
          </w:p>
        </w:tc>
      </w:tr>
      <w:tr>
        <w:trPr>
          <w:trHeight w:val="634" w:hRule="exact"/>
        </w:trPr>
        <w:tc>
          <w:tcPr>
            <w:tcW w:w="52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0"/>
              <w:jc w:val="center"/>
              <w:rPr>
                <w:rFonts w:ascii="宋体" w:hAnsi="宋体" w:cs="宋体" w:eastAsia="宋体" w:hint="default"/>
                <w:sz w:val="20"/>
                <w:szCs w:val="20"/>
              </w:rPr>
            </w:pPr>
            <w:r>
              <w:rPr>
                <w:rFonts w:ascii="宋体"/>
                <w:sz w:val="20"/>
              </w:rPr>
              <w:t>59</w:t>
            </w:r>
          </w:p>
        </w:tc>
        <w:tc>
          <w:tcPr>
            <w:tcW w:w="3410"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293"/>
              <w:jc w:val="left"/>
              <w:rPr>
                <w:rFonts w:ascii="宋体" w:hAnsi="宋体" w:cs="宋体" w:eastAsia="宋体" w:hint="default"/>
                <w:sz w:val="20"/>
                <w:szCs w:val="20"/>
              </w:rPr>
            </w:pPr>
            <w:r>
              <w:rPr>
                <w:rFonts w:ascii="宋体" w:hAnsi="宋体" w:cs="宋体" w:eastAsia="宋体" w:hint="default"/>
                <w:sz w:val="20"/>
                <w:szCs w:val="20"/>
              </w:rPr>
              <w:t>用于新能源电池外包装的复合激光</w:t>
            </w:r>
            <w:r>
              <w:rPr>
                <w:rFonts w:ascii="宋体" w:hAnsi="宋体" w:cs="宋体" w:eastAsia="宋体" w:hint="default"/>
                <w:w w:val="100"/>
                <w:sz w:val="20"/>
                <w:szCs w:val="20"/>
              </w:rPr>
              <w:t> </w:t>
            </w:r>
            <w:r>
              <w:rPr>
                <w:rFonts w:ascii="宋体" w:hAnsi="宋体" w:cs="宋体" w:eastAsia="宋体" w:hint="default"/>
                <w:sz w:val="20"/>
                <w:szCs w:val="20"/>
              </w:rPr>
              <w:t>全息图形的防伪膜</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0"/>
              <w:jc w:val="center"/>
              <w:rPr>
                <w:rFonts w:ascii="宋体" w:hAnsi="宋体" w:cs="宋体" w:eastAsia="宋体" w:hint="default"/>
                <w:sz w:val="20"/>
                <w:szCs w:val="20"/>
              </w:rPr>
            </w:pPr>
            <w:r>
              <w:rPr>
                <w:rFonts w:ascii="宋体" w:hAnsi="宋体" w:cs="宋体" w:eastAsia="宋体" w:hint="default"/>
                <w:sz w:val="20"/>
                <w:szCs w:val="20"/>
              </w:rPr>
              <w:t>实用新型</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84"/>
              <w:jc w:val="right"/>
              <w:rPr>
                <w:rFonts w:ascii="宋体" w:hAnsi="宋体" w:cs="宋体" w:eastAsia="宋体" w:hint="default"/>
                <w:sz w:val="20"/>
                <w:szCs w:val="20"/>
              </w:rPr>
            </w:pPr>
            <w:r>
              <w:rPr>
                <w:rFonts w:ascii="宋体"/>
                <w:spacing w:val="-1"/>
                <w:sz w:val="20"/>
              </w:rPr>
              <w:t>ZL201721358470.0</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0"/>
              <w:jc w:val="center"/>
              <w:rPr>
                <w:rFonts w:ascii="宋体" w:hAnsi="宋体" w:cs="宋体" w:eastAsia="宋体" w:hint="default"/>
                <w:sz w:val="20"/>
                <w:szCs w:val="20"/>
              </w:rPr>
            </w:pPr>
            <w:r>
              <w:rPr>
                <w:rFonts w:ascii="宋体" w:hAnsi="宋体" w:cs="宋体" w:eastAsia="宋体" w:hint="default"/>
                <w:sz w:val="20"/>
                <w:szCs w:val="20"/>
              </w:rPr>
              <w:t>10</w:t>
            </w:r>
            <w:r>
              <w:rPr>
                <w:rFonts w:ascii="宋体" w:hAnsi="宋体" w:cs="宋体" w:eastAsia="宋体" w:hint="default"/>
                <w:spacing w:val="-50"/>
                <w:sz w:val="20"/>
                <w:szCs w:val="20"/>
              </w:rPr>
              <w:t> </w:t>
            </w:r>
            <w:r>
              <w:rPr>
                <w:rFonts w:ascii="宋体" w:hAnsi="宋体" w:cs="宋体" w:eastAsia="宋体" w:hint="default"/>
                <w:sz w:val="20"/>
                <w:szCs w:val="20"/>
              </w:rPr>
              <w:t>年</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中丰田</w:t>
            </w:r>
          </w:p>
        </w:tc>
      </w:tr>
      <w:tr>
        <w:trPr>
          <w:trHeight w:val="385" w:hRule="exact"/>
        </w:trPr>
        <w:tc>
          <w:tcPr>
            <w:tcW w:w="526"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0"/>
              <w:jc w:val="center"/>
              <w:rPr>
                <w:rFonts w:ascii="宋体" w:hAnsi="宋体" w:cs="宋体" w:eastAsia="宋体" w:hint="default"/>
                <w:sz w:val="20"/>
                <w:szCs w:val="20"/>
              </w:rPr>
            </w:pPr>
            <w:r>
              <w:rPr>
                <w:rFonts w:ascii="宋体"/>
                <w:sz w:val="20"/>
              </w:rPr>
              <w:t>60</w:t>
            </w:r>
          </w:p>
        </w:tc>
        <w:tc>
          <w:tcPr>
            <w:tcW w:w="3410"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0"/>
                <w:szCs w:val="20"/>
              </w:rPr>
            </w:pPr>
            <w:r>
              <w:rPr>
                <w:rFonts w:ascii="宋体" w:hAnsi="宋体" w:cs="宋体" w:eastAsia="宋体" w:hint="default"/>
                <w:sz w:val="20"/>
                <w:szCs w:val="20"/>
              </w:rPr>
              <w:t>一种电子烟</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0"/>
              <w:jc w:val="center"/>
              <w:rPr>
                <w:rFonts w:ascii="宋体" w:hAnsi="宋体" w:cs="宋体" w:eastAsia="宋体" w:hint="default"/>
                <w:sz w:val="20"/>
                <w:szCs w:val="20"/>
              </w:rPr>
            </w:pPr>
            <w:r>
              <w:rPr>
                <w:rFonts w:ascii="宋体" w:hAnsi="宋体" w:cs="宋体" w:eastAsia="宋体" w:hint="default"/>
                <w:sz w:val="20"/>
                <w:szCs w:val="20"/>
              </w:rPr>
              <w:t>实用新型</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184"/>
              <w:jc w:val="right"/>
              <w:rPr>
                <w:rFonts w:ascii="宋体" w:hAnsi="宋体" w:cs="宋体" w:eastAsia="宋体" w:hint="default"/>
                <w:sz w:val="20"/>
                <w:szCs w:val="20"/>
              </w:rPr>
            </w:pPr>
            <w:r>
              <w:rPr>
                <w:rFonts w:ascii="宋体"/>
                <w:spacing w:val="-1"/>
                <w:sz w:val="20"/>
              </w:rPr>
              <w:t>ZL201721206188.0</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0"/>
              <w:jc w:val="center"/>
              <w:rPr>
                <w:rFonts w:ascii="宋体" w:hAnsi="宋体" w:cs="宋体" w:eastAsia="宋体" w:hint="default"/>
                <w:sz w:val="20"/>
                <w:szCs w:val="20"/>
              </w:rPr>
            </w:pPr>
            <w:r>
              <w:rPr>
                <w:rFonts w:ascii="宋体" w:hAnsi="宋体" w:cs="宋体" w:eastAsia="宋体" w:hint="default"/>
                <w:sz w:val="20"/>
                <w:szCs w:val="20"/>
              </w:rPr>
              <w:t>10</w:t>
            </w:r>
            <w:r>
              <w:rPr>
                <w:rFonts w:ascii="宋体" w:hAnsi="宋体" w:cs="宋体" w:eastAsia="宋体" w:hint="default"/>
                <w:spacing w:val="-50"/>
                <w:sz w:val="20"/>
                <w:szCs w:val="20"/>
              </w:rPr>
              <w:t> </w:t>
            </w:r>
            <w:r>
              <w:rPr>
                <w:rFonts w:ascii="宋体" w:hAnsi="宋体" w:cs="宋体" w:eastAsia="宋体" w:hint="default"/>
                <w:sz w:val="20"/>
                <w:szCs w:val="20"/>
              </w:rPr>
              <w:t>年</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0"/>
                <w:szCs w:val="20"/>
              </w:rPr>
            </w:pPr>
            <w:r>
              <w:rPr>
                <w:rFonts w:ascii="宋体" w:hAnsi="宋体" w:cs="宋体" w:eastAsia="宋体" w:hint="default"/>
                <w:sz w:val="20"/>
                <w:szCs w:val="20"/>
              </w:rPr>
              <w:t>劲嘉科技</w:t>
            </w:r>
          </w:p>
        </w:tc>
      </w:tr>
      <w:tr>
        <w:trPr>
          <w:trHeight w:val="385" w:hRule="exact"/>
        </w:trPr>
        <w:tc>
          <w:tcPr>
            <w:tcW w:w="52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0"/>
              <w:jc w:val="center"/>
              <w:rPr>
                <w:rFonts w:ascii="宋体" w:hAnsi="宋体" w:cs="宋体" w:eastAsia="宋体" w:hint="default"/>
                <w:sz w:val="20"/>
                <w:szCs w:val="20"/>
              </w:rPr>
            </w:pPr>
            <w:r>
              <w:rPr>
                <w:rFonts w:ascii="宋体"/>
                <w:sz w:val="20"/>
              </w:rPr>
              <w:t>61</w:t>
            </w:r>
          </w:p>
        </w:tc>
        <w:tc>
          <w:tcPr>
            <w:tcW w:w="341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一种模块组合型电子烟</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0"/>
              <w:jc w:val="center"/>
              <w:rPr>
                <w:rFonts w:ascii="宋体" w:hAnsi="宋体" w:cs="宋体" w:eastAsia="宋体" w:hint="default"/>
                <w:sz w:val="20"/>
                <w:szCs w:val="20"/>
              </w:rPr>
            </w:pPr>
            <w:r>
              <w:rPr>
                <w:rFonts w:ascii="宋体" w:hAnsi="宋体" w:cs="宋体" w:eastAsia="宋体" w:hint="default"/>
                <w:sz w:val="20"/>
                <w:szCs w:val="20"/>
              </w:rPr>
              <w:t>实用新型</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84"/>
              <w:jc w:val="right"/>
              <w:rPr>
                <w:rFonts w:ascii="宋体" w:hAnsi="宋体" w:cs="宋体" w:eastAsia="宋体" w:hint="default"/>
                <w:sz w:val="20"/>
                <w:szCs w:val="20"/>
              </w:rPr>
            </w:pPr>
            <w:r>
              <w:rPr>
                <w:rFonts w:ascii="宋体"/>
                <w:spacing w:val="-1"/>
                <w:sz w:val="20"/>
              </w:rPr>
              <w:t>ZL201721413438.8</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0"/>
              <w:jc w:val="center"/>
              <w:rPr>
                <w:rFonts w:ascii="宋体" w:hAnsi="宋体" w:cs="宋体" w:eastAsia="宋体" w:hint="default"/>
                <w:sz w:val="20"/>
                <w:szCs w:val="20"/>
              </w:rPr>
            </w:pPr>
            <w:r>
              <w:rPr>
                <w:rFonts w:ascii="宋体" w:hAnsi="宋体" w:cs="宋体" w:eastAsia="宋体" w:hint="default"/>
                <w:sz w:val="20"/>
                <w:szCs w:val="20"/>
              </w:rPr>
              <w:t>10</w:t>
            </w:r>
            <w:r>
              <w:rPr>
                <w:rFonts w:ascii="宋体" w:hAnsi="宋体" w:cs="宋体" w:eastAsia="宋体" w:hint="default"/>
                <w:spacing w:val="-50"/>
                <w:sz w:val="20"/>
                <w:szCs w:val="20"/>
              </w:rPr>
              <w:t> </w:t>
            </w:r>
            <w:r>
              <w:rPr>
                <w:rFonts w:ascii="宋体" w:hAnsi="宋体" w:cs="宋体" w:eastAsia="宋体" w:hint="default"/>
                <w:sz w:val="20"/>
                <w:szCs w:val="20"/>
              </w:rPr>
              <w:t>年</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劲嘉科技</w:t>
            </w:r>
          </w:p>
        </w:tc>
      </w:tr>
      <w:tr>
        <w:trPr>
          <w:trHeight w:val="385" w:hRule="exact"/>
        </w:trPr>
        <w:tc>
          <w:tcPr>
            <w:tcW w:w="52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0"/>
              <w:jc w:val="center"/>
              <w:rPr>
                <w:rFonts w:ascii="宋体" w:hAnsi="宋体" w:cs="宋体" w:eastAsia="宋体" w:hint="default"/>
                <w:sz w:val="20"/>
                <w:szCs w:val="20"/>
              </w:rPr>
            </w:pPr>
            <w:r>
              <w:rPr>
                <w:rFonts w:ascii="宋体"/>
                <w:sz w:val="20"/>
              </w:rPr>
              <w:t>62</w:t>
            </w:r>
          </w:p>
        </w:tc>
        <w:tc>
          <w:tcPr>
            <w:tcW w:w="341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包装盒（金荷花）</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0"/>
              <w:jc w:val="center"/>
              <w:rPr>
                <w:rFonts w:ascii="宋体" w:hAnsi="宋体" w:cs="宋体" w:eastAsia="宋体" w:hint="default"/>
                <w:sz w:val="20"/>
                <w:szCs w:val="20"/>
              </w:rPr>
            </w:pPr>
            <w:r>
              <w:rPr>
                <w:rFonts w:ascii="宋体" w:hAnsi="宋体" w:cs="宋体" w:eastAsia="宋体" w:hint="default"/>
                <w:sz w:val="20"/>
                <w:szCs w:val="20"/>
              </w:rPr>
              <w:t>外观设计</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84"/>
              <w:jc w:val="right"/>
              <w:rPr>
                <w:rFonts w:ascii="宋体" w:hAnsi="宋体" w:cs="宋体" w:eastAsia="宋体" w:hint="default"/>
                <w:sz w:val="20"/>
                <w:szCs w:val="20"/>
              </w:rPr>
            </w:pPr>
            <w:r>
              <w:rPr>
                <w:rFonts w:ascii="宋体"/>
                <w:spacing w:val="-1"/>
                <w:sz w:val="20"/>
              </w:rPr>
              <w:t>ZL201730641707.5</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0"/>
              <w:jc w:val="center"/>
              <w:rPr>
                <w:rFonts w:ascii="宋体" w:hAnsi="宋体" w:cs="宋体" w:eastAsia="宋体" w:hint="default"/>
                <w:sz w:val="20"/>
                <w:szCs w:val="20"/>
              </w:rPr>
            </w:pPr>
            <w:r>
              <w:rPr>
                <w:rFonts w:ascii="宋体" w:hAnsi="宋体" w:cs="宋体" w:eastAsia="宋体" w:hint="default"/>
                <w:sz w:val="20"/>
                <w:szCs w:val="20"/>
              </w:rPr>
              <w:t>10</w:t>
            </w:r>
            <w:r>
              <w:rPr>
                <w:rFonts w:ascii="宋体" w:hAnsi="宋体" w:cs="宋体" w:eastAsia="宋体" w:hint="default"/>
                <w:spacing w:val="-50"/>
                <w:sz w:val="20"/>
                <w:szCs w:val="20"/>
              </w:rPr>
              <w:t> </w:t>
            </w:r>
            <w:r>
              <w:rPr>
                <w:rFonts w:ascii="宋体" w:hAnsi="宋体" w:cs="宋体" w:eastAsia="宋体" w:hint="default"/>
                <w:sz w:val="20"/>
                <w:szCs w:val="20"/>
              </w:rPr>
              <w:t>年</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本公司</w:t>
            </w:r>
          </w:p>
        </w:tc>
      </w:tr>
      <w:tr>
        <w:trPr>
          <w:trHeight w:val="385" w:hRule="exact"/>
        </w:trPr>
        <w:tc>
          <w:tcPr>
            <w:tcW w:w="52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0"/>
              <w:jc w:val="center"/>
              <w:rPr>
                <w:rFonts w:ascii="宋体" w:hAnsi="宋体" w:cs="宋体" w:eastAsia="宋体" w:hint="default"/>
                <w:sz w:val="20"/>
                <w:szCs w:val="20"/>
              </w:rPr>
            </w:pPr>
            <w:r>
              <w:rPr>
                <w:rFonts w:ascii="宋体"/>
                <w:sz w:val="20"/>
              </w:rPr>
              <w:t>63</w:t>
            </w:r>
          </w:p>
        </w:tc>
        <w:tc>
          <w:tcPr>
            <w:tcW w:w="341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包装盒（金荷花）</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0"/>
              <w:jc w:val="center"/>
              <w:rPr>
                <w:rFonts w:ascii="宋体" w:hAnsi="宋体" w:cs="宋体" w:eastAsia="宋体" w:hint="default"/>
                <w:sz w:val="20"/>
                <w:szCs w:val="20"/>
              </w:rPr>
            </w:pPr>
            <w:r>
              <w:rPr>
                <w:rFonts w:ascii="宋体" w:hAnsi="宋体" w:cs="宋体" w:eastAsia="宋体" w:hint="default"/>
                <w:sz w:val="20"/>
                <w:szCs w:val="20"/>
              </w:rPr>
              <w:t>外观设计</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84"/>
              <w:jc w:val="right"/>
              <w:rPr>
                <w:rFonts w:ascii="宋体" w:hAnsi="宋体" w:cs="宋体" w:eastAsia="宋体" w:hint="default"/>
                <w:sz w:val="20"/>
                <w:szCs w:val="20"/>
              </w:rPr>
            </w:pPr>
            <w:r>
              <w:rPr>
                <w:rFonts w:ascii="宋体"/>
                <w:spacing w:val="-1"/>
                <w:sz w:val="20"/>
              </w:rPr>
              <w:t>ZL201830105177.7</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0"/>
              <w:jc w:val="center"/>
              <w:rPr>
                <w:rFonts w:ascii="宋体" w:hAnsi="宋体" w:cs="宋体" w:eastAsia="宋体" w:hint="default"/>
                <w:sz w:val="20"/>
                <w:szCs w:val="20"/>
              </w:rPr>
            </w:pPr>
            <w:r>
              <w:rPr>
                <w:rFonts w:ascii="宋体" w:hAnsi="宋体" w:cs="宋体" w:eastAsia="宋体" w:hint="default"/>
                <w:sz w:val="20"/>
                <w:szCs w:val="20"/>
              </w:rPr>
              <w:t>10</w:t>
            </w:r>
            <w:r>
              <w:rPr>
                <w:rFonts w:ascii="宋体" w:hAnsi="宋体" w:cs="宋体" w:eastAsia="宋体" w:hint="default"/>
                <w:spacing w:val="-50"/>
                <w:sz w:val="20"/>
                <w:szCs w:val="20"/>
              </w:rPr>
              <w:t> </w:t>
            </w:r>
            <w:r>
              <w:rPr>
                <w:rFonts w:ascii="宋体" w:hAnsi="宋体" w:cs="宋体" w:eastAsia="宋体" w:hint="default"/>
                <w:sz w:val="20"/>
                <w:szCs w:val="20"/>
              </w:rPr>
              <w:t>年</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本公司</w:t>
            </w:r>
          </w:p>
        </w:tc>
      </w:tr>
      <w:tr>
        <w:trPr>
          <w:trHeight w:val="385" w:hRule="exact"/>
        </w:trPr>
        <w:tc>
          <w:tcPr>
            <w:tcW w:w="52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0"/>
              <w:jc w:val="center"/>
              <w:rPr>
                <w:rFonts w:ascii="宋体" w:hAnsi="宋体" w:cs="宋体" w:eastAsia="宋体" w:hint="default"/>
                <w:sz w:val="20"/>
                <w:szCs w:val="20"/>
              </w:rPr>
            </w:pPr>
            <w:r>
              <w:rPr>
                <w:rFonts w:ascii="宋体"/>
                <w:sz w:val="20"/>
              </w:rPr>
              <w:t>64</w:t>
            </w:r>
          </w:p>
        </w:tc>
        <w:tc>
          <w:tcPr>
            <w:tcW w:w="341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电子烟</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0"/>
              <w:jc w:val="center"/>
              <w:rPr>
                <w:rFonts w:ascii="宋体" w:hAnsi="宋体" w:cs="宋体" w:eastAsia="宋体" w:hint="default"/>
                <w:sz w:val="20"/>
                <w:szCs w:val="20"/>
              </w:rPr>
            </w:pPr>
            <w:r>
              <w:rPr>
                <w:rFonts w:ascii="宋体" w:hAnsi="宋体" w:cs="宋体" w:eastAsia="宋体" w:hint="default"/>
                <w:sz w:val="20"/>
                <w:szCs w:val="20"/>
              </w:rPr>
              <w:t>外观设计</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84"/>
              <w:jc w:val="right"/>
              <w:rPr>
                <w:rFonts w:ascii="宋体" w:hAnsi="宋体" w:cs="宋体" w:eastAsia="宋体" w:hint="default"/>
                <w:sz w:val="20"/>
                <w:szCs w:val="20"/>
              </w:rPr>
            </w:pPr>
            <w:r>
              <w:rPr>
                <w:rFonts w:ascii="宋体"/>
                <w:spacing w:val="-1"/>
                <w:sz w:val="20"/>
              </w:rPr>
              <w:t>ZL201830192351.6</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0"/>
              <w:jc w:val="center"/>
              <w:rPr>
                <w:rFonts w:ascii="宋体" w:hAnsi="宋体" w:cs="宋体" w:eastAsia="宋体" w:hint="default"/>
                <w:sz w:val="20"/>
                <w:szCs w:val="20"/>
              </w:rPr>
            </w:pPr>
            <w:r>
              <w:rPr>
                <w:rFonts w:ascii="宋体" w:hAnsi="宋体" w:cs="宋体" w:eastAsia="宋体" w:hint="default"/>
                <w:sz w:val="20"/>
                <w:szCs w:val="20"/>
              </w:rPr>
              <w:t>10</w:t>
            </w:r>
            <w:r>
              <w:rPr>
                <w:rFonts w:ascii="宋体" w:hAnsi="宋体" w:cs="宋体" w:eastAsia="宋体" w:hint="default"/>
                <w:spacing w:val="-50"/>
                <w:sz w:val="20"/>
                <w:szCs w:val="20"/>
              </w:rPr>
              <w:t> </w:t>
            </w:r>
            <w:r>
              <w:rPr>
                <w:rFonts w:ascii="宋体" w:hAnsi="宋体" w:cs="宋体" w:eastAsia="宋体" w:hint="default"/>
                <w:sz w:val="20"/>
                <w:szCs w:val="20"/>
              </w:rPr>
              <w:t>年</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劲嘉科技</w:t>
            </w:r>
          </w:p>
        </w:tc>
      </w:tr>
    </w:tbl>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22"/>
          <w:szCs w:val="22"/>
        </w:rPr>
      </w:pPr>
    </w:p>
    <w:p>
      <w:pPr>
        <w:pStyle w:val="Heading3"/>
        <w:spacing w:line="240" w:lineRule="auto" w:before="35"/>
        <w:ind w:left="214" w:right="1032"/>
        <w:jc w:val="left"/>
        <w:rPr>
          <w:b w:val="0"/>
          <w:bCs w:val="0"/>
        </w:rPr>
      </w:pPr>
      <w:bookmarkStart w:name="5、现金流" w:id="38"/>
      <w:bookmarkEnd w:id="38"/>
      <w:r>
        <w:rPr>
          <w:b w:val="0"/>
          <w:bCs w:val="0"/>
        </w:rPr>
      </w:r>
      <w:r>
        <w:rPr>
          <w:rFonts w:ascii="Times New Roman" w:hAnsi="Times New Roman" w:cs="Times New Roman" w:eastAsia="Times New Roman" w:hint="default"/>
        </w:rPr>
        <w:t>5</w:t>
      </w:r>
      <w:r>
        <w:rPr/>
        <w:t>、现金流</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01" w:type="dxa"/>
        <w:tblLayout w:type="fixed"/>
        <w:tblCellMar>
          <w:top w:w="0" w:type="dxa"/>
          <w:left w:w="0" w:type="dxa"/>
          <w:bottom w:w="0" w:type="dxa"/>
          <w:right w:w="0" w:type="dxa"/>
        </w:tblCellMar>
        <w:tblLook w:val="01E0"/>
      </w:tblPr>
      <w:tblGrid>
        <w:gridCol w:w="2802"/>
        <w:gridCol w:w="1983"/>
        <w:gridCol w:w="2392"/>
        <w:gridCol w:w="2392"/>
      </w:tblGrid>
      <w:tr>
        <w:trPr>
          <w:trHeight w:val="402" w:hRule="exact"/>
        </w:trPr>
        <w:tc>
          <w:tcPr>
            <w:tcW w:w="280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8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2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3,514,148,830.25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2"/>
                <w:sz w:val="18"/>
              </w:rPr>
              <w:t>3,111,147,819.65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12.95%</w:t>
            </w:r>
          </w:p>
        </w:tc>
      </w:tr>
      <w:tr>
        <w:trPr>
          <w:trHeight w:val="402" w:hRule="exact"/>
        </w:trPr>
        <w:tc>
          <w:tcPr>
            <w:tcW w:w="2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2,661,501,914.48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2,291,318,713.34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16.16%</w:t>
            </w:r>
          </w:p>
        </w:tc>
      </w:tr>
      <w:tr>
        <w:trPr>
          <w:trHeight w:val="402" w:hRule="exact"/>
        </w:trPr>
        <w:tc>
          <w:tcPr>
            <w:tcW w:w="2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852,646,915.77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819,829,106.31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4.00%</w:t>
            </w:r>
          </w:p>
        </w:tc>
      </w:tr>
      <w:tr>
        <w:trPr>
          <w:trHeight w:val="402" w:hRule="exact"/>
        </w:trPr>
        <w:tc>
          <w:tcPr>
            <w:tcW w:w="2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1,818,310,228.51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-75,598,828.50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2,505.21%</w:t>
            </w:r>
          </w:p>
        </w:tc>
      </w:tr>
      <w:tr>
        <w:trPr>
          <w:trHeight w:val="402" w:hRule="exact"/>
        </w:trPr>
        <w:tc>
          <w:tcPr>
            <w:tcW w:w="2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2,329,749,567.28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1,224,739,694.99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90.22%</w:t>
            </w:r>
          </w:p>
        </w:tc>
      </w:tr>
      <w:tr>
        <w:trPr>
          <w:trHeight w:val="402" w:hRule="exact"/>
        </w:trPr>
        <w:tc>
          <w:tcPr>
            <w:tcW w:w="2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-511,439,338.77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-1,300,338,523.49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60.67%</w:t>
            </w:r>
          </w:p>
        </w:tc>
      </w:tr>
      <w:tr>
        <w:trPr>
          <w:trHeight w:val="402" w:hRule="exact"/>
        </w:trPr>
        <w:tc>
          <w:tcPr>
            <w:tcW w:w="2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155,401,256.31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2,227,412,525.75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-93.02%</w:t>
            </w:r>
          </w:p>
        </w:tc>
      </w:tr>
      <w:tr>
        <w:trPr>
          <w:trHeight w:val="402" w:hRule="exact"/>
        </w:trPr>
        <w:tc>
          <w:tcPr>
            <w:tcW w:w="2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921,451,630.84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1,267,824,328.65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-27.32%</w:t>
            </w:r>
          </w:p>
        </w:tc>
      </w:tr>
      <w:tr>
        <w:trPr>
          <w:trHeight w:val="402" w:hRule="exact"/>
        </w:trPr>
        <w:tc>
          <w:tcPr>
            <w:tcW w:w="2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-766,050,374.53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959,588,197.10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w w:val="95"/>
                <w:sz w:val="18"/>
              </w:rPr>
              <w:t>-179.83%</w:t>
            </w:r>
            <w:r>
              <w:rPr>
                <w:rFonts w:ascii="Times New Roman"/>
                <w:sz w:val="18"/>
              </w:rPr>
            </w:r>
          </w:p>
        </w:tc>
      </w:tr>
      <w:tr>
        <w:trPr>
          <w:trHeight w:val="402" w:hRule="exact"/>
        </w:trPr>
        <w:tc>
          <w:tcPr>
            <w:tcW w:w="2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-425,699,038.34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476,931,115.38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w w:val="95"/>
                <w:sz w:val="18"/>
              </w:rPr>
              <w:t>-189.26%</w:t>
            </w:r>
            <w:r>
              <w:rPr>
                <w:rFonts w:ascii="Times New Roman"/>
                <w:sz w:val="18"/>
              </w:rPr>
            </w:r>
          </w:p>
        </w:tc>
      </w:tr>
    </w:tbl>
    <w:p>
      <w:pPr>
        <w:pStyle w:val="BodyText"/>
        <w:spacing w:line="240" w:lineRule="auto" w:before="51"/>
        <w:ind w:left="214" w:right="1032"/>
        <w:jc w:val="left"/>
      </w:pPr>
      <w:r>
        <w:rPr/>
        <w:t>相关数据同比发生重大变动的主要影响因素说明</w:t>
      </w:r>
    </w:p>
    <w:p>
      <w:pPr>
        <w:pStyle w:val="BodyText"/>
        <w:spacing w:line="314" w:lineRule="auto" w:before="117"/>
        <w:ind w:left="214" w:right="118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w:t>
      </w:r>
      <w:r>
        <w:rPr>
          <w:rFonts w:ascii="Times New Roman" w:hAnsi="Times New Roman" w:cs="Times New Roman" w:eastAsia="Times New Roman" w:hint="default"/>
        </w:rPr>
        <w:t>(1)</w:t>
      </w:r>
      <w:r>
        <w:rPr/>
        <w:t>报告期公司投资活动现金流入量比上年同期增加幅度较大，主要系报告期收回募集资金保本理财本金增加、而上期重庆 宏声及重庆宏劲由子公司变为联营企业时期初货币资金减少所致。 </w:t>
      </w:r>
      <w:r>
        <w:rPr>
          <w:rFonts w:ascii="Times New Roman" w:hAnsi="Times New Roman" w:cs="Times New Roman" w:eastAsia="Times New Roman" w:hint="default"/>
        </w:rPr>
        <w:t>(2)</w:t>
      </w:r>
      <w:r>
        <w:rPr/>
        <w:t>报告期公司投资活动现金流出量比上年同期增加幅度较大，主要系报告期募集资金部分支付购买银行保本理财产品增加 所致。</w:t>
      </w:r>
    </w:p>
    <w:p>
      <w:pPr>
        <w:pStyle w:val="BodyText"/>
        <w:spacing w:line="300" w:lineRule="auto" w:before="21"/>
        <w:ind w:left="214" w:right="1182"/>
        <w:jc w:val="left"/>
      </w:pPr>
      <w:r>
        <w:rPr>
          <w:rFonts w:ascii="Times New Roman" w:hAnsi="Times New Roman" w:cs="Times New Roman" w:eastAsia="Times New Roman" w:hint="default"/>
        </w:rPr>
        <w:t>(3)</w:t>
      </w:r>
      <w:r>
        <w:rPr/>
        <w:t>报告期公司筹资活动现金流入量比上年同期减少幅度较大，主要系上期非公开发行</w:t>
      </w:r>
      <w:r>
        <w:rPr>
          <w:rFonts w:ascii="Times New Roman" w:hAnsi="Times New Roman" w:cs="Times New Roman" w:eastAsia="Times New Roman" w:hint="default"/>
        </w:rPr>
        <w:t>A</w:t>
      </w:r>
      <w:r>
        <w:rPr/>
        <w:t>股股份吸收投资款所致。 </w:t>
      </w:r>
      <w:r>
        <w:rPr>
          <w:rFonts w:ascii="Times New Roman" w:hAnsi="Times New Roman" w:cs="Times New Roman" w:eastAsia="Times New Roman" w:hint="default"/>
        </w:rPr>
        <w:t>(4)</w:t>
      </w:r>
      <w:r>
        <w:rPr/>
        <w:t>报告期公司现金及现金等价物净增加额减少幅度较大，主要系报告期回购股份及募投项目使用募集资金增加、而上期非 公开发行增加募集资金所致。</w:t>
      </w:r>
    </w:p>
    <w:p>
      <w:pPr>
        <w:spacing w:line="240" w:lineRule="auto" w:before="0"/>
        <w:rPr>
          <w:rFonts w:ascii="宋体" w:hAnsi="宋体" w:cs="宋体" w:eastAsia="宋体" w:hint="default"/>
          <w:sz w:val="18"/>
          <w:szCs w:val="18"/>
        </w:rPr>
      </w:pPr>
    </w:p>
    <w:p>
      <w:pPr>
        <w:pStyle w:val="BodyText"/>
        <w:spacing w:line="240" w:lineRule="auto" w:before="148"/>
        <w:ind w:left="214" w:right="1032"/>
        <w:jc w:val="left"/>
      </w:pPr>
      <w:r>
        <w:rPr/>
        <w:t>报告期内公司经营活动产生的现金净流量与本年度净利润存在重大差异的原因说明</w:t>
      </w:r>
    </w:p>
    <w:p>
      <w:pPr>
        <w:spacing w:after="0" w:line="240" w:lineRule="auto"/>
        <w:jc w:val="left"/>
        <w:sectPr>
          <w:pgSz w:w="11910" w:h="16840"/>
          <w:pgMar w:header="747" w:footer="979" w:top="1060" w:bottom="1160" w:left="920" w:right="0"/>
        </w:sectPr>
      </w:pPr>
    </w:p>
    <w:p>
      <w:pPr>
        <w:spacing w:line="240" w:lineRule="auto" w:before="13"/>
        <w:rPr>
          <w:rFonts w:ascii="宋体" w:hAnsi="宋体" w:cs="宋体" w:eastAsia="宋体" w:hint="default"/>
          <w:sz w:val="25"/>
          <w:szCs w:val="25"/>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三、非主营业务分析" w:id="39"/>
      <w:bookmarkEnd w:id="39"/>
      <w:r>
        <w:rPr>
          <w:b w:val="0"/>
          <w:bCs w:val="0"/>
        </w:rPr>
      </w:r>
      <w:r>
        <w:rPr/>
        <w:t>三、非主营业务分析</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四、资产及负债状况分析" w:id="40"/>
      <w:bookmarkEnd w:id="40"/>
      <w:r>
        <w:rPr>
          <w:b w:val="0"/>
          <w:bCs w:val="0"/>
        </w:rPr>
      </w:r>
      <w:r>
        <w:rPr/>
        <w:t>四、资产及负债状况分析</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资产构成重大变动情况" w:id="41"/>
      <w:bookmarkEnd w:id="41"/>
      <w:r>
        <w:rPr>
          <w:b w:val="0"/>
          <w:bCs w:val="0"/>
        </w:rPr>
      </w:r>
      <w:r>
        <w:rPr>
          <w:rFonts w:ascii="Times New Roman" w:hAnsi="Times New Roman" w:cs="Times New Roman" w:eastAsia="Times New Roman" w:hint="default"/>
        </w:rPr>
        <w:t>1</w:t>
      </w:r>
      <w:r>
        <w:rPr/>
        <w:t>、资产构成重大变动情况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33" w:type="dxa"/>
        <w:tblLayout w:type="fixed"/>
        <w:tblCellMar>
          <w:top w:w="0" w:type="dxa"/>
          <w:left w:w="0" w:type="dxa"/>
          <w:bottom w:w="0" w:type="dxa"/>
          <w:right w:w="0" w:type="dxa"/>
        </w:tblCellMar>
        <w:tblLook w:val="01E0"/>
      </w:tblPr>
      <w:tblGrid>
        <w:gridCol w:w="1326"/>
        <w:gridCol w:w="1316"/>
        <w:gridCol w:w="1028"/>
        <w:gridCol w:w="1317"/>
        <w:gridCol w:w="1028"/>
        <w:gridCol w:w="761"/>
        <w:gridCol w:w="2907"/>
      </w:tblGrid>
      <w:tr>
        <w:trPr>
          <w:trHeight w:val="205" w:hRule="exact"/>
        </w:trPr>
        <w:tc>
          <w:tcPr>
            <w:tcW w:w="1326" w:type="dxa"/>
            <w:vMerge w:val="restart"/>
            <w:tcBorders>
              <w:top w:val="single" w:sz="4" w:space="0" w:color="000000"/>
              <w:left w:val="single" w:sz="4" w:space="0" w:color="000000"/>
              <w:right w:val="single" w:sz="4" w:space="0" w:color="000000"/>
            </w:tcBorders>
            <w:shd w:val="clear" w:color="auto" w:fill="D2D2D2"/>
          </w:tcPr>
          <w:p>
            <w:pPr/>
          </w:p>
        </w:tc>
        <w:tc>
          <w:tcPr>
            <w:tcW w:w="23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23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761" w:type="dxa"/>
            <w:tcBorders>
              <w:top w:val="single" w:sz="4" w:space="0" w:color="000000"/>
              <w:left w:val="single" w:sz="4" w:space="0" w:color="000000"/>
              <w:bottom w:val="nil" w:sz="6" w:space="0" w:color="auto"/>
              <w:right w:val="single" w:sz="4" w:space="0" w:color="000000"/>
            </w:tcBorders>
            <w:shd w:val="clear" w:color="auto" w:fill="D2D2D2"/>
          </w:tcPr>
          <w:p>
            <w:pPr/>
          </w:p>
        </w:tc>
        <w:tc>
          <w:tcPr>
            <w:tcW w:w="2907" w:type="dxa"/>
            <w:vMerge w:val="restart"/>
            <w:tcBorders>
              <w:top w:val="single" w:sz="4" w:space="0" w:color="000000"/>
              <w:left w:val="single" w:sz="4" w:space="0" w:color="000000"/>
              <w:right w:val="single" w:sz="4" w:space="0" w:color="000000"/>
            </w:tcBorders>
            <w:shd w:val="clear" w:color="auto" w:fill="D2D2D2"/>
          </w:tcPr>
          <w:p>
            <w:pPr/>
          </w:p>
        </w:tc>
      </w:tr>
      <w:tr>
        <w:trPr>
          <w:trHeight w:val="174" w:hRule="exact"/>
        </w:trPr>
        <w:tc>
          <w:tcPr>
            <w:tcW w:w="1326" w:type="dxa"/>
            <w:vMerge/>
            <w:tcBorders>
              <w:left w:val="single" w:sz="4" w:space="0" w:color="000000"/>
              <w:bottom w:val="nil" w:sz="6" w:space="0" w:color="auto"/>
              <w:right w:val="single" w:sz="4" w:space="0" w:color="000000"/>
            </w:tcBorders>
            <w:shd w:val="clear" w:color="auto" w:fill="D2D2D2"/>
          </w:tcPr>
          <w:p>
            <w:pPr/>
          </w:p>
        </w:tc>
        <w:tc>
          <w:tcPr>
            <w:tcW w:w="2345" w:type="dxa"/>
            <w:gridSpan w:val="2"/>
            <w:vMerge/>
            <w:tcBorders>
              <w:left w:val="single" w:sz="4" w:space="0" w:color="000000"/>
              <w:bottom w:val="single" w:sz="4" w:space="0" w:color="000000"/>
              <w:right w:val="single" w:sz="4" w:space="0" w:color="000000"/>
            </w:tcBorders>
            <w:shd w:val="clear" w:color="auto" w:fill="D2D2D2"/>
          </w:tcPr>
          <w:p>
            <w:pPr/>
          </w:p>
        </w:tc>
        <w:tc>
          <w:tcPr>
            <w:tcW w:w="2345" w:type="dxa"/>
            <w:gridSpan w:val="2"/>
            <w:vMerge/>
            <w:tcBorders>
              <w:left w:val="single" w:sz="4" w:space="0" w:color="000000"/>
              <w:bottom w:val="single" w:sz="4" w:space="0" w:color="000000"/>
              <w:right w:val="single" w:sz="4" w:space="0" w:color="000000"/>
            </w:tcBorders>
            <w:shd w:val="clear" w:color="auto" w:fill="D2D2D2"/>
          </w:tcPr>
          <w:p>
            <w:pPr/>
          </w:p>
        </w:tc>
        <w:tc>
          <w:tcPr>
            <w:tcW w:w="761"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284" w:right="104" w:hanging="180"/>
              <w:jc w:val="left"/>
              <w:rPr>
                <w:rFonts w:ascii="宋体" w:hAnsi="宋体" w:cs="宋体" w:eastAsia="宋体" w:hint="default"/>
                <w:sz w:val="18"/>
                <w:szCs w:val="18"/>
              </w:rPr>
            </w:pPr>
            <w:r>
              <w:rPr>
                <w:rFonts w:ascii="宋体" w:hAnsi="宋体" w:cs="宋体" w:eastAsia="宋体" w:hint="default"/>
                <w:sz w:val="18"/>
                <w:szCs w:val="18"/>
              </w:rPr>
              <w:t>比重增 减</w:t>
            </w:r>
          </w:p>
        </w:tc>
        <w:tc>
          <w:tcPr>
            <w:tcW w:w="2907" w:type="dxa"/>
            <w:vMerge/>
            <w:tcBorders>
              <w:left w:val="single" w:sz="4" w:space="0" w:color="000000"/>
              <w:bottom w:val="nil" w:sz="6" w:space="0" w:color="auto"/>
              <w:right w:val="single" w:sz="4" w:space="0" w:color="000000"/>
            </w:tcBorders>
            <w:shd w:val="clear" w:color="auto" w:fill="D2D2D2"/>
          </w:tcPr>
          <w:p>
            <w:pPr/>
          </w:p>
        </w:tc>
      </w:tr>
      <w:tr>
        <w:trPr>
          <w:trHeight w:val="184" w:hRule="exact"/>
        </w:trPr>
        <w:tc>
          <w:tcPr>
            <w:tcW w:w="1326" w:type="dxa"/>
            <w:vMerge w:val="restart"/>
            <w:tcBorders>
              <w:top w:val="nil" w:sz="6" w:space="0" w:color="auto"/>
              <w:left w:val="single" w:sz="4" w:space="0" w:color="000000"/>
              <w:right w:val="single" w:sz="4" w:space="0" w:color="000000"/>
            </w:tcBorders>
            <w:shd w:val="clear" w:color="auto" w:fill="D2D2D2"/>
          </w:tcPr>
          <w:p>
            <w:pPr/>
          </w:p>
        </w:tc>
        <w:tc>
          <w:tcPr>
            <w:tcW w:w="1316" w:type="dxa"/>
            <w:tcBorders>
              <w:top w:val="single" w:sz="4" w:space="0" w:color="000000"/>
              <w:left w:val="single" w:sz="4" w:space="0" w:color="000000"/>
              <w:bottom w:val="nil" w:sz="6" w:space="0" w:color="auto"/>
              <w:right w:val="single" w:sz="4" w:space="0" w:color="000000"/>
            </w:tcBorders>
            <w:shd w:val="clear" w:color="auto" w:fill="D2D2D2"/>
          </w:tcPr>
          <w:p>
            <w:pPr/>
          </w:p>
        </w:tc>
        <w:tc>
          <w:tcPr>
            <w:tcW w:w="102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4"/>
              <w:ind w:left="418" w:right="59" w:hanging="360"/>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1317" w:type="dxa"/>
            <w:tcBorders>
              <w:top w:val="single" w:sz="4" w:space="0" w:color="000000"/>
              <w:left w:val="single" w:sz="4" w:space="0" w:color="000000"/>
              <w:bottom w:val="nil" w:sz="6" w:space="0" w:color="auto"/>
              <w:right w:val="single" w:sz="4" w:space="0" w:color="000000"/>
            </w:tcBorders>
            <w:shd w:val="clear" w:color="auto" w:fill="D2D2D2"/>
          </w:tcPr>
          <w:p>
            <w:pPr/>
          </w:p>
        </w:tc>
        <w:tc>
          <w:tcPr>
            <w:tcW w:w="102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4"/>
              <w:ind w:left="418" w:right="59" w:hanging="360"/>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761" w:type="dxa"/>
            <w:vMerge/>
            <w:tcBorders>
              <w:left w:val="single" w:sz="4" w:space="0" w:color="000000"/>
              <w:right w:val="single" w:sz="4" w:space="0" w:color="000000"/>
            </w:tcBorders>
            <w:shd w:val="clear" w:color="auto" w:fill="D2D2D2"/>
          </w:tcPr>
          <w:p>
            <w:pPr/>
          </w:p>
        </w:tc>
        <w:tc>
          <w:tcPr>
            <w:tcW w:w="290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3"/>
              <w:ind w:left="908"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91" w:hRule="exact"/>
        </w:trPr>
        <w:tc>
          <w:tcPr>
            <w:tcW w:w="1326" w:type="dxa"/>
            <w:vMerge/>
            <w:tcBorders>
              <w:left w:val="single" w:sz="4" w:space="0" w:color="000000"/>
              <w:bottom w:val="nil" w:sz="6" w:space="0" w:color="auto"/>
              <w:right w:val="single" w:sz="4" w:space="0" w:color="000000"/>
            </w:tcBorders>
            <w:shd w:val="clear" w:color="auto" w:fill="D2D2D2"/>
          </w:tcPr>
          <w:p>
            <w:pPr/>
          </w:p>
        </w:tc>
        <w:tc>
          <w:tcPr>
            <w:tcW w:w="131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028" w:type="dxa"/>
            <w:vMerge/>
            <w:tcBorders>
              <w:left w:val="single" w:sz="4" w:space="0" w:color="000000"/>
              <w:right w:val="single" w:sz="4" w:space="0" w:color="000000"/>
            </w:tcBorders>
            <w:shd w:val="clear" w:color="auto" w:fill="D2D2D2"/>
          </w:tcPr>
          <w:p>
            <w:pPr/>
          </w:p>
        </w:tc>
        <w:tc>
          <w:tcPr>
            <w:tcW w:w="131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28" w:type="dxa"/>
            <w:vMerge/>
            <w:tcBorders>
              <w:left w:val="single" w:sz="4" w:space="0" w:color="000000"/>
              <w:right w:val="single" w:sz="4" w:space="0" w:color="000000"/>
            </w:tcBorders>
            <w:shd w:val="clear" w:color="auto" w:fill="D2D2D2"/>
          </w:tcPr>
          <w:p>
            <w:pPr/>
          </w:p>
        </w:tc>
        <w:tc>
          <w:tcPr>
            <w:tcW w:w="761" w:type="dxa"/>
            <w:vMerge/>
            <w:tcBorders>
              <w:left w:val="single" w:sz="4" w:space="0" w:color="000000"/>
              <w:right w:val="single" w:sz="4" w:space="0" w:color="000000"/>
            </w:tcBorders>
            <w:shd w:val="clear" w:color="auto" w:fill="D2D2D2"/>
          </w:tcPr>
          <w:p>
            <w:pPr/>
          </w:p>
        </w:tc>
        <w:tc>
          <w:tcPr>
            <w:tcW w:w="2907" w:type="dxa"/>
            <w:vMerge/>
            <w:tcBorders>
              <w:left w:val="single" w:sz="4" w:space="0" w:color="000000"/>
              <w:bottom w:val="nil" w:sz="6" w:space="0" w:color="auto"/>
              <w:right w:val="single" w:sz="4" w:space="0" w:color="000000"/>
            </w:tcBorders>
            <w:shd w:val="clear" w:color="auto" w:fill="D2D2D2"/>
          </w:tcPr>
          <w:p>
            <w:pPr/>
          </w:p>
        </w:tc>
      </w:tr>
      <w:tr>
        <w:trPr>
          <w:trHeight w:val="179" w:hRule="exact"/>
        </w:trPr>
        <w:tc>
          <w:tcPr>
            <w:tcW w:w="1326" w:type="dxa"/>
            <w:vMerge w:val="restart"/>
            <w:tcBorders>
              <w:top w:val="nil" w:sz="6" w:space="0" w:color="auto"/>
              <w:left w:val="single" w:sz="4" w:space="0" w:color="000000"/>
              <w:right w:val="single" w:sz="4" w:space="0" w:color="000000"/>
            </w:tcBorders>
            <w:shd w:val="clear" w:color="auto" w:fill="D2D2D2"/>
          </w:tcPr>
          <w:p>
            <w:pPr/>
          </w:p>
        </w:tc>
        <w:tc>
          <w:tcPr>
            <w:tcW w:w="1316" w:type="dxa"/>
            <w:vMerge/>
            <w:tcBorders>
              <w:left w:val="single" w:sz="4" w:space="0" w:color="000000"/>
              <w:bottom w:val="nil" w:sz="6" w:space="0" w:color="auto"/>
              <w:right w:val="single" w:sz="4" w:space="0" w:color="000000"/>
            </w:tcBorders>
            <w:shd w:val="clear" w:color="auto" w:fill="D2D2D2"/>
          </w:tcPr>
          <w:p>
            <w:pPr/>
          </w:p>
        </w:tc>
        <w:tc>
          <w:tcPr>
            <w:tcW w:w="1028" w:type="dxa"/>
            <w:vMerge/>
            <w:tcBorders>
              <w:left w:val="single" w:sz="4" w:space="0" w:color="000000"/>
              <w:right w:val="single" w:sz="4" w:space="0" w:color="000000"/>
            </w:tcBorders>
            <w:shd w:val="clear" w:color="auto" w:fill="D2D2D2"/>
          </w:tcPr>
          <w:p>
            <w:pPr/>
          </w:p>
        </w:tc>
        <w:tc>
          <w:tcPr>
            <w:tcW w:w="1317" w:type="dxa"/>
            <w:vMerge/>
            <w:tcBorders>
              <w:left w:val="single" w:sz="4" w:space="0" w:color="000000"/>
              <w:bottom w:val="nil" w:sz="6" w:space="0" w:color="auto"/>
              <w:right w:val="single" w:sz="4" w:space="0" w:color="000000"/>
            </w:tcBorders>
            <w:shd w:val="clear" w:color="auto" w:fill="D2D2D2"/>
          </w:tcPr>
          <w:p>
            <w:pPr/>
          </w:p>
        </w:tc>
        <w:tc>
          <w:tcPr>
            <w:tcW w:w="1028" w:type="dxa"/>
            <w:vMerge/>
            <w:tcBorders>
              <w:left w:val="single" w:sz="4" w:space="0" w:color="000000"/>
              <w:right w:val="single" w:sz="4" w:space="0" w:color="000000"/>
            </w:tcBorders>
            <w:shd w:val="clear" w:color="auto" w:fill="D2D2D2"/>
          </w:tcPr>
          <w:p>
            <w:pPr/>
          </w:p>
        </w:tc>
        <w:tc>
          <w:tcPr>
            <w:tcW w:w="761" w:type="dxa"/>
            <w:vMerge/>
            <w:tcBorders>
              <w:left w:val="single" w:sz="4" w:space="0" w:color="000000"/>
              <w:bottom w:val="nil" w:sz="6" w:space="0" w:color="auto"/>
              <w:right w:val="single" w:sz="4" w:space="0" w:color="000000"/>
            </w:tcBorders>
            <w:shd w:val="clear" w:color="auto" w:fill="D2D2D2"/>
          </w:tcPr>
          <w:p>
            <w:pPr/>
          </w:p>
        </w:tc>
        <w:tc>
          <w:tcPr>
            <w:tcW w:w="2907" w:type="dxa"/>
            <w:vMerge w:val="restart"/>
            <w:tcBorders>
              <w:top w:val="nil" w:sz="6" w:space="0" w:color="auto"/>
              <w:left w:val="single" w:sz="4" w:space="0" w:color="000000"/>
              <w:right w:val="single" w:sz="4" w:space="0" w:color="000000"/>
            </w:tcBorders>
            <w:shd w:val="clear" w:color="auto" w:fill="D2D2D2"/>
          </w:tcPr>
          <w:p>
            <w:pPr/>
          </w:p>
        </w:tc>
      </w:tr>
      <w:tr>
        <w:trPr>
          <w:trHeight w:val="172" w:hRule="exact"/>
        </w:trPr>
        <w:tc>
          <w:tcPr>
            <w:tcW w:w="1326" w:type="dxa"/>
            <w:vMerge/>
            <w:tcBorders>
              <w:left w:val="single" w:sz="4" w:space="0" w:color="000000"/>
              <w:bottom w:val="single" w:sz="4" w:space="0" w:color="000000"/>
              <w:right w:val="single" w:sz="4" w:space="0" w:color="000000"/>
            </w:tcBorders>
            <w:shd w:val="clear" w:color="auto" w:fill="D2D2D2"/>
          </w:tcPr>
          <w:p>
            <w:pPr/>
          </w:p>
        </w:tc>
        <w:tc>
          <w:tcPr>
            <w:tcW w:w="1316" w:type="dxa"/>
            <w:tcBorders>
              <w:top w:val="nil" w:sz="6" w:space="0" w:color="auto"/>
              <w:left w:val="single" w:sz="4" w:space="0" w:color="000000"/>
              <w:bottom w:val="single" w:sz="4" w:space="0" w:color="000000"/>
              <w:right w:val="single" w:sz="4" w:space="0" w:color="000000"/>
            </w:tcBorders>
            <w:shd w:val="clear" w:color="auto" w:fill="D2D2D2"/>
          </w:tcPr>
          <w:p>
            <w:pPr/>
          </w:p>
        </w:tc>
        <w:tc>
          <w:tcPr>
            <w:tcW w:w="1028" w:type="dxa"/>
            <w:vMerge/>
            <w:tcBorders>
              <w:left w:val="single" w:sz="4" w:space="0" w:color="000000"/>
              <w:bottom w:val="single" w:sz="4" w:space="0" w:color="000000"/>
              <w:right w:val="single" w:sz="4" w:space="0" w:color="000000"/>
            </w:tcBorders>
            <w:shd w:val="clear" w:color="auto" w:fill="D2D2D2"/>
          </w:tcPr>
          <w:p>
            <w:pPr/>
          </w:p>
        </w:tc>
        <w:tc>
          <w:tcPr>
            <w:tcW w:w="1317" w:type="dxa"/>
            <w:tcBorders>
              <w:top w:val="nil" w:sz="6" w:space="0" w:color="auto"/>
              <w:left w:val="single" w:sz="4" w:space="0" w:color="000000"/>
              <w:bottom w:val="single" w:sz="4" w:space="0" w:color="000000"/>
              <w:right w:val="single" w:sz="4" w:space="0" w:color="000000"/>
            </w:tcBorders>
            <w:shd w:val="clear" w:color="auto" w:fill="D2D2D2"/>
          </w:tcPr>
          <w:p>
            <w:pPr/>
          </w:p>
        </w:tc>
        <w:tc>
          <w:tcPr>
            <w:tcW w:w="1028" w:type="dxa"/>
            <w:vMerge/>
            <w:tcBorders>
              <w:left w:val="single" w:sz="4" w:space="0" w:color="000000"/>
              <w:bottom w:val="single" w:sz="4" w:space="0" w:color="000000"/>
              <w:right w:val="single" w:sz="4" w:space="0" w:color="000000"/>
            </w:tcBorders>
            <w:shd w:val="clear" w:color="auto" w:fill="D2D2D2"/>
          </w:tcPr>
          <w:p>
            <w:pPr/>
          </w:p>
        </w:tc>
        <w:tc>
          <w:tcPr>
            <w:tcW w:w="761" w:type="dxa"/>
            <w:tcBorders>
              <w:top w:val="nil" w:sz="6" w:space="0" w:color="auto"/>
              <w:left w:val="single" w:sz="4" w:space="0" w:color="000000"/>
              <w:bottom w:val="single" w:sz="4" w:space="0" w:color="000000"/>
              <w:right w:val="single" w:sz="4" w:space="0" w:color="000000"/>
            </w:tcBorders>
            <w:shd w:val="clear" w:color="auto" w:fill="D2D2D2"/>
          </w:tcPr>
          <w:p>
            <w:pPr/>
          </w:p>
        </w:tc>
        <w:tc>
          <w:tcPr>
            <w:tcW w:w="2907"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1326" w:type="dxa"/>
            <w:tcBorders>
              <w:top w:val="single" w:sz="4" w:space="0" w:color="000000"/>
              <w:left w:val="single" w:sz="4" w:space="0" w:color="000000"/>
              <w:bottom w:val="nil" w:sz="6" w:space="0" w:color="auto"/>
              <w:right w:val="single" w:sz="4" w:space="0" w:color="000000"/>
            </w:tcBorders>
            <w:shd w:val="clear" w:color="auto" w:fill="D2D2D2"/>
          </w:tcPr>
          <w:p>
            <w:pPr/>
          </w:p>
        </w:tc>
        <w:tc>
          <w:tcPr>
            <w:tcW w:w="1316"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1" w:right="0"/>
              <w:jc w:val="left"/>
              <w:rPr>
                <w:rFonts w:ascii="Times New Roman" w:hAnsi="Times New Roman" w:cs="Times New Roman" w:eastAsia="Times New Roman" w:hint="default"/>
                <w:sz w:val="18"/>
                <w:szCs w:val="18"/>
              </w:rPr>
            </w:pPr>
            <w:r>
              <w:rPr>
                <w:rFonts w:ascii="Times New Roman"/>
                <w:sz w:val="18"/>
              </w:rPr>
              <w:t>839,454,838.02</w:t>
            </w:r>
          </w:p>
        </w:tc>
        <w:tc>
          <w:tcPr>
            <w:tcW w:w="102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1" w:right="0"/>
              <w:jc w:val="left"/>
              <w:rPr>
                <w:rFonts w:ascii="Times New Roman" w:hAnsi="Times New Roman" w:cs="Times New Roman" w:eastAsia="Times New Roman" w:hint="default"/>
                <w:sz w:val="18"/>
                <w:szCs w:val="18"/>
              </w:rPr>
            </w:pPr>
            <w:r>
              <w:rPr>
                <w:rFonts w:ascii="Times New Roman"/>
                <w:sz w:val="18"/>
              </w:rPr>
              <w:t>10.23%</w:t>
            </w:r>
          </w:p>
        </w:tc>
        <w:tc>
          <w:tcPr>
            <w:tcW w:w="131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1,226,902,686.95</w:t>
            </w:r>
          </w:p>
        </w:tc>
        <w:tc>
          <w:tcPr>
            <w:tcW w:w="102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1" w:right="0"/>
              <w:jc w:val="left"/>
              <w:rPr>
                <w:rFonts w:ascii="Times New Roman" w:hAnsi="Times New Roman" w:cs="Times New Roman" w:eastAsia="Times New Roman" w:hint="default"/>
                <w:sz w:val="18"/>
                <w:szCs w:val="18"/>
              </w:rPr>
            </w:pPr>
            <w:r>
              <w:rPr>
                <w:rFonts w:ascii="Times New Roman"/>
                <w:sz w:val="18"/>
              </w:rPr>
              <w:t>15.10%</w:t>
            </w:r>
          </w:p>
        </w:tc>
        <w:tc>
          <w:tcPr>
            <w:tcW w:w="76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2" w:right="0"/>
              <w:jc w:val="left"/>
              <w:rPr>
                <w:rFonts w:ascii="Times New Roman" w:hAnsi="Times New Roman" w:cs="Times New Roman" w:eastAsia="Times New Roman" w:hint="default"/>
                <w:sz w:val="18"/>
                <w:szCs w:val="18"/>
              </w:rPr>
            </w:pPr>
            <w:r>
              <w:rPr>
                <w:rFonts w:ascii="Times New Roman"/>
                <w:sz w:val="18"/>
              </w:rPr>
              <w:t>-4.87%</w:t>
            </w:r>
          </w:p>
        </w:tc>
        <w:tc>
          <w:tcPr>
            <w:tcW w:w="2907" w:type="dxa"/>
            <w:vMerge w:val="restart"/>
            <w:tcBorders>
              <w:top w:val="single" w:sz="4" w:space="0" w:color="000000"/>
              <w:left w:val="single" w:sz="4" w:space="0" w:color="000000"/>
              <w:right w:val="single" w:sz="4" w:space="0" w:color="000000"/>
            </w:tcBorders>
          </w:tcPr>
          <w:p>
            <w:pPr>
              <w:pStyle w:val="TableParagraph"/>
              <w:spacing w:line="316" w:lineRule="auto" w:before="51"/>
              <w:ind w:left="22" w:right="172"/>
              <w:jc w:val="left"/>
              <w:rPr>
                <w:rFonts w:ascii="宋体" w:hAnsi="宋体" w:cs="宋体" w:eastAsia="宋体" w:hint="default"/>
                <w:sz w:val="18"/>
                <w:szCs w:val="18"/>
              </w:rPr>
            </w:pPr>
            <w:r>
              <w:rPr>
                <w:rFonts w:ascii="宋体" w:hAnsi="宋体" w:cs="宋体" w:eastAsia="宋体" w:hint="default"/>
                <w:sz w:val="18"/>
                <w:szCs w:val="18"/>
              </w:rPr>
              <w:t>报告期回购股份及募投项目使用募 集资金导致货币资金减少所致。</w:t>
            </w:r>
          </w:p>
        </w:tc>
      </w:tr>
      <w:tr>
        <w:trPr>
          <w:trHeight w:val="392" w:hRule="exact"/>
        </w:trPr>
        <w:tc>
          <w:tcPr>
            <w:tcW w:w="132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316" w:type="dxa"/>
            <w:vMerge/>
            <w:tcBorders>
              <w:left w:val="single" w:sz="9" w:space="0" w:color="D2D2D2"/>
              <w:right w:val="single" w:sz="4" w:space="0" w:color="000000"/>
            </w:tcBorders>
          </w:tcPr>
          <w:p>
            <w:pPr/>
          </w:p>
        </w:tc>
        <w:tc>
          <w:tcPr>
            <w:tcW w:w="1028" w:type="dxa"/>
            <w:vMerge/>
            <w:tcBorders>
              <w:left w:val="single" w:sz="4" w:space="0" w:color="000000"/>
              <w:right w:val="single" w:sz="4" w:space="0" w:color="000000"/>
            </w:tcBorders>
          </w:tcPr>
          <w:p>
            <w:pPr/>
          </w:p>
        </w:tc>
        <w:tc>
          <w:tcPr>
            <w:tcW w:w="1317" w:type="dxa"/>
            <w:vMerge/>
            <w:tcBorders>
              <w:left w:val="single" w:sz="4" w:space="0" w:color="000000"/>
              <w:right w:val="single" w:sz="4" w:space="0" w:color="000000"/>
            </w:tcBorders>
          </w:tcPr>
          <w:p>
            <w:pPr/>
          </w:p>
        </w:tc>
        <w:tc>
          <w:tcPr>
            <w:tcW w:w="1028" w:type="dxa"/>
            <w:vMerge/>
            <w:tcBorders>
              <w:left w:val="single" w:sz="4" w:space="0" w:color="000000"/>
              <w:right w:val="single" w:sz="4" w:space="0" w:color="000000"/>
            </w:tcBorders>
          </w:tcPr>
          <w:p>
            <w:pPr/>
          </w:p>
        </w:tc>
        <w:tc>
          <w:tcPr>
            <w:tcW w:w="761" w:type="dxa"/>
            <w:vMerge/>
            <w:tcBorders>
              <w:left w:val="single" w:sz="4" w:space="0" w:color="000000"/>
              <w:right w:val="single" w:sz="4" w:space="0" w:color="000000"/>
            </w:tcBorders>
          </w:tcPr>
          <w:p>
            <w:pPr/>
          </w:p>
        </w:tc>
        <w:tc>
          <w:tcPr>
            <w:tcW w:w="2907" w:type="dxa"/>
            <w:vMerge/>
            <w:tcBorders>
              <w:left w:val="single" w:sz="4" w:space="0" w:color="000000"/>
              <w:right w:val="single" w:sz="4" w:space="0" w:color="000000"/>
            </w:tcBorders>
          </w:tcPr>
          <w:p>
            <w:pPr/>
          </w:p>
        </w:tc>
      </w:tr>
      <w:tr>
        <w:trPr>
          <w:trHeight w:val="161" w:hRule="exact"/>
        </w:trPr>
        <w:tc>
          <w:tcPr>
            <w:tcW w:w="1326" w:type="dxa"/>
            <w:tcBorders>
              <w:top w:val="nil" w:sz="6" w:space="0" w:color="auto"/>
              <w:left w:val="single" w:sz="4" w:space="0" w:color="000000"/>
              <w:bottom w:val="single" w:sz="4" w:space="0" w:color="000000"/>
              <w:right w:val="single" w:sz="4" w:space="0" w:color="000000"/>
            </w:tcBorders>
            <w:shd w:val="clear" w:color="auto" w:fill="D2D2D2"/>
          </w:tcPr>
          <w:p>
            <w:pPr/>
          </w:p>
        </w:tc>
        <w:tc>
          <w:tcPr>
            <w:tcW w:w="1316" w:type="dxa"/>
            <w:vMerge/>
            <w:tcBorders>
              <w:left w:val="single" w:sz="9" w:space="0" w:color="D2D2D2"/>
              <w:bottom w:val="single" w:sz="4" w:space="0" w:color="000000"/>
              <w:right w:val="single" w:sz="4" w:space="0" w:color="000000"/>
            </w:tcBorders>
          </w:tcPr>
          <w:p>
            <w:pPr/>
          </w:p>
        </w:tc>
        <w:tc>
          <w:tcPr>
            <w:tcW w:w="1028" w:type="dxa"/>
            <w:vMerge/>
            <w:tcBorders>
              <w:left w:val="single" w:sz="4" w:space="0" w:color="000000"/>
              <w:bottom w:val="single" w:sz="4" w:space="0" w:color="000000"/>
              <w:right w:val="single" w:sz="4" w:space="0" w:color="000000"/>
            </w:tcBorders>
          </w:tcPr>
          <w:p>
            <w:pPr/>
          </w:p>
        </w:tc>
        <w:tc>
          <w:tcPr>
            <w:tcW w:w="1317" w:type="dxa"/>
            <w:vMerge/>
            <w:tcBorders>
              <w:left w:val="single" w:sz="4" w:space="0" w:color="000000"/>
              <w:bottom w:val="single" w:sz="4" w:space="0" w:color="000000"/>
              <w:right w:val="single" w:sz="4" w:space="0" w:color="000000"/>
            </w:tcBorders>
          </w:tcPr>
          <w:p>
            <w:pPr/>
          </w:p>
        </w:tc>
        <w:tc>
          <w:tcPr>
            <w:tcW w:w="1028" w:type="dxa"/>
            <w:vMerge/>
            <w:tcBorders>
              <w:left w:val="single" w:sz="4" w:space="0" w:color="000000"/>
              <w:bottom w:val="single" w:sz="4" w:space="0" w:color="000000"/>
              <w:right w:val="single" w:sz="4" w:space="0" w:color="000000"/>
            </w:tcBorders>
          </w:tcPr>
          <w:p>
            <w:pPr/>
          </w:p>
        </w:tc>
        <w:tc>
          <w:tcPr>
            <w:tcW w:w="761" w:type="dxa"/>
            <w:vMerge/>
            <w:tcBorders>
              <w:left w:val="single" w:sz="4" w:space="0" w:color="000000"/>
              <w:bottom w:val="single" w:sz="4" w:space="0" w:color="000000"/>
              <w:right w:val="single" w:sz="4" w:space="0" w:color="000000"/>
            </w:tcBorders>
          </w:tcPr>
          <w:p>
            <w:pPr/>
          </w:p>
        </w:tc>
        <w:tc>
          <w:tcPr>
            <w:tcW w:w="2907" w:type="dxa"/>
            <w:vMerge/>
            <w:tcBorders>
              <w:left w:val="single" w:sz="4" w:space="0" w:color="000000"/>
              <w:bottom w:val="single" w:sz="4" w:space="0" w:color="000000"/>
              <w:right w:val="single" w:sz="4" w:space="0" w:color="000000"/>
            </w:tcBorders>
          </w:tcPr>
          <w:p>
            <w:pPr/>
          </w:p>
        </w:tc>
      </w:tr>
      <w:tr>
        <w:trPr>
          <w:trHeight w:val="402" w:hRule="exact"/>
        </w:trPr>
        <w:tc>
          <w:tcPr>
            <w:tcW w:w="13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3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760,222,497.11</w:t>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9.27%</w:t>
            </w:r>
          </w:p>
        </w:tc>
        <w:tc>
          <w:tcPr>
            <w:tcW w:w="1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668,682,121.50</w:t>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8.23%</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1.04%</w:t>
            </w:r>
          </w:p>
        </w:tc>
        <w:tc>
          <w:tcPr>
            <w:tcW w:w="2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报告期未发生重大变化。</w:t>
            </w:r>
          </w:p>
        </w:tc>
      </w:tr>
      <w:tr>
        <w:trPr>
          <w:trHeight w:val="402" w:hRule="exact"/>
        </w:trPr>
        <w:tc>
          <w:tcPr>
            <w:tcW w:w="13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3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782,454,900.19</w:t>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9.54%</w:t>
            </w:r>
          </w:p>
        </w:tc>
        <w:tc>
          <w:tcPr>
            <w:tcW w:w="1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712,183,691.48</w:t>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8.77%</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0.77%</w:t>
            </w:r>
          </w:p>
        </w:tc>
        <w:tc>
          <w:tcPr>
            <w:tcW w:w="2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报告期未发生重大变化。</w:t>
            </w:r>
          </w:p>
        </w:tc>
      </w:tr>
      <w:tr>
        <w:trPr>
          <w:trHeight w:val="402" w:hRule="exact"/>
        </w:trPr>
        <w:tc>
          <w:tcPr>
            <w:tcW w:w="13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3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399,387,904.14</w:t>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4.87%</w:t>
            </w:r>
          </w:p>
        </w:tc>
        <w:tc>
          <w:tcPr>
            <w:tcW w:w="1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319,255,065.85</w:t>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3.93%</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0.94%</w:t>
            </w:r>
          </w:p>
        </w:tc>
        <w:tc>
          <w:tcPr>
            <w:tcW w:w="2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报告期未发生重大变化。</w:t>
            </w:r>
          </w:p>
        </w:tc>
      </w:tr>
      <w:tr>
        <w:trPr>
          <w:trHeight w:val="402" w:hRule="exact"/>
        </w:trPr>
        <w:tc>
          <w:tcPr>
            <w:tcW w:w="13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3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1,293,854,523.63</w:t>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15.77%</w:t>
            </w:r>
          </w:p>
        </w:tc>
        <w:tc>
          <w:tcPr>
            <w:tcW w:w="1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1,018,892,068.90</w:t>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12.54%</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3.23%</w:t>
            </w:r>
          </w:p>
        </w:tc>
        <w:tc>
          <w:tcPr>
            <w:tcW w:w="2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报告期未发生重大变化。</w:t>
            </w:r>
          </w:p>
        </w:tc>
      </w:tr>
      <w:tr>
        <w:trPr>
          <w:trHeight w:val="402" w:hRule="exact"/>
        </w:trPr>
        <w:tc>
          <w:tcPr>
            <w:tcW w:w="13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3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1,606,007,156.56</w:t>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19.58%</w:t>
            </w:r>
          </w:p>
        </w:tc>
        <w:tc>
          <w:tcPr>
            <w:tcW w:w="1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1,680,662,023.38</w:t>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20.69%</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-1.11%</w:t>
            </w:r>
          </w:p>
        </w:tc>
        <w:tc>
          <w:tcPr>
            <w:tcW w:w="2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报告期未发生重大变化。</w:t>
            </w:r>
          </w:p>
        </w:tc>
      </w:tr>
      <w:tr>
        <w:trPr>
          <w:trHeight w:val="317" w:hRule="exact"/>
        </w:trPr>
        <w:tc>
          <w:tcPr>
            <w:tcW w:w="1326" w:type="dxa"/>
            <w:tcBorders>
              <w:top w:val="single" w:sz="4" w:space="0" w:color="000000"/>
              <w:left w:val="single" w:sz="4" w:space="0" w:color="000000"/>
              <w:bottom w:val="nil" w:sz="6" w:space="0" w:color="auto"/>
              <w:right w:val="single" w:sz="4" w:space="0" w:color="000000"/>
            </w:tcBorders>
            <w:shd w:val="clear" w:color="auto" w:fill="D2D2D2"/>
          </w:tcPr>
          <w:p>
            <w:pPr/>
          </w:p>
        </w:tc>
        <w:tc>
          <w:tcPr>
            <w:tcW w:w="1316"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51" w:right="0"/>
              <w:jc w:val="left"/>
              <w:rPr>
                <w:rFonts w:ascii="Times New Roman" w:hAnsi="Times New Roman" w:cs="Times New Roman" w:eastAsia="Times New Roman" w:hint="default"/>
                <w:sz w:val="18"/>
                <w:szCs w:val="18"/>
              </w:rPr>
            </w:pPr>
            <w:r>
              <w:rPr>
                <w:rFonts w:ascii="Times New Roman"/>
                <w:sz w:val="18"/>
              </w:rPr>
              <w:t>266,703,315.99</w:t>
            </w:r>
          </w:p>
        </w:tc>
        <w:tc>
          <w:tcPr>
            <w:tcW w:w="102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31" w:right="0"/>
              <w:jc w:val="left"/>
              <w:rPr>
                <w:rFonts w:ascii="Times New Roman" w:hAnsi="Times New Roman" w:cs="Times New Roman" w:eastAsia="Times New Roman" w:hint="default"/>
                <w:sz w:val="18"/>
                <w:szCs w:val="18"/>
              </w:rPr>
            </w:pPr>
            <w:r>
              <w:rPr>
                <w:rFonts w:ascii="Times New Roman"/>
                <w:sz w:val="18"/>
              </w:rPr>
              <w:t>3.25%</w:t>
            </w:r>
          </w:p>
        </w:tc>
        <w:tc>
          <w:tcPr>
            <w:tcW w:w="131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58" w:right="0"/>
              <w:jc w:val="left"/>
              <w:rPr>
                <w:rFonts w:ascii="Times New Roman" w:hAnsi="Times New Roman" w:cs="Times New Roman" w:eastAsia="Times New Roman" w:hint="default"/>
                <w:sz w:val="18"/>
                <w:szCs w:val="18"/>
              </w:rPr>
            </w:pPr>
            <w:r>
              <w:rPr>
                <w:rFonts w:ascii="Times New Roman"/>
                <w:sz w:val="18"/>
              </w:rPr>
              <w:t>133,973,716.36</w:t>
            </w:r>
          </w:p>
        </w:tc>
        <w:tc>
          <w:tcPr>
            <w:tcW w:w="102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31" w:right="0"/>
              <w:jc w:val="left"/>
              <w:rPr>
                <w:rFonts w:ascii="Times New Roman" w:hAnsi="Times New Roman" w:cs="Times New Roman" w:eastAsia="Times New Roman" w:hint="default"/>
                <w:sz w:val="18"/>
                <w:szCs w:val="18"/>
              </w:rPr>
            </w:pPr>
            <w:r>
              <w:rPr>
                <w:rFonts w:ascii="Times New Roman"/>
                <w:sz w:val="18"/>
              </w:rPr>
              <w:t>1.65%</w:t>
            </w:r>
          </w:p>
        </w:tc>
        <w:tc>
          <w:tcPr>
            <w:tcW w:w="76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62" w:right="0"/>
              <w:jc w:val="left"/>
              <w:rPr>
                <w:rFonts w:ascii="Times New Roman" w:hAnsi="Times New Roman" w:cs="Times New Roman" w:eastAsia="Times New Roman" w:hint="default"/>
                <w:sz w:val="18"/>
                <w:szCs w:val="18"/>
              </w:rPr>
            </w:pPr>
            <w:r>
              <w:rPr>
                <w:rFonts w:ascii="Times New Roman"/>
                <w:sz w:val="18"/>
              </w:rPr>
              <w:t>1.60%</w:t>
            </w:r>
          </w:p>
        </w:tc>
        <w:tc>
          <w:tcPr>
            <w:tcW w:w="2907" w:type="dxa"/>
            <w:vMerge w:val="restart"/>
            <w:tcBorders>
              <w:top w:val="single" w:sz="4" w:space="0" w:color="000000"/>
              <w:left w:val="single" w:sz="4" w:space="0" w:color="000000"/>
              <w:right w:val="single" w:sz="4" w:space="0" w:color="000000"/>
            </w:tcBorders>
          </w:tcPr>
          <w:p>
            <w:pPr>
              <w:pStyle w:val="TableParagraph"/>
              <w:spacing w:line="316" w:lineRule="auto" w:before="51"/>
              <w:ind w:left="22" w:right="21"/>
              <w:jc w:val="both"/>
              <w:rPr>
                <w:rFonts w:ascii="宋体" w:hAnsi="宋体" w:cs="宋体" w:eastAsia="宋体" w:hint="default"/>
                <w:sz w:val="18"/>
                <w:szCs w:val="18"/>
              </w:rPr>
            </w:pPr>
            <w:r>
              <w:rPr>
                <w:rFonts w:ascii="宋体" w:hAnsi="宋体" w:cs="宋体" w:eastAsia="宋体" w:hint="default"/>
                <w:spacing w:val="-2"/>
                <w:sz w:val="18"/>
                <w:szCs w:val="18"/>
              </w:rPr>
              <w:t>报告期公司松岗工业园四期、中丰田</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2"/>
                <w:sz w:val="18"/>
                <w:szCs w:val="18"/>
              </w:rPr>
              <w:t>厂房、贵州劲嘉厂房投资建设增加所</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致。</w:t>
            </w:r>
          </w:p>
        </w:tc>
      </w:tr>
      <w:tr>
        <w:trPr>
          <w:trHeight w:val="392" w:hRule="exact"/>
        </w:trPr>
        <w:tc>
          <w:tcPr>
            <w:tcW w:w="132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316" w:type="dxa"/>
            <w:vMerge/>
            <w:tcBorders>
              <w:left w:val="single" w:sz="9" w:space="0" w:color="D2D2D2"/>
              <w:right w:val="single" w:sz="4" w:space="0" w:color="000000"/>
            </w:tcBorders>
          </w:tcPr>
          <w:p>
            <w:pPr/>
          </w:p>
        </w:tc>
        <w:tc>
          <w:tcPr>
            <w:tcW w:w="1028" w:type="dxa"/>
            <w:vMerge/>
            <w:tcBorders>
              <w:left w:val="single" w:sz="4" w:space="0" w:color="000000"/>
              <w:right w:val="single" w:sz="4" w:space="0" w:color="000000"/>
            </w:tcBorders>
          </w:tcPr>
          <w:p>
            <w:pPr/>
          </w:p>
        </w:tc>
        <w:tc>
          <w:tcPr>
            <w:tcW w:w="1317" w:type="dxa"/>
            <w:vMerge/>
            <w:tcBorders>
              <w:left w:val="single" w:sz="4" w:space="0" w:color="000000"/>
              <w:right w:val="single" w:sz="4" w:space="0" w:color="000000"/>
            </w:tcBorders>
          </w:tcPr>
          <w:p>
            <w:pPr/>
          </w:p>
        </w:tc>
        <w:tc>
          <w:tcPr>
            <w:tcW w:w="1028" w:type="dxa"/>
            <w:vMerge/>
            <w:tcBorders>
              <w:left w:val="single" w:sz="4" w:space="0" w:color="000000"/>
              <w:right w:val="single" w:sz="4" w:space="0" w:color="000000"/>
            </w:tcBorders>
          </w:tcPr>
          <w:p>
            <w:pPr/>
          </w:p>
        </w:tc>
        <w:tc>
          <w:tcPr>
            <w:tcW w:w="761" w:type="dxa"/>
            <w:vMerge/>
            <w:tcBorders>
              <w:left w:val="single" w:sz="4" w:space="0" w:color="000000"/>
              <w:right w:val="single" w:sz="4" w:space="0" w:color="000000"/>
            </w:tcBorders>
          </w:tcPr>
          <w:p>
            <w:pPr/>
          </w:p>
        </w:tc>
        <w:tc>
          <w:tcPr>
            <w:tcW w:w="2907" w:type="dxa"/>
            <w:vMerge/>
            <w:tcBorders>
              <w:left w:val="single" w:sz="4" w:space="0" w:color="000000"/>
              <w:right w:val="single" w:sz="4" w:space="0" w:color="000000"/>
            </w:tcBorders>
          </w:tcPr>
          <w:p>
            <w:pPr/>
          </w:p>
        </w:tc>
      </w:tr>
      <w:tr>
        <w:trPr>
          <w:trHeight w:val="317" w:hRule="exact"/>
        </w:trPr>
        <w:tc>
          <w:tcPr>
            <w:tcW w:w="1326" w:type="dxa"/>
            <w:tcBorders>
              <w:top w:val="nil" w:sz="6" w:space="0" w:color="auto"/>
              <w:left w:val="single" w:sz="4" w:space="0" w:color="000000"/>
              <w:bottom w:val="single" w:sz="4" w:space="0" w:color="000000"/>
              <w:right w:val="single" w:sz="4" w:space="0" w:color="000000"/>
            </w:tcBorders>
            <w:shd w:val="clear" w:color="auto" w:fill="D2D2D2"/>
          </w:tcPr>
          <w:p>
            <w:pPr/>
          </w:p>
        </w:tc>
        <w:tc>
          <w:tcPr>
            <w:tcW w:w="1316" w:type="dxa"/>
            <w:vMerge/>
            <w:tcBorders>
              <w:left w:val="single" w:sz="9" w:space="0" w:color="D2D2D2"/>
              <w:bottom w:val="single" w:sz="4" w:space="0" w:color="000000"/>
              <w:right w:val="single" w:sz="4" w:space="0" w:color="000000"/>
            </w:tcBorders>
          </w:tcPr>
          <w:p>
            <w:pPr/>
          </w:p>
        </w:tc>
        <w:tc>
          <w:tcPr>
            <w:tcW w:w="1028" w:type="dxa"/>
            <w:vMerge/>
            <w:tcBorders>
              <w:left w:val="single" w:sz="4" w:space="0" w:color="000000"/>
              <w:bottom w:val="single" w:sz="4" w:space="0" w:color="000000"/>
              <w:right w:val="single" w:sz="4" w:space="0" w:color="000000"/>
            </w:tcBorders>
          </w:tcPr>
          <w:p>
            <w:pPr/>
          </w:p>
        </w:tc>
        <w:tc>
          <w:tcPr>
            <w:tcW w:w="1317" w:type="dxa"/>
            <w:vMerge/>
            <w:tcBorders>
              <w:left w:val="single" w:sz="4" w:space="0" w:color="000000"/>
              <w:bottom w:val="single" w:sz="4" w:space="0" w:color="000000"/>
              <w:right w:val="single" w:sz="4" w:space="0" w:color="000000"/>
            </w:tcBorders>
          </w:tcPr>
          <w:p>
            <w:pPr/>
          </w:p>
        </w:tc>
        <w:tc>
          <w:tcPr>
            <w:tcW w:w="1028" w:type="dxa"/>
            <w:vMerge/>
            <w:tcBorders>
              <w:left w:val="single" w:sz="4" w:space="0" w:color="000000"/>
              <w:bottom w:val="single" w:sz="4" w:space="0" w:color="000000"/>
              <w:right w:val="single" w:sz="4" w:space="0" w:color="000000"/>
            </w:tcBorders>
          </w:tcPr>
          <w:p>
            <w:pPr/>
          </w:p>
        </w:tc>
        <w:tc>
          <w:tcPr>
            <w:tcW w:w="761" w:type="dxa"/>
            <w:vMerge/>
            <w:tcBorders>
              <w:left w:val="single" w:sz="4" w:space="0" w:color="000000"/>
              <w:bottom w:val="single" w:sz="4" w:space="0" w:color="000000"/>
              <w:right w:val="single" w:sz="4" w:space="0" w:color="000000"/>
            </w:tcBorders>
          </w:tcPr>
          <w:p>
            <w:pPr/>
          </w:p>
        </w:tc>
        <w:tc>
          <w:tcPr>
            <w:tcW w:w="2907" w:type="dxa"/>
            <w:vMerge/>
            <w:tcBorders>
              <w:left w:val="single" w:sz="4" w:space="0" w:color="000000"/>
              <w:bottom w:val="single" w:sz="4" w:space="0" w:color="000000"/>
              <w:right w:val="single" w:sz="4" w:space="0" w:color="000000"/>
            </w:tcBorders>
          </w:tcPr>
          <w:p>
            <w:pPr/>
          </w:p>
        </w:tc>
      </w:tr>
      <w:tr>
        <w:trPr>
          <w:trHeight w:val="402" w:hRule="exact"/>
        </w:trPr>
        <w:tc>
          <w:tcPr>
            <w:tcW w:w="13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3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60,000,000.00</w:t>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0.73%</w:t>
            </w:r>
          </w:p>
        </w:tc>
        <w:tc>
          <w:tcPr>
            <w:tcW w:w="1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10,000,000.00</w:t>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0.12%</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0.61%</w:t>
            </w:r>
          </w:p>
        </w:tc>
        <w:tc>
          <w:tcPr>
            <w:tcW w:w="2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6"/>
              <w:jc w:val="left"/>
              <w:rPr>
                <w:rFonts w:ascii="宋体" w:hAnsi="宋体" w:cs="宋体" w:eastAsia="宋体" w:hint="default"/>
                <w:sz w:val="18"/>
                <w:szCs w:val="18"/>
              </w:rPr>
            </w:pPr>
            <w:r>
              <w:rPr>
                <w:rFonts w:ascii="宋体" w:hAnsi="宋体" w:cs="宋体" w:eastAsia="宋体" w:hint="default"/>
                <w:sz w:val="18"/>
                <w:szCs w:val="18"/>
              </w:rPr>
              <w:t>报告期票据贴现质押借款增加所致。</w:t>
            </w:r>
          </w:p>
        </w:tc>
      </w:tr>
      <w:tr>
        <w:trPr>
          <w:trHeight w:val="402" w:hRule="exact"/>
        </w:trPr>
        <w:tc>
          <w:tcPr>
            <w:tcW w:w="13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316" w:type="dxa"/>
            <w:tcBorders>
              <w:top w:val="single" w:sz="4" w:space="0" w:color="000000"/>
              <w:left w:val="single" w:sz="13" w:space="0" w:color="D2D2D2"/>
              <w:bottom w:val="single" w:sz="4" w:space="0" w:color="000000"/>
              <w:right w:val="single" w:sz="4" w:space="0" w:color="000000"/>
            </w:tcBorders>
          </w:tcPr>
          <w:p>
            <w:pPr/>
          </w:p>
        </w:tc>
        <w:tc>
          <w:tcPr>
            <w:tcW w:w="1028" w:type="dxa"/>
            <w:tcBorders>
              <w:top w:val="single" w:sz="4" w:space="0" w:color="000000"/>
              <w:left w:val="single" w:sz="4" w:space="0" w:color="000000"/>
              <w:bottom w:val="single" w:sz="4" w:space="0" w:color="000000"/>
              <w:right w:val="single" w:sz="4" w:space="0" w:color="000000"/>
            </w:tcBorders>
          </w:tcPr>
          <w:p>
            <w:pPr/>
          </w:p>
        </w:tc>
        <w:tc>
          <w:tcPr>
            <w:tcW w:w="1317" w:type="dxa"/>
            <w:tcBorders>
              <w:top w:val="single" w:sz="4" w:space="0" w:color="000000"/>
              <w:left w:val="single" w:sz="4" w:space="0" w:color="000000"/>
              <w:bottom w:val="single" w:sz="4" w:space="0" w:color="000000"/>
              <w:right w:val="single" w:sz="4" w:space="0" w:color="000000"/>
            </w:tcBorders>
          </w:tcPr>
          <w:p>
            <w:pPr/>
          </w:p>
        </w:tc>
        <w:tc>
          <w:tcPr>
            <w:tcW w:w="1028" w:type="dxa"/>
            <w:tcBorders>
              <w:top w:val="single" w:sz="4" w:space="0" w:color="000000"/>
              <w:left w:val="single" w:sz="4" w:space="0" w:color="000000"/>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
        </w:tc>
        <w:tc>
          <w:tcPr>
            <w:tcW w:w="2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报告期未发生。</w:t>
            </w:r>
          </w:p>
        </w:tc>
      </w:tr>
      <w:tr>
        <w:trPr>
          <w:trHeight w:val="714" w:hRule="exact"/>
        </w:trPr>
        <w:tc>
          <w:tcPr>
            <w:tcW w:w="132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138,573,336.90</w:t>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1.69%</w:t>
            </w:r>
          </w:p>
        </w:tc>
        <w:tc>
          <w:tcPr>
            <w:tcW w:w="1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60,344,591.99</w:t>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0.74%</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0.95%</w:t>
            </w:r>
          </w:p>
        </w:tc>
        <w:tc>
          <w:tcPr>
            <w:tcW w:w="290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72"/>
              <w:jc w:val="left"/>
              <w:rPr>
                <w:rFonts w:ascii="宋体" w:hAnsi="宋体" w:cs="宋体" w:eastAsia="宋体" w:hint="default"/>
                <w:sz w:val="18"/>
                <w:szCs w:val="18"/>
              </w:rPr>
            </w:pPr>
            <w:r>
              <w:rPr>
                <w:rFonts w:ascii="宋体" w:hAnsi="宋体" w:cs="宋体" w:eastAsia="宋体" w:hint="default"/>
                <w:sz w:val="18"/>
                <w:szCs w:val="18"/>
              </w:rPr>
              <w:t>报告期末应交增值税及企业所得税 增加所致。</w:t>
            </w:r>
          </w:p>
        </w:tc>
      </w:tr>
      <w:tr>
        <w:trPr>
          <w:trHeight w:val="714" w:hRule="exact"/>
        </w:trPr>
        <w:tc>
          <w:tcPr>
            <w:tcW w:w="132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4,100,307.39</w:t>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0.05%</w:t>
            </w:r>
          </w:p>
        </w:tc>
        <w:tc>
          <w:tcPr>
            <w:tcW w:w="1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43,100,307.39</w:t>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0.53%</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-0.48%</w:t>
            </w:r>
          </w:p>
        </w:tc>
        <w:tc>
          <w:tcPr>
            <w:tcW w:w="290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72"/>
              <w:jc w:val="left"/>
              <w:rPr>
                <w:rFonts w:ascii="宋体" w:hAnsi="宋体" w:cs="宋体" w:eastAsia="宋体" w:hint="default"/>
                <w:sz w:val="18"/>
                <w:szCs w:val="18"/>
              </w:rPr>
            </w:pPr>
            <w:r>
              <w:rPr>
                <w:rFonts w:ascii="宋体" w:hAnsi="宋体" w:cs="宋体" w:eastAsia="宋体" w:hint="default"/>
                <w:sz w:val="18"/>
                <w:szCs w:val="18"/>
              </w:rPr>
              <w:t>报告期末控股子公司上年度股利分 配大部分实施所致。</w:t>
            </w:r>
          </w:p>
        </w:tc>
      </w:tr>
      <w:tr>
        <w:trPr>
          <w:trHeight w:val="402" w:hRule="exact"/>
        </w:trPr>
        <w:tc>
          <w:tcPr>
            <w:tcW w:w="132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库存股</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230,222,172.45</w:t>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2.81%</w:t>
            </w:r>
          </w:p>
        </w:tc>
        <w:tc>
          <w:tcPr>
            <w:tcW w:w="1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2.81%</w:t>
            </w:r>
          </w:p>
        </w:tc>
        <w:tc>
          <w:tcPr>
            <w:tcW w:w="2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报告期回购股份增加所致。</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以公允价值计量的资产和负债" w:id="42"/>
      <w:bookmarkEnd w:id="42"/>
      <w:r>
        <w:rPr>
          <w:b w:val="0"/>
          <w:bCs w:val="0"/>
        </w:rPr>
      </w:r>
      <w:r>
        <w:rPr>
          <w:rFonts w:ascii="Times New Roman" w:hAnsi="Times New Roman" w:cs="Times New Roman" w:eastAsia="Times New Roman" w:hint="default"/>
        </w:rPr>
        <w:t>2</w:t>
      </w:r>
      <w:r>
        <w:rPr/>
        <w:t>、以公允价值计量的资产和负债</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3、截至报告期末的资产权利受限情况" w:id="43"/>
      <w:bookmarkEnd w:id="43"/>
      <w:r>
        <w:rPr>
          <w:b w:val="0"/>
          <w:bCs w:val="0"/>
        </w:rPr>
      </w:r>
      <w:r>
        <w:rPr>
          <w:rFonts w:ascii="Times New Roman" w:hAnsi="Times New Roman" w:cs="Times New Roman" w:eastAsia="Times New Roman" w:hint="default"/>
        </w:rPr>
        <w:t>3</w:t>
      </w:r>
      <w:r>
        <w:rPr/>
        <w:t>、截至报告期末的资产权利受限情况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详见本报告第十一节</w:t>
      </w:r>
      <w:r>
        <w:rPr>
          <w:spacing w:val="-20"/>
        </w:rPr>
        <w:t> </w:t>
      </w:r>
      <w:r>
        <w:rPr/>
        <w:t>财务报告之</w:t>
      </w:r>
      <w:r>
        <w:rPr>
          <w:rFonts w:ascii="Times New Roman" w:hAnsi="Times New Roman" w:cs="Times New Roman" w:eastAsia="Times New Roman" w:hint="default"/>
        </w:rPr>
        <w:t>“</w:t>
      </w:r>
      <w:r>
        <w:rPr/>
        <w:t>七、合并财务报表项目注释</w:t>
      </w:r>
      <w:r>
        <w:rPr>
          <w:rFonts w:ascii="Times New Roman" w:hAnsi="Times New Roman" w:cs="Times New Roman" w:eastAsia="Times New Roman" w:hint="default"/>
        </w:rPr>
        <w:t>”</w:t>
      </w:r>
      <w:r>
        <w:rPr/>
        <w:t>之</w:t>
      </w:r>
      <w:r>
        <w:rPr>
          <w:rFonts w:ascii="Times New Roman" w:hAnsi="Times New Roman" w:cs="Times New Roman" w:eastAsia="Times New Roman" w:hint="default"/>
        </w:rPr>
        <w:t>“45</w:t>
      </w:r>
      <w:r>
        <w:rPr/>
        <w:t>、所有权或使用权受到限制的资产</w:t>
      </w:r>
      <w:r>
        <w:rPr>
          <w:rFonts w:ascii="Times New Roman" w:hAnsi="Times New Roman" w:cs="Times New Roman" w:eastAsia="Times New Roman" w:hint="default"/>
        </w:rPr>
        <w:t>”</w:t>
      </w:r>
      <w:r>
        <w:rPr/>
        <w:t>。</w:t>
      </w:r>
    </w:p>
    <w:p>
      <w:pPr>
        <w:spacing w:after="0" w:line="240" w:lineRule="auto"/>
        <w:jc w:val="left"/>
        <w:sectPr>
          <w:footerReference w:type="default" r:id="rId12"/>
          <w:pgSz w:w="11910" w:h="16840"/>
          <w:pgMar w:footer="979" w:header="747" w:top="1060" w:bottom="1160" w:left="980" w:right="0"/>
          <w:pgNumType w:start="26"/>
        </w:sectPr>
      </w:pPr>
    </w:p>
    <w:p>
      <w:pPr>
        <w:spacing w:line="240" w:lineRule="auto" w:before="9"/>
        <w:rPr>
          <w:rFonts w:ascii="宋体" w:hAnsi="宋体" w:cs="宋体" w:eastAsia="宋体" w:hint="default"/>
          <w:sz w:val="23"/>
          <w:szCs w:val="23"/>
        </w:rPr>
      </w:pPr>
    </w:p>
    <w:p>
      <w:pPr>
        <w:pStyle w:val="Heading2"/>
        <w:spacing w:line="240" w:lineRule="auto" w:before="26"/>
        <w:ind w:right="0"/>
        <w:jc w:val="left"/>
        <w:rPr>
          <w:b w:val="0"/>
          <w:bCs w:val="0"/>
        </w:rPr>
      </w:pPr>
      <w:bookmarkStart w:name="五、投资状况分析" w:id="44"/>
      <w:bookmarkEnd w:id="44"/>
      <w:r>
        <w:rPr>
          <w:b w:val="0"/>
          <w:bCs w:val="0"/>
        </w:rPr>
      </w:r>
      <w:r>
        <w:rPr/>
        <w:t>五、投资状况分析</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总体情况" w:id="45"/>
      <w:bookmarkEnd w:id="45"/>
      <w:r>
        <w:rPr>
          <w:b w:val="0"/>
          <w:bCs w:val="0"/>
        </w:rPr>
      </w:r>
      <w:r>
        <w:rPr>
          <w:rFonts w:ascii="Times New Roman" w:hAnsi="Times New Roman" w:cs="Times New Roman" w:eastAsia="Times New Roman" w:hint="default"/>
        </w:rPr>
        <w:t>1</w:t>
      </w:r>
      <w:r>
        <w:rPr/>
        <w:t>、总体情况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1"/>
      </w:tblGrid>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79" w:right="0"/>
              <w:jc w:val="left"/>
              <w:rPr>
                <w:rFonts w:ascii="宋体" w:hAnsi="宋体" w:cs="宋体" w:eastAsia="宋体" w:hint="default"/>
                <w:sz w:val="18"/>
                <w:szCs w:val="18"/>
              </w:rPr>
            </w:pPr>
            <w:r>
              <w:rPr>
                <w:rFonts w:ascii="宋体" w:hAnsi="宋体" w:cs="宋体" w:eastAsia="宋体" w:hint="default"/>
                <w:sz w:val="18"/>
                <w:szCs w:val="18"/>
              </w:rPr>
              <w:t>报告期投资额（元）</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90" w:right="0"/>
              <w:jc w:val="left"/>
              <w:rPr>
                <w:rFonts w:ascii="宋体" w:hAnsi="宋体" w:cs="宋体" w:eastAsia="宋体" w:hint="default"/>
                <w:sz w:val="18"/>
                <w:szCs w:val="18"/>
              </w:rPr>
            </w:pPr>
            <w:r>
              <w:rPr>
                <w:rFonts w:ascii="宋体" w:hAnsi="宋体" w:cs="宋体" w:eastAsia="宋体" w:hint="default"/>
                <w:sz w:val="18"/>
                <w:szCs w:val="18"/>
              </w:rPr>
              <w:t>上年同期投资额（元）</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变动幅度</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030" w:right="0"/>
              <w:jc w:val="left"/>
              <w:rPr>
                <w:rFonts w:ascii="Times New Roman" w:hAnsi="Times New Roman" w:cs="Times New Roman" w:eastAsia="Times New Roman" w:hint="default"/>
                <w:sz w:val="18"/>
                <w:szCs w:val="18"/>
              </w:rPr>
            </w:pPr>
            <w:r>
              <w:rPr>
                <w:rFonts w:ascii="Times New Roman"/>
                <w:sz w:val="18"/>
              </w:rPr>
              <w:t>247,420,000.00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033" w:right="0"/>
              <w:jc w:val="left"/>
              <w:rPr>
                <w:rFonts w:ascii="Times New Roman" w:hAnsi="Times New Roman" w:cs="Times New Roman" w:eastAsia="Times New Roman" w:hint="default"/>
                <w:sz w:val="18"/>
                <w:szCs w:val="18"/>
              </w:rPr>
            </w:pPr>
            <w:r>
              <w:rPr>
                <w:rFonts w:ascii="Times New Roman"/>
                <w:sz w:val="18"/>
              </w:rPr>
              <w:t>301,500,000.00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-17.94%</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报告期内获取的重大的股权投资情况" w:id="46"/>
      <w:bookmarkEnd w:id="46"/>
      <w:r>
        <w:rPr>
          <w:b w:val="0"/>
          <w:bCs w:val="0"/>
        </w:rPr>
      </w:r>
      <w:r>
        <w:rPr>
          <w:rFonts w:ascii="Times New Roman" w:hAnsi="Times New Roman" w:cs="Times New Roman" w:eastAsia="Times New Roman" w:hint="default"/>
        </w:rPr>
        <w:t>2</w:t>
      </w:r>
      <w:r>
        <w:rPr/>
        <w:t>、报告期内获取的重大的股权投资情况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63"/>
        <w:gridCol w:w="303"/>
        <w:gridCol w:w="276"/>
        <w:gridCol w:w="1182"/>
        <w:gridCol w:w="707"/>
        <w:gridCol w:w="276"/>
        <w:gridCol w:w="1121"/>
        <w:gridCol w:w="276"/>
        <w:gridCol w:w="302"/>
        <w:gridCol w:w="396"/>
        <w:gridCol w:w="402"/>
        <w:gridCol w:w="1010"/>
        <w:gridCol w:w="276"/>
        <w:gridCol w:w="499"/>
        <w:gridCol w:w="2177"/>
      </w:tblGrid>
      <w:tr>
        <w:trPr>
          <w:trHeight w:val="4146" w:hRule="exact"/>
        </w:trPr>
        <w:tc>
          <w:tcPr>
            <w:tcW w:w="4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316" w:lineRule="auto"/>
              <w:ind w:left="45" w:right="47"/>
              <w:jc w:val="both"/>
              <w:rPr>
                <w:rFonts w:ascii="宋体" w:hAnsi="宋体" w:cs="宋体" w:eastAsia="宋体" w:hint="default"/>
                <w:sz w:val="18"/>
                <w:szCs w:val="18"/>
              </w:rPr>
            </w:pPr>
            <w:r>
              <w:rPr>
                <w:rFonts w:ascii="宋体" w:hAnsi="宋体" w:cs="宋体" w:eastAsia="宋体" w:hint="default"/>
                <w:sz w:val="18"/>
                <w:szCs w:val="18"/>
              </w:rPr>
              <w:t>被投 资公 司名 称</w:t>
            </w:r>
          </w:p>
        </w:tc>
        <w:tc>
          <w:tcPr>
            <w:tcW w:w="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316" w:lineRule="auto"/>
              <w:ind w:left="56" w:right="54"/>
              <w:jc w:val="both"/>
              <w:rPr>
                <w:rFonts w:ascii="宋体" w:hAnsi="宋体" w:cs="宋体" w:eastAsia="宋体" w:hint="default"/>
                <w:sz w:val="18"/>
                <w:szCs w:val="18"/>
              </w:rPr>
            </w:pPr>
            <w:r>
              <w:rPr>
                <w:rFonts w:ascii="宋体" w:hAnsi="宋体" w:cs="宋体" w:eastAsia="宋体" w:hint="default"/>
                <w:sz w:val="18"/>
                <w:szCs w:val="18"/>
              </w:rPr>
              <w:t>主 要 业 务</w:t>
            </w:r>
          </w:p>
        </w:tc>
        <w:tc>
          <w:tcPr>
            <w:tcW w:w="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316" w:lineRule="auto"/>
              <w:ind w:left="43" w:right="41"/>
              <w:jc w:val="both"/>
              <w:rPr>
                <w:rFonts w:ascii="宋体" w:hAnsi="宋体" w:cs="宋体" w:eastAsia="宋体" w:hint="default"/>
                <w:sz w:val="18"/>
                <w:szCs w:val="18"/>
              </w:rPr>
            </w:pPr>
            <w:r>
              <w:rPr>
                <w:rFonts w:ascii="宋体" w:hAnsi="宋体" w:cs="宋体" w:eastAsia="宋体" w:hint="default"/>
                <w:sz w:val="18"/>
                <w:szCs w:val="18"/>
              </w:rPr>
              <w:t>投 资 方 式</w:t>
            </w:r>
          </w:p>
        </w:tc>
        <w:tc>
          <w:tcPr>
            <w:tcW w:w="11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投资金额</w:t>
            </w:r>
          </w:p>
        </w:tc>
        <w:tc>
          <w:tcPr>
            <w:tcW w:w="7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18"/>
              <w:ind w:left="258" w:right="77" w:hanging="180"/>
              <w:jc w:val="left"/>
              <w:rPr>
                <w:rFonts w:ascii="宋体" w:hAnsi="宋体" w:cs="宋体" w:eastAsia="宋体" w:hint="default"/>
                <w:sz w:val="18"/>
                <w:szCs w:val="18"/>
              </w:rPr>
            </w:pPr>
            <w:r>
              <w:rPr>
                <w:rFonts w:ascii="宋体" w:hAnsi="宋体" w:cs="宋体" w:eastAsia="宋体" w:hint="default"/>
                <w:sz w:val="18"/>
                <w:szCs w:val="18"/>
              </w:rPr>
              <w:t>持股比 例</w:t>
            </w:r>
          </w:p>
        </w:tc>
        <w:tc>
          <w:tcPr>
            <w:tcW w:w="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316" w:lineRule="auto"/>
              <w:ind w:left="41" w:right="42"/>
              <w:jc w:val="both"/>
              <w:rPr>
                <w:rFonts w:ascii="宋体" w:hAnsi="宋体" w:cs="宋体" w:eastAsia="宋体" w:hint="default"/>
                <w:sz w:val="18"/>
                <w:szCs w:val="18"/>
              </w:rPr>
            </w:pPr>
            <w:r>
              <w:rPr>
                <w:rFonts w:ascii="宋体" w:hAnsi="宋体" w:cs="宋体" w:eastAsia="宋体" w:hint="default"/>
                <w:sz w:val="18"/>
                <w:szCs w:val="18"/>
              </w:rPr>
              <w:t>资 金 来 源</w:t>
            </w:r>
          </w:p>
        </w:tc>
        <w:tc>
          <w:tcPr>
            <w:tcW w:w="1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285" w:right="0"/>
              <w:jc w:val="left"/>
              <w:rPr>
                <w:rFonts w:ascii="宋体" w:hAnsi="宋体" w:cs="宋体" w:eastAsia="宋体" w:hint="default"/>
                <w:sz w:val="18"/>
                <w:szCs w:val="18"/>
              </w:rPr>
            </w:pPr>
            <w:r>
              <w:rPr>
                <w:rFonts w:ascii="宋体" w:hAnsi="宋体" w:cs="宋体" w:eastAsia="宋体" w:hint="default"/>
                <w:sz w:val="18"/>
                <w:szCs w:val="18"/>
              </w:rPr>
              <w:t>合作方</w:t>
            </w:r>
          </w:p>
        </w:tc>
        <w:tc>
          <w:tcPr>
            <w:tcW w:w="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316" w:lineRule="auto"/>
              <w:ind w:left="41" w:right="42"/>
              <w:jc w:val="both"/>
              <w:rPr>
                <w:rFonts w:ascii="宋体" w:hAnsi="宋体" w:cs="宋体" w:eastAsia="宋体" w:hint="default"/>
                <w:sz w:val="18"/>
                <w:szCs w:val="18"/>
              </w:rPr>
            </w:pPr>
            <w:r>
              <w:rPr>
                <w:rFonts w:ascii="宋体" w:hAnsi="宋体" w:cs="宋体" w:eastAsia="宋体" w:hint="default"/>
                <w:sz w:val="18"/>
                <w:szCs w:val="18"/>
              </w:rPr>
              <w:t>投 资 期 限</w:t>
            </w:r>
          </w:p>
        </w:tc>
        <w:tc>
          <w:tcPr>
            <w:tcW w:w="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316" w:lineRule="auto"/>
              <w:ind w:left="56" w:right="54"/>
              <w:jc w:val="both"/>
              <w:rPr>
                <w:rFonts w:ascii="宋体" w:hAnsi="宋体" w:cs="宋体" w:eastAsia="宋体" w:hint="default"/>
                <w:sz w:val="18"/>
                <w:szCs w:val="18"/>
              </w:rPr>
            </w:pPr>
            <w:r>
              <w:rPr>
                <w:rFonts w:ascii="宋体" w:hAnsi="宋体" w:cs="宋体" w:eastAsia="宋体" w:hint="default"/>
                <w:sz w:val="18"/>
                <w:szCs w:val="18"/>
              </w:rPr>
              <w:t>产 品 类 型</w:t>
            </w:r>
          </w:p>
        </w:tc>
        <w:tc>
          <w:tcPr>
            <w:tcW w:w="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101"/>
              <w:jc w:val="both"/>
              <w:rPr>
                <w:rFonts w:ascii="宋体" w:hAnsi="宋体" w:cs="宋体" w:eastAsia="宋体" w:hint="default"/>
                <w:sz w:val="18"/>
                <w:szCs w:val="18"/>
              </w:rPr>
            </w:pPr>
            <w:r>
              <w:rPr>
                <w:rFonts w:ascii="宋体" w:hAnsi="宋体" w:cs="宋体" w:eastAsia="宋体" w:hint="default"/>
                <w:sz w:val="18"/>
                <w:szCs w:val="18"/>
              </w:rPr>
              <w:t>截 至 资 产 负 债 表 日 的 进 展 情 况</w:t>
            </w:r>
          </w:p>
        </w:tc>
        <w:tc>
          <w:tcPr>
            <w:tcW w:w="4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316" w:lineRule="auto"/>
              <w:ind w:left="106" w:right="103"/>
              <w:jc w:val="both"/>
              <w:rPr>
                <w:rFonts w:ascii="宋体" w:hAnsi="宋体" w:cs="宋体" w:eastAsia="宋体" w:hint="default"/>
                <w:sz w:val="18"/>
                <w:szCs w:val="18"/>
              </w:rPr>
            </w:pPr>
            <w:r>
              <w:rPr>
                <w:rFonts w:ascii="宋体" w:hAnsi="宋体" w:cs="宋体" w:eastAsia="宋体" w:hint="default"/>
                <w:sz w:val="18"/>
                <w:szCs w:val="18"/>
              </w:rPr>
              <w:t>预 计 收 益</w:t>
            </w:r>
          </w:p>
        </w:tc>
        <w:tc>
          <w:tcPr>
            <w:tcW w:w="10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18"/>
              <w:ind w:left="410" w:right="48" w:hanging="360"/>
              <w:jc w:val="left"/>
              <w:rPr>
                <w:rFonts w:ascii="宋体" w:hAnsi="宋体" w:cs="宋体" w:eastAsia="宋体" w:hint="default"/>
                <w:sz w:val="18"/>
                <w:szCs w:val="18"/>
              </w:rPr>
            </w:pPr>
            <w:r>
              <w:rPr>
                <w:rFonts w:ascii="宋体" w:hAnsi="宋体" w:cs="宋体" w:eastAsia="宋体" w:hint="default"/>
                <w:sz w:val="18"/>
                <w:szCs w:val="18"/>
              </w:rPr>
              <w:t>本期投资盈 亏</w:t>
            </w:r>
          </w:p>
        </w:tc>
        <w:tc>
          <w:tcPr>
            <w:tcW w:w="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316" w:lineRule="auto"/>
              <w:ind w:left="41" w:right="42"/>
              <w:jc w:val="both"/>
              <w:rPr>
                <w:rFonts w:ascii="宋体" w:hAnsi="宋体" w:cs="宋体" w:eastAsia="宋体" w:hint="default"/>
                <w:sz w:val="18"/>
                <w:szCs w:val="18"/>
              </w:rPr>
            </w:pPr>
            <w:r>
              <w:rPr>
                <w:rFonts w:ascii="宋体" w:hAnsi="宋体" w:cs="宋体" w:eastAsia="宋体" w:hint="default"/>
                <w:sz w:val="18"/>
                <w:szCs w:val="18"/>
              </w:rPr>
              <w:t>是 否 涉 诉</w:t>
            </w:r>
          </w:p>
        </w:tc>
        <w:tc>
          <w:tcPr>
            <w:tcW w:w="4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316" w:lineRule="auto"/>
              <w:ind w:left="63" w:right="65"/>
              <w:jc w:val="left"/>
              <w:rPr>
                <w:rFonts w:ascii="宋体" w:hAnsi="宋体" w:cs="宋体" w:eastAsia="宋体" w:hint="default"/>
                <w:sz w:val="18"/>
                <w:szCs w:val="18"/>
              </w:rPr>
            </w:pPr>
            <w:r>
              <w:rPr>
                <w:rFonts w:ascii="宋体" w:hAnsi="宋体" w:cs="宋体" w:eastAsia="宋体" w:hint="default"/>
                <w:sz w:val="18"/>
                <w:szCs w:val="18"/>
              </w:rPr>
              <w:t>披露 日期</w:t>
            </w:r>
          </w:p>
          <w:p>
            <w:pPr>
              <w:pStyle w:val="TableParagraph"/>
              <w:spacing w:line="319" w:lineRule="auto" w:before="19"/>
              <w:ind w:left="63" w:right="65"/>
              <w:jc w:val="left"/>
              <w:rPr>
                <w:rFonts w:ascii="宋体" w:hAnsi="宋体" w:cs="宋体" w:eastAsia="宋体" w:hint="default"/>
                <w:sz w:val="18"/>
                <w:szCs w:val="18"/>
              </w:rPr>
            </w:pPr>
            <w:r>
              <w:rPr>
                <w:rFonts w:ascii="宋体" w:hAnsi="宋体" w:cs="宋体" w:eastAsia="宋体" w:hint="default"/>
                <w:sz w:val="18"/>
                <w:szCs w:val="18"/>
              </w:rPr>
              <w:t>（如 有）</w:t>
            </w:r>
          </w:p>
        </w:tc>
        <w:tc>
          <w:tcPr>
            <w:tcW w:w="2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363" w:right="0"/>
              <w:jc w:val="left"/>
              <w:rPr>
                <w:rFonts w:ascii="宋体" w:hAnsi="宋体" w:cs="宋体" w:eastAsia="宋体" w:hint="default"/>
                <w:sz w:val="18"/>
                <w:szCs w:val="18"/>
              </w:rPr>
            </w:pPr>
            <w:r>
              <w:rPr>
                <w:rFonts w:ascii="宋体" w:hAnsi="宋体" w:cs="宋体" w:eastAsia="宋体" w:hint="default"/>
                <w:sz w:val="18"/>
                <w:szCs w:val="18"/>
              </w:rPr>
              <w:t>披露索引（如有）</w:t>
            </w:r>
          </w:p>
        </w:tc>
      </w:tr>
      <w:tr>
        <w:trPr>
          <w:trHeight w:val="2274" w:hRule="exact"/>
        </w:trPr>
        <w:tc>
          <w:tcPr>
            <w:tcW w:w="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68"/>
              <w:jc w:val="both"/>
              <w:rPr>
                <w:rFonts w:ascii="宋体" w:hAnsi="宋体" w:cs="宋体" w:eastAsia="宋体" w:hint="default"/>
                <w:sz w:val="18"/>
                <w:szCs w:val="18"/>
              </w:rPr>
            </w:pPr>
            <w:r>
              <w:rPr>
                <w:rFonts w:ascii="宋体" w:hAnsi="宋体" w:cs="宋体" w:eastAsia="宋体" w:hint="default"/>
                <w:sz w:val="18"/>
                <w:szCs w:val="18"/>
              </w:rPr>
              <w:t>上海 丽兴 绿色 包装 有限 公司</w:t>
            </w:r>
          </w:p>
        </w:tc>
        <w:tc>
          <w:tcPr>
            <w:tcW w:w="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4"/>
              <w:ind w:left="23" w:right="89"/>
              <w:jc w:val="left"/>
              <w:rPr>
                <w:rFonts w:ascii="宋体" w:hAnsi="宋体" w:cs="宋体" w:eastAsia="宋体" w:hint="default"/>
                <w:sz w:val="18"/>
                <w:szCs w:val="18"/>
              </w:rPr>
            </w:pPr>
            <w:r>
              <w:rPr>
                <w:rFonts w:ascii="宋体" w:hAnsi="宋体" w:cs="宋体" w:eastAsia="宋体" w:hint="default"/>
                <w:sz w:val="18"/>
                <w:szCs w:val="18"/>
              </w:rPr>
              <w:t>投 资</w:t>
            </w:r>
          </w:p>
        </w:tc>
        <w:tc>
          <w:tcPr>
            <w:tcW w:w="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4"/>
              <w:ind w:left="23" w:right="60"/>
              <w:jc w:val="left"/>
              <w:rPr>
                <w:rFonts w:ascii="宋体" w:hAnsi="宋体" w:cs="宋体" w:eastAsia="宋体" w:hint="default"/>
                <w:sz w:val="18"/>
                <w:szCs w:val="18"/>
              </w:rPr>
            </w:pPr>
            <w:r>
              <w:rPr>
                <w:rFonts w:ascii="宋体" w:hAnsi="宋体" w:cs="宋体" w:eastAsia="宋体" w:hint="default"/>
                <w:sz w:val="18"/>
                <w:szCs w:val="18"/>
              </w:rPr>
              <w:t>收 购</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92" w:right="0"/>
              <w:jc w:val="center"/>
              <w:rPr>
                <w:rFonts w:ascii="Times New Roman" w:hAnsi="Times New Roman" w:cs="Times New Roman" w:eastAsia="Times New Roman" w:hint="default"/>
                <w:sz w:val="18"/>
                <w:szCs w:val="18"/>
              </w:rPr>
            </w:pPr>
            <w:r>
              <w:rPr>
                <w:rFonts w:ascii="Times New Roman"/>
                <w:sz w:val="18"/>
              </w:rPr>
              <w:t>53,400,000.00</w:t>
            </w:r>
          </w:p>
        </w:tc>
        <w:tc>
          <w:tcPr>
            <w:tcW w:w="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2" w:right="61"/>
              <w:jc w:val="both"/>
              <w:rPr>
                <w:rFonts w:ascii="宋体" w:hAnsi="宋体" w:cs="宋体" w:eastAsia="宋体" w:hint="default"/>
                <w:sz w:val="18"/>
                <w:szCs w:val="18"/>
              </w:rPr>
            </w:pPr>
            <w:r>
              <w:rPr>
                <w:rFonts w:ascii="宋体" w:hAnsi="宋体" w:cs="宋体" w:eastAsia="宋体" w:hint="default"/>
                <w:sz w:val="18"/>
                <w:szCs w:val="18"/>
              </w:rPr>
              <w:t>自 有 资 金</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 w:right="21"/>
              <w:jc w:val="left"/>
              <w:rPr>
                <w:rFonts w:ascii="宋体" w:hAnsi="宋体" w:cs="宋体" w:eastAsia="宋体" w:hint="default"/>
                <w:sz w:val="18"/>
                <w:szCs w:val="18"/>
              </w:rPr>
            </w:pPr>
            <w:r>
              <w:rPr>
                <w:rFonts w:ascii="宋体" w:hAnsi="宋体" w:cs="宋体" w:eastAsia="宋体" w:hint="default"/>
                <w:spacing w:val="-3"/>
                <w:sz w:val="18"/>
                <w:szCs w:val="18"/>
              </w:rPr>
              <w:t>梅曙南、杨幼</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3"/>
                <w:sz w:val="18"/>
                <w:szCs w:val="18"/>
              </w:rPr>
              <w:t>妮、金晶、张</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3"/>
                <w:sz w:val="18"/>
                <w:szCs w:val="18"/>
              </w:rPr>
              <w:t>寅元、上海石</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龙实业有限 公司</w:t>
            </w:r>
          </w:p>
        </w:tc>
        <w:tc>
          <w:tcPr>
            <w:tcW w:w="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4"/>
              <w:ind w:left="22" w:right="89"/>
              <w:jc w:val="left"/>
              <w:rPr>
                <w:rFonts w:ascii="宋体" w:hAnsi="宋体" w:cs="宋体" w:eastAsia="宋体" w:hint="default"/>
                <w:sz w:val="18"/>
                <w:szCs w:val="18"/>
              </w:rPr>
            </w:pPr>
            <w:r>
              <w:rPr>
                <w:rFonts w:ascii="宋体" w:hAnsi="宋体" w:cs="宋体" w:eastAsia="宋体" w:hint="default"/>
                <w:sz w:val="18"/>
                <w:szCs w:val="18"/>
              </w:rPr>
              <w:t>投 资</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24" w:right="180"/>
              <w:jc w:val="both"/>
              <w:rPr>
                <w:rFonts w:ascii="宋体" w:hAnsi="宋体" w:cs="宋体" w:eastAsia="宋体" w:hint="default"/>
                <w:sz w:val="18"/>
                <w:szCs w:val="18"/>
              </w:rPr>
            </w:pPr>
            <w:r>
              <w:rPr>
                <w:rFonts w:ascii="宋体" w:hAnsi="宋体" w:cs="宋体" w:eastAsia="宋体" w:hint="default"/>
                <w:sz w:val="18"/>
                <w:szCs w:val="18"/>
              </w:rPr>
              <w:t>已 完 成</w:t>
            </w:r>
          </w:p>
        </w:tc>
        <w:tc>
          <w:tcPr>
            <w:tcW w:w="402"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2,371,769.18</w:t>
            </w:r>
          </w:p>
        </w:tc>
        <w:tc>
          <w:tcPr>
            <w:tcW w:w="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具体内容详见公司于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p>
          <w:p>
            <w:pPr>
              <w:pStyle w:val="TableParagraph"/>
              <w:spacing w:line="314" w:lineRule="auto" w:before="61"/>
              <w:ind w:left="22" w:right="2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日在《中国证券 </w:t>
            </w:r>
            <w:r>
              <w:rPr>
                <w:rFonts w:ascii="宋体" w:hAnsi="宋体" w:cs="宋体" w:eastAsia="宋体" w:hint="default"/>
                <w:spacing w:val="-29"/>
                <w:sz w:val="18"/>
                <w:szCs w:val="18"/>
              </w:rPr>
              <w:t>报》、《证券时报》、《上海证</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17"/>
                <w:sz w:val="18"/>
                <w:szCs w:val="18"/>
              </w:rPr>
              <w:t>券报》、《证券日报》和巨潮</w:t>
            </w:r>
            <w:r>
              <w:rPr>
                <w:rFonts w:ascii="宋体" w:hAnsi="宋体" w:cs="宋体" w:eastAsia="宋体" w:hint="default"/>
                <w:sz w:val="18"/>
                <w:szCs w:val="18"/>
              </w:rPr>
              <w:t> </w:t>
            </w:r>
            <w:r>
              <w:rPr>
                <w:rFonts w:ascii="宋体" w:hAnsi="宋体" w:cs="宋体" w:eastAsia="宋体" w:hint="default"/>
                <w:spacing w:val="-4"/>
                <w:sz w:val="18"/>
                <w:szCs w:val="18"/>
              </w:rPr>
              <w:t>资讯网上刊登的《关于子公</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司完成工商变更登记的公 </w:t>
            </w:r>
            <w:r>
              <w:rPr>
                <w:rFonts w:ascii="宋体" w:hAnsi="宋体" w:cs="宋体" w:eastAsia="宋体" w:hint="default"/>
                <w:spacing w:val="-21"/>
                <w:sz w:val="18"/>
                <w:szCs w:val="18"/>
              </w:rPr>
              <w:t>告》（</w:t>
            </w:r>
            <w:r>
              <w:rPr>
                <w:rFonts w:ascii="Times New Roman" w:hAnsi="Times New Roman" w:cs="Times New Roman" w:eastAsia="Times New Roman" w:hint="default"/>
                <w:spacing w:val="-21"/>
                <w:sz w:val="18"/>
                <w:szCs w:val="18"/>
              </w:rPr>
              <w:t>2018-028</w:t>
            </w:r>
            <w:r>
              <w:rPr>
                <w:rFonts w:ascii="宋体" w:hAnsi="宋体" w:cs="宋体" w:eastAsia="宋体" w:hint="default"/>
                <w:spacing w:val="-21"/>
                <w:sz w:val="18"/>
                <w:szCs w:val="18"/>
              </w:rPr>
              <w:t>）。</w:t>
            </w:r>
            <w:r>
              <w:rPr>
                <w:rFonts w:ascii="宋体" w:hAnsi="宋体" w:cs="宋体" w:eastAsia="宋体" w:hint="default"/>
                <w:sz w:val="18"/>
                <w:szCs w:val="18"/>
              </w:rPr>
            </w:r>
          </w:p>
        </w:tc>
      </w:tr>
      <w:tr>
        <w:trPr>
          <w:trHeight w:val="2273" w:hRule="exact"/>
        </w:trPr>
        <w:tc>
          <w:tcPr>
            <w:tcW w:w="4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68"/>
              <w:jc w:val="both"/>
              <w:rPr>
                <w:rFonts w:ascii="宋体" w:hAnsi="宋体" w:cs="宋体" w:eastAsia="宋体" w:hint="default"/>
                <w:sz w:val="18"/>
                <w:szCs w:val="18"/>
              </w:rPr>
            </w:pPr>
            <w:r>
              <w:rPr>
                <w:rFonts w:ascii="宋体" w:hAnsi="宋体" w:cs="宋体" w:eastAsia="宋体" w:hint="default"/>
                <w:sz w:val="18"/>
                <w:szCs w:val="18"/>
              </w:rPr>
              <w:t>深圳 劲嘉 健康 产业 管理 有限 公司</w:t>
            </w:r>
          </w:p>
        </w:tc>
        <w:tc>
          <w:tcPr>
            <w:tcW w:w="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3" w:right="89"/>
              <w:jc w:val="both"/>
              <w:rPr>
                <w:rFonts w:ascii="宋体" w:hAnsi="宋体" w:cs="宋体" w:eastAsia="宋体" w:hint="default"/>
                <w:sz w:val="18"/>
                <w:szCs w:val="18"/>
              </w:rPr>
            </w:pPr>
            <w:r>
              <w:rPr>
                <w:rFonts w:ascii="宋体" w:hAnsi="宋体" w:cs="宋体" w:eastAsia="宋体" w:hint="default"/>
                <w:sz w:val="18"/>
                <w:szCs w:val="18"/>
              </w:rPr>
              <w:t>健 康 投 资 管 理</w:t>
            </w:r>
          </w:p>
        </w:tc>
        <w:tc>
          <w:tcPr>
            <w:tcW w:w="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4"/>
              <w:ind w:left="23" w:right="60"/>
              <w:jc w:val="left"/>
              <w:rPr>
                <w:rFonts w:ascii="宋体" w:hAnsi="宋体" w:cs="宋体" w:eastAsia="宋体" w:hint="default"/>
                <w:sz w:val="18"/>
                <w:szCs w:val="18"/>
              </w:rPr>
            </w:pPr>
            <w:r>
              <w:rPr>
                <w:rFonts w:ascii="宋体" w:hAnsi="宋体" w:cs="宋体" w:eastAsia="宋体" w:hint="default"/>
                <w:sz w:val="18"/>
                <w:szCs w:val="18"/>
              </w:rPr>
              <w:t>收 购</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92" w:right="0"/>
              <w:jc w:val="center"/>
              <w:rPr>
                <w:rFonts w:ascii="Times New Roman" w:hAnsi="Times New Roman" w:cs="Times New Roman" w:eastAsia="Times New Roman" w:hint="default"/>
                <w:sz w:val="18"/>
                <w:szCs w:val="18"/>
              </w:rPr>
            </w:pPr>
            <w:r>
              <w:rPr>
                <w:rFonts w:ascii="Times New Roman"/>
                <w:sz w:val="18"/>
              </w:rPr>
              <w:t>14,700,000.00</w:t>
            </w:r>
          </w:p>
        </w:tc>
        <w:tc>
          <w:tcPr>
            <w:tcW w:w="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49.00%</w:t>
            </w:r>
          </w:p>
        </w:tc>
        <w:tc>
          <w:tcPr>
            <w:tcW w:w="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2" w:right="61"/>
              <w:jc w:val="both"/>
              <w:rPr>
                <w:rFonts w:ascii="宋体" w:hAnsi="宋体" w:cs="宋体" w:eastAsia="宋体" w:hint="default"/>
                <w:sz w:val="18"/>
                <w:szCs w:val="18"/>
              </w:rPr>
            </w:pPr>
            <w:r>
              <w:rPr>
                <w:rFonts w:ascii="宋体" w:hAnsi="宋体" w:cs="宋体" w:eastAsia="宋体" w:hint="default"/>
                <w:sz w:val="18"/>
                <w:szCs w:val="18"/>
              </w:rPr>
              <w:t>自 有 资 金</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362" w:lineRule="auto"/>
              <w:ind w:left="22" w:right="297"/>
              <w:jc w:val="left"/>
              <w:rPr>
                <w:rFonts w:ascii="Times New Roman" w:hAnsi="Times New Roman" w:cs="Times New Roman" w:eastAsia="Times New Roman" w:hint="default"/>
                <w:sz w:val="18"/>
                <w:szCs w:val="18"/>
              </w:rPr>
            </w:pPr>
            <w:r>
              <w:rPr>
                <w:rFonts w:ascii="Times New Roman"/>
                <w:spacing w:val="-6"/>
                <w:sz w:val="18"/>
              </w:rPr>
              <w:t>WANG</w:t>
            </w:r>
            <w:r>
              <w:rPr>
                <w:rFonts w:ascii="Times New Roman"/>
                <w:w w:val="99"/>
                <w:sz w:val="18"/>
              </w:rPr>
              <w:t> </w:t>
            </w:r>
            <w:r>
              <w:rPr>
                <w:rFonts w:ascii="Times New Roman"/>
                <w:sz w:val="18"/>
              </w:rPr>
              <w:t>WEIXING</w:t>
            </w:r>
          </w:p>
        </w:tc>
        <w:tc>
          <w:tcPr>
            <w:tcW w:w="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89"/>
              <w:jc w:val="both"/>
              <w:rPr>
                <w:rFonts w:ascii="宋体" w:hAnsi="宋体" w:cs="宋体" w:eastAsia="宋体" w:hint="default"/>
                <w:sz w:val="18"/>
                <w:szCs w:val="18"/>
              </w:rPr>
            </w:pPr>
            <w:r>
              <w:rPr>
                <w:rFonts w:ascii="宋体" w:hAnsi="宋体" w:cs="宋体" w:eastAsia="宋体" w:hint="default"/>
                <w:sz w:val="18"/>
                <w:szCs w:val="18"/>
              </w:rPr>
              <w:t>健 康 投 资 管 理</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24" w:right="180"/>
              <w:jc w:val="both"/>
              <w:rPr>
                <w:rFonts w:ascii="宋体" w:hAnsi="宋体" w:cs="宋体" w:eastAsia="宋体" w:hint="default"/>
                <w:sz w:val="18"/>
                <w:szCs w:val="18"/>
              </w:rPr>
            </w:pPr>
            <w:r>
              <w:rPr>
                <w:rFonts w:ascii="宋体" w:hAnsi="宋体" w:cs="宋体" w:eastAsia="宋体" w:hint="default"/>
                <w:sz w:val="18"/>
                <w:szCs w:val="18"/>
              </w:rPr>
              <w:t>已 完 成</w:t>
            </w:r>
          </w:p>
        </w:tc>
        <w:tc>
          <w:tcPr>
            <w:tcW w:w="402"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-356,551.86</w:t>
            </w:r>
            <w:r>
              <w:rPr>
                <w:rFonts w:ascii="Times New Roman"/>
                <w:sz w:val="18"/>
              </w:rPr>
            </w:r>
          </w:p>
        </w:tc>
        <w:tc>
          <w:tcPr>
            <w:tcW w:w="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具体内容详见公司于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p>
          <w:p>
            <w:pPr>
              <w:pStyle w:val="TableParagraph"/>
              <w:spacing w:line="314" w:lineRule="auto" w:before="61"/>
              <w:ind w:left="22" w:right="2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日在《中国证券 </w:t>
            </w:r>
            <w:r>
              <w:rPr>
                <w:rFonts w:ascii="宋体" w:hAnsi="宋体" w:cs="宋体" w:eastAsia="宋体" w:hint="default"/>
                <w:spacing w:val="-29"/>
                <w:sz w:val="18"/>
                <w:szCs w:val="18"/>
              </w:rPr>
              <w:t>报》、《证券时报》、《上海证</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17"/>
                <w:sz w:val="18"/>
                <w:szCs w:val="18"/>
              </w:rPr>
              <w:t>券报》、《证券日报》和巨潮</w:t>
            </w:r>
            <w:r>
              <w:rPr>
                <w:rFonts w:ascii="宋体" w:hAnsi="宋体" w:cs="宋体" w:eastAsia="宋体" w:hint="default"/>
                <w:sz w:val="18"/>
                <w:szCs w:val="18"/>
              </w:rPr>
              <w:t> </w:t>
            </w:r>
            <w:r>
              <w:rPr>
                <w:rFonts w:ascii="宋体" w:hAnsi="宋体" w:cs="宋体" w:eastAsia="宋体" w:hint="default"/>
                <w:spacing w:val="-4"/>
                <w:sz w:val="18"/>
                <w:szCs w:val="18"/>
              </w:rPr>
              <w:t>资讯网上刊登的《关于子公</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司完成工商变更登记的公 </w:t>
            </w:r>
            <w:r>
              <w:rPr>
                <w:rFonts w:ascii="宋体" w:hAnsi="宋体" w:cs="宋体" w:eastAsia="宋体" w:hint="default"/>
                <w:spacing w:val="-21"/>
                <w:sz w:val="18"/>
                <w:szCs w:val="18"/>
              </w:rPr>
              <w:t>告》（</w:t>
            </w:r>
            <w:r>
              <w:rPr>
                <w:rFonts w:ascii="Times New Roman" w:hAnsi="Times New Roman" w:cs="Times New Roman" w:eastAsia="Times New Roman" w:hint="default"/>
                <w:spacing w:val="-21"/>
                <w:sz w:val="18"/>
                <w:szCs w:val="18"/>
              </w:rPr>
              <w:t>2018-048</w:t>
            </w:r>
            <w:r>
              <w:rPr>
                <w:rFonts w:ascii="宋体" w:hAnsi="宋体" w:cs="宋体" w:eastAsia="宋体" w:hint="default"/>
                <w:spacing w:val="-21"/>
                <w:sz w:val="18"/>
                <w:szCs w:val="18"/>
              </w:rPr>
              <w:t>）。</w:t>
            </w:r>
            <w:r>
              <w:rPr>
                <w:rFonts w:ascii="宋体" w:hAnsi="宋体" w:cs="宋体" w:eastAsia="宋体" w:hint="default"/>
                <w:sz w:val="18"/>
                <w:szCs w:val="18"/>
              </w:rPr>
            </w:r>
          </w:p>
        </w:tc>
      </w:tr>
      <w:tr>
        <w:trPr>
          <w:trHeight w:val="1027" w:hRule="exact"/>
        </w:trPr>
        <w:tc>
          <w:tcPr>
            <w:tcW w:w="4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22" w:right="68"/>
              <w:jc w:val="both"/>
              <w:rPr>
                <w:rFonts w:ascii="宋体" w:hAnsi="宋体" w:cs="宋体" w:eastAsia="宋体" w:hint="default"/>
                <w:sz w:val="18"/>
                <w:szCs w:val="18"/>
              </w:rPr>
            </w:pPr>
            <w:r>
              <w:rPr>
                <w:rFonts w:ascii="宋体" w:hAnsi="宋体" w:cs="宋体" w:eastAsia="宋体" w:hint="default"/>
                <w:sz w:val="18"/>
                <w:szCs w:val="18"/>
              </w:rPr>
              <w:t>香港 润伟 实业</w:t>
            </w:r>
          </w:p>
        </w:tc>
        <w:tc>
          <w:tcPr>
            <w:tcW w:w="30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23" w:right="89"/>
              <w:jc w:val="both"/>
              <w:rPr>
                <w:rFonts w:ascii="宋体" w:hAnsi="宋体" w:cs="宋体" w:eastAsia="宋体" w:hint="default"/>
                <w:sz w:val="18"/>
                <w:szCs w:val="18"/>
              </w:rPr>
            </w:pPr>
            <w:r>
              <w:rPr>
                <w:rFonts w:ascii="宋体" w:hAnsi="宋体" w:cs="宋体" w:eastAsia="宋体" w:hint="default"/>
                <w:sz w:val="18"/>
                <w:szCs w:val="18"/>
              </w:rPr>
              <w:t>包 装 印</w:t>
            </w:r>
          </w:p>
        </w:tc>
        <w:tc>
          <w:tcPr>
            <w:tcW w:w="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3" w:right="60"/>
              <w:jc w:val="left"/>
              <w:rPr>
                <w:rFonts w:ascii="宋体" w:hAnsi="宋体" w:cs="宋体" w:eastAsia="宋体" w:hint="default"/>
                <w:sz w:val="18"/>
                <w:szCs w:val="18"/>
              </w:rPr>
            </w:pPr>
            <w:r>
              <w:rPr>
                <w:rFonts w:ascii="宋体" w:hAnsi="宋体" w:cs="宋体" w:eastAsia="宋体" w:hint="default"/>
                <w:sz w:val="18"/>
                <w:szCs w:val="18"/>
              </w:rPr>
              <w:t>收 购</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92" w:right="0"/>
              <w:jc w:val="center"/>
              <w:rPr>
                <w:rFonts w:ascii="Times New Roman" w:hAnsi="Times New Roman" w:cs="Times New Roman" w:eastAsia="Times New Roman" w:hint="default"/>
                <w:sz w:val="18"/>
                <w:szCs w:val="18"/>
              </w:rPr>
            </w:pPr>
            <w:r>
              <w:rPr>
                <w:rFonts w:ascii="Times New Roman"/>
                <w:sz w:val="18"/>
              </w:rPr>
              <w:t>96,120,000.00</w:t>
            </w:r>
          </w:p>
        </w:tc>
        <w:tc>
          <w:tcPr>
            <w:tcW w:w="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30.00%</w:t>
            </w:r>
          </w:p>
        </w:tc>
        <w:tc>
          <w:tcPr>
            <w:tcW w:w="27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22" w:right="61"/>
              <w:jc w:val="both"/>
              <w:rPr>
                <w:rFonts w:ascii="宋体" w:hAnsi="宋体" w:cs="宋体" w:eastAsia="宋体" w:hint="default"/>
                <w:sz w:val="18"/>
                <w:szCs w:val="18"/>
              </w:rPr>
            </w:pPr>
            <w:r>
              <w:rPr>
                <w:rFonts w:ascii="宋体" w:hAnsi="宋体" w:cs="宋体" w:eastAsia="宋体" w:hint="default"/>
                <w:sz w:val="18"/>
                <w:szCs w:val="18"/>
              </w:rPr>
              <w:t>自 有 资</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2" w:right="21"/>
              <w:jc w:val="left"/>
              <w:rPr>
                <w:rFonts w:ascii="宋体" w:hAnsi="宋体" w:cs="宋体" w:eastAsia="宋体" w:hint="default"/>
                <w:sz w:val="18"/>
                <w:szCs w:val="18"/>
              </w:rPr>
            </w:pPr>
            <w:r>
              <w:rPr>
                <w:rFonts w:ascii="宋体" w:hAnsi="宋体" w:cs="宋体" w:eastAsia="宋体" w:hint="default"/>
                <w:spacing w:val="-3"/>
                <w:sz w:val="18"/>
                <w:szCs w:val="18"/>
              </w:rPr>
              <w:t>沈小靖、梅曙</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南、张家振</w:t>
            </w:r>
          </w:p>
        </w:tc>
        <w:tc>
          <w:tcPr>
            <w:tcW w:w="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2" w:right="89"/>
              <w:jc w:val="left"/>
              <w:rPr>
                <w:rFonts w:ascii="宋体" w:hAnsi="宋体" w:cs="宋体" w:eastAsia="宋体" w:hint="default"/>
                <w:sz w:val="18"/>
                <w:szCs w:val="18"/>
              </w:rPr>
            </w:pPr>
            <w:r>
              <w:rPr>
                <w:rFonts w:ascii="宋体" w:hAnsi="宋体" w:cs="宋体" w:eastAsia="宋体" w:hint="default"/>
                <w:sz w:val="18"/>
                <w:szCs w:val="18"/>
              </w:rPr>
              <w:t>投 资</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4" w:right="180"/>
              <w:jc w:val="both"/>
              <w:rPr>
                <w:rFonts w:ascii="宋体" w:hAnsi="宋体" w:cs="宋体" w:eastAsia="宋体" w:hint="default"/>
                <w:sz w:val="18"/>
                <w:szCs w:val="18"/>
              </w:rPr>
            </w:pPr>
            <w:r>
              <w:rPr>
                <w:rFonts w:ascii="宋体" w:hAnsi="宋体" w:cs="宋体" w:eastAsia="宋体" w:hint="default"/>
                <w:sz w:val="18"/>
                <w:szCs w:val="18"/>
              </w:rPr>
              <w:t>已 完 成</w:t>
            </w:r>
          </w:p>
        </w:tc>
        <w:tc>
          <w:tcPr>
            <w:tcW w:w="402"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4,689,598.81</w:t>
            </w:r>
          </w:p>
        </w:tc>
        <w:tc>
          <w:tcPr>
            <w:tcW w:w="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22"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具体内容详见公司于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p>
          <w:p>
            <w:pPr>
              <w:pStyle w:val="TableParagraph"/>
              <w:spacing w:line="300" w:lineRule="auto" w:before="63"/>
              <w:ind w:left="22" w:right="2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日在《中国证券 </w:t>
            </w:r>
            <w:r>
              <w:rPr>
                <w:rFonts w:ascii="宋体" w:hAnsi="宋体" w:cs="宋体" w:eastAsia="宋体" w:hint="default"/>
                <w:spacing w:val="-29"/>
                <w:sz w:val="18"/>
                <w:szCs w:val="18"/>
              </w:rPr>
              <w:t>报》、《证券时报》、《上海证</w:t>
            </w:r>
          </w:p>
        </w:tc>
      </w:tr>
    </w:tbl>
    <w:p>
      <w:pPr>
        <w:spacing w:after="0" w:line="30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463"/>
        <w:gridCol w:w="303"/>
        <w:gridCol w:w="276"/>
        <w:gridCol w:w="1182"/>
        <w:gridCol w:w="707"/>
        <w:gridCol w:w="276"/>
        <w:gridCol w:w="1121"/>
        <w:gridCol w:w="276"/>
        <w:gridCol w:w="302"/>
        <w:gridCol w:w="396"/>
        <w:gridCol w:w="402"/>
        <w:gridCol w:w="1010"/>
        <w:gridCol w:w="276"/>
        <w:gridCol w:w="499"/>
        <w:gridCol w:w="2177"/>
      </w:tblGrid>
      <w:tr>
        <w:trPr>
          <w:trHeight w:val="1298" w:hRule="exact"/>
        </w:trPr>
        <w:tc>
          <w:tcPr>
            <w:tcW w:w="4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68"/>
              <w:jc w:val="left"/>
              <w:rPr>
                <w:rFonts w:ascii="宋体" w:hAnsi="宋体" w:cs="宋体" w:eastAsia="宋体" w:hint="default"/>
                <w:sz w:val="18"/>
                <w:szCs w:val="18"/>
              </w:rPr>
            </w:pPr>
            <w:r>
              <w:rPr>
                <w:rFonts w:ascii="宋体" w:hAnsi="宋体" w:cs="宋体" w:eastAsia="宋体" w:hint="default"/>
                <w:sz w:val="18"/>
                <w:szCs w:val="18"/>
              </w:rPr>
              <w:t>有限 公司</w:t>
            </w:r>
          </w:p>
        </w:tc>
        <w:tc>
          <w:tcPr>
            <w:tcW w:w="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89"/>
              <w:jc w:val="right"/>
              <w:rPr>
                <w:rFonts w:ascii="宋体" w:hAnsi="宋体" w:cs="宋体" w:eastAsia="宋体" w:hint="default"/>
                <w:sz w:val="18"/>
                <w:szCs w:val="18"/>
              </w:rPr>
            </w:pPr>
            <w:r>
              <w:rPr>
                <w:rFonts w:ascii="宋体" w:hAnsi="宋体" w:cs="宋体" w:eastAsia="宋体" w:hint="default"/>
                <w:sz w:val="18"/>
                <w:szCs w:val="18"/>
              </w:rPr>
              <w:t>刷</w:t>
            </w:r>
          </w:p>
        </w:tc>
        <w:tc>
          <w:tcPr>
            <w:tcW w:w="276" w:type="dxa"/>
            <w:tcBorders>
              <w:top w:val="single" w:sz="4" w:space="0" w:color="000000"/>
              <w:left w:val="single" w:sz="4" w:space="0" w:color="000000"/>
              <w:bottom w:val="single" w:sz="4" w:space="0" w:color="000000"/>
              <w:right w:val="single" w:sz="4" w:space="0" w:color="000000"/>
            </w:tcBorders>
          </w:tcPr>
          <w:p>
            <w:pPr/>
          </w:p>
        </w:tc>
        <w:tc>
          <w:tcPr>
            <w:tcW w:w="1182" w:type="dxa"/>
            <w:tcBorders>
              <w:top w:val="single" w:sz="4" w:space="0" w:color="000000"/>
              <w:left w:val="single" w:sz="4" w:space="0" w:color="000000"/>
              <w:bottom w:val="single" w:sz="4" w:space="0" w:color="000000"/>
              <w:right w:val="single" w:sz="4" w:space="0" w:color="000000"/>
            </w:tcBorders>
          </w:tcPr>
          <w:p>
            <w:pPr/>
          </w:p>
        </w:tc>
        <w:tc>
          <w:tcPr>
            <w:tcW w:w="707" w:type="dxa"/>
            <w:tcBorders>
              <w:top w:val="single" w:sz="4" w:space="0" w:color="000000"/>
              <w:left w:val="single" w:sz="4" w:space="0" w:color="000000"/>
              <w:bottom w:val="single" w:sz="4" w:space="0" w:color="000000"/>
              <w:right w:val="single" w:sz="4" w:space="0" w:color="000000"/>
            </w:tcBorders>
          </w:tcPr>
          <w:p>
            <w:pPr/>
          </w:p>
        </w:tc>
        <w:tc>
          <w:tcPr>
            <w:tcW w:w="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金</w:t>
            </w:r>
          </w:p>
        </w:tc>
        <w:tc>
          <w:tcPr>
            <w:tcW w:w="1121" w:type="dxa"/>
            <w:tcBorders>
              <w:top w:val="single" w:sz="4" w:space="0" w:color="000000"/>
              <w:left w:val="single" w:sz="4" w:space="0" w:color="000000"/>
              <w:bottom w:val="single" w:sz="4" w:space="0" w:color="000000"/>
              <w:right w:val="single" w:sz="4" w:space="0" w:color="000000"/>
            </w:tcBorders>
          </w:tcPr>
          <w:p>
            <w:pPr/>
          </w:p>
        </w:tc>
        <w:tc>
          <w:tcPr>
            <w:tcW w:w="276" w:type="dxa"/>
            <w:tcBorders>
              <w:top w:val="single" w:sz="4" w:space="0" w:color="000000"/>
              <w:left w:val="single" w:sz="4" w:space="0" w:color="000000"/>
              <w:bottom w:val="single" w:sz="4" w:space="0" w:color="000000"/>
              <w:right w:val="single" w:sz="4" w:space="0" w:color="000000"/>
            </w:tcBorders>
          </w:tcPr>
          <w:p>
            <w:pPr/>
          </w:p>
        </w:tc>
        <w:tc>
          <w:tcPr>
            <w:tcW w:w="302"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402"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276" w:type="dxa"/>
            <w:tcBorders>
              <w:top w:val="single" w:sz="4" w:space="0" w:color="000000"/>
              <w:left w:val="single" w:sz="4" w:space="0" w:color="000000"/>
              <w:bottom w:val="single" w:sz="4" w:space="0" w:color="000000"/>
              <w:right w:val="single" w:sz="4" w:space="0" w:color="000000"/>
            </w:tcBorders>
          </w:tcPr>
          <w:p>
            <w:pPr/>
          </w:p>
        </w:tc>
        <w:tc>
          <w:tcPr>
            <w:tcW w:w="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20"/>
              <w:jc w:val="left"/>
              <w:rPr>
                <w:rFonts w:ascii="宋体" w:hAnsi="宋体" w:cs="宋体" w:eastAsia="宋体" w:hint="default"/>
                <w:sz w:val="18"/>
                <w:szCs w:val="18"/>
              </w:rPr>
            </w:pPr>
            <w:r>
              <w:rPr>
                <w:rFonts w:ascii="宋体" w:hAnsi="宋体" w:cs="宋体" w:eastAsia="宋体" w:hint="default"/>
                <w:spacing w:val="-17"/>
                <w:sz w:val="18"/>
                <w:szCs w:val="18"/>
              </w:rPr>
              <w:t>券报》、《证券日报》和巨潮</w:t>
            </w:r>
            <w:r>
              <w:rPr>
                <w:rFonts w:ascii="宋体" w:hAnsi="宋体" w:cs="宋体" w:eastAsia="宋体" w:hint="default"/>
                <w:sz w:val="18"/>
                <w:szCs w:val="18"/>
              </w:rPr>
              <w:t> </w:t>
            </w:r>
            <w:r>
              <w:rPr>
                <w:rFonts w:ascii="宋体" w:hAnsi="宋体" w:cs="宋体" w:eastAsia="宋体" w:hint="default"/>
                <w:spacing w:val="-4"/>
                <w:sz w:val="18"/>
                <w:szCs w:val="18"/>
              </w:rPr>
              <w:t>资讯网上刊登的《关于子公</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司完成工商变更登记的公 </w:t>
            </w:r>
            <w:r>
              <w:rPr>
                <w:rFonts w:ascii="宋体" w:hAnsi="宋体" w:cs="宋体" w:eastAsia="宋体" w:hint="default"/>
                <w:spacing w:val="-21"/>
                <w:sz w:val="18"/>
                <w:szCs w:val="18"/>
              </w:rPr>
              <w:t>告》（</w:t>
            </w:r>
            <w:r>
              <w:rPr>
                <w:rFonts w:ascii="Times New Roman" w:hAnsi="Times New Roman" w:cs="Times New Roman" w:eastAsia="Times New Roman" w:hint="default"/>
                <w:spacing w:val="-21"/>
                <w:sz w:val="18"/>
                <w:szCs w:val="18"/>
              </w:rPr>
              <w:t>2018-028</w:t>
            </w:r>
            <w:r>
              <w:rPr>
                <w:rFonts w:ascii="宋体" w:hAnsi="宋体" w:cs="宋体" w:eastAsia="宋体" w:hint="default"/>
                <w:spacing w:val="-21"/>
                <w:sz w:val="18"/>
                <w:szCs w:val="18"/>
              </w:rPr>
              <w:t>）。</w:t>
            </w:r>
            <w:r>
              <w:rPr>
                <w:rFonts w:ascii="宋体" w:hAnsi="宋体" w:cs="宋体" w:eastAsia="宋体" w:hint="default"/>
                <w:sz w:val="18"/>
                <w:szCs w:val="18"/>
              </w:rPr>
            </w:r>
          </w:p>
        </w:tc>
      </w:tr>
      <w:tr>
        <w:trPr>
          <w:trHeight w:val="2898" w:hRule="exact"/>
        </w:trPr>
        <w:tc>
          <w:tcPr>
            <w:tcW w:w="4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68"/>
              <w:jc w:val="both"/>
              <w:rPr>
                <w:rFonts w:ascii="宋体" w:hAnsi="宋体" w:cs="宋体" w:eastAsia="宋体" w:hint="default"/>
                <w:sz w:val="18"/>
                <w:szCs w:val="18"/>
              </w:rPr>
            </w:pPr>
            <w:r>
              <w:rPr>
                <w:rFonts w:ascii="宋体" w:hAnsi="宋体" w:cs="宋体" w:eastAsia="宋体" w:hint="default"/>
                <w:sz w:val="18"/>
                <w:szCs w:val="18"/>
              </w:rPr>
              <w:t>贵州 省仁 怀市 申仁 包装 印务 有限 责任 公司</w:t>
            </w:r>
          </w:p>
        </w:tc>
        <w:tc>
          <w:tcPr>
            <w:tcW w:w="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3" w:right="89"/>
              <w:jc w:val="both"/>
              <w:rPr>
                <w:rFonts w:ascii="宋体" w:hAnsi="宋体" w:cs="宋体" w:eastAsia="宋体" w:hint="default"/>
                <w:sz w:val="18"/>
                <w:szCs w:val="18"/>
              </w:rPr>
            </w:pPr>
            <w:r>
              <w:rPr>
                <w:rFonts w:ascii="宋体" w:hAnsi="宋体" w:cs="宋体" w:eastAsia="宋体" w:hint="default"/>
                <w:sz w:val="18"/>
                <w:szCs w:val="18"/>
              </w:rPr>
              <w:t>包 装 印 刷</w:t>
            </w:r>
          </w:p>
        </w:tc>
        <w:tc>
          <w:tcPr>
            <w:tcW w:w="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316" w:lineRule="auto"/>
              <w:ind w:left="23" w:right="60"/>
              <w:jc w:val="left"/>
              <w:rPr>
                <w:rFonts w:ascii="宋体" w:hAnsi="宋体" w:cs="宋体" w:eastAsia="宋体" w:hint="default"/>
                <w:sz w:val="18"/>
                <w:szCs w:val="18"/>
              </w:rPr>
            </w:pPr>
            <w:r>
              <w:rPr>
                <w:rFonts w:ascii="宋体" w:hAnsi="宋体" w:cs="宋体" w:eastAsia="宋体" w:hint="default"/>
                <w:sz w:val="18"/>
                <w:szCs w:val="18"/>
              </w:rPr>
              <w:t>增 资</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2"/>
              <w:ind w:right="20"/>
              <w:jc w:val="right"/>
              <w:rPr>
                <w:rFonts w:ascii="Times New Roman" w:hAnsi="Times New Roman" w:cs="Times New Roman" w:eastAsia="Times New Roman" w:hint="default"/>
                <w:sz w:val="18"/>
                <w:szCs w:val="18"/>
              </w:rPr>
            </w:pPr>
            <w:r>
              <w:rPr>
                <w:rFonts w:ascii="Times New Roman"/>
                <w:spacing w:val="-1"/>
                <w:sz w:val="18"/>
              </w:rPr>
              <w:t>83,200,000.00</w:t>
            </w:r>
          </w:p>
        </w:tc>
        <w:tc>
          <w:tcPr>
            <w:tcW w:w="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2"/>
              <w:ind w:left="210" w:right="0"/>
              <w:jc w:val="left"/>
              <w:rPr>
                <w:rFonts w:ascii="Times New Roman" w:hAnsi="Times New Roman" w:cs="Times New Roman" w:eastAsia="Times New Roman" w:hint="default"/>
                <w:sz w:val="18"/>
                <w:szCs w:val="18"/>
              </w:rPr>
            </w:pPr>
            <w:r>
              <w:rPr>
                <w:rFonts w:ascii="Times New Roman"/>
                <w:sz w:val="18"/>
              </w:rPr>
              <w:t>6.00%</w:t>
            </w:r>
          </w:p>
        </w:tc>
        <w:tc>
          <w:tcPr>
            <w:tcW w:w="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2" w:right="61"/>
              <w:jc w:val="both"/>
              <w:rPr>
                <w:rFonts w:ascii="宋体" w:hAnsi="宋体" w:cs="宋体" w:eastAsia="宋体" w:hint="default"/>
                <w:sz w:val="18"/>
                <w:szCs w:val="18"/>
              </w:rPr>
            </w:pPr>
            <w:r>
              <w:rPr>
                <w:rFonts w:ascii="宋体" w:hAnsi="宋体" w:cs="宋体" w:eastAsia="宋体" w:hint="default"/>
                <w:sz w:val="18"/>
                <w:szCs w:val="18"/>
              </w:rPr>
              <w:t>自 有 资 金</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22" w:right="21"/>
              <w:jc w:val="left"/>
              <w:rPr>
                <w:rFonts w:ascii="宋体" w:hAnsi="宋体" w:cs="宋体" w:eastAsia="宋体" w:hint="default"/>
                <w:sz w:val="18"/>
                <w:szCs w:val="18"/>
              </w:rPr>
            </w:pPr>
            <w:r>
              <w:rPr>
                <w:rFonts w:ascii="宋体" w:hAnsi="宋体" w:cs="宋体" w:eastAsia="宋体" w:hint="default"/>
                <w:sz w:val="18"/>
                <w:szCs w:val="18"/>
              </w:rPr>
              <w:t>贵州茅台酒 厂集团技术 </w:t>
            </w:r>
            <w:r>
              <w:rPr>
                <w:rFonts w:ascii="宋体" w:hAnsi="宋体" w:cs="宋体" w:eastAsia="宋体" w:hint="default"/>
                <w:spacing w:val="-3"/>
                <w:sz w:val="18"/>
                <w:szCs w:val="18"/>
              </w:rPr>
              <w:t>开发公司、上</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海仁彩印务 有限公司</w:t>
            </w:r>
          </w:p>
        </w:tc>
        <w:tc>
          <w:tcPr>
            <w:tcW w:w="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2"/>
              <w:ind w:left="22"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2" w:right="89"/>
              <w:jc w:val="both"/>
              <w:rPr>
                <w:rFonts w:ascii="宋体" w:hAnsi="宋体" w:cs="宋体" w:eastAsia="宋体" w:hint="default"/>
                <w:sz w:val="18"/>
                <w:szCs w:val="18"/>
              </w:rPr>
            </w:pPr>
            <w:r>
              <w:rPr>
                <w:rFonts w:ascii="宋体" w:hAnsi="宋体" w:cs="宋体" w:eastAsia="宋体" w:hint="default"/>
                <w:sz w:val="18"/>
                <w:szCs w:val="18"/>
              </w:rPr>
              <w:t>包 装 印 刷</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316" w:lineRule="auto"/>
              <w:ind w:left="24" w:right="180"/>
              <w:jc w:val="both"/>
              <w:rPr>
                <w:rFonts w:ascii="宋体" w:hAnsi="宋体" w:cs="宋体" w:eastAsia="宋体" w:hint="default"/>
                <w:sz w:val="18"/>
                <w:szCs w:val="18"/>
              </w:rPr>
            </w:pPr>
            <w:r>
              <w:rPr>
                <w:rFonts w:ascii="宋体" w:hAnsi="宋体" w:cs="宋体" w:eastAsia="宋体" w:hint="default"/>
                <w:sz w:val="18"/>
                <w:szCs w:val="18"/>
              </w:rPr>
              <w:t>已 完 成</w:t>
            </w:r>
          </w:p>
        </w:tc>
        <w:tc>
          <w:tcPr>
            <w:tcW w:w="402"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2"/>
              <w:ind w:right="20"/>
              <w:jc w:val="right"/>
              <w:rPr>
                <w:rFonts w:ascii="Times New Roman" w:hAnsi="Times New Roman" w:cs="Times New Roman" w:eastAsia="Times New Roman" w:hint="default"/>
                <w:sz w:val="18"/>
                <w:szCs w:val="18"/>
              </w:rPr>
            </w:pPr>
            <w:r>
              <w:rPr>
                <w:rFonts w:ascii="Times New Roman"/>
                <w:spacing w:val="-1"/>
                <w:sz w:val="18"/>
              </w:rPr>
              <w:t>2,022,591.32</w:t>
            </w:r>
          </w:p>
        </w:tc>
        <w:tc>
          <w:tcPr>
            <w:tcW w:w="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right="63"/>
              <w:jc w:val="right"/>
              <w:rPr>
                <w:rFonts w:ascii="宋体" w:hAnsi="宋体" w:cs="宋体" w:eastAsia="宋体" w:hint="default"/>
                <w:sz w:val="18"/>
                <w:szCs w:val="18"/>
              </w:rPr>
            </w:pPr>
            <w:r>
              <w:rPr>
                <w:rFonts w:ascii="宋体" w:hAnsi="宋体" w:cs="宋体" w:eastAsia="宋体" w:hint="default"/>
                <w:sz w:val="18"/>
                <w:szCs w:val="18"/>
              </w:rPr>
              <w:t>否</w:t>
            </w:r>
          </w:p>
        </w:tc>
        <w:tc>
          <w:tcPr>
            <w:tcW w:w="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具体内容详见公司于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p>
          <w:p>
            <w:pPr>
              <w:pStyle w:val="TableParagraph"/>
              <w:spacing w:line="314" w:lineRule="auto" w:before="61"/>
              <w:ind w:left="22" w:right="2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日在《中国证券 </w:t>
            </w:r>
            <w:r>
              <w:rPr>
                <w:rFonts w:ascii="宋体" w:hAnsi="宋体" w:cs="宋体" w:eastAsia="宋体" w:hint="default"/>
                <w:spacing w:val="-29"/>
                <w:sz w:val="18"/>
                <w:szCs w:val="18"/>
              </w:rPr>
              <w:t>报》、《证券时报》、《上海证</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17"/>
                <w:sz w:val="18"/>
                <w:szCs w:val="18"/>
              </w:rPr>
              <w:t>券报》、《证券日报》和巨潮</w:t>
            </w:r>
            <w:r>
              <w:rPr>
                <w:rFonts w:ascii="宋体" w:hAnsi="宋体" w:cs="宋体" w:eastAsia="宋体" w:hint="default"/>
                <w:sz w:val="18"/>
                <w:szCs w:val="18"/>
              </w:rPr>
              <w:t> </w:t>
            </w:r>
            <w:r>
              <w:rPr>
                <w:rFonts w:ascii="宋体" w:hAnsi="宋体" w:cs="宋体" w:eastAsia="宋体" w:hint="default"/>
                <w:spacing w:val="-4"/>
                <w:sz w:val="18"/>
                <w:szCs w:val="18"/>
              </w:rPr>
              <w:t>资讯网上刊登的《关于向参</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股子公司增资暨关联交易 </w:t>
            </w:r>
            <w:r>
              <w:rPr>
                <w:rFonts w:ascii="宋体" w:hAnsi="宋体" w:cs="宋体" w:eastAsia="宋体" w:hint="default"/>
                <w:spacing w:val="-18"/>
                <w:sz w:val="18"/>
                <w:szCs w:val="18"/>
              </w:rPr>
              <w:t>的公告》（</w:t>
            </w:r>
            <w:r>
              <w:rPr>
                <w:rFonts w:ascii="Times New Roman" w:hAnsi="Times New Roman" w:cs="Times New Roman" w:eastAsia="Times New Roman" w:hint="default"/>
                <w:spacing w:val="-18"/>
                <w:sz w:val="18"/>
                <w:szCs w:val="18"/>
              </w:rPr>
              <w:t>2018-033</w:t>
            </w:r>
            <w:r>
              <w:rPr>
                <w:rFonts w:ascii="宋体" w:hAnsi="宋体" w:cs="宋体" w:eastAsia="宋体" w:hint="default"/>
                <w:spacing w:val="-18"/>
                <w:sz w:val="18"/>
                <w:szCs w:val="18"/>
              </w:rPr>
              <w:t>）。</w:t>
            </w:r>
            <w:r>
              <w:rPr>
                <w:rFonts w:ascii="宋体" w:hAnsi="宋体" w:cs="宋体" w:eastAsia="宋体" w:hint="default"/>
                <w:sz w:val="18"/>
                <w:szCs w:val="18"/>
              </w:rPr>
            </w:r>
          </w:p>
        </w:tc>
      </w:tr>
      <w:tr>
        <w:trPr>
          <w:trHeight w:val="402" w:hRule="exact"/>
        </w:trPr>
        <w:tc>
          <w:tcPr>
            <w:tcW w:w="4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84"/>
              <w:jc w:val="right"/>
              <w:rPr>
                <w:rFonts w:ascii="Times New Roman" w:hAnsi="Times New Roman" w:cs="Times New Roman" w:eastAsia="Times New Roman" w:hint="default"/>
                <w:sz w:val="18"/>
                <w:szCs w:val="18"/>
              </w:rPr>
            </w:pPr>
            <w:r>
              <w:rPr>
                <w:rFonts w:ascii="Times New Roman"/>
                <w:sz w:val="18"/>
              </w:rPr>
              <w:t>--</w:t>
            </w:r>
          </w:p>
        </w:tc>
        <w:tc>
          <w:tcPr>
            <w:tcW w:w="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w:t>
            </w:r>
          </w:p>
        </w:tc>
        <w:tc>
          <w:tcPr>
            <w:tcW w:w="1182"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pacing w:val="-1"/>
                <w:sz w:val="18"/>
              </w:rPr>
              <w:t>247,420,000.00</w:t>
            </w:r>
          </w:p>
        </w:tc>
        <w:tc>
          <w:tcPr>
            <w:tcW w:w="7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w:t>
            </w:r>
          </w:p>
        </w:tc>
        <w:tc>
          <w:tcPr>
            <w:tcW w:w="1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w:t>
            </w:r>
          </w:p>
        </w:tc>
        <w:tc>
          <w:tcPr>
            <w:tcW w:w="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86" w:right="0"/>
              <w:jc w:val="left"/>
              <w:rPr>
                <w:rFonts w:ascii="Times New Roman" w:hAnsi="Times New Roman" w:cs="Times New Roman" w:eastAsia="Times New Roman" w:hint="default"/>
                <w:sz w:val="18"/>
                <w:szCs w:val="18"/>
              </w:rPr>
            </w:pPr>
            <w:r>
              <w:rPr>
                <w:rFonts w:ascii="Times New Roman"/>
                <w:sz w:val="18"/>
              </w:rPr>
              <w:t>--</w:t>
            </w:r>
          </w:p>
        </w:tc>
        <w:tc>
          <w:tcPr>
            <w:tcW w:w="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5" w:right="0"/>
              <w:jc w:val="left"/>
              <w:rPr>
                <w:rFonts w:ascii="Times New Roman" w:hAnsi="Times New Roman" w:cs="Times New Roman" w:eastAsia="Times New Roman" w:hint="default"/>
                <w:sz w:val="18"/>
                <w:szCs w:val="18"/>
              </w:rPr>
            </w:pPr>
            <w:r>
              <w:rPr>
                <w:rFonts w:ascii="Times New Roman"/>
                <w:sz w:val="18"/>
              </w:rPr>
              <w:t>0.00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8,727,407.45</w:t>
            </w:r>
          </w:p>
        </w:tc>
        <w:tc>
          <w:tcPr>
            <w:tcW w:w="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72"/>
              <w:jc w:val="right"/>
              <w:rPr>
                <w:rFonts w:ascii="Times New Roman" w:hAnsi="Times New Roman" w:cs="Times New Roman" w:eastAsia="Times New Roman" w:hint="default"/>
                <w:sz w:val="18"/>
                <w:szCs w:val="18"/>
              </w:rPr>
            </w:pPr>
            <w:r>
              <w:rPr>
                <w:rFonts w:ascii="Times New Roman"/>
                <w:sz w:val="18"/>
              </w:rPr>
              <w:t>--</w:t>
            </w:r>
          </w:p>
        </w:tc>
        <w:tc>
          <w:tcPr>
            <w:tcW w:w="4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报告期内正在进行的重大的非股权投资情况" w:id="47"/>
      <w:bookmarkEnd w:id="47"/>
      <w:r>
        <w:rPr>
          <w:b w:val="0"/>
          <w:bCs w:val="0"/>
        </w:rPr>
      </w:r>
      <w:r>
        <w:rPr>
          <w:rFonts w:ascii="Times New Roman" w:hAnsi="Times New Roman" w:cs="Times New Roman" w:eastAsia="Times New Roman" w:hint="default"/>
        </w:rPr>
        <w:t>3</w:t>
      </w:r>
      <w:r>
        <w:rPr/>
        <w:t>、报告期内正在进行的重大的非股权投资情况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88"/>
        <w:gridCol w:w="284"/>
        <w:gridCol w:w="366"/>
        <w:gridCol w:w="349"/>
        <w:gridCol w:w="1210"/>
        <w:gridCol w:w="1307"/>
        <w:gridCol w:w="366"/>
        <w:gridCol w:w="626"/>
        <w:gridCol w:w="408"/>
        <w:gridCol w:w="553"/>
        <w:gridCol w:w="464"/>
        <w:gridCol w:w="519"/>
        <w:gridCol w:w="2426"/>
      </w:tblGrid>
      <w:tr>
        <w:trPr>
          <w:trHeight w:val="2898" w:hRule="exact"/>
        </w:trPr>
        <w:tc>
          <w:tcPr>
            <w:tcW w:w="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7"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46" w:right="47"/>
              <w:jc w:val="both"/>
              <w:rPr>
                <w:rFonts w:ascii="宋体" w:hAnsi="宋体" w:cs="宋体" w:eastAsia="宋体" w:hint="default"/>
                <w:sz w:val="18"/>
                <w:szCs w:val="18"/>
              </w:rPr>
            </w:pPr>
            <w:r>
              <w:rPr>
                <w:rFonts w:ascii="宋体" w:hAnsi="宋体" w:cs="宋体" w:eastAsia="宋体" w:hint="default"/>
                <w:sz w:val="18"/>
                <w:szCs w:val="18"/>
              </w:rPr>
              <w:t>投 资 方 式</w:t>
            </w:r>
          </w:p>
        </w:tc>
        <w:tc>
          <w:tcPr>
            <w:tcW w:w="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87" w:right="86"/>
              <w:jc w:val="both"/>
              <w:rPr>
                <w:rFonts w:ascii="宋体" w:hAnsi="宋体" w:cs="宋体" w:eastAsia="宋体" w:hint="default"/>
                <w:sz w:val="18"/>
                <w:szCs w:val="18"/>
              </w:rPr>
            </w:pPr>
            <w:r>
              <w:rPr>
                <w:rFonts w:ascii="宋体" w:hAnsi="宋体" w:cs="宋体" w:eastAsia="宋体" w:hint="default"/>
                <w:sz w:val="18"/>
                <w:szCs w:val="18"/>
              </w:rPr>
              <w:t>是 否 为 固 定 资 产 投 资</w:t>
            </w:r>
          </w:p>
        </w:tc>
        <w:tc>
          <w:tcPr>
            <w:tcW w:w="3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79" w:right="78"/>
              <w:jc w:val="both"/>
              <w:rPr>
                <w:rFonts w:ascii="宋体" w:hAnsi="宋体" w:cs="宋体" w:eastAsia="宋体" w:hint="default"/>
                <w:sz w:val="18"/>
                <w:szCs w:val="18"/>
              </w:rPr>
            </w:pPr>
            <w:r>
              <w:rPr>
                <w:rFonts w:ascii="宋体" w:hAnsi="宋体" w:cs="宋体" w:eastAsia="宋体" w:hint="default"/>
                <w:sz w:val="18"/>
                <w:szCs w:val="18"/>
              </w:rPr>
              <w:t>投 资 项 目 涉 及 行 业</w:t>
            </w:r>
          </w:p>
        </w:tc>
        <w:tc>
          <w:tcPr>
            <w:tcW w:w="12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316" w:lineRule="auto"/>
              <w:ind w:left="418" w:right="59" w:hanging="360"/>
              <w:jc w:val="left"/>
              <w:rPr>
                <w:rFonts w:ascii="宋体" w:hAnsi="宋体" w:cs="宋体" w:eastAsia="宋体" w:hint="default"/>
                <w:sz w:val="18"/>
                <w:szCs w:val="18"/>
              </w:rPr>
            </w:pPr>
            <w:r>
              <w:rPr>
                <w:rFonts w:ascii="宋体" w:hAnsi="宋体" w:cs="宋体" w:eastAsia="宋体" w:hint="default"/>
                <w:sz w:val="18"/>
                <w:szCs w:val="18"/>
              </w:rPr>
              <w:t>本报告期投入 金额</w:t>
            </w:r>
          </w:p>
        </w:tc>
        <w:tc>
          <w:tcPr>
            <w:tcW w:w="13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316" w:lineRule="auto"/>
              <w:ind w:left="107" w:right="107"/>
              <w:jc w:val="center"/>
              <w:rPr>
                <w:rFonts w:ascii="宋体" w:hAnsi="宋体" w:cs="宋体" w:eastAsia="宋体" w:hint="default"/>
                <w:sz w:val="18"/>
                <w:szCs w:val="18"/>
              </w:rPr>
            </w:pPr>
            <w:r>
              <w:rPr>
                <w:rFonts w:ascii="宋体" w:hAnsi="宋体" w:cs="宋体" w:eastAsia="宋体" w:hint="default"/>
                <w:sz w:val="18"/>
                <w:szCs w:val="18"/>
              </w:rPr>
              <w:t>截至报告期末 累计实际投入 金额</w:t>
            </w:r>
          </w:p>
        </w:tc>
        <w:tc>
          <w:tcPr>
            <w:tcW w:w="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87" w:right="86"/>
              <w:jc w:val="both"/>
              <w:rPr>
                <w:rFonts w:ascii="宋体" w:hAnsi="宋体" w:cs="宋体" w:eastAsia="宋体" w:hint="default"/>
                <w:sz w:val="18"/>
                <w:szCs w:val="18"/>
              </w:rPr>
            </w:pPr>
            <w:r>
              <w:rPr>
                <w:rFonts w:ascii="宋体" w:hAnsi="宋体" w:cs="宋体" w:eastAsia="宋体" w:hint="default"/>
                <w:sz w:val="18"/>
                <w:szCs w:val="18"/>
              </w:rPr>
              <w:t>资 金 来 源</w:t>
            </w:r>
          </w:p>
        </w:tc>
        <w:tc>
          <w:tcPr>
            <w:tcW w:w="6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316" w:lineRule="auto"/>
              <w:ind w:left="217" w:right="37" w:hanging="180"/>
              <w:jc w:val="left"/>
              <w:rPr>
                <w:rFonts w:ascii="宋体" w:hAnsi="宋体" w:cs="宋体" w:eastAsia="宋体" w:hint="default"/>
                <w:sz w:val="18"/>
                <w:szCs w:val="18"/>
              </w:rPr>
            </w:pPr>
            <w:r>
              <w:rPr>
                <w:rFonts w:ascii="宋体" w:hAnsi="宋体" w:cs="宋体" w:eastAsia="宋体" w:hint="default"/>
                <w:sz w:val="18"/>
                <w:szCs w:val="18"/>
              </w:rPr>
              <w:t>项目进 度</w:t>
            </w:r>
          </w:p>
        </w:tc>
        <w:tc>
          <w:tcPr>
            <w:tcW w:w="4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108" w:right="108"/>
              <w:jc w:val="both"/>
              <w:rPr>
                <w:rFonts w:ascii="宋体" w:hAnsi="宋体" w:cs="宋体" w:eastAsia="宋体" w:hint="default"/>
                <w:sz w:val="18"/>
                <w:szCs w:val="18"/>
              </w:rPr>
            </w:pPr>
            <w:r>
              <w:rPr>
                <w:rFonts w:ascii="宋体" w:hAnsi="宋体" w:cs="宋体" w:eastAsia="宋体" w:hint="default"/>
                <w:sz w:val="18"/>
                <w:szCs w:val="18"/>
              </w:rPr>
              <w:t>预 计 收 益</w:t>
            </w:r>
          </w:p>
        </w:tc>
        <w:tc>
          <w:tcPr>
            <w:tcW w:w="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91" w:right="90"/>
              <w:jc w:val="both"/>
              <w:rPr>
                <w:rFonts w:ascii="宋体" w:hAnsi="宋体" w:cs="宋体" w:eastAsia="宋体" w:hint="default"/>
                <w:sz w:val="18"/>
                <w:szCs w:val="18"/>
              </w:rPr>
            </w:pPr>
            <w:r>
              <w:rPr>
                <w:rFonts w:ascii="宋体" w:hAnsi="宋体" w:cs="宋体" w:eastAsia="宋体" w:hint="default"/>
                <w:sz w:val="18"/>
                <w:szCs w:val="18"/>
              </w:rPr>
              <w:t>截止 报告 期末 累计 实现 的收 益</w:t>
            </w:r>
          </w:p>
        </w:tc>
        <w:tc>
          <w:tcPr>
            <w:tcW w:w="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6" w:right="47"/>
              <w:jc w:val="both"/>
              <w:rPr>
                <w:rFonts w:ascii="宋体" w:hAnsi="宋体" w:cs="宋体" w:eastAsia="宋体" w:hint="default"/>
                <w:sz w:val="18"/>
                <w:szCs w:val="18"/>
              </w:rPr>
            </w:pPr>
            <w:r>
              <w:rPr>
                <w:rFonts w:ascii="宋体" w:hAnsi="宋体" w:cs="宋体" w:eastAsia="宋体" w:hint="default"/>
                <w:sz w:val="18"/>
                <w:szCs w:val="18"/>
              </w:rPr>
              <w:t>未达 到计 划进 度和 预计 收益 的原 因</w:t>
            </w:r>
          </w:p>
        </w:tc>
        <w:tc>
          <w:tcPr>
            <w:tcW w:w="5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73" w:right="75"/>
              <w:jc w:val="left"/>
              <w:rPr>
                <w:rFonts w:ascii="宋体" w:hAnsi="宋体" w:cs="宋体" w:eastAsia="宋体" w:hint="default"/>
                <w:sz w:val="18"/>
                <w:szCs w:val="18"/>
              </w:rPr>
            </w:pPr>
            <w:r>
              <w:rPr>
                <w:rFonts w:ascii="宋体" w:hAnsi="宋体" w:cs="宋体" w:eastAsia="宋体" w:hint="default"/>
                <w:sz w:val="18"/>
                <w:szCs w:val="18"/>
              </w:rPr>
              <w:t>披露 日期</w:t>
            </w:r>
          </w:p>
          <w:p>
            <w:pPr>
              <w:pStyle w:val="TableParagraph"/>
              <w:spacing w:line="319" w:lineRule="auto" w:before="19"/>
              <w:ind w:left="73" w:right="75"/>
              <w:jc w:val="left"/>
              <w:rPr>
                <w:rFonts w:ascii="宋体" w:hAnsi="宋体" w:cs="宋体" w:eastAsia="宋体" w:hint="default"/>
                <w:sz w:val="18"/>
                <w:szCs w:val="18"/>
              </w:rPr>
            </w:pPr>
            <w:r>
              <w:rPr>
                <w:rFonts w:ascii="宋体" w:hAnsi="宋体" w:cs="宋体" w:eastAsia="宋体" w:hint="default"/>
                <w:sz w:val="18"/>
                <w:szCs w:val="18"/>
              </w:rPr>
              <w:t>（如 有）</w:t>
            </w:r>
          </w:p>
        </w:tc>
        <w:tc>
          <w:tcPr>
            <w:tcW w:w="2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488" w:right="0"/>
              <w:jc w:val="left"/>
              <w:rPr>
                <w:rFonts w:ascii="宋体" w:hAnsi="宋体" w:cs="宋体" w:eastAsia="宋体" w:hint="default"/>
                <w:sz w:val="18"/>
                <w:szCs w:val="18"/>
              </w:rPr>
            </w:pPr>
            <w:r>
              <w:rPr>
                <w:rFonts w:ascii="宋体" w:hAnsi="宋体" w:cs="宋体" w:eastAsia="宋体" w:hint="default"/>
                <w:sz w:val="18"/>
                <w:szCs w:val="18"/>
              </w:rPr>
              <w:t>披露索引（如有）</w:t>
            </w:r>
          </w:p>
        </w:tc>
      </w:tr>
      <w:tr>
        <w:trPr>
          <w:trHeight w:val="2898" w:hRule="exact"/>
        </w:trPr>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316" w:lineRule="auto"/>
              <w:ind w:left="22" w:right="33"/>
              <w:jc w:val="both"/>
              <w:rPr>
                <w:rFonts w:ascii="宋体" w:hAnsi="宋体" w:cs="宋体" w:eastAsia="宋体" w:hint="default"/>
                <w:sz w:val="18"/>
                <w:szCs w:val="18"/>
              </w:rPr>
            </w:pPr>
            <w:r>
              <w:rPr>
                <w:rFonts w:ascii="宋体" w:hAnsi="宋体" w:cs="宋体" w:eastAsia="宋体" w:hint="default"/>
                <w:sz w:val="18"/>
                <w:szCs w:val="18"/>
              </w:rPr>
              <w:t>劲嘉新型 材料精品 包装项目</w:t>
            </w:r>
          </w:p>
        </w:tc>
        <w:tc>
          <w:tcPr>
            <w:tcW w:w="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316" w:lineRule="auto"/>
              <w:ind w:left="22" w:right="71"/>
              <w:jc w:val="left"/>
              <w:rPr>
                <w:rFonts w:ascii="宋体" w:hAnsi="宋体" w:cs="宋体" w:eastAsia="宋体" w:hint="default"/>
                <w:sz w:val="18"/>
                <w:szCs w:val="18"/>
              </w:rPr>
            </w:pPr>
            <w:r>
              <w:rPr>
                <w:rFonts w:ascii="宋体" w:hAnsi="宋体" w:cs="宋体" w:eastAsia="宋体" w:hint="default"/>
                <w:sz w:val="18"/>
                <w:szCs w:val="18"/>
              </w:rPr>
              <w:t>自 建</w:t>
            </w:r>
          </w:p>
        </w:tc>
        <w:tc>
          <w:tcPr>
            <w:tcW w:w="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316" w:lineRule="auto"/>
              <w:ind w:left="22" w:right="134"/>
              <w:jc w:val="both"/>
              <w:rPr>
                <w:rFonts w:ascii="宋体" w:hAnsi="宋体" w:cs="宋体" w:eastAsia="宋体" w:hint="default"/>
                <w:sz w:val="18"/>
                <w:szCs w:val="18"/>
              </w:rPr>
            </w:pPr>
            <w:r>
              <w:rPr>
                <w:rFonts w:ascii="宋体" w:hAnsi="宋体" w:cs="宋体" w:eastAsia="宋体" w:hint="default"/>
                <w:sz w:val="18"/>
                <w:szCs w:val="18"/>
              </w:rPr>
              <w:t>制 造 业</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left="118" w:right="0"/>
              <w:jc w:val="center"/>
              <w:rPr>
                <w:rFonts w:ascii="Times New Roman" w:hAnsi="Times New Roman" w:cs="Times New Roman" w:eastAsia="Times New Roman" w:hint="default"/>
                <w:sz w:val="18"/>
                <w:szCs w:val="18"/>
              </w:rPr>
            </w:pPr>
            <w:r>
              <w:rPr>
                <w:rFonts w:ascii="Times New Roman"/>
                <w:sz w:val="18"/>
              </w:rPr>
              <w:t>47,582,067.79</w:t>
            </w:r>
          </w:p>
        </w:tc>
        <w:tc>
          <w:tcPr>
            <w:tcW w:w="13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right="20"/>
              <w:jc w:val="right"/>
              <w:rPr>
                <w:rFonts w:ascii="Times New Roman" w:hAnsi="Times New Roman" w:cs="Times New Roman" w:eastAsia="Times New Roman" w:hint="default"/>
                <w:sz w:val="18"/>
                <w:szCs w:val="18"/>
              </w:rPr>
            </w:pPr>
            <w:r>
              <w:rPr>
                <w:rFonts w:ascii="Times New Roman"/>
                <w:spacing w:val="-1"/>
                <w:sz w:val="18"/>
              </w:rPr>
              <w:t>360,988,914.31</w:t>
            </w:r>
          </w:p>
        </w:tc>
        <w:tc>
          <w:tcPr>
            <w:tcW w:w="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1"/>
              <w:jc w:val="both"/>
              <w:rPr>
                <w:rFonts w:ascii="宋体" w:hAnsi="宋体" w:cs="宋体" w:eastAsia="宋体" w:hint="default"/>
                <w:sz w:val="18"/>
                <w:szCs w:val="18"/>
              </w:rPr>
            </w:pPr>
            <w:r>
              <w:rPr>
                <w:rFonts w:ascii="宋体" w:hAnsi="宋体" w:cs="宋体" w:eastAsia="宋体" w:hint="default"/>
                <w:sz w:val="18"/>
                <w:szCs w:val="18"/>
              </w:rPr>
              <w:t>自 有 资 金 及 募 集 资 金</w:t>
            </w:r>
          </w:p>
        </w:tc>
        <w:tc>
          <w:tcPr>
            <w:tcW w:w="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left="15" w:right="0"/>
              <w:jc w:val="center"/>
              <w:rPr>
                <w:rFonts w:ascii="Times New Roman" w:hAnsi="Times New Roman" w:cs="Times New Roman" w:eastAsia="Times New Roman" w:hint="default"/>
                <w:sz w:val="18"/>
                <w:szCs w:val="18"/>
              </w:rPr>
            </w:pPr>
            <w:r>
              <w:rPr>
                <w:rFonts w:ascii="Times New Roman"/>
                <w:sz w:val="18"/>
              </w:rPr>
              <w:t>79.55%</w:t>
            </w:r>
          </w:p>
        </w:tc>
        <w:tc>
          <w:tcPr>
            <w:tcW w:w="408" w:type="dxa"/>
            <w:tcBorders>
              <w:top w:val="single" w:sz="4" w:space="0" w:color="000000"/>
              <w:left w:val="single" w:sz="4" w:space="0" w:color="000000"/>
              <w:bottom w:val="single" w:sz="4" w:space="0" w:color="000000"/>
              <w:right w:val="single" w:sz="4" w:space="0" w:color="000000"/>
            </w:tcBorders>
          </w:tcPr>
          <w:p>
            <w:pPr/>
          </w:p>
        </w:tc>
        <w:tc>
          <w:tcPr>
            <w:tcW w:w="553" w:type="dxa"/>
            <w:tcBorders>
              <w:top w:val="single" w:sz="4" w:space="0" w:color="000000"/>
              <w:left w:val="single" w:sz="4" w:space="0" w:color="000000"/>
              <w:bottom w:val="single" w:sz="4" w:space="0" w:color="000000"/>
              <w:right w:val="single" w:sz="4" w:space="0" w:color="000000"/>
            </w:tcBorders>
          </w:tcPr>
          <w:p>
            <w:pPr/>
          </w:p>
        </w:tc>
        <w:tc>
          <w:tcPr>
            <w:tcW w:w="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316" w:lineRule="auto"/>
              <w:ind w:left="22" w:right="71"/>
              <w:jc w:val="left"/>
              <w:rPr>
                <w:rFonts w:ascii="宋体" w:hAnsi="宋体" w:cs="宋体" w:eastAsia="宋体" w:hint="default"/>
                <w:sz w:val="18"/>
                <w:szCs w:val="18"/>
              </w:rPr>
            </w:pPr>
            <w:r>
              <w:rPr>
                <w:rFonts w:ascii="宋体" w:hAnsi="宋体" w:cs="宋体" w:eastAsia="宋体" w:hint="default"/>
                <w:sz w:val="18"/>
                <w:szCs w:val="18"/>
              </w:rPr>
              <w:t>不适 用</w:t>
            </w:r>
          </w:p>
        </w:tc>
        <w:tc>
          <w:tcPr>
            <w:tcW w:w="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2015</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2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 w:right="22"/>
              <w:jc w:val="both"/>
              <w:rPr>
                <w:rFonts w:ascii="宋体" w:hAnsi="宋体" w:cs="宋体" w:eastAsia="宋体" w:hint="default"/>
                <w:sz w:val="18"/>
                <w:szCs w:val="18"/>
              </w:rPr>
            </w:pPr>
            <w:r>
              <w:rPr>
                <w:rFonts w:ascii="宋体" w:hAnsi="宋体" w:cs="宋体" w:eastAsia="宋体" w:hint="default"/>
                <w:spacing w:val="-13"/>
                <w:sz w:val="18"/>
                <w:szCs w:val="18"/>
              </w:rPr>
              <w:t>刊登于《中国证券报》、《证券</w:t>
            </w:r>
            <w:r>
              <w:rPr>
                <w:rFonts w:ascii="宋体" w:hAnsi="宋体" w:cs="宋体" w:eastAsia="宋体" w:hint="default"/>
                <w:sz w:val="18"/>
                <w:szCs w:val="18"/>
              </w:rPr>
              <w:t> </w:t>
            </w:r>
            <w:r>
              <w:rPr>
                <w:rFonts w:ascii="宋体" w:hAnsi="宋体" w:cs="宋体" w:eastAsia="宋体" w:hint="default"/>
                <w:spacing w:val="-23"/>
                <w:sz w:val="18"/>
                <w:szCs w:val="18"/>
              </w:rPr>
              <w:t>时报》、《上海证券报、《证券日</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报》及巨潮资讯网的</w:t>
            </w:r>
          </w:p>
          <w:p>
            <w:pPr>
              <w:pStyle w:val="TableParagraph"/>
              <w:spacing w:line="300" w:lineRule="auto" w:before="19"/>
              <w:ind w:left="22" w:right="-37"/>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2015-025</w:t>
            </w:r>
            <w:r>
              <w:rPr>
                <w:rFonts w:ascii="宋体" w:hAnsi="宋体" w:cs="宋体" w:eastAsia="宋体" w:hint="default"/>
                <w:spacing w:val="-119"/>
                <w:sz w:val="18"/>
                <w:szCs w:val="18"/>
              </w:rPr>
              <w:t>）</w:t>
            </w:r>
            <w:r>
              <w:rPr>
                <w:rFonts w:ascii="宋体" w:hAnsi="宋体" w:cs="宋体" w:eastAsia="宋体" w:hint="default"/>
                <w:sz w:val="18"/>
                <w:szCs w:val="18"/>
              </w:rPr>
              <w:t>《关于投资建设新</w:t>
            </w:r>
            <w:r>
              <w:rPr>
                <w:rFonts w:ascii="宋体" w:hAnsi="宋体" w:cs="宋体" w:eastAsia="宋体" w:hint="default"/>
                <w:sz w:val="18"/>
                <w:szCs w:val="18"/>
              </w:rPr>
              <w:t> 型材料精品包装项目的公告</w:t>
            </w:r>
            <w:r>
              <w:rPr>
                <w:rFonts w:ascii="宋体" w:hAnsi="宋体" w:cs="宋体" w:eastAsia="宋体" w:hint="default"/>
                <w:spacing w:val="-90"/>
                <w:sz w:val="18"/>
                <w:szCs w:val="18"/>
              </w:rPr>
              <w:t>》</w:t>
            </w:r>
            <w:r>
              <w:rPr>
                <w:rFonts w:ascii="宋体" w:hAnsi="宋体" w:cs="宋体" w:eastAsia="宋体" w:hint="default"/>
                <w:sz w:val="18"/>
                <w:szCs w:val="18"/>
              </w:rPr>
              <w:t>、</w:t>
            </w:r>
          </w:p>
          <w:p>
            <w:pPr>
              <w:pStyle w:val="TableParagraph"/>
              <w:spacing w:line="302" w:lineRule="auto" w:before="31"/>
              <w:ind w:left="22" w:right="20"/>
              <w:jc w:val="both"/>
              <w:rPr>
                <w:rFonts w:ascii="宋体" w:hAnsi="宋体" w:cs="宋体" w:eastAsia="宋体" w:hint="default"/>
                <w:sz w:val="18"/>
                <w:szCs w:val="18"/>
              </w:rPr>
            </w:pPr>
            <w:r>
              <w:rPr>
                <w:rFonts w:ascii="宋体" w:hAnsi="宋体" w:cs="宋体" w:eastAsia="宋体" w:hint="default"/>
                <w:sz w:val="18"/>
                <w:szCs w:val="18"/>
              </w:rPr>
              <w:t>《非公开发行</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股股票募集资 金使用的可行性分析报告》</w:t>
            </w:r>
          </w:p>
        </w:tc>
      </w:tr>
      <w:tr>
        <w:trPr>
          <w:trHeight w:val="1923" w:hRule="exact"/>
        </w:trPr>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both"/>
              <w:rPr>
                <w:rFonts w:ascii="宋体" w:hAnsi="宋体" w:cs="宋体" w:eastAsia="宋体" w:hint="default"/>
                <w:sz w:val="18"/>
                <w:szCs w:val="18"/>
              </w:rPr>
            </w:pPr>
            <w:r>
              <w:rPr>
                <w:rFonts w:ascii="宋体" w:hAnsi="宋体" w:cs="宋体" w:eastAsia="宋体" w:hint="default"/>
                <w:sz w:val="18"/>
                <w:szCs w:val="18"/>
              </w:rPr>
              <w:t>基于</w:t>
            </w:r>
          </w:p>
          <w:p>
            <w:pPr>
              <w:pStyle w:val="TableParagraph"/>
              <w:spacing w:line="240" w:lineRule="auto" w:before="75"/>
              <w:ind w:left="22"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RFID</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技</w:t>
            </w:r>
          </w:p>
          <w:p>
            <w:pPr>
              <w:pStyle w:val="TableParagraph"/>
              <w:spacing w:line="316" w:lineRule="auto" w:before="63"/>
              <w:ind w:left="22" w:right="33"/>
              <w:jc w:val="both"/>
              <w:rPr>
                <w:rFonts w:ascii="宋体" w:hAnsi="宋体" w:cs="宋体" w:eastAsia="宋体" w:hint="default"/>
                <w:sz w:val="18"/>
                <w:szCs w:val="18"/>
              </w:rPr>
            </w:pPr>
            <w:r>
              <w:rPr>
                <w:rFonts w:ascii="宋体" w:hAnsi="宋体" w:cs="宋体" w:eastAsia="宋体" w:hint="default"/>
                <w:sz w:val="18"/>
                <w:szCs w:val="18"/>
              </w:rPr>
              <w:t>术的智能 物联运营 支撑系统</w:t>
            </w:r>
          </w:p>
        </w:tc>
        <w:tc>
          <w:tcPr>
            <w:tcW w:w="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4"/>
                <w:szCs w:val="14"/>
              </w:rPr>
            </w:pPr>
          </w:p>
          <w:p>
            <w:pPr>
              <w:pStyle w:val="TableParagraph"/>
              <w:spacing w:line="319" w:lineRule="auto"/>
              <w:ind w:left="22" w:right="71"/>
              <w:jc w:val="left"/>
              <w:rPr>
                <w:rFonts w:ascii="宋体" w:hAnsi="宋体" w:cs="宋体" w:eastAsia="宋体" w:hint="default"/>
                <w:sz w:val="18"/>
                <w:szCs w:val="18"/>
              </w:rPr>
            </w:pPr>
            <w:r>
              <w:rPr>
                <w:rFonts w:ascii="宋体" w:hAnsi="宋体" w:cs="宋体" w:eastAsia="宋体" w:hint="default"/>
                <w:sz w:val="18"/>
                <w:szCs w:val="18"/>
              </w:rPr>
              <w:t>自 建</w:t>
            </w:r>
          </w:p>
        </w:tc>
        <w:tc>
          <w:tcPr>
            <w:tcW w:w="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0"/>
                <w:szCs w:val="20"/>
              </w:rPr>
            </w:pPr>
          </w:p>
          <w:p>
            <w:pPr>
              <w:pStyle w:val="TableParagraph"/>
              <w:spacing w:line="319" w:lineRule="auto"/>
              <w:ind w:left="22" w:right="134"/>
              <w:jc w:val="both"/>
              <w:rPr>
                <w:rFonts w:ascii="宋体" w:hAnsi="宋体" w:cs="宋体" w:eastAsia="宋体" w:hint="default"/>
                <w:sz w:val="18"/>
                <w:szCs w:val="18"/>
              </w:rPr>
            </w:pPr>
            <w:r>
              <w:rPr>
                <w:rFonts w:ascii="宋体" w:hAnsi="宋体" w:cs="宋体" w:eastAsia="宋体" w:hint="default"/>
                <w:sz w:val="18"/>
                <w:szCs w:val="18"/>
              </w:rPr>
              <w:t>制 造 业</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4"/>
              <w:ind w:left="118" w:right="0"/>
              <w:jc w:val="center"/>
              <w:rPr>
                <w:rFonts w:ascii="Times New Roman" w:hAnsi="Times New Roman" w:cs="Times New Roman" w:eastAsia="Times New Roman" w:hint="default"/>
                <w:sz w:val="18"/>
                <w:szCs w:val="18"/>
              </w:rPr>
            </w:pPr>
            <w:r>
              <w:rPr>
                <w:rFonts w:ascii="Times New Roman"/>
                <w:sz w:val="18"/>
              </w:rPr>
              <w:t>53,634,562.16</w:t>
            </w:r>
          </w:p>
        </w:tc>
        <w:tc>
          <w:tcPr>
            <w:tcW w:w="13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4"/>
              <w:ind w:right="20"/>
              <w:jc w:val="right"/>
              <w:rPr>
                <w:rFonts w:ascii="Times New Roman" w:hAnsi="Times New Roman" w:cs="Times New Roman" w:eastAsia="Times New Roman" w:hint="default"/>
                <w:sz w:val="18"/>
                <w:szCs w:val="18"/>
              </w:rPr>
            </w:pPr>
            <w:r>
              <w:rPr>
                <w:rFonts w:ascii="Times New Roman"/>
                <w:spacing w:val="-1"/>
                <w:sz w:val="18"/>
              </w:rPr>
              <w:t>83,322,444.98</w:t>
            </w:r>
          </w:p>
        </w:tc>
        <w:tc>
          <w:tcPr>
            <w:tcW w:w="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1"/>
              <w:jc w:val="both"/>
              <w:rPr>
                <w:rFonts w:ascii="宋体" w:hAnsi="宋体" w:cs="宋体" w:eastAsia="宋体" w:hint="default"/>
                <w:sz w:val="18"/>
                <w:szCs w:val="18"/>
              </w:rPr>
            </w:pPr>
            <w:r>
              <w:rPr>
                <w:rFonts w:ascii="宋体" w:hAnsi="宋体" w:cs="宋体" w:eastAsia="宋体" w:hint="default"/>
                <w:sz w:val="18"/>
                <w:szCs w:val="18"/>
              </w:rPr>
              <w:t>自 有 资 金 及 募</w:t>
            </w:r>
          </w:p>
        </w:tc>
        <w:tc>
          <w:tcPr>
            <w:tcW w:w="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4"/>
              <w:ind w:left="15" w:right="0"/>
              <w:jc w:val="center"/>
              <w:rPr>
                <w:rFonts w:ascii="Times New Roman" w:hAnsi="Times New Roman" w:cs="Times New Roman" w:eastAsia="Times New Roman" w:hint="default"/>
                <w:sz w:val="18"/>
                <w:szCs w:val="18"/>
              </w:rPr>
            </w:pPr>
            <w:r>
              <w:rPr>
                <w:rFonts w:ascii="Times New Roman"/>
                <w:sz w:val="18"/>
              </w:rPr>
              <w:t>15.96%</w:t>
            </w:r>
          </w:p>
        </w:tc>
        <w:tc>
          <w:tcPr>
            <w:tcW w:w="408" w:type="dxa"/>
            <w:tcBorders>
              <w:top w:val="single" w:sz="4" w:space="0" w:color="000000"/>
              <w:left w:val="single" w:sz="4" w:space="0" w:color="000000"/>
              <w:bottom w:val="single" w:sz="4" w:space="0" w:color="000000"/>
              <w:right w:val="single" w:sz="4" w:space="0" w:color="000000"/>
            </w:tcBorders>
          </w:tcPr>
          <w:p>
            <w:pPr/>
          </w:p>
        </w:tc>
        <w:tc>
          <w:tcPr>
            <w:tcW w:w="553" w:type="dxa"/>
            <w:tcBorders>
              <w:top w:val="single" w:sz="4" w:space="0" w:color="000000"/>
              <w:left w:val="single" w:sz="4" w:space="0" w:color="000000"/>
              <w:bottom w:val="single" w:sz="4" w:space="0" w:color="000000"/>
              <w:right w:val="single" w:sz="4" w:space="0" w:color="000000"/>
            </w:tcBorders>
          </w:tcPr>
          <w:p>
            <w:pPr/>
          </w:p>
        </w:tc>
        <w:tc>
          <w:tcPr>
            <w:tcW w:w="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4"/>
                <w:szCs w:val="14"/>
              </w:rPr>
            </w:pPr>
          </w:p>
          <w:p>
            <w:pPr>
              <w:pStyle w:val="TableParagraph"/>
              <w:spacing w:line="319" w:lineRule="auto"/>
              <w:ind w:left="22" w:right="71"/>
              <w:jc w:val="left"/>
              <w:rPr>
                <w:rFonts w:ascii="宋体" w:hAnsi="宋体" w:cs="宋体" w:eastAsia="宋体" w:hint="default"/>
                <w:sz w:val="18"/>
                <w:szCs w:val="18"/>
              </w:rPr>
            </w:pPr>
            <w:r>
              <w:rPr>
                <w:rFonts w:ascii="宋体" w:hAnsi="宋体" w:cs="宋体" w:eastAsia="宋体" w:hint="default"/>
                <w:sz w:val="18"/>
                <w:szCs w:val="18"/>
              </w:rPr>
              <w:t>不适 用</w:t>
            </w:r>
          </w:p>
        </w:tc>
        <w:tc>
          <w:tcPr>
            <w:tcW w:w="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7"/>
              <w:ind w:left="22"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2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319" w:lineRule="auto"/>
              <w:ind w:left="22" w:right="22"/>
              <w:jc w:val="both"/>
              <w:rPr>
                <w:rFonts w:ascii="宋体" w:hAnsi="宋体" w:cs="宋体" w:eastAsia="宋体" w:hint="default"/>
                <w:sz w:val="18"/>
                <w:szCs w:val="18"/>
              </w:rPr>
            </w:pPr>
            <w:r>
              <w:rPr>
                <w:rFonts w:ascii="宋体" w:hAnsi="宋体" w:cs="宋体" w:eastAsia="宋体" w:hint="default"/>
                <w:spacing w:val="-13"/>
                <w:sz w:val="18"/>
                <w:szCs w:val="18"/>
              </w:rPr>
              <w:t>刊登于《中国证券报》、《证券</w:t>
            </w:r>
            <w:r>
              <w:rPr>
                <w:rFonts w:ascii="宋体" w:hAnsi="宋体" w:cs="宋体" w:eastAsia="宋体" w:hint="default"/>
                <w:sz w:val="18"/>
                <w:szCs w:val="18"/>
              </w:rPr>
              <w:t> </w:t>
            </w:r>
            <w:r>
              <w:rPr>
                <w:rFonts w:ascii="宋体" w:hAnsi="宋体" w:cs="宋体" w:eastAsia="宋体" w:hint="default"/>
                <w:spacing w:val="-23"/>
                <w:sz w:val="18"/>
                <w:szCs w:val="18"/>
              </w:rPr>
              <w:t>时报》、《上海证券报、《证券日</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报》及巨潮资讯网的《关于变 更部分募集资金投资项目的公 告》</w:t>
            </w:r>
          </w:p>
        </w:tc>
      </w:tr>
    </w:tbl>
    <w:p>
      <w:pPr>
        <w:spacing w:after="0" w:line="319" w:lineRule="auto"/>
        <w:jc w:val="both"/>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788"/>
        <w:gridCol w:w="284"/>
        <w:gridCol w:w="366"/>
        <w:gridCol w:w="349"/>
        <w:gridCol w:w="1210"/>
        <w:gridCol w:w="1307"/>
        <w:gridCol w:w="366"/>
        <w:gridCol w:w="626"/>
        <w:gridCol w:w="408"/>
        <w:gridCol w:w="553"/>
        <w:gridCol w:w="464"/>
        <w:gridCol w:w="519"/>
        <w:gridCol w:w="2426"/>
      </w:tblGrid>
      <w:tr>
        <w:trPr>
          <w:trHeight w:val="986" w:hRule="exact"/>
        </w:trPr>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284" w:type="dxa"/>
            <w:tcBorders>
              <w:top w:val="single" w:sz="4" w:space="0" w:color="000000"/>
              <w:left w:val="single" w:sz="4" w:space="0" w:color="000000"/>
              <w:bottom w:val="single" w:sz="4" w:space="0" w:color="000000"/>
              <w:right w:val="single" w:sz="4" w:space="0" w:color="000000"/>
            </w:tcBorders>
          </w:tcPr>
          <w:p>
            <w:pPr/>
          </w:p>
        </w:tc>
        <w:tc>
          <w:tcPr>
            <w:tcW w:w="366" w:type="dxa"/>
            <w:tcBorders>
              <w:top w:val="single" w:sz="4" w:space="0" w:color="000000"/>
              <w:left w:val="single" w:sz="4" w:space="0" w:color="000000"/>
              <w:bottom w:val="single" w:sz="4" w:space="0" w:color="000000"/>
              <w:right w:val="single" w:sz="4" w:space="0" w:color="000000"/>
            </w:tcBorders>
          </w:tcPr>
          <w:p>
            <w:pPr/>
          </w:p>
        </w:tc>
        <w:tc>
          <w:tcPr>
            <w:tcW w:w="349" w:type="dxa"/>
            <w:tcBorders>
              <w:top w:val="single" w:sz="4" w:space="0" w:color="000000"/>
              <w:left w:val="single" w:sz="4" w:space="0" w:color="000000"/>
              <w:bottom w:val="single" w:sz="4" w:space="0" w:color="000000"/>
              <w:right w:val="single" w:sz="4" w:space="0" w:color="000000"/>
            </w:tcBorders>
          </w:tcPr>
          <w:p>
            <w:pPr/>
          </w:p>
        </w:tc>
        <w:tc>
          <w:tcPr>
            <w:tcW w:w="1210" w:type="dxa"/>
            <w:tcBorders>
              <w:top w:val="single" w:sz="4" w:space="0" w:color="000000"/>
              <w:left w:val="single" w:sz="4" w:space="0" w:color="000000"/>
              <w:bottom w:val="single" w:sz="4" w:space="0" w:color="000000"/>
              <w:right w:val="single" w:sz="4" w:space="0" w:color="000000"/>
            </w:tcBorders>
          </w:tcPr>
          <w:p>
            <w:pPr/>
          </w:p>
        </w:tc>
        <w:tc>
          <w:tcPr>
            <w:tcW w:w="1307" w:type="dxa"/>
            <w:tcBorders>
              <w:top w:val="single" w:sz="4" w:space="0" w:color="000000"/>
              <w:left w:val="single" w:sz="4" w:space="0" w:color="000000"/>
              <w:bottom w:val="single" w:sz="4" w:space="0" w:color="000000"/>
              <w:right w:val="single" w:sz="4" w:space="0" w:color="000000"/>
            </w:tcBorders>
          </w:tcPr>
          <w:p>
            <w:pPr/>
          </w:p>
        </w:tc>
        <w:tc>
          <w:tcPr>
            <w:tcW w:w="3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51"/>
              <w:jc w:val="both"/>
              <w:rPr>
                <w:rFonts w:ascii="宋体" w:hAnsi="宋体" w:cs="宋体" w:eastAsia="宋体" w:hint="default"/>
                <w:sz w:val="18"/>
                <w:szCs w:val="18"/>
              </w:rPr>
            </w:pPr>
            <w:r>
              <w:rPr>
                <w:rFonts w:ascii="宋体" w:hAnsi="宋体" w:cs="宋体" w:eastAsia="宋体" w:hint="default"/>
                <w:sz w:val="18"/>
                <w:szCs w:val="18"/>
              </w:rPr>
              <w:t>集 资 金</w:t>
            </w:r>
          </w:p>
        </w:tc>
        <w:tc>
          <w:tcPr>
            <w:tcW w:w="626" w:type="dxa"/>
            <w:tcBorders>
              <w:top w:val="single" w:sz="4" w:space="0" w:color="000000"/>
              <w:left w:val="single" w:sz="4" w:space="0" w:color="000000"/>
              <w:bottom w:val="single" w:sz="4" w:space="0" w:color="000000"/>
              <w:right w:val="single" w:sz="4" w:space="0" w:color="000000"/>
            </w:tcBorders>
          </w:tcPr>
          <w:p>
            <w:pPr/>
          </w:p>
        </w:tc>
        <w:tc>
          <w:tcPr>
            <w:tcW w:w="408" w:type="dxa"/>
            <w:tcBorders>
              <w:top w:val="single" w:sz="4" w:space="0" w:color="000000"/>
              <w:left w:val="single" w:sz="4" w:space="0" w:color="000000"/>
              <w:bottom w:val="single" w:sz="4" w:space="0" w:color="000000"/>
              <w:right w:val="single" w:sz="4" w:space="0" w:color="000000"/>
            </w:tcBorders>
          </w:tcPr>
          <w:p>
            <w:pPr/>
          </w:p>
        </w:tc>
        <w:tc>
          <w:tcPr>
            <w:tcW w:w="553" w:type="dxa"/>
            <w:tcBorders>
              <w:top w:val="single" w:sz="4" w:space="0" w:color="000000"/>
              <w:left w:val="single" w:sz="4" w:space="0" w:color="000000"/>
              <w:bottom w:val="single" w:sz="4" w:space="0" w:color="000000"/>
              <w:right w:val="single" w:sz="4" w:space="0" w:color="000000"/>
            </w:tcBorders>
          </w:tcPr>
          <w:p>
            <w:pPr/>
          </w:p>
        </w:tc>
        <w:tc>
          <w:tcPr>
            <w:tcW w:w="464" w:type="dxa"/>
            <w:tcBorders>
              <w:top w:val="single" w:sz="4" w:space="0" w:color="000000"/>
              <w:left w:val="single" w:sz="4" w:space="0" w:color="000000"/>
              <w:bottom w:val="single" w:sz="4" w:space="0" w:color="000000"/>
              <w:right w:val="single" w:sz="4" w:space="0" w:color="000000"/>
            </w:tcBorders>
          </w:tcPr>
          <w:p>
            <w:pPr/>
          </w:p>
        </w:tc>
        <w:tc>
          <w:tcPr>
            <w:tcW w:w="519" w:type="dxa"/>
            <w:tcBorders>
              <w:top w:val="single" w:sz="4" w:space="0" w:color="000000"/>
              <w:left w:val="single" w:sz="4" w:space="0" w:color="000000"/>
              <w:bottom w:val="single" w:sz="4" w:space="0" w:color="000000"/>
              <w:right w:val="single" w:sz="4" w:space="0" w:color="000000"/>
            </w:tcBorders>
          </w:tcPr>
          <w:p>
            <w:pPr/>
          </w:p>
        </w:tc>
        <w:tc>
          <w:tcPr>
            <w:tcW w:w="2426"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33"/>
              <w:jc w:val="both"/>
              <w:rPr>
                <w:rFonts w:ascii="宋体" w:hAnsi="宋体" w:cs="宋体" w:eastAsia="宋体" w:hint="default"/>
                <w:sz w:val="18"/>
                <w:szCs w:val="18"/>
              </w:rPr>
            </w:pPr>
            <w:r>
              <w:rPr>
                <w:rFonts w:ascii="宋体" w:hAnsi="宋体" w:cs="宋体" w:eastAsia="宋体" w:hint="default"/>
                <w:sz w:val="18"/>
                <w:szCs w:val="18"/>
              </w:rPr>
              <w:t>安徽新型 材料精品 包装及智 能化升级 项目</w:t>
            </w:r>
          </w:p>
        </w:tc>
        <w:tc>
          <w:tcPr>
            <w:tcW w:w="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2" w:right="71"/>
              <w:jc w:val="left"/>
              <w:rPr>
                <w:rFonts w:ascii="宋体" w:hAnsi="宋体" w:cs="宋体" w:eastAsia="宋体" w:hint="default"/>
                <w:sz w:val="18"/>
                <w:szCs w:val="18"/>
              </w:rPr>
            </w:pPr>
            <w:r>
              <w:rPr>
                <w:rFonts w:ascii="宋体" w:hAnsi="宋体" w:cs="宋体" w:eastAsia="宋体" w:hint="default"/>
                <w:sz w:val="18"/>
                <w:szCs w:val="18"/>
              </w:rPr>
              <w:t>自 建</w:t>
            </w:r>
          </w:p>
        </w:tc>
        <w:tc>
          <w:tcPr>
            <w:tcW w:w="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151"/>
              <w:jc w:val="right"/>
              <w:rPr>
                <w:rFonts w:ascii="宋体" w:hAnsi="宋体" w:cs="宋体" w:eastAsia="宋体" w:hint="default"/>
                <w:sz w:val="18"/>
                <w:szCs w:val="18"/>
              </w:rPr>
            </w:pPr>
            <w:r>
              <w:rPr>
                <w:rFonts w:ascii="宋体" w:hAnsi="宋体" w:cs="宋体" w:eastAsia="宋体" w:hint="default"/>
                <w:sz w:val="18"/>
                <w:szCs w:val="18"/>
              </w:rPr>
              <w:t>是</w:t>
            </w:r>
          </w:p>
        </w:tc>
        <w:tc>
          <w:tcPr>
            <w:tcW w:w="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 w:right="134"/>
              <w:jc w:val="both"/>
              <w:rPr>
                <w:rFonts w:ascii="宋体" w:hAnsi="宋体" w:cs="宋体" w:eastAsia="宋体" w:hint="default"/>
                <w:sz w:val="18"/>
                <w:szCs w:val="18"/>
              </w:rPr>
            </w:pPr>
            <w:r>
              <w:rPr>
                <w:rFonts w:ascii="宋体" w:hAnsi="宋体" w:cs="宋体" w:eastAsia="宋体" w:hint="default"/>
                <w:sz w:val="18"/>
                <w:szCs w:val="18"/>
              </w:rPr>
              <w:t>制 造 业</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25,251,000.00</w:t>
            </w:r>
          </w:p>
        </w:tc>
        <w:tc>
          <w:tcPr>
            <w:tcW w:w="13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29,067,850.00</w:t>
            </w:r>
          </w:p>
        </w:tc>
        <w:tc>
          <w:tcPr>
            <w:tcW w:w="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151"/>
              <w:jc w:val="both"/>
              <w:rPr>
                <w:rFonts w:ascii="宋体" w:hAnsi="宋体" w:cs="宋体" w:eastAsia="宋体" w:hint="default"/>
                <w:sz w:val="18"/>
                <w:szCs w:val="18"/>
              </w:rPr>
            </w:pPr>
            <w:r>
              <w:rPr>
                <w:rFonts w:ascii="宋体" w:hAnsi="宋体" w:cs="宋体" w:eastAsia="宋体" w:hint="default"/>
                <w:sz w:val="18"/>
                <w:szCs w:val="18"/>
              </w:rPr>
              <w:t>募 集 资 金</w:t>
            </w:r>
          </w:p>
        </w:tc>
        <w:tc>
          <w:tcPr>
            <w:tcW w:w="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36.42%</w:t>
            </w:r>
          </w:p>
        </w:tc>
        <w:tc>
          <w:tcPr>
            <w:tcW w:w="408" w:type="dxa"/>
            <w:tcBorders>
              <w:top w:val="single" w:sz="4" w:space="0" w:color="000000"/>
              <w:left w:val="single" w:sz="4" w:space="0" w:color="000000"/>
              <w:bottom w:val="single" w:sz="4" w:space="0" w:color="000000"/>
              <w:right w:val="single" w:sz="4" w:space="0" w:color="000000"/>
            </w:tcBorders>
          </w:tcPr>
          <w:p>
            <w:pPr/>
          </w:p>
        </w:tc>
        <w:tc>
          <w:tcPr>
            <w:tcW w:w="553" w:type="dxa"/>
            <w:tcBorders>
              <w:top w:val="single" w:sz="4" w:space="0" w:color="000000"/>
              <w:left w:val="single" w:sz="4" w:space="0" w:color="000000"/>
              <w:bottom w:val="single" w:sz="4" w:space="0" w:color="000000"/>
              <w:right w:val="single" w:sz="4" w:space="0" w:color="000000"/>
            </w:tcBorders>
          </w:tcPr>
          <w:p>
            <w:pPr/>
          </w:p>
        </w:tc>
        <w:tc>
          <w:tcPr>
            <w:tcW w:w="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2" w:right="71"/>
              <w:jc w:val="left"/>
              <w:rPr>
                <w:rFonts w:ascii="宋体" w:hAnsi="宋体" w:cs="宋体" w:eastAsia="宋体" w:hint="default"/>
                <w:sz w:val="18"/>
                <w:szCs w:val="18"/>
              </w:rPr>
            </w:pPr>
            <w:r>
              <w:rPr>
                <w:rFonts w:ascii="宋体" w:hAnsi="宋体" w:cs="宋体" w:eastAsia="宋体" w:hint="default"/>
                <w:sz w:val="18"/>
                <w:szCs w:val="18"/>
              </w:rPr>
              <w:t>不适 用</w:t>
            </w:r>
          </w:p>
        </w:tc>
        <w:tc>
          <w:tcPr>
            <w:tcW w:w="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2016</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242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20"/>
              <w:jc w:val="both"/>
              <w:rPr>
                <w:rFonts w:ascii="宋体" w:hAnsi="宋体" w:cs="宋体" w:eastAsia="宋体" w:hint="default"/>
                <w:sz w:val="18"/>
                <w:szCs w:val="18"/>
              </w:rPr>
            </w:pPr>
            <w:r>
              <w:rPr>
                <w:rFonts w:ascii="宋体" w:hAnsi="宋体" w:cs="宋体" w:eastAsia="宋体" w:hint="default"/>
                <w:spacing w:val="-13"/>
                <w:sz w:val="18"/>
                <w:szCs w:val="18"/>
              </w:rPr>
              <w:t>刊登于《中国证券报》、《证券</w:t>
            </w:r>
            <w:r>
              <w:rPr>
                <w:rFonts w:ascii="宋体" w:hAnsi="宋体" w:cs="宋体" w:eastAsia="宋体" w:hint="default"/>
                <w:sz w:val="18"/>
                <w:szCs w:val="18"/>
              </w:rPr>
              <w:t> </w:t>
            </w:r>
            <w:r>
              <w:rPr>
                <w:rFonts w:ascii="宋体" w:hAnsi="宋体" w:cs="宋体" w:eastAsia="宋体" w:hint="default"/>
                <w:spacing w:val="-23"/>
                <w:sz w:val="18"/>
                <w:szCs w:val="18"/>
              </w:rPr>
              <w:t>时报》、《上海证券报、《证券日</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报》及巨潮资讯网的《非公开 发行</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股股票募集资金使用的 可行性分析报告》</w:t>
            </w:r>
          </w:p>
        </w:tc>
      </w:tr>
      <w:tr>
        <w:trPr>
          <w:trHeight w:val="1650" w:hRule="exact"/>
        </w:trPr>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33"/>
              <w:jc w:val="both"/>
              <w:rPr>
                <w:rFonts w:ascii="宋体" w:hAnsi="宋体" w:cs="宋体" w:eastAsia="宋体" w:hint="default"/>
                <w:sz w:val="18"/>
                <w:szCs w:val="18"/>
              </w:rPr>
            </w:pPr>
            <w:r>
              <w:rPr>
                <w:rFonts w:ascii="宋体" w:hAnsi="宋体" w:cs="宋体" w:eastAsia="宋体" w:hint="default"/>
                <w:sz w:val="18"/>
                <w:szCs w:val="18"/>
              </w:rPr>
              <w:t>贵州新型 材料精品 包装及智 能化升级 项目</w:t>
            </w:r>
          </w:p>
        </w:tc>
        <w:tc>
          <w:tcPr>
            <w:tcW w:w="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2" w:right="71"/>
              <w:jc w:val="left"/>
              <w:rPr>
                <w:rFonts w:ascii="宋体" w:hAnsi="宋体" w:cs="宋体" w:eastAsia="宋体" w:hint="default"/>
                <w:sz w:val="18"/>
                <w:szCs w:val="18"/>
              </w:rPr>
            </w:pPr>
            <w:r>
              <w:rPr>
                <w:rFonts w:ascii="宋体" w:hAnsi="宋体" w:cs="宋体" w:eastAsia="宋体" w:hint="default"/>
                <w:sz w:val="18"/>
                <w:szCs w:val="18"/>
              </w:rPr>
              <w:t>自 建</w:t>
            </w:r>
          </w:p>
        </w:tc>
        <w:tc>
          <w:tcPr>
            <w:tcW w:w="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151"/>
              <w:jc w:val="right"/>
              <w:rPr>
                <w:rFonts w:ascii="宋体" w:hAnsi="宋体" w:cs="宋体" w:eastAsia="宋体" w:hint="default"/>
                <w:sz w:val="18"/>
                <w:szCs w:val="18"/>
              </w:rPr>
            </w:pPr>
            <w:r>
              <w:rPr>
                <w:rFonts w:ascii="宋体" w:hAnsi="宋体" w:cs="宋体" w:eastAsia="宋体" w:hint="default"/>
                <w:sz w:val="18"/>
                <w:szCs w:val="18"/>
              </w:rPr>
              <w:t>是</w:t>
            </w:r>
          </w:p>
        </w:tc>
        <w:tc>
          <w:tcPr>
            <w:tcW w:w="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 w:right="134"/>
              <w:jc w:val="both"/>
              <w:rPr>
                <w:rFonts w:ascii="宋体" w:hAnsi="宋体" w:cs="宋体" w:eastAsia="宋体" w:hint="default"/>
                <w:sz w:val="18"/>
                <w:szCs w:val="18"/>
              </w:rPr>
            </w:pPr>
            <w:r>
              <w:rPr>
                <w:rFonts w:ascii="宋体" w:hAnsi="宋体" w:cs="宋体" w:eastAsia="宋体" w:hint="default"/>
                <w:sz w:val="18"/>
                <w:szCs w:val="18"/>
              </w:rPr>
              <w:t>制 造 业</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5,558,027.22</w:t>
            </w:r>
          </w:p>
        </w:tc>
        <w:tc>
          <w:tcPr>
            <w:tcW w:w="13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54,114,790.60</w:t>
            </w:r>
          </w:p>
        </w:tc>
        <w:tc>
          <w:tcPr>
            <w:tcW w:w="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151"/>
              <w:jc w:val="both"/>
              <w:rPr>
                <w:rFonts w:ascii="宋体" w:hAnsi="宋体" w:cs="宋体" w:eastAsia="宋体" w:hint="default"/>
                <w:sz w:val="18"/>
                <w:szCs w:val="18"/>
              </w:rPr>
            </w:pPr>
            <w:r>
              <w:rPr>
                <w:rFonts w:ascii="宋体" w:hAnsi="宋体" w:cs="宋体" w:eastAsia="宋体" w:hint="default"/>
                <w:sz w:val="18"/>
                <w:szCs w:val="18"/>
              </w:rPr>
              <w:t>募 集 资 金</w:t>
            </w:r>
          </w:p>
        </w:tc>
        <w:tc>
          <w:tcPr>
            <w:tcW w:w="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56.47%</w:t>
            </w:r>
          </w:p>
        </w:tc>
        <w:tc>
          <w:tcPr>
            <w:tcW w:w="408" w:type="dxa"/>
            <w:tcBorders>
              <w:top w:val="single" w:sz="4" w:space="0" w:color="000000"/>
              <w:left w:val="single" w:sz="4" w:space="0" w:color="000000"/>
              <w:bottom w:val="single" w:sz="4" w:space="0" w:color="000000"/>
              <w:right w:val="single" w:sz="4" w:space="0" w:color="000000"/>
            </w:tcBorders>
          </w:tcPr>
          <w:p>
            <w:pPr/>
          </w:p>
        </w:tc>
        <w:tc>
          <w:tcPr>
            <w:tcW w:w="553" w:type="dxa"/>
            <w:tcBorders>
              <w:top w:val="single" w:sz="4" w:space="0" w:color="000000"/>
              <w:left w:val="single" w:sz="4" w:space="0" w:color="000000"/>
              <w:bottom w:val="single" w:sz="4" w:space="0" w:color="000000"/>
              <w:right w:val="single" w:sz="4" w:space="0" w:color="000000"/>
            </w:tcBorders>
          </w:tcPr>
          <w:p>
            <w:pPr/>
          </w:p>
        </w:tc>
        <w:tc>
          <w:tcPr>
            <w:tcW w:w="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2" w:right="71"/>
              <w:jc w:val="left"/>
              <w:rPr>
                <w:rFonts w:ascii="宋体" w:hAnsi="宋体" w:cs="宋体" w:eastAsia="宋体" w:hint="default"/>
                <w:sz w:val="18"/>
                <w:szCs w:val="18"/>
              </w:rPr>
            </w:pPr>
            <w:r>
              <w:rPr>
                <w:rFonts w:ascii="宋体" w:hAnsi="宋体" w:cs="宋体" w:eastAsia="宋体" w:hint="default"/>
                <w:sz w:val="18"/>
                <w:szCs w:val="18"/>
              </w:rPr>
              <w:t>不适 用</w:t>
            </w:r>
          </w:p>
        </w:tc>
        <w:tc>
          <w:tcPr>
            <w:tcW w:w="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2016</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242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20"/>
              <w:jc w:val="both"/>
              <w:rPr>
                <w:rFonts w:ascii="宋体" w:hAnsi="宋体" w:cs="宋体" w:eastAsia="宋体" w:hint="default"/>
                <w:sz w:val="18"/>
                <w:szCs w:val="18"/>
              </w:rPr>
            </w:pPr>
            <w:r>
              <w:rPr>
                <w:rFonts w:ascii="宋体" w:hAnsi="宋体" w:cs="宋体" w:eastAsia="宋体" w:hint="default"/>
                <w:spacing w:val="-13"/>
                <w:sz w:val="18"/>
                <w:szCs w:val="18"/>
              </w:rPr>
              <w:t>刊登于《中国证券报》、《证券</w:t>
            </w:r>
            <w:r>
              <w:rPr>
                <w:rFonts w:ascii="宋体" w:hAnsi="宋体" w:cs="宋体" w:eastAsia="宋体" w:hint="default"/>
                <w:sz w:val="18"/>
                <w:szCs w:val="18"/>
              </w:rPr>
              <w:t> </w:t>
            </w:r>
            <w:r>
              <w:rPr>
                <w:rFonts w:ascii="宋体" w:hAnsi="宋体" w:cs="宋体" w:eastAsia="宋体" w:hint="default"/>
                <w:spacing w:val="-23"/>
                <w:sz w:val="18"/>
                <w:szCs w:val="18"/>
              </w:rPr>
              <w:t>时报》、《上海证券报、《证券日</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报》及巨潮资讯网的《非公开 发行</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股股票募集资金使用的 可行性分析报告》</w:t>
            </w:r>
          </w:p>
        </w:tc>
      </w:tr>
      <w:tr>
        <w:trPr>
          <w:trHeight w:val="1962" w:hRule="exact"/>
        </w:trPr>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33"/>
              <w:jc w:val="both"/>
              <w:rPr>
                <w:rFonts w:ascii="宋体" w:hAnsi="宋体" w:cs="宋体" w:eastAsia="宋体" w:hint="default"/>
                <w:sz w:val="18"/>
                <w:szCs w:val="18"/>
              </w:rPr>
            </w:pPr>
            <w:r>
              <w:rPr>
                <w:rFonts w:ascii="宋体" w:hAnsi="宋体" w:cs="宋体" w:eastAsia="宋体" w:hint="default"/>
                <w:sz w:val="18"/>
                <w:szCs w:val="18"/>
              </w:rPr>
              <w:t>江苏新型 材料精品 包装及智 能化升级 技术改造 项目</w:t>
            </w:r>
          </w:p>
        </w:tc>
        <w:tc>
          <w:tcPr>
            <w:tcW w:w="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22" w:right="71"/>
              <w:jc w:val="left"/>
              <w:rPr>
                <w:rFonts w:ascii="宋体" w:hAnsi="宋体" w:cs="宋体" w:eastAsia="宋体" w:hint="default"/>
                <w:sz w:val="18"/>
                <w:szCs w:val="18"/>
              </w:rPr>
            </w:pPr>
            <w:r>
              <w:rPr>
                <w:rFonts w:ascii="宋体" w:hAnsi="宋体" w:cs="宋体" w:eastAsia="宋体" w:hint="default"/>
                <w:sz w:val="18"/>
                <w:szCs w:val="18"/>
              </w:rPr>
              <w:t>自 建</w:t>
            </w:r>
          </w:p>
        </w:tc>
        <w:tc>
          <w:tcPr>
            <w:tcW w:w="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right="151"/>
              <w:jc w:val="right"/>
              <w:rPr>
                <w:rFonts w:ascii="宋体" w:hAnsi="宋体" w:cs="宋体" w:eastAsia="宋体" w:hint="default"/>
                <w:sz w:val="18"/>
                <w:szCs w:val="18"/>
              </w:rPr>
            </w:pPr>
            <w:r>
              <w:rPr>
                <w:rFonts w:ascii="宋体" w:hAnsi="宋体" w:cs="宋体" w:eastAsia="宋体" w:hint="default"/>
                <w:sz w:val="18"/>
                <w:szCs w:val="18"/>
              </w:rPr>
              <w:t>是</w:t>
            </w:r>
          </w:p>
        </w:tc>
        <w:tc>
          <w:tcPr>
            <w:tcW w:w="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2" w:right="134"/>
              <w:jc w:val="both"/>
              <w:rPr>
                <w:rFonts w:ascii="宋体" w:hAnsi="宋体" w:cs="宋体" w:eastAsia="宋体" w:hint="default"/>
                <w:sz w:val="18"/>
                <w:szCs w:val="18"/>
              </w:rPr>
            </w:pPr>
            <w:r>
              <w:rPr>
                <w:rFonts w:ascii="宋体" w:hAnsi="宋体" w:cs="宋体" w:eastAsia="宋体" w:hint="default"/>
                <w:sz w:val="18"/>
                <w:szCs w:val="18"/>
              </w:rPr>
              <w:t>制 造 业</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2,209,498.00</w:t>
            </w:r>
          </w:p>
        </w:tc>
        <w:tc>
          <w:tcPr>
            <w:tcW w:w="13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27,977,598.00</w:t>
            </w:r>
          </w:p>
        </w:tc>
        <w:tc>
          <w:tcPr>
            <w:tcW w:w="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 w:right="151"/>
              <w:jc w:val="both"/>
              <w:rPr>
                <w:rFonts w:ascii="宋体" w:hAnsi="宋体" w:cs="宋体" w:eastAsia="宋体" w:hint="default"/>
                <w:sz w:val="18"/>
                <w:szCs w:val="18"/>
              </w:rPr>
            </w:pPr>
            <w:r>
              <w:rPr>
                <w:rFonts w:ascii="宋体" w:hAnsi="宋体" w:cs="宋体" w:eastAsia="宋体" w:hint="default"/>
                <w:sz w:val="18"/>
                <w:szCs w:val="18"/>
              </w:rPr>
              <w:t>募 集 资 金</w:t>
            </w:r>
          </w:p>
        </w:tc>
        <w:tc>
          <w:tcPr>
            <w:tcW w:w="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33.62%</w:t>
            </w:r>
          </w:p>
        </w:tc>
        <w:tc>
          <w:tcPr>
            <w:tcW w:w="408" w:type="dxa"/>
            <w:tcBorders>
              <w:top w:val="single" w:sz="4" w:space="0" w:color="000000"/>
              <w:left w:val="single" w:sz="4" w:space="0" w:color="000000"/>
              <w:bottom w:val="single" w:sz="4" w:space="0" w:color="000000"/>
              <w:right w:val="single" w:sz="4" w:space="0" w:color="000000"/>
            </w:tcBorders>
          </w:tcPr>
          <w:p>
            <w:pPr/>
          </w:p>
        </w:tc>
        <w:tc>
          <w:tcPr>
            <w:tcW w:w="553" w:type="dxa"/>
            <w:tcBorders>
              <w:top w:val="single" w:sz="4" w:space="0" w:color="000000"/>
              <w:left w:val="single" w:sz="4" w:space="0" w:color="000000"/>
              <w:bottom w:val="single" w:sz="4" w:space="0" w:color="000000"/>
              <w:right w:val="single" w:sz="4" w:space="0" w:color="000000"/>
            </w:tcBorders>
          </w:tcPr>
          <w:p>
            <w:pPr/>
          </w:p>
        </w:tc>
        <w:tc>
          <w:tcPr>
            <w:tcW w:w="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22" w:right="71"/>
              <w:jc w:val="left"/>
              <w:rPr>
                <w:rFonts w:ascii="宋体" w:hAnsi="宋体" w:cs="宋体" w:eastAsia="宋体" w:hint="default"/>
                <w:sz w:val="18"/>
                <w:szCs w:val="18"/>
              </w:rPr>
            </w:pPr>
            <w:r>
              <w:rPr>
                <w:rFonts w:ascii="宋体" w:hAnsi="宋体" w:cs="宋体" w:eastAsia="宋体" w:hint="default"/>
                <w:sz w:val="18"/>
                <w:szCs w:val="18"/>
              </w:rPr>
              <w:t>不适 用</w:t>
            </w:r>
          </w:p>
        </w:tc>
        <w:tc>
          <w:tcPr>
            <w:tcW w:w="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2016</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2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4" w:lineRule="auto"/>
              <w:ind w:left="22" w:right="20"/>
              <w:jc w:val="both"/>
              <w:rPr>
                <w:rFonts w:ascii="宋体" w:hAnsi="宋体" w:cs="宋体" w:eastAsia="宋体" w:hint="default"/>
                <w:sz w:val="18"/>
                <w:szCs w:val="18"/>
              </w:rPr>
            </w:pPr>
            <w:r>
              <w:rPr>
                <w:rFonts w:ascii="宋体" w:hAnsi="宋体" w:cs="宋体" w:eastAsia="宋体" w:hint="default"/>
                <w:spacing w:val="-13"/>
                <w:sz w:val="18"/>
                <w:szCs w:val="18"/>
              </w:rPr>
              <w:t>刊登于《中国证券报》、《证券</w:t>
            </w:r>
            <w:r>
              <w:rPr>
                <w:rFonts w:ascii="宋体" w:hAnsi="宋体" w:cs="宋体" w:eastAsia="宋体" w:hint="default"/>
                <w:sz w:val="18"/>
                <w:szCs w:val="18"/>
              </w:rPr>
              <w:t> </w:t>
            </w:r>
            <w:r>
              <w:rPr>
                <w:rFonts w:ascii="宋体" w:hAnsi="宋体" w:cs="宋体" w:eastAsia="宋体" w:hint="default"/>
                <w:spacing w:val="-23"/>
                <w:sz w:val="18"/>
                <w:szCs w:val="18"/>
              </w:rPr>
              <w:t>时报》、《上海证券报、《证券日</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报》及巨潮资讯网的《非公开 发行</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股股票募集资金使用的 可行性分析报告》</w:t>
            </w:r>
          </w:p>
        </w:tc>
      </w:tr>
      <w:tr>
        <w:trPr>
          <w:trHeight w:val="1650" w:hRule="exact"/>
        </w:trPr>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2" w:right="33"/>
              <w:jc w:val="both"/>
              <w:rPr>
                <w:rFonts w:ascii="宋体" w:hAnsi="宋体" w:cs="宋体" w:eastAsia="宋体" w:hint="default"/>
                <w:sz w:val="18"/>
                <w:szCs w:val="18"/>
              </w:rPr>
            </w:pPr>
            <w:r>
              <w:rPr>
                <w:rFonts w:ascii="宋体" w:hAnsi="宋体" w:cs="宋体" w:eastAsia="宋体" w:hint="default"/>
                <w:sz w:val="18"/>
                <w:szCs w:val="18"/>
              </w:rPr>
              <w:t>劲嘉智能 化包装升 级项目</w:t>
            </w:r>
          </w:p>
        </w:tc>
        <w:tc>
          <w:tcPr>
            <w:tcW w:w="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2" w:right="71"/>
              <w:jc w:val="left"/>
              <w:rPr>
                <w:rFonts w:ascii="宋体" w:hAnsi="宋体" w:cs="宋体" w:eastAsia="宋体" w:hint="default"/>
                <w:sz w:val="18"/>
                <w:szCs w:val="18"/>
              </w:rPr>
            </w:pPr>
            <w:r>
              <w:rPr>
                <w:rFonts w:ascii="宋体" w:hAnsi="宋体" w:cs="宋体" w:eastAsia="宋体" w:hint="default"/>
                <w:sz w:val="18"/>
                <w:szCs w:val="18"/>
              </w:rPr>
              <w:t>自 建</w:t>
            </w:r>
          </w:p>
        </w:tc>
        <w:tc>
          <w:tcPr>
            <w:tcW w:w="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151"/>
              <w:jc w:val="right"/>
              <w:rPr>
                <w:rFonts w:ascii="宋体" w:hAnsi="宋体" w:cs="宋体" w:eastAsia="宋体" w:hint="default"/>
                <w:sz w:val="18"/>
                <w:szCs w:val="18"/>
              </w:rPr>
            </w:pPr>
            <w:r>
              <w:rPr>
                <w:rFonts w:ascii="宋体" w:hAnsi="宋体" w:cs="宋体" w:eastAsia="宋体" w:hint="default"/>
                <w:sz w:val="18"/>
                <w:szCs w:val="18"/>
              </w:rPr>
              <w:t>是</w:t>
            </w:r>
          </w:p>
        </w:tc>
        <w:tc>
          <w:tcPr>
            <w:tcW w:w="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2" w:right="134"/>
              <w:jc w:val="both"/>
              <w:rPr>
                <w:rFonts w:ascii="宋体" w:hAnsi="宋体" w:cs="宋体" w:eastAsia="宋体" w:hint="default"/>
                <w:sz w:val="18"/>
                <w:szCs w:val="18"/>
              </w:rPr>
            </w:pPr>
            <w:r>
              <w:rPr>
                <w:rFonts w:ascii="宋体" w:hAnsi="宋体" w:cs="宋体" w:eastAsia="宋体" w:hint="default"/>
                <w:sz w:val="18"/>
                <w:szCs w:val="18"/>
              </w:rPr>
              <w:t>制 造 业</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41,184,785.67</w:t>
            </w:r>
          </w:p>
        </w:tc>
        <w:tc>
          <w:tcPr>
            <w:tcW w:w="13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106,351,811.55</w:t>
            </w:r>
          </w:p>
        </w:tc>
        <w:tc>
          <w:tcPr>
            <w:tcW w:w="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151"/>
              <w:jc w:val="both"/>
              <w:rPr>
                <w:rFonts w:ascii="宋体" w:hAnsi="宋体" w:cs="宋体" w:eastAsia="宋体" w:hint="default"/>
                <w:sz w:val="18"/>
                <w:szCs w:val="18"/>
              </w:rPr>
            </w:pPr>
            <w:r>
              <w:rPr>
                <w:rFonts w:ascii="宋体" w:hAnsi="宋体" w:cs="宋体" w:eastAsia="宋体" w:hint="default"/>
                <w:sz w:val="18"/>
                <w:szCs w:val="18"/>
              </w:rPr>
              <w:t>募 集 资 金</w:t>
            </w:r>
          </w:p>
        </w:tc>
        <w:tc>
          <w:tcPr>
            <w:tcW w:w="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70.25%</w:t>
            </w:r>
          </w:p>
        </w:tc>
        <w:tc>
          <w:tcPr>
            <w:tcW w:w="408" w:type="dxa"/>
            <w:tcBorders>
              <w:top w:val="single" w:sz="4" w:space="0" w:color="000000"/>
              <w:left w:val="single" w:sz="4" w:space="0" w:color="000000"/>
              <w:bottom w:val="single" w:sz="4" w:space="0" w:color="000000"/>
              <w:right w:val="single" w:sz="4" w:space="0" w:color="000000"/>
            </w:tcBorders>
          </w:tcPr>
          <w:p>
            <w:pPr/>
          </w:p>
        </w:tc>
        <w:tc>
          <w:tcPr>
            <w:tcW w:w="553" w:type="dxa"/>
            <w:tcBorders>
              <w:top w:val="single" w:sz="4" w:space="0" w:color="000000"/>
              <w:left w:val="single" w:sz="4" w:space="0" w:color="000000"/>
              <w:bottom w:val="single" w:sz="4" w:space="0" w:color="000000"/>
              <w:right w:val="single" w:sz="4" w:space="0" w:color="000000"/>
            </w:tcBorders>
          </w:tcPr>
          <w:p>
            <w:pPr/>
          </w:p>
        </w:tc>
        <w:tc>
          <w:tcPr>
            <w:tcW w:w="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2" w:right="71"/>
              <w:jc w:val="left"/>
              <w:rPr>
                <w:rFonts w:ascii="宋体" w:hAnsi="宋体" w:cs="宋体" w:eastAsia="宋体" w:hint="default"/>
                <w:sz w:val="18"/>
                <w:szCs w:val="18"/>
              </w:rPr>
            </w:pPr>
            <w:r>
              <w:rPr>
                <w:rFonts w:ascii="宋体" w:hAnsi="宋体" w:cs="宋体" w:eastAsia="宋体" w:hint="default"/>
                <w:sz w:val="18"/>
                <w:szCs w:val="18"/>
              </w:rPr>
              <w:t>不适 用</w:t>
            </w:r>
          </w:p>
        </w:tc>
        <w:tc>
          <w:tcPr>
            <w:tcW w:w="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2016</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242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20"/>
              <w:jc w:val="both"/>
              <w:rPr>
                <w:rFonts w:ascii="宋体" w:hAnsi="宋体" w:cs="宋体" w:eastAsia="宋体" w:hint="default"/>
                <w:sz w:val="18"/>
                <w:szCs w:val="18"/>
              </w:rPr>
            </w:pPr>
            <w:r>
              <w:rPr>
                <w:rFonts w:ascii="宋体" w:hAnsi="宋体" w:cs="宋体" w:eastAsia="宋体" w:hint="default"/>
                <w:spacing w:val="-13"/>
                <w:sz w:val="18"/>
                <w:szCs w:val="18"/>
              </w:rPr>
              <w:t>刊登于《中国证券报》、《证券</w:t>
            </w:r>
            <w:r>
              <w:rPr>
                <w:rFonts w:ascii="宋体" w:hAnsi="宋体" w:cs="宋体" w:eastAsia="宋体" w:hint="default"/>
                <w:sz w:val="18"/>
                <w:szCs w:val="18"/>
              </w:rPr>
              <w:t> </w:t>
            </w:r>
            <w:r>
              <w:rPr>
                <w:rFonts w:ascii="宋体" w:hAnsi="宋体" w:cs="宋体" w:eastAsia="宋体" w:hint="default"/>
                <w:spacing w:val="-23"/>
                <w:sz w:val="18"/>
                <w:szCs w:val="18"/>
              </w:rPr>
              <w:t>时报》、《上海证券报、《证券日</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报》及巨潮资讯网的《非公开 发行</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股股票募集资金使用的 可行性分析报告》</w:t>
            </w:r>
          </w:p>
        </w:tc>
      </w:tr>
      <w:tr>
        <w:trPr>
          <w:trHeight w:val="1650" w:hRule="exact"/>
        </w:trPr>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 w:right="33"/>
              <w:jc w:val="both"/>
              <w:rPr>
                <w:rFonts w:ascii="宋体" w:hAnsi="宋体" w:cs="宋体" w:eastAsia="宋体" w:hint="default"/>
                <w:sz w:val="18"/>
                <w:szCs w:val="18"/>
              </w:rPr>
            </w:pPr>
            <w:r>
              <w:rPr>
                <w:rFonts w:ascii="宋体" w:hAnsi="宋体" w:cs="宋体" w:eastAsia="宋体" w:hint="default"/>
                <w:sz w:val="18"/>
                <w:szCs w:val="18"/>
              </w:rPr>
              <w:t>中丰田光 电科技改 扩建项目</w:t>
            </w:r>
          </w:p>
        </w:tc>
        <w:tc>
          <w:tcPr>
            <w:tcW w:w="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2" w:right="71"/>
              <w:jc w:val="left"/>
              <w:rPr>
                <w:rFonts w:ascii="宋体" w:hAnsi="宋体" w:cs="宋体" w:eastAsia="宋体" w:hint="default"/>
                <w:sz w:val="18"/>
                <w:szCs w:val="18"/>
              </w:rPr>
            </w:pPr>
            <w:r>
              <w:rPr>
                <w:rFonts w:ascii="宋体" w:hAnsi="宋体" w:cs="宋体" w:eastAsia="宋体" w:hint="default"/>
                <w:sz w:val="18"/>
                <w:szCs w:val="18"/>
              </w:rPr>
              <w:t>自 建</w:t>
            </w:r>
          </w:p>
        </w:tc>
        <w:tc>
          <w:tcPr>
            <w:tcW w:w="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151"/>
              <w:jc w:val="right"/>
              <w:rPr>
                <w:rFonts w:ascii="宋体" w:hAnsi="宋体" w:cs="宋体" w:eastAsia="宋体" w:hint="default"/>
                <w:sz w:val="18"/>
                <w:szCs w:val="18"/>
              </w:rPr>
            </w:pPr>
            <w:r>
              <w:rPr>
                <w:rFonts w:ascii="宋体" w:hAnsi="宋体" w:cs="宋体" w:eastAsia="宋体" w:hint="default"/>
                <w:sz w:val="18"/>
                <w:szCs w:val="18"/>
              </w:rPr>
              <w:t>是</w:t>
            </w:r>
          </w:p>
        </w:tc>
        <w:tc>
          <w:tcPr>
            <w:tcW w:w="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 w:right="134"/>
              <w:jc w:val="both"/>
              <w:rPr>
                <w:rFonts w:ascii="宋体" w:hAnsi="宋体" w:cs="宋体" w:eastAsia="宋体" w:hint="default"/>
                <w:sz w:val="18"/>
                <w:szCs w:val="18"/>
              </w:rPr>
            </w:pPr>
            <w:r>
              <w:rPr>
                <w:rFonts w:ascii="宋体" w:hAnsi="宋体" w:cs="宋体" w:eastAsia="宋体" w:hint="default"/>
                <w:sz w:val="18"/>
                <w:szCs w:val="18"/>
              </w:rPr>
              <w:t>制 造 业</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122,853,790.00</w:t>
            </w:r>
          </w:p>
        </w:tc>
        <w:tc>
          <w:tcPr>
            <w:tcW w:w="13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122,853,790.00</w:t>
            </w:r>
          </w:p>
        </w:tc>
        <w:tc>
          <w:tcPr>
            <w:tcW w:w="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151"/>
              <w:jc w:val="both"/>
              <w:rPr>
                <w:rFonts w:ascii="宋体" w:hAnsi="宋体" w:cs="宋体" w:eastAsia="宋体" w:hint="default"/>
                <w:sz w:val="18"/>
                <w:szCs w:val="18"/>
              </w:rPr>
            </w:pPr>
            <w:r>
              <w:rPr>
                <w:rFonts w:ascii="宋体" w:hAnsi="宋体" w:cs="宋体" w:eastAsia="宋体" w:hint="default"/>
                <w:sz w:val="18"/>
                <w:szCs w:val="18"/>
              </w:rPr>
              <w:t>募 集 资 金</w:t>
            </w:r>
          </w:p>
        </w:tc>
        <w:tc>
          <w:tcPr>
            <w:tcW w:w="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66.06%</w:t>
            </w:r>
          </w:p>
        </w:tc>
        <w:tc>
          <w:tcPr>
            <w:tcW w:w="408" w:type="dxa"/>
            <w:tcBorders>
              <w:top w:val="single" w:sz="4" w:space="0" w:color="000000"/>
              <w:left w:val="single" w:sz="4" w:space="0" w:color="000000"/>
              <w:bottom w:val="single" w:sz="4" w:space="0" w:color="000000"/>
              <w:right w:val="single" w:sz="4" w:space="0" w:color="000000"/>
            </w:tcBorders>
          </w:tcPr>
          <w:p>
            <w:pPr/>
          </w:p>
        </w:tc>
        <w:tc>
          <w:tcPr>
            <w:tcW w:w="553" w:type="dxa"/>
            <w:tcBorders>
              <w:top w:val="single" w:sz="4" w:space="0" w:color="000000"/>
              <w:left w:val="single" w:sz="4" w:space="0" w:color="000000"/>
              <w:bottom w:val="single" w:sz="4" w:space="0" w:color="000000"/>
              <w:right w:val="single" w:sz="4" w:space="0" w:color="000000"/>
            </w:tcBorders>
          </w:tcPr>
          <w:p>
            <w:pPr/>
          </w:p>
        </w:tc>
        <w:tc>
          <w:tcPr>
            <w:tcW w:w="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2" w:right="71"/>
              <w:jc w:val="left"/>
              <w:rPr>
                <w:rFonts w:ascii="宋体" w:hAnsi="宋体" w:cs="宋体" w:eastAsia="宋体" w:hint="default"/>
                <w:sz w:val="18"/>
                <w:szCs w:val="18"/>
              </w:rPr>
            </w:pPr>
            <w:r>
              <w:rPr>
                <w:rFonts w:ascii="宋体" w:hAnsi="宋体" w:cs="宋体" w:eastAsia="宋体" w:hint="default"/>
                <w:sz w:val="18"/>
                <w:szCs w:val="18"/>
              </w:rPr>
              <w:t>不适 用</w:t>
            </w:r>
          </w:p>
        </w:tc>
        <w:tc>
          <w:tcPr>
            <w:tcW w:w="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24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both"/>
              <w:rPr>
                <w:rFonts w:ascii="宋体" w:hAnsi="宋体" w:cs="宋体" w:eastAsia="宋体" w:hint="default"/>
                <w:sz w:val="18"/>
                <w:szCs w:val="18"/>
              </w:rPr>
            </w:pPr>
            <w:r>
              <w:rPr>
                <w:rFonts w:ascii="宋体" w:hAnsi="宋体" w:cs="宋体" w:eastAsia="宋体" w:hint="default"/>
                <w:spacing w:val="-13"/>
                <w:sz w:val="18"/>
                <w:szCs w:val="18"/>
              </w:rPr>
              <w:t>刊登于《中国证券报》、《证券</w:t>
            </w:r>
            <w:r>
              <w:rPr>
                <w:rFonts w:ascii="宋体" w:hAnsi="宋体" w:cs="宋体" w:eastAsia="宋体" w:hint="default"/>
                <w:sz w:val="18"/>
                <w:szCs w:val="18"/>
              </w:rPr>
              <w:t> </w:t>
            </w:r>
            <w:r>
              <w:rPr>
                <w:rFonts w:ascii="宋体" w:hAnsi="宋体" w:cs="宋体" w:eastAsia="宋体" w:hint="default"/>
                <w:spacing w:val="-23"/>
                <w:sz w:val="18"/>
                <w:szCs w:val="18"/>
              </w:rPr>
              <w:t>时报》、《上海证券报、《证券日</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报》及巨潮资讯网的《关于变 更部分募集资金投资项目的公 告》</w:t>
            </w:r>
          </w:p>
        </w:tc>
      </w:tr>
      <w:tr>
        <w:trPr>
          <w:trHeight w:val="1650" w:hRule="exact"/>
        </w:trPr>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 w:right="33"/>
              <w:jc w:val="both"/>
              <w:rPr>
                <w:rFonts w:ascii="宋体" w:hAnsi="宋体" w:cs="宋体" w:eastAsia="宋体" w:hint="default"/>
                <w:sz w:val="18"/>
                <w:szCs w:val="18"/>
              </w:rPr>
            </w:pPr>
            <w:r>
              <w:rPr>
                <w:rFonts w:ascii="宋体" w:hAnsi="宋体" w:cs="宋体" w:eastAsia="宋体" w:hint="default"/>
                <w:sz w:val="18"/>
                <w:szCs w:val="18"/>
              </w:rPr>
              <w:t>包装技术 研发中心 项目</w:t>
            </w:r>
          </w:p>
        </w:tc>
        <w:tc>
          <w:tcPr>
            <w:tcW w:w="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2" w:right="71"/>
              <w:jc w:val="left"/>
              <w:rPr>
                <w:rFonts w:ascii="宋体" w:hAnsi="宋体" w:cs="宋体" w:eastAsia="宋体" w:hint="default"/>
                <w:sz w:val="18"/>
                <w:szCs w:val="18"/>
              </w:rPr>
            </w:pPr>
            <w:r>
              <w:rPr>
                <w:rFonts w:ascii="宋体" w:hAnsi="宋体" w:cs="宋体" w:eastAsia="宋体" w:hint="default"/>
                <w:sz w:val="18"/>
                <w:szCs w:val="18"/>
              </w:rPr>
              <w:t>自 建</w:t>
            </w:r>
          </w:p>
        </w:tc>
        <w:tc>
          <w:tcPr>
            <w:tcW w:w="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151"/>
              <w:jc w:val="right"/>
              <w:rPr>
                <w:rFonts w:ascii="宋体" w:hAnsi="宋体" w:cs="宋体" w:eastAsia="宋体" w:hint="default"/>
                <w:sz w:val="18"/>
                <w:szCs w:val="18"/>
              </w:rPr>
            </w:pPr>
            <w:r>
              <w:rPr>
                <w:rFonts w:ascii="宋体" w:hAnsi="宋体" w:cs="宋体" w:eastAsia="宋体" w:hint="default"/>
                <w:sz w:val="18"/>
                <w:szCs w:val="18"/>
              </w:rPr>
              <w:t>是</w:t>
            </w:r>
          </w:p>
        </w:tc>
        <w:tc>
          <w:tcPr>
            <w:tcW w:w="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 w:right="134"/>
              <w:jc w:val="both"/>
              <w:rPr>
                <w:rFonts w:ascii="宋体" w:hAnsi="宋体" w:cs="宋体" w:eastAsia="宋体" w:hint="default"/>
                <w:sz w:val="18"/>
                <w:szCs w:val="18"/>
              </w:rPr>
            </w:pPr>
            <w:r>
              <w:rPr>
                <w:rFonts w:ascii="宋体" w:hAnsi="宋体" w:cs="宋体" w:eastAsia="宋体" w:hint="default"/>
                <w:sz w:val="18"/>
                <w:szCs w:val="18"/>
              </w:rPr>
              <w:t>制 造 业</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2,240,000.00</w:t>
            </w:r>
          </w:p>
        </w:tc>
        <w:tc>
          <w:tcPr>
            <w:tcW w:w="13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2,240,000.00</w:t>
            </w:r>
          </w:p>
        </w:tc>
        <w:tc>
          <w:tcPr>
            <w:tcW w:w="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151"/>
              <w:jc w:val="both"/>
              <w:rPr>
                <w:rFonts w:ascii="宋体" w:hAnsi="宋体" w:cs="宋体" w:eastAsia="宋体" w:hint="default"/>
                <w:sz w:val="18"/>
                <w:szCs w:val="18"/>
              </w:rPr>
            </w:pPr>
            <w:r>
              <w:rPr>
                <w:rFonts w:ascii="宋体" w:hAnsi="宋体" w:cs="宋体" w:eastAsia="宋体" w:hint="default"/>
                <w:sz w:val="18"/>
                <w:szCs w:val="18"/>
              </w:rPr>
              <w:t>募 集 资 金</w:t>
            </w:r>
          </w:p>
        </w:tc>
        <w:tc>
          <w:tcPr>
            <w:tcW w:w="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1.48%</w:t>
            </w:r>
          </w:p>
        </w:tc>
        <w:tc>
          <w:tcPr>
            <w:tcW w:w="408" w:type="dxa"/>
            <w:tcBorders>
              <w:top w:val="single" w:sz="4" w:space="0" w:color="000000"/>
              <w:left w:val="single" w:sz="4" w:space="0" w:color="000000"/>
              <w:bottom w:val="single" w:sz="4" w:space="0" w:color="000000"/>
              <w:right w:val="single" w:sz="4" w:space="0" w:color="000000"/>
            </w:tcBorders>
          </w:tcPr>
          <w:p>
            <w:pPr/>
          </w:p>
        </w:tc>
        <w:tc>
          <w:tcPr>
            <w:tcW w:w="553" w:type="dxa"/>
            <w:tcBorders>
              <w:top w:val="single" w:sz="4" w:space="0" w:color="000000"/>
              <w:left w:val="single" w:sz="4" w:space="0" w:color="000000"/>
              <w:bottom w:val="single" w:sz="4" w:space="0" w:color="000000"/>
              <w:right w:val="single" w:sz="4" w:space="0" w:color="000000"/>
            </w:tcBorders>
          </w:tcPr>
          <w:p>
            <w:pPr/>
          </w:p>
        </w:tc>
        <w:tc>
          <w:tcPr>
            <w:tcW w:w="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2" w:right="71"/>
              <w:jc w:val="left"/>
              <w:rPr>
                <w:rFonts w:ascii="宋体" w:hAnsi="宋体" w:cs="宋体" w:eastAsia="宋体" w:hint="default"/>
                <w:sz w:val="18"/>
                <w:szCs w:val="18"/>
              </w:rPr>
            </w:pPr>
            <w:r>
              <w:rPr>
                <w:rFonts w:ascii="宋体" w:hAnsi="宋体" w:cs="宋体" w:eastAsia="宋体" w:hint="default"/>
                <w:sz w:val="18"/>
                <w:szCs w:val="18"/>
              </w:rPr>
              <w:t>不适 用</w:t>
            </w:r>
          </w:p>
        </w:tc>
        <w:tc>
          <w:tcPr>
            <w:tcW w:w="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2016</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242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20"/>
              <w:jc w:val="both"/>
              <w:rPr>
                <w:rFonts w:ascii="宋体" w:hAnsi="宋体" w:cs="宋体" w:eastAsia="宋体" w:hint="default"/>
                <w:sz w:val="18"/>
                <w:szCs w:val="18"/>
              </w:rPr>
            </w:pPr>
            <w:r>
              <w:rPr>
                <w:rFonts w:ascii="宋体" w:hAnsi="宋体" w:cs="宋体" w:eastAsia="宋体" w:hint="default"/>
                <w:spacing w:val="-13"/>
                <w:sz w:val="18"/>
                <w:szCs w:val="18"/>
              </w:rPr>
              <w:t>刊登于《中国证券报》、《证券</w:t>
            </w:r>
            <w:r>
              <w:rPr>
                <w:rFonts w:ascii="宋体" w:hAnsi="宋体" w:cs="宋体" w:eastAsia="宋体" w:hint="default"/>
                <w:sz w:val="18"/>
                <w:szCs w:val="18"/>
              </w:rPr>
              <w:t> </w:t>
            </w:r>
            <w:r>
              <w:rPr>
                <w:rFonts w:ascii="宋体" w:hAnsi="宋体" w:cs="宋体" w:eastAsia="宋体" w:hint="default"/>
                <w:spacing w:val="-23"/>
                <w:sz w:val="18"/>
                <w:szCs w:val="18"/>
              </w:rPr>
              <w:t>时报》、《上海证券报、《证券日</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报》及巨潮资讯网的《非公开 发行</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股股票募集资金使用的 可行性分析报告》</w:t>
            </w:r>
          </w:p>
        </w:tc>
      </w:tr>
      <w:tr>
        <w:trPr>
          <w:trHeight w:val="402" w:hRule="exact"/>
        </w:trPr>
        <w:tc>
          <w:tcPr>
            <w:tcW w:w="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w:t>
            </w:r>
          </w:p>
        </w:tc>
        <w:tc>
          <w:tcPr>
            <w:tcW w:w="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16"/>
              <w:jc w:val="right"/>
              <w:rPr>
                <w:rFonts w:ascii="Times New Roman" w:hAnsi="Times New Roman" w:cs="Times New Roman" w:eastAsia="Times New Roman" w:hint="default"/>
                <w:sz w:val="18"/>
                <w:szCs w:val="18"/>
              </w:rPr>
            </w:pPr>
            <w:r>
              <w:rPr>
                <w:rFonts w:ascii="Times New Roman"/>
                <w:sz w:val="18"/>
              </w:rPr>
              <w:t>--</w:t>
            </w:r>
          </w:p>
        </w:tc>
        <w:tc>
          <w:tcPr>
            <w:tcW w:w="3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9" w:right="0"/>
              <w:jc w:val="left"/>
              <w:rPr>
                <w:rFonts w:ascii="Times New Roman" w:hAnsi="Times New Roman" w:cs="Times New Roman" w:eastAsia="Times New Roman" w:hint="default"/>
                <w:sz w:val="18"/>
                <w:szCs w:val="18"/>
              </w:rPr>
            </w:pPr>
            <w:r>
              <w:rPr>
                <w:rFonts w:ascii="Times New Roman"/>
                <w:sz w:val="18"/>
              </w:rPr>
              <w:t>--</w:t>
            </w:r>
          </w:p>
        </w:tc>
        <w:tc>
          <w:tcPr>
            <w:tcW w:w="121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300,513,730.84</w:t>
            </w:r>
          </w:p>
        </w:tc>
        <w:tc>
          <w:tcPr>
            <w:tcW w:w="13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786,917,199.44</w:t>
            </w:r>
          </w:p>
        </w:tc>
        <w:tc>
          <w:tcPr>
            <w:tcW w:w="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7" w:right="0"/>
              <w:jc w:val="left"/>
              <w:rPr>
                <w:rFonts w:ascii="Times New Roman" w:hAnsi="Times New Roman" w:cs="Times New Roman" w:eastAsia="Times New Roman" w:hint="default"/>
                <w:sz w:val="18"/>
                <w:szCs w:val="18"/>
              </w:rPr>
            </w:pPr>
            <w:r>
              <w:rPr>
                <w:rFonts w:ascii="Times New Roman"/>
                <w:sz w:val="18"/>
              </w:rPr>
              <w:t>--</w:t>
            </w:r>
          </w:p>
        </w:tc>
        <w:tc>
          <w:tcPr>
            <w:tcW w:w="6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0" w:right="0"/>
              <w:jc w:val="left"/>
              <w:rPr>
                <w:rFonts w:ascii="Times New Roman" w:hAnsi="Times New Roman" w:cs="Times New Roman" w:eastAsia="Times New Roman" w:hint="default"/>
                <w:sz w:val="18"/>
                <w:szCs w:val="18"/>
              </w:rPr>
            </w:pPr>
            <w:r>
              <w:rPr>
                <w:rFonts w:ascii="Times New Roman"/>
                <w:sz w:val="18"/>
              </w:rPr>
              <w:t>0.00</w:t>
            </w:r>
          </w:p>
        </w:tc>
        <w:tc>
          <w:tcPr>
            <w:tcW w:w="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6" w:right="0"/>
              <w:jc w:val="left"/>
              <w:rPr>
                <w:rFonts w:ascii="Times New Roman" w:hAnsi="Times New Roman" w:cs="Times New Roman" w:eastAsia="Times New Roman" w:hint="default"/>
                <w:sz w:val="18"/>
                <w:szCs w:val="18"/>
              </w:rPr>
            </w:pPr>
            <w:r>
              <w:rPr>
                <w:rFonts w:ascii="Times New Roman"/>
                <w:sz w:val="18"/>
              </w:rPr>
              <w:t>0.00</w:t>
            </w:r>
          </w:p>
        </w:tc>
        <w:tc>
          <w:tcPr>
            <w:tcW w:w="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5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4、以公允价值计量的金融资产" w:id="48"/>
      <w:bookmarkEnd w:id="48"/>
      <w:r>
        <w:rPr>
          <w:b w:val="0"/>
          <w:bCs w:val="0"/>
        </w:rPr>
      </w:r>
      <w:r>
        <w:rPr>
          <w:rFonts w:ascii="Times New Roman" w:hAnsi="Times New Roman" w:cs="Times New Roman" w:eastAsia="Times New Roman" w:hint="default"/>
        </w:rPr>
        <w:t>4</w:t>
      </w:r>
      <w:r>
        <w:rPr/>
        <w:t>、以公允价值计量的金融资产</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bookmarkStart w:name="5、募集资金使用情况" w:id="49"/>
      <w:bookmarkEnd w:id="49"/>
      <w:r>
        <w:rPr>
          <w:b w:val="0"/>
          <w:bCs w:val="0"/>
        </w:rPr>
      </w:r>
      <w:r>
        <w:rPr>
          <w:rFonts w:ascii="Times New Roman" w:hAnsi="Times New Roman" w:cs="Times New Roman" w:eastAsia="Times New Roman" w:hint="default"/>
        </w:rPr>
        <w:t>5</w:t>
      </w:r>
      <w:r>
        <w:rPr/>
        <w:t>、募集资金使用情况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1）募集资金总体使用情况" w:id="50"/>
      <w:bookmarkEnd w:id="50"/>
      <w:r>
        <w:rPr>
          <w:b w:val="0"/>
          <w:bCs w:val="0"/>
        </w:rPr>
      </w:r>
      <w:r>
        <w:rPr/>
        <w:t>（</w:t>
      </w:r>
      <w:r>
        <w:rPr>
          <w:rFonts w:ascii="Times New Roman" w:hAnsi="Times New Roman" w:cs="Times New Roman" w:eastAsia="Times New Roman" w:hint="default"/>
        </w:rPr>
        <w:t>1</w:t>
      </w:r>
      <w:r>
        <w:rPr/>
        <w:t>）募集资金总体使用情况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130"/>
        <w:jc w:val="right"/>
      </w:pPr>
      <w:r>
        <w:rPr/>
        <w:t>单位：万元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7"/>
          <w:szCs w:val="17"/>
        </w:rPr>
      </w:pPr>
    </w:p>
    <w:p>
      <w:pPr>
        <w:pStyle w:val="BodyText"/>
        <w:spacing w:line="240" w:lineRule="auto" w:before="44"/>
        <w:ind w:left="0" w:right="1143"/>
        <w:jc w:val="right"/>
      </w:pPr>
      <w:r>
        <w:rPr/>
        <w:pict>
          <v:shape style="position:absolute;margin-left:55.650002pt;margin-top:-385.708282pt;width:481.5pt;height:568.1pt;mso-position-horizontal-relative:page;mso-position-vertical-relative:paragraph;z-index:112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867"/>
                    <w:gridCol w:w="863"/>
                    <w:gridCol w:w="877"/>
                    <w:gridCol w:w="904"/>
                    <w:gridCol w:w="837"/>
                    <w:gridCol w:w="672"/>
                    <w:gridCol w:w="197"/>
                    <w:gridCol w:w="870"/>
                    <w:gridCol w:w="209"/>
                    <w:gridCol w:w="661"/>
                    <w:gridCol w:w="728"/>
                    <w:gridCol w:w="143"/>
                    <w:gridCol w:w="870"/>
                    <w:gridCol w:w="869"/>
                  </w:tblGrid>
                  <w:tr>
                    <w:trPr>
                      <w:trHeight w:val="1338" w:hRule="exact"/>
                    </w:trPr>
                    <w:tc>
                      <w:tcPr>
                        <w:tcW w:w="8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67" w:right="0"/>
                          <w:jc w:val="left"/>
                          <w:rPr>
                            <w:rFonts w:ascii="宋体" w:hAnsi="宋体" w:cs="宋体" w:eastAsia="宋体" w:hint="default"/>
                            <w:sz w:val="18"/>
                            <w:szCs w:val="18"/>
                          </w:rPr>
                        </w:pPr>
                        <w:r>
                          <w:rPr>
                            <w:rFonts w:ascii="宋体" w:hAnsi="宋体" w:cs="宋体" w:eastAsia="宋体" w:hint="default"/>
                            <w:sz w:val="18"/>
                            <w:szCs w:val="18"/>
                          </w:rPr>
                          <w:t>募集年份</w:t>
                        </w:r>
                      </w:p>
                    </w:tc>
                    <w:tc>
                      <w:tcPr>
                        <w:tcW w:w="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募集方式</w:t>
                        </w:r>
                      </w:p>
                    </w:tc>
                    <w:tc>
                      <w:tcPr>
                        <w:tcW w:w="8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53" w:right="72" w:hanging="180"/>
                          <w:jc w:val="left"/>
                          <w:rPr>
                            <w:rFonts w:ascii="宋体" w:hAnsi="宋体" w:cs="宋体" w:eastAsia="宋体" w:hint="default"/>
                            <w:sz w:val="18"/>
                            <w:szCs w:val="18"/>
                          </w:rPr>
                        </w:pPr>
                        <w:r>
                          <w:rPr>
                            <w:rFonts w:ascii="宋体" w:hAnsi="宋体" w:cs="宋体" w:eastAsia="宋体" w:hint="default"/>
                            <w:sz w:val="18"/>
                            <w:szCs w:val="18"/>
                          </w:rPr>
                          <w:t>募集资金 总额</w:t>
                        </w:r>
                      </w:p>
                    </w:tc>
                    <w:tc>
                      <w:tcPr>
                        <w:tcW w:w="9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69" w:right="102"/>
                          <w:jc w:val="both"/>
                          <w:rPr>
                            <w:rFonts w:ascii="宋体" w:hAnsi="宋体" w:cs="宋体" w:eastAsia="宋体" w:hint="default"/>
                            <w:sz w:val="18"/>
                            <w:szCs w:val="18"/>
                          </w:rPr>
                        </w:pPr>
                        <w:r>
                          <w:rPr>
                            <w:rFonts w:ascii="宋体" w:hAnsi="宋体" w:cs="宋体" w:eastAsia="宋体" w:hint="default"/>
                            <w:sz w:val="18"/>
                            <w:szCs w:val="18"/>
                          </w:rPr>
                          <w:t>本期已使 用募集资 金总额</w:t>
                        </w:r>
                      </w:p>
                    </w:tc>
                    <w:tc>
                      <w:tcPr>
                        <w:tcW w:w="8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35" w:right="69"/>
                          <w:jc w:val="both"/>
                          <w:rPr>
                            <w:rFonts w:ascii="宋体" w:hAnsi="宋体" w:cs="宋体" w:eastAsia="宋体" w:hint="default"/>
                            <w:sz w:val="18"/>
                            <w:szCs w:val="18"/>
                          </w:rPr>
                        </w:pPr>
                        <w:r>
                          <w:rPr>
                            <w:rFonts w:ascii="宋体" w:hAnsi="宋体" w:cs="宋体" w:eastAsia="宋体" w:hint="default"/>
                            <w:sz w:val="18"/>
                            <w:szCs w:val="18"/>
                          </w:rPr>
                          <w:t>已累计使 用募集资 金总额</w:t>
                        </w:r>
                      </w:p>
                    </w:tc>
                    <w:tc>
                      <w:tcPr>
                        <w:tcW w:w="8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68" w:right="68"/>
                          <w:jc w:val="both"/>
                          <w:rPr>
                            <w:rFonts w:ascii="宋体" w:hAnsi="宋体" w:cs="宋体" w:eastAsia="宋体" w:hint="default"/>
                            <w:sz w:val="18"/>
                            <w:szCs w:val="18"/>
                          </w:rPr>
                        </w:pPr>
                        <w:r>
                          <w:rPr>
                            <w:rFonts w:ascii="宋体" w:hAnsi="宋体" w:cs="宋体" w:eastAsia="宋体" w:hint="default"/>
                            <w:sz w:val="18"/>
                            <w:szCs w:val="18"/>
                          </w:rPr>
                          <w:t>报告期内 变更用途 的募集资 金总额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69" w:right="68"/>
                          <w:jc w:val="center"/>
                          <w:rPr>
                            <w:rFonts w:ascii="宋体" w:hAnsi="宋体" w:cs="宋体" w:eastAsia="宋体" w:hint="default"/>
                            <w:sz w:val="18"/>
                            <w:szCs w:val="18"/>
                          </w:rPr>
                        </w:pPr>
                        <w:r>
                          <w:rPr>
                            <w:rFonts w:ascii="宋体" w:hAnsi="宋体" w:cs="宋体" w:eastAsia="宋体" w:hint="default"/>
                            <w:sz w:val="18"/>
                            <w:szCs w:val="18"/>
                          </w:rPr>
                          <w:t>累计变更 用途的募 集资金总 额</w:t>
                        </w:r>
                      </w:p>
                    </w:tc>
                    <w:tc>
                      <w:tcPr>
                        <w:tcW w:w="87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69" w:right="68"/>
                          <w:jc w:val="both"/>
                          <w:rPr>
                            <w:rFonts w:ascii="宋体" w:hAnsi="宋体" w:cs="宋体" w:eastAsia="宋体" w:hint="default"/>
                            <w:sz w:val="18"/>
                            <w:szCs w:val="18"/>
                          </w:rPr>
                        </w:pPr>
                        <w:r>
                          <w:rPr>
                            <w:rFonts w:ascii="宋体" w:hAnsi="宋体" w:cs="宋体" w:eastAsia="宋体" w:hint="default"/>
                            <w:sz w:val="18"/>
                            <w:szCs w:val="18"/>
                          </w:rPr>
                          <w:t>累计变更 用途的募 集资金总 额比例</w:t>
                        </w:r>
                      </w:p>
                    </w:tc>
                    <w:tc>
                      <w:tcPr>
                        <w:tcW w:w="87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69" w:right="68"/>
                          <w:jc w:val="center"/>
                          <w:rPr>
                            <w:rFonts w:ascii="宋体" w:hAnsi="宋体" w:cs="宋体" w:eastAsia="宋体" w:hint="default"/>
                            <w:sz w:val="18"/>
                            <w:szCs w:val="18"/>
                          </w:rPr>
                        </w:pPr>
                        <w:r>
                          <w:rPr>
                            <w:rFonts w:ascii="宋体" w:hAnsi="宋体" w:cs="宋体" w:eastAsia="宋体" w:hint="default"/>
                            <w:sz w:val="18"/>
                            <w:szCs w:val="18"/>
                          </w:rPr>
                          <w:t>尚未使用 募集资金 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69" w:right="68"/>
                          <w:jc w:val="center"/>
                          <w:rPr>
                            <w:rFonts w:ascii="宋体" w:hAnsi="宋体" w:cs="宋体" w:eastAsia="宋体" w:hint="default"/>
                            <w:sz w:val="18"/>
                            <w:szCs w:val="18"/>
                          </w:rPr>
                        </w:pPr>
                        <w:r>
                          <w:rPr>
                            <w:rFonts w:ascii="宋体" w:hAnsi="宋体" w:cs="宋体" w:eastAsia="宋体" w:hint="default"/>
                            <w:sz w:val="18"/>
                            <w:szCs w:val="18"/>
                          </w:rPr>
                          <w:t>尚未使用 募集资金 用途及去 向</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68" w:right="68"/>
                          <w:jc w:val="both"/>
                          <w:rPr>
                            <w:rFonts w:ascii="宋体" w:hAnsi="宋体" w:cs="宋体" w:eastAsia="宋体" w:hint="default"/>
                            <w:sz w:val="18"/>
                            <w:szCs w:val="18"/>
                          </w:rPr>
                        </w:pPr>
                        <w:r>
                          <w:rPr>
                            <w:rFonts w:ascii="宋体" w:hAnsi="宋体" w:cs="宋体" w:eastAsia="宋体" w:hint="default"/>
                            <w:sz w:val="18"/>
                            <w:szCs w:val="18"/>
                          </w:rPr>
                          <w:t>闲置两年 以上募集 资金金额</w:t>
                        </w:r>
                      </w:p>
                    </w:tc>
                  </w:tr>
                  <w:tr>
                    <w:trPr>
                      <w:trHeight w:val="714" w:hRule="exact"/>
                    </w:trPr>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8"/>
                          <w:jc w:val="left"/>
                          <w:rPr>
                            <w:rFonts w:ascii="宋体" w:hAnsi="宋体" w:cs="宋体" w:eastAsia="宋体" w:hint="default"/>
                            <w:sz w:val="18"/>
                            <w:szCs w:val="18"/>
                          </w:rPr>
                        </w:pPr>
                        <w:r>
                          <w:rPr>
                            <w:rFonts w:ascii="宋体" w:hAnsi="宋体" w:cs="宋体" w:eastAsia="宋体" w:hint="default"/>
                            <w:sz w:val="18"/>
                            <w:szCs w:val="18"/>
                          </w:rPr>
                          <w:t>非公开发 行</w:t>
                        </w:r>
                      </w:p>
                    </w:tc>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3" w:right="0"/>
                          <w:jc w:val="left"/>
                          <w:rPr>
                            <w:rFonts w:ascii="Times New Roman" w:hAnsi="Times New Roman" w:cs="Times New Roman" w:eastAsia="Times New Roman" w:hint="default"/>
                            <w:sz w:val="18"/>
                            <w:szCs w:val="18"/>
                          </w:rPr>
                        </w:pPr>
                        <w:r>
                          <w:rPr>
                            <w:rFonts w:ascii="Times New Roman"/>
                            <w:sz w:val="18"/>
                          </w:rPr>
                          <w:t>162,461.81</w:t>
                        </w:r>
                      </w:p>
                    </w:tc>
                    <w:tc>
                      <w:tcPr>
                        <w:tcW w:w="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6" w:right="0"/>
                          <w:jc w:val="center"/>
                          <w:rPr>
                            <w:rFonts w:ascii="Times New Roman" w:hAnsi="Times New Roman" w:cs="Times New Roman" w:eastAsia="Times New Roman" w:hint="default"/>
                            <w:sz w:val="18"/>
                            <w:szCs w:val="18"/>
                          </w:rPr>
                        </w:pPr>
                        <w:r>
                          <w:rPr>
                            <w:rFonts w:ascii="Times New Roman"/>
                            <w:sz w:val="18"/>
                          </w:rPr>
                          <w:t>30,048.11</w:t>
                        </w:r>
                      </w:p>
                    </w:tc>
                    <w:tc>
                      <w:tcPr>
                        <w:tcW w:w="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9" w:right="0"/>
                          <w:jc w:val="center"/>
                          <w:rPr>
                            <w:rFonts w:ascii="Times New Roman" w:hAnsi="Times New Roman" w:cs="Times New Roman" w:eastAsia="Times New Roman" w:hint="default"/>
                            <w:sz w:val="18"/>
                            <w:szCs w:val="18"/>
                          </w:rPr>
                        </w:pPr>
                        <w:r>
                          <w:rPr>
                            <w:rFonts w:ascii="Times New Roman"/>
                            <w:sz w:val="18"/>
                          </w:rPr>
                          <w:t>60,121.48</w:t>
                        </w:r>
                      </w:p>
                    </w:tc>
                    <w:tc>
                      <w:tcPr>
                        <w:tcW w:w="8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5" w:right="0"/>
                          <w:jc w:val="left"/>
                          <w:rPr>
                            <w:rFonts w:ascii="Times New Roman" w:hAnsi="Times New Roman" w:cs="Times New Roman" w:eastAsia="Times New Roman" w:hint="default"/>
                            <w:sz w:val="18"/>
                            <w:szCs w:val="18"/>
                          </w:rPr>
                        </w:pPr>
                        <w:r>
                          <w:rPr>
                            <w:rFonts w:ascii="Times New Roman"/>
                            <w:sz w:val="18"/>
                          </w:rPr>
                          <w:t>35,635.81</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35,635.81</w:t>
                        </w:r>
                      </w:p>
                    </w:tc>
                    <w:tc>
                      <w:tcPr>
                        <w:tcW w:w="87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81" w:right="0"/>
                          <w:jc w:val="left"/>
                          <w:rPr>
                            <w:rFonts w:ascii="Times New Roman" w:hAnsi="Times New Roman" w:cs="Times New Roman" w:eastAsia="Times New Roman" w:hint="default"/>
                            <w:sz w:val="18"/>
                            <w:szCs w:val="18"/>
                          </w:rPr>
                        </w:pPr>
                        <w:r>
                          <w:rPr>
                            <w:rFonts w:ascii="Times New Roman"/>
                            <w:sz w:val="18"/>
                          </w:rPr>
                          <w:t>21.93%</w:t>
                        </w:r>
                      </w:p>
                    </w:tc>
                    <w:tc>
                      <w:tcPr>
                        <w:tcW w:w="87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102,340.33</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5"/>
                          <w:jc w:val="left"/>
                          <w:rPr>
                            <w:rFonts w:ascii="宋体" w:hAnsi="宋体" w:cs="宋体" w:eastAsia="宋体" w:hint="default"/>
                            <w:sz w:val="18"/>
                            <w:szCs w:val="18"/>
                          </w:rPr>
                        </w:pPr>
                        <w:r>
                          <w:rPr>
                            <w:rFonts w:ascii="宋体" w:hAnsi="宋体" w:cs="宋体" w:eastAsia="宋体" w:hint="default"/>
                            <w:sz w:val="18"/>
                            <w:szCs w:val="18"/>
                          </w:rPr>
                          <w:t>详见以下 说明</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8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87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162,461.81</w:t>
                        </w:r>
                      </w:p>
                    </w:tc>
                    <w:tc>
                      <w:tcPr>
                        <w:tcW w:w="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6" w:right="0"/>
                          <w:jc w:val="center"/>
                          <w:rPr>
                            <w:rFonts w:ascii="Times New Roman" w:hAnsi="Times New Roman" w:cs="Times New Roman" w:eastAsia="Times New Roman" w:hint="default"/>
                            <w:sz w:val="18"/>
                            <w:szCs w:val="18"/>
                          </w:rPr>
                        </w:pPr>
                        <w:r>
                          <w:rPr>
                            <w:rFonts w:ascii="Times New Roman"/>
                            <w:sz w:val="18"/>
                          </w:rPr>
                          <w:t>30,048.11</w:t>
                        </w:r>
                      </w:p>
                    </w:tc>
                    <w:tc>
                      <w:tcPr>
                        <w:tcW w:w="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9" w:right="0"/>
                          <w:jc w:val="center"/>
                          <w:rPr>
                            <w:rFonts w:ascii="Times New Roman" w:hAnsi="Times New Roman" w:cs="Times New Roman" w:eastAsia="Times New Roman" w:hint="default"/>
                            <w:sz w:val="18"/>
                            <w:szCs w:val="18"/>
                          </w:rPr>
                        </w:pPr>
                        <w:r>
                          <w:rPr>
                            <w:rFonts w:ascii="Times New Roman"/>
                            <w:sz w:val="18"/>
                          </w:rPr>
                          <w:t>60,121.48</w:t>
                        </w:r>
                      </w:p>
                    </w:tc>
                    <w:tc>
                      <w:tcPr>
                        <w:tcW w:w="8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5" w:right="0"/>
                          <w:jc w:val="left"/>
                          <w:rPr>
                            <w:rFonts w:ascii="Times New Roman" w:hAnsi="Times New Roman" w:cs="Times New Roman" w:eastAsia="Times New Roman" w:hint="default"/>
                            <w:sz w:val="18"/>
                            <w:szCs w:val="18"/>
                          </w:rPr>
                        </w:pPr>
                        <w:r>
                          <w:rPr>
                            <w:rFonts w:ascii="Times New Roman"/>
                            <w:sz w:val="18"/>
                          </w:rPr>
                          <w:t>35,635.81</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35,635.81</w:t>
                        </w:r>
                      </w:p>
                    </w:tc>
                    <w:tc>
                      <w:tcPr>
                        <w:tcW w:w="87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81" w:right="0"/>
                          <w:jc w:val="left"/>
                          <w:rPr>
                            <w:rFonts w:ascii="Times New Roman" w:hAnsi="Times New Roman" w:cs="Times New Roman" w:eastAsia="Times New Roman" w:hint="default"/>
                            <w:sz w:val="18"/>
                            <w:szCs w:val="18"/>
                          </w:rPr>
                        </w:pPr>
                        <w:r>
                          <w:rPr>
                            <w:rFonts w:ascii="Times New Roman"/>
                            <w:sz w:val="18"/>
                          </w:rPr>
                          <w:t>21.93%</w:t>
                        </w:r>
                      </w:p>
                    </w:tc>
                    <w:tc>
                      <w:tcPr>
                        <w:tcW w:w="870" w:type="dxa"/>
                        <w:gridSpan w:val="2"/>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102,340.33</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9565" w:type="dxa"/>
                        <w:gridSpan w:val="1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募集资金总体使用情况说明</w:t>
                        </w:r>
                      </w:p>
                    </w:tc>
                  </w:tr>
                  <w:tr>
                    <w:trPr>
                      <w:trHeight w:val="6962" w:hRule="exact"/>
                    </w:trPr>
                    <w:tc>
                      <w:tcPr>
                        <w:tcW w:w="9565" w:type="dxa"/>
                        <w:gridSpan w:val="14"/>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b/>
                            <w:bCs/>
                            <w:sz w:val="18"/>
                            <w:szCs w:val="18"/>
                          </w:rPr>
                          <w:t>一、本次募集资金的基本情况</w:t>
                        </w:r>
                        <w:r>
                          <w:rPr>
                            <w:rFonts w:ascii="宋体" w:hAnsi="宋体" w:cs="宋体" w:eastAsia="宋体" w:hint="default"/>
                            <w:sz w:val="18"/>
                            <w:szCs w:val="18"/>
                          </w:rPr>
                        </w:r>
                      </w:p>
                      <w:p>
                        <w:pPr>
                          <w:pStyle w:val="TableParagraph"/>
                          <w:spacing w:line="300" w:lineRule="auto" w:before="116"/>
                          <w:ind w:left="22" w:right="23"/>
                          <w:jc w:val="left"/>
                          <w:rPr>
                            <w:rFonts w:ascii="宋体" w:hAnsi="宋体" w:cs="宋体" w:eastAsia="宋体" w:hint="default"/>
                            <w:sz w:val="18"/>
                            <w:szCs w:val="18"/>
                          </w:rPr>
                        </w:pPr>
                        <w:r>
                          <w:rPr>
                            <w:rFonts w:ascii="宋体" w:hAnsi="宋体" w:cs="宋体" w:eastAsia="宋体" w:hint="default"/>
                            <w:spacing w:val="-2"/>
                            <w:sz w:val="18"/>
                            <w:szCs w:val="18"/>
                          </w:rPr>
                          <w:t>根据中国证监会核发《关于核准深圳劲嘉集团股份有限公司非公开发行股票的批复》（证监许可</w:t>
                        </w:r>
                        <w:r>
                          <w:rPr>
                            <w:rFonts w:ascii="Times New Roman" w:hAnsi="Times New Roman" w:cs="Times New Roman" w:eastAsia="Times New Roman" w:hint="default"/>
                            <w:spacing w:val="-2"/>
                            <w:sz w:val="18"/>
                            <w:szCs w:val="18"/>
                          </w:rPr>
                          <w:t>[2017]996</w:t>
                        </w:r>
                        <w:r>
                          <w:rPr>
                            <w:rFonts w:ascii="Times New Roman" w:hAnsi="Times New Roman" w:cs="Times New Roman" w:eastAsia="Times New Roman" w:hint="default"/>
                            <w:spacing w:val="4"/>
                            <w:sz w:val="18"/>
                            <w:szCs w:val="18"/>
                          </w:rPr>
                          <w:t> </w:t>
                        </w:r>
                        <w:r>
                          <w:rPr>
                            <w:rFonts w:ascii="宋体" w:hAnsi="宋体" w:cs="宋体" w:eastAsia="宋体" w:hint="default"/>
                            <w:spacing w:val="-2"/>
                            <w:sz w:val="18"/>
                            <w:szCs w:val="18"/>
                          </w:rPr>
                          <w:t>号）核准，公司</w:t>
                        </w:r>
                        <w:r>
                          <w:rPr>
                            <w:rFonts w:ascii="宋体" w:hAnsi="宋体" w:cs="宋体" w:eastAsia="宋体" w:hint="default"/>
                            <w:sz w:val="18"/>
                            <w:szCs w:val="18"/>
                          </w:rPr>
                          <w:t> 向特定对象发行人民币普通股 </w:t>
                        </w:r>
                        <w:r>
                          <w:rPr>
                            <w:rFonts w:ascii="Times New Roman" w:hAnsi="Times New Roman" w:cs="Times New Roman" w:eastAsia="Times New Roman" w:hint="default"/>
                            <w:sz w:val="18"/>
                            <w:szCs w:val="18"/>
                          </w:rPr>
                          <w:t>188,787,182 </w:t>
                        </w:r>
                        <w:r>
                          <w:rPr>
                            <w:rFonts w:ascii="宋体" w:hAnsi="宋体" w:cs="宋体" w:eastAsia="宋体" w:hint="default"/>
                            <w:sz w:val="18"/>
                            <w:szCs w:val="18"/>
                          </w:rPr>
                          <w:t>股，每股面值 </w:t>
                        </w:r>
                        <w:r>
                          <w:rPr>
                            <w:rFonts w:ascii="Times New Roman" w:hAnsi="Times New Roman" w:cs="Times New Roman" w:eastAsia="Times New Roman" w:hint="default"/>
                            <w:sz w:val="18"/>
                            <w:szCs w:val="18"/>
                          </w:rPr>
                          <w:t>1.00 </w:t>
                        </w:r>
                        <w:r>
                          <w:rPr>
                            <w:rFonts w:ascii="宋体" w:hAnsi="宋体" w:cs="宋体" w:eastAsia="宋体" w:hint="default"/>
                            <w:sz w:val="18"/>
                            <w:szCs w:val="18"/>
                          </w:rPr>
                          <w:t>元，发行价格人民币 </w:t>
                        </w:r>
                        <w:r>
                          <w:rPr>
                            <w:rFonts w:ascii="Times New Roman" w:hAnsi="Times New Roman" w:cs="Times New Roman" w:eastAsia="Times New Roman" w:hint="default"/>
                            <w:sz w:val="18"/>
                            <w:szCs w:val="18"/>
                          </w:rPr>
                          <w:t>8.74</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股，募集货币资金人民币</w:t>
                        </w:r>
                      </w:p>
                      <w:p>
                        <w:pPr>
                          <w:pStyle w:val="TableParagraph"/>
                          <w:spacing w:line="240" w:lineRule="auto" w:before="1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1,649,999,970.68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元，扣除承销及保荐费用人民币</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24,750,000.00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元，其他发行费用人民币</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631,869.91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元，实际募集资金净</w:t>
                        </w:r>
                      </w:p>
                      <w:p>
                        <w:pPr>
                          <w:pStyle w:val="TableParagraph"/>
                          <w:spacing w:line="302" w:lineRule="auto" w:before="63"/>
                          <w:ind w:left="22" w:right="80"/>
                          <w:jc w:val="left"/>
                          <w:rPr>
                            <w:rFonts w:ascii="宋体" w:hAnsi="宋体" w:cs="宋体" w:eastAsia="宋体" w:hint="default"/>
                            <w:sz w:val="18"/>
                            <w:szCs w:val="18"/>
                          </w:rPr>
                        </w:pPr>
                        <w:r>
                          <w:rPr>
                            <w:rFonts w:ascii="宋体" w:hAnsi="宋体" w:cs="宋体" w:eastAsia="宋体" w:hint="default"/>
                            <w:sz w:val="18"/>
                            <w:szCs w:val="18"/>
                          </w:rPr>
                          <w:t>额为人民币</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1,624,618,100.77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元。上述募集资金到位情况业经瑞华会计师事务所（特殊普通合伙）验证并出具《深圳劲嘉 </w:t>
                        </w:r>
                        <w:r>
                          <w:rPr>
                            <w:rFonts w:ascii="宋体" w:hAnsi="宋体" w:cs="宋体" w:eastAsia="宋体" w:hint="default"/>
                            <w:spacing w:val="-8"/>
                            <w:sz w:val="18"/>
                            <w:szCs w:val="18"/>
                          </w:rPr>
                          <w:t>集团股份有限公司验资报告》（瑞华验字</w:t>
                        </w:r>
                        <w:r>
                          <w:rPr>
                            <w:rFonts w:ascii="Times New Roman" w:hAnsi="Times New Roman" w:cs="Times New Roman" w:eastAsia="Times New Roman" w:hint="default"/>
                            <w:spacing w:val="-8"/>
                            <w:sz w:val="18"/>
                            <w:szCs w:val="18"/>
                          </w:rPr>
                          <w:t>[2017]48210006</w:t>
                        </w:r>
                        <w:r>
                          <w:rPr>
                            <w:rFonts w:ascii="宋体" w:hAnsi="宋体" w:cs="宋体" w:eastAsia="宋体" w:hint="default"/>
                            <w:spacing w:val="-8"/>
                            <w:sz w:val="18"/>
                            <w:szCs w:val="18"/>
                          </w:rPr>
                          <w:t>）。</w:t>
                        </w:r>
                        <w:r>
                          <w:rPr>
                            <w:rFonts w:ascii="宋体" w:hAnsi="宋体" w:cs="宋体" w:eastAsia="宋体" w:hint="default"/>
                            <w:sz w:val="18"/>
                            <w:szCs w:val="18"/>
                          </w:rPr>
                        </w:r>
                      </w:p>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截至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日，公司募集资金已累计使用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601,214,687.93 </w:t>
                        </w:r>
                        <w:r>
                          <w:rPr>
                            <w:rFonts w:ascii="宋体" w:hAnsi="宋体" w:cs="宋体" w:eastAsia="宋体" w:hint="default"/>
                            <w:sz w:val="18"/>
                            <w:szCs w:val="18"/>
                          </w:rPr>
                          <w:t>元（其中置换自筹资金预先投入募集项目的资金</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236,431,10</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z w:val="18"/>
                            <w:szCs w:val="18"/>
                          </w:rPr>
                          <w:t>.79 </w:t>
                        </w:r>
                        <w:r>
                          <w:rPr>
                            <w:rFonts w:ascii="宋体" w:hAnsi="宋体" w:cs="宋体" w:eastAsia="宋体" w:hint="default"/>
                            <w:sz w:val="18"/>
                            <w:szCs w:val="18"/>
                          </w:rPr>
                          <w:t>元</w:t>
                        </w:r>
                        <w:r>
                          <w:rPr>
                            <w:rFonts w:ascii="宋体" w:hAnsi="宋体" w:cs="宋体" w:eastAsia="宋体" w:hint="default"/>
                            <w:spacing w:val="-26"/>
                            <w:sz w:val="18"/>
                            <w:szCs w:val="18"/>
                          </w:rPr>
                          <w:t>，</w:t>
                        </w:r>
                        <w:r>
                          <w:rPr>
                            <w:rFonts w:ascii="宋体" w:hAnsi="宋体" w:cs="宋体" w:eastAsia="宋体" w:hint="default"/>
                            <w:sz w:val="18"/>
                            <w:szCs w:val="18"/>
                          </w:rPr>
                          <w:t>募集资金累计支付使用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364,783,58</w:t>
                        </w:r>
                        <w:r>
                          <w:rPr>
                            <w:rFonts w:ascii="Times New Roman" w:hAnsi="Times New Roman" w:cs="Times New Roman" w:eastAsia="Times New Roman" w:hint="default"/>
                            <w:spacing w:val="-2"/>
                            <w:sz w:val="18"/>
                            <w:szCs w:val="18"/>
                          </w:rPr>
                          <w:t>5</w:t>
                        </w:r>
                        <w:r>
                          <w:rPr>
                            <w:rFonts w:ascii="Times New Roman" w:hAnsi="Times New Roman" w:cs="Times New Roman" w:eastAsia="Times New Roman" w:hint="default"/>
                            <w:sz w:val="18"/>
                            <w:szCs w:val="18"/>
                          </w:rPr>
                          <w:t>.14 </w:t>
                        </w:r>
                        <w:r>
                          <w:rPr>
                            <w:rFonts w:ascii="宋体" w:hAnsi="宋体" w:cs="宋体" w:eastAsia="宋体" w:hint="default"/>
                            <w:sz w:val="18"/>
                            <w:szCs w:val="18"/>
                          </w:rPr>
                          <w:t>元</w:t>
                        </w:r>
                        <w:r>
                          <w:rPr>
                            <w:rFonts w:ascii="宋体" w:hAnsi="宋体" w:cs="宋体" w:eastAsia="宋体" w:hint="default"/>
                            <w:spacing w:val="-90"/>
                            <w:sz w:val="18"/>
                            <w:szCs w:val="18"/>
                          </w:rPr>
                          <w:t>）</w:t>
                        </w:r>
                        <w:r>
                          <w:rPr>
                            <w:rFonts w:ascii="宋体" w:hAnsi="宋体" w:cs="宋体" w:eastAsia="宋体" w:hint="default"/>
                            <w:spacing w:val="-26"/>
                            <w:sz w:val="18"/>
                            <w:szCs w:val="18"/>
                          </w:rPr>
                          <w:t>，</w:t>
                        </w:r>
                        <w:r>
                          <w:rPr>
                            <w:rFonts w:ascii="宋体" w:hAnsi="宋体" w:cs="宋体" w:eastAsia="宋体" w:hint="default"/>
                            <w:sz w:val="18"/>
                            <w:szCs w:val="18"/>
                          </w:rPr>
                          <w:t>尚未使用的募集资金余额为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1,023,403</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z w:val="18"/>
                            <w:szCs w:val="18"/>
                          </w:rPr>
                          <w:t>412.84 </w:t>
                        </w:r>
                        <w:r>
                          <w:rPr>
                            <w:rFonts w:ascii="宋体" w:hAnsi="宋体" w:cs="宋体" w:eastAsia="宋体" w:hint="default"/>
                            <w:sz w:val="18"/>
                            <w:szCs w:val="18"/>
                          </w:rPr>
                          <w:t>元</w:t>
                        </w:r>
                        <w:r>
                          <w:rPr>
                            <w:rFonts w:ascii="宋体" w:hAnsi="宋体" w:cs="宋体" w:eastAsia="宋体" w:hint="default"/>
                            <w:spacing w:val="-26"/>
                            <w:sz w:val="18"/>
                            <w:szCs w:val="18"/>
                          </w:rPr>
                          <w:t>，</w:t>
                        </w:r>
                        <w:r>
                          <w:rPr>
                            <w:rFonts w:ascii="宋体" w:hAnsi="宋体" w:cs="宋体" w:eastAsia="宋体" w:hint="default"/>
                            <w:sz w:val="18"/>
                            <w:szCs w:val="18"/>
                          </w:rPr>
                          <w:t>加上募集</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资金利息收入</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29,489,826.94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元，扣除支付的手续费</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32,287.33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元，实际尚未使用的募集资金余额</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1,052,860,952.45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其中</w:t>
                        </w:r>
                      </w:p>
                      <w:p>
                        <w:pPr>
                          <w:pStyle w:val="TableParagraph"/>
                          <w:spacing w:line="348" w:lineRule="auto" w:before="64"/>
                          <w:ind w:left="22" w:right="23"/>
                          <w:jc w:val="left"/>
                          <w:rPr>
                            <w:rFonts w:ascii="宋体" w:hAnsi="宋体" w:cs="宋体" w:eastAsia="宋体" w:hint="default"/>
                            <w:sz w:val="18"/>
                            <w:szCs w:val="18"/>
                          </w:rPr>
                        </w:pPr>
                        <w:r>
                          <w:rPr>
                            <w:rFonts w:ascii="宋体" w:hAnsi="宋体" w:cs="宋体" w:eastAsia="宋体" w:hint="default"/>
                            <w:sz w:val="18"/>
                            <w:szCs w:val="18"/>
                          </w:rPr>
                          <w:t>活期存款</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92,860,952.45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元、期末暂时补充流动资金余额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385,000,000.00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元及期末现金管理余额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575,000,000.00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 </w:t>
                        </w:r>
                        <w:r>
                          <w:rPr>
                            <w:rFonts w:ascii="宋体" w:hAnsi="宋体" w:cs="宋体" w:eastAsia="宋体" w:hint="default"/>
                            <w:b/>
                            <w:bCs/>
                            <w:sz w:val="18"/>
                            <w:szCs w:val="18"/>
                          </w:rPr>
                          <w:t>二、本次募集资金的管理情况</w:t>
                        </w:r>
                        <w:r>
                          <w:rPr>
                            <w:rFonts w:ascii="宋体" w:hAnsi="宋体" w:cs="宋体" w:eastAsia="宋体" w:hint="default"/>
                            <w:b/>
                            <w:bCs/>
                            <w:w w:val="99"/>
                            <w:sz w:val="18"/>
                            <w:szCs w:val="18"/>
                          </w:rPr>
                          <w:t> </w:t>
                        </w:r>
                        <w:r>
                          <w:rPr>
                            <w:rFonts w:ascii="宋体" w:hAnsi="宋体" w:cs="宋体" w:eastAsia="宋体" w:hint="default"/>
                            <w:spacing w:val="-2"/>
                            <w:sz w:val="18"/>
                            <w:szCs w:val="18"/>
                          </w:rPr>
                          <w:t>根据《募集资金管理制度》，公司对募集资金实行专户存储，在平安银行深圳华侨城支行、兴业银行深圳华富支行、兴业</w:t>
                        </w:r>
                      </w:p>
                      <w:p>
                        <w:pPr>
                          <w:pStyle w:val="TableParagraph"/>
                          <w:spacing w:line="316" w:lineRule="auto"/>
                          <w:ind w:left="22" w:right="23"/>
                          <w:jc w:val="both"/>
                          <w:rPr>
                            <w:rFonts w:ascii="宋体" w:hAnsi="宋体" w:cs="宋体" w:eastAsia="宋体" w:hint="default"/>
                            <w:sz w:val="18"/>
                            <w:szCs w:val="18"/>
                          </w:rPr>
                        </w:pPr>
                        <w:r>
                          <w:rPr>
                            <w:rFonts w:ascii="宋体" w:hAnsi="宋体" w:cs="宋体" w:eastAsia="宋体" w:hint="default"/>
                            <w:spacing w:val="-1"/>
                            <w:sz w:val="18"/>
                            <w:szCs w:val="18"/>
                          </w:rPr>
                          <w:t>银行深圳深南支行、中国光大银行深圳熙龙湾支行、北京银行深圳南山支行、上海银行深圳君汇支行、建设银行深圳市分</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pacing w:val="-1"/>
                            <w:sz w:val="18"/>
                            <w:szCs w:val="18"/>
                          </w:rPr>
                          <w:t>行营业部、交通银行深圳光明支行等设立了八个募集资金专用账户，对募集资金的使用实行严格的审批程序，以保证专款</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专用。公司于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26"/>
                            <w:sz w:val="18"/>
                            <w:szCs w:val="18"/>
                          </w:rPr>
                          <w:t> </w:t>
                        </w:r>
                        <w:r>
                          <w:rPr>
                            <w:rFonts w:ascii="宋体" w:hAnsi="宋体" w:cs="宋体" w:eastAsia="宋体" w:hint="default"/>
                            <w:spacing w:val="-3"/>
                            <w:sz w:val="18"/>
                            <w:szCs w:val="18"/>
                          </w:rPr>
                          <w:t>日与开户银行、保荐机构签订了《募集资金专户存储三方监管协议》。由于公司对部分募</w:t>
                        </w:r>
                      </w:p>
                      <w:p>
                        <w:pPr>
                          <w:pStyle w:val="TableParagraph"/>
                          <w:spacing w:line="338" w:lineRule="auto"/>
                          <w:ind w:left="22" w:right="111"/>
                          <w:jc w:val="left"/>
                          <w:rPr>
                            <w:rFonts w:ascii="宋体" w:hAnsi="宋体" w:cs="宋体" w:eastAsia="宋体" w:hint="default"/>
                            <w:sz w:val="18"/>
                            <w:szCs w:val="18"/>
                          </w:rPr>
                        </w:pPr>
                        <w:r>
                          <w:rPr>
                            <w:rFonts w:ascii="宋体" w:hAnsi="宋体" w:cs="宋体" w:eastAsia="宋体" w:hint="default"/>
                            <w:sz w:val="18"/>
                            <w:szCs w:val="18"/>
                          </w:rPr>
                          <w:t>集资金项目进行了变更</w:t>
                        </w:r>
                        <w:r>
                          <w:rPr>
                            <w:rFonts w:ascii="宋体" w:hAnsi="宋体" w:cs="宋体" w:eastAsia="宋体" w:hint="default"/>
                            <w:spacing w:val="-25"/>
                            <w:sz w:val="18"/>
                            <w:szCs w:val="18"/>
                          </w:rPr>
                          <w:t>，</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r>
                          <w:rPr>
                            <w:rFonts w:ascii="宋体" w:hAnsi="宋体" w:cs="宋体" w:eastAsia="宋体" w:hint="default"/>
                            <w:spacing w:val="1"/>
                            <w:sz w:val="18"/>
                            <w:szCs w:val="18"/>
                          </w:rPr>
                          <w:t>公</w:t>
                        </w:r>
                        <w:r>
                          <w:rPr>
                            <w:rFonts w:ascii="宋体" w:hAnsi="宋体" w:cs="宋体" w:eastAsia="宋体" w:hint="default"/>
                            <w:sz w:val="18"/>
                            <w:szCs w:val="18"/>
                          </w:rPr>
                          <w:t>司</w:t>
                        </w:r>
                        <w:r>
                          <w:rPr>
                            <w:rFonts w:ascii="宋体" w:hAnsi="宋体" w:cs="宋体" w:eastAsia="宋体" w:hint="default"/>
                            <w:spacing w:val="-26"/>
                            <w:sz w:val="18"/>
                            <w:szCs w:val="18"/>
                          </w:rPr>
                          <w:t>、</w:t>
                        </w:r>
                        <w:r>
                          <w:rPr>
                            <w:rFonts w:ascii="宋体" w:hAnsi="宋体" w:cs="宋体" w:eastAsia="宋体" w:hint="default"/>
                            <w:sz w:val="18"/>
                            <w:szCs w:val="18"/>
                          </w:rPr>
                          <w:t>中信证券及专户银行重新签署了相</w:t>
                        </w:r>
                        <w:r>
                          <w:rPr>
                            <w:rFonts w:ascii="宋体" w:hAnsi="宋体" w:cs="宋体" w:eastAsia="宋体" w:hint="default"/>
                            <w:spacing w:val="-26"/>
                            <w:sz w:val="18"/>
                            <w:szCs w:val="18"/>
                          </w:rPr>
                          <w:t>关</w:t>
                        </w:r>
                        <w:r>
                          <w:rPr>
                            <w:rFonts w:ascii="宋体" w:hAnsi="宋体" w:cs="宋体" w:eastAsia="宋体" w:hint="default"/>
                            <w:sz w:val="18"/>
                            <w:szCs w:val="18"/>
                          </w:rPr>
                          <w:t>《募集资金专户存储三方监管协议</w:t>
                        </w:r>
                        <w:r>
                          <w:rPr>
                            <w:rFonts w:ascii="宋体" w:hAnsi="宋体" w:cs="宋体" w:eastAsia="宋体" w:hint="default"/>
                            <w:spacing w:val="-90"/>
                            <w:sz w:val="18"/>
                            <w:szCs w:val="18"/>
                          </w:rPr>
                          <w:t>》</w:t>
                        </w:r>
                        <w:r>
                          <w:rPr>
                            <w:rFonts w:ascii="宋体" w:hAnsi="宋体" w:cs="宋体" w:eastAsia="宋体" w:hint="default"/>
                            <w:spacing w:val="-90"/>
                            <w:sz w:val="18"/>
                            <w:szCs w:val="18"/>
                          </w:rPr>
                          <w:t> </w:t>
                        </w:r>
                        <w:r>
                          <w:rPr>
                            <w:rFonts w:ascii="宋体" w:hAnsi="宋体" w:cs="宋体" w:eastAsia="宋体" w:hint="default"/>
                            <w:sz w:val="18"/>
                            <w:szCs w:val="18"/>
                          </w:rPr>
                          <w:t>上述监管协议主要条款与深圳证券交易所《募集资金专户存储三方监管协议（范本</w:t>
                        </w:r>
                        <w:r>
                          <w:rPr>
                            <w:rFonts w:ascii="宋体" w:hAnsi="宋体" w:cs="宋体" w:eastAsia="宋体" w:hint="default"/>
                            <w:spacing w:val="-90"/>
                            <w:sz w:val="18"/>
                            <w:szCs w:val="18"/>
                          </w:rPr>
                          <w:t>）</w:t>
                        </w:r>
                        <w:r>
                          <w:rPr>
                            <w:rFonts w:ascii="宋体" w:hAnsi="宋体" w:cs="宋体" w:eastAsia="宋体" w:hint="default"/>
                            <w:sz w:val="18"/>
                            <w:szCs w:val="18"/>
                          </w:rPr>
                          <w:t>》不存在重大差异。</w:t>
                        </w:r>
                      </w:p>
                      <w:p>
                        <w:pPr>
                          <w:pStyle w:val="TableParagraph"/>
                          <w:spacing w:line="240" w:lineRule="auto" w:before="42"/>
                          <w:ind w:left="22" w:right="0"/>
                          <w:jc w:val="left"/>
                          <w:rPr>
                            <w:rFonts w:ascii="宋体" w:hAnsi="宋体" w:cs="宋体" w:eastAsia="宋体" w:hint="default"/>
                            <w:sz w:val="18"/>
                            <w:szCs w:val="18"/>
                          </w:rPr>
                        </w:pPr>
                        <w:r>
                          <w:rPr>
                            <w:rFonts w:ascii="宋体" w:hAnsi="宋体" w:cs="宋体" w:eastAsia="宋体" w:hint="default"/>
                            <w:sz w:val="18"/>
                            <w:szCs w:val="18"/>
                          </w:rPr>
                          <w:t>截至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日止</w:t>
                        </w:r>
                        <w:r>
                          <w:rPr>
                            <w:rFonts w:ascii="宋体" w:hAnsi="宋体" w:cs="宋体" w:eastAsia="宋体" w:hint="default"/>
                            <w:spacing w:val="-90"/>
                            <w:sz w:val="18"/>
                            <w:szCs w:val="18"/>
                          </w:rPr>
                          <w:t>，</w:t>
                        </w:r>
                        <w:r>
                          <w:rPr>
                            <w:rFonts w:ascii="宋体" w:hAnsi="宋体" w:cs="宋体" w:eastAsia="宋体" w:hint="default"/>
                            <w:spacing w:val="1"/>
                            <w:sz w:val="18"/>
                            <w:szCs w:val="18"/>
                          </w:rPr>
                          <w:t>《</w:t>
                        </w:r>
                        <w:r>
                          <w:rPr>
                            <w:rFonts w:ascii="宋体" w:hAnsi="宋体" w:cs="宋体" w:eastAsia="宋体" w:hint="default"/>
                            <w:sz w:val="18"/>
                            <w:szCs w:val="18"/>
                          </w:rPr>
                          <w:t>募集资金专用账户三方监管协议》均得到了切实有效的履行。</w:t>
                        </w:r>
                      </w:p>
                      <w:p>
                        <w:pPr>
                          <w:pStyle w:val="TableParagraph"/>
                          <w:spacing w:line="302" w:lineRule="auto" w:before="102"/>
                          <w:ind w:left="22" w:right="81"/>
                          <w:jc w:val="left"/>
                          <w:rPr>
                            <w:rFonts w:ascii="宋体" w:hAnsi="宋体" w:cs="宋体" w:eastAsia="宋体" w:hint="default"/>
                            <w:sz w:val="18"/>
                            <w:szCs w:val="18"/>
                          </w:rPr>
                        </w:pPr>
                        <w:r>
                          <w:rPr>
                            <w:rFonts w:ascii="宋体" w:hAnsi="宋体" w:cs="宋体" w:eastAsia="宋体" w:hint="default"/>
                            <w:sz w:val="18"/>
                            <w:szCs w:val="18"/>
                          </w:rPr>
                          <w:t>截至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日公司未发生将募集资金用于质押、委托贷款或其他变相改变募集资金用途的投资现象，也不存在 募集资金被占用或挪用现象。</w:t>
                        </w:r>
                      </w:p>
                      <w:p>
                        <w:pPr>
                          <w:pStyle w:val="TableParagraph"/>
                          <w:spacing w:line="240" w:lineRule="auto" w:before="69"/>
                          <w:ind w:left="22" w:right="0"/>
                          <w:jc w:val="left"/>
                          <w:rPr>
                            <w:rFonts w:ascii="宋体" w:hAnsi="宋体" w:cs="宋体" w:eastAsia="宋体" w:hint="default"/>
                            <w:sz w:val="18"/>
                            <w:szCs w:val="18"/>
                          </w:rPr>
                        </w:pPr>
                        <w:r>
                          <w:rPr>
                            <w:rFonts w:ascii="宋体" w:hAnsi="宋体" w:cs="宋体" w:eastAsia="宋体" w:hint="default"/>
                            <w:sz w:val="18"/>
                            <w:szCs w:val="18"/>
                          </w:rPr>
                          <w:t>截至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日，公司募集资金存放与结余情况如下：</w:t>
                        </w:r>
                      </w:p>
                    </w:tc>
                  </w:tr>
                  <w:tr>
                    <w:trPr>
                      <w:trHeight w:val="714" w:hRule="exact"/>
                    </w:trPr>
                    <w:tc>
                      <w:tcPr>
                        <w:tcW w:w="3510" w:type="dxa"/>
                        <w:gridSpan w:val="4"/>
                        <w:tcBorders>
                          <w:top w:val="single" w:sz="4" w:space="0" w:color="000000"/>
                          <w:left w:val="single" w:sz="17"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119" w:right="0"/>
                          <w:jc w:val="left"/>
                          <w:rPr>
                            <w:rFonts w:ascii="宋体" w:hAnsi="宋体" w:cs="宋体" w:eastAsia="宋体" w:hint="default"/>
                            <w:sz w:val="16"/>
                            <w:szCs w:val="16"/>
                          </w:rPr>
                        </w:pPr>
                        <w:r>
                          <w:rPr>
                            <w:rFonts w:ascii="宋体" w:hAnsi="宋体" w:cs="宋体" w:eastAsia="宋体" w:hint="default"/>
                            <w:sz w:val="16"/>
                            <w:szCs w:val="16"/>
                          </w:rPr>
                          <w:t>银行名称</w:t>
                        </w:r>
                      </w:p>
                    </w:tc>
                    <w:tc>
                      <w:tcPr>
                        <w:tcW w:w="1509" w:type="dxa"/>
                        <w:gridSpan w:val="2"/>
                        <w:tcBorders>
                          <w:top w:val="single" w:sz="4" w:space="0" w:color="000000"/>
                          <w:left w:val="single" w:sz="4" w:space="0" w:color="000000"/>
                          <w:bottom w:val="single" w:sz="4" w:space="0" w:color="000000"/>
                          <w:right w:val="single" w:sz="4" w:space="0" w:color="000000"/>
                        </w:tcBorders>
                      </w:tcPr>
                      <w:p>
                        <w:pPr>
                          <w:pStyle w:val="TableParagraph"/>
                          <w:spacing w:line="357" w:lineRule="auto" w:before="68"/>
                          <w:ind w:left="136" w:right="242"/>
                          <w:jc w:val="left"/>
                          <w:rPr>
                            <w:rFonts w:ascii="宋体" w:hAnsi="宋体" w:cs="宋体" w:eastAsia="宋体" w:hint="default"/>
                            <w:sz w:val="16"/>
                            <w:szCs w:val="16"/>
                          </w:rPr>
                        </w:pPr>
                        <w:r>
                          <w:rPr>
                            <w:rFonts w:ascii="宋体" w:hAnsi="宋体" w:cs="宋体" w:eastAsia="宋体" w:hint="default"/>
                            <w:sz w:val="16"/>
                            <w:szCs w:val="16"/>
                          </w:rPr>
                          <w:t>募集资金到账金</w:t>
                        </w:r>
                        <w:r>
                          <w:rPr>
                            <w:rFonts w:ascii="宋体" w:hAnsi="宋体" w:cs="宋体" w:eastAsia="宋体" w:hint="default"/>
                            <w:w w:val="99"/>
                            <w:sz w:val="16"/>
                            <w:szCs w:val="16"/>
                          </w:rPr>
                          <w:t> </w:t>
                        </w:r>
                        <w:r>
                          <w:rPr>
                            <w:rFonts w:ascii="宋体" w:hAnsi="宋体" w:cs="宋体" w:eastAsia="宋体" w:hint="default"/>
                            <w:sz w:val="16"/>
                            <w:szCs w:val="16"/>
                          </w:rPr>
                          <w:t>额</w:t>
                        </w:r>
                      </w:p>
                    </w:tc>
                    <w:tc>
                      <w:tcPr>
                        <w:tcW w:w="1276" w:type="dxa"/>
                        <w:gridSpan w:val="3"/>
                        <w:tcBorders>
                          <w:top w:val="single" w:sz="4" w:space="0" w:color="000000"/>
                          <w:left w:val="single" w:sz="4" w:space="0" w:color="000000"/>
                          <w:bottom w:val="single" w:sz="4" w:space="0" w:color="000000"/>
                          <w:right w:val="single" w:sz="4" w:space="0" w:color="000000"/>
                        </w:tcBorders>
                      </w:tcPr>
                      <w:p>
                        <w:pPr>
                          <w:pStyle w:val="TableParagraph"/>
                          <w:spacing w:line="357" w:lineRule="auto" w:before="68"/>
                          <w:ind w:left="103" w:right="202"/>
                          <w:jc w:val="left"/>
                          <w:rPr>
                            <w:rFonts w:ascii="宋体" w:hAnsi="宋体" w:cs="宋体" w:eastAsia="宋体" w:hint="default"/>
                            <w:sz w:val="16"/>
                            <w:szCs w:val="16"/>
                          </w:rPr>
                        </w:pPr>
                        <w:r>
                          <w:rPr>
                            <w:rFonts w:ascii="宋体" w:hAnsi="宋体" w:cs="宋体" w:eastAsia="宋体" w:hint="default"/>
                            <w:sz w:val="16"/>
                            <w:szCs w:val="16"/>
                          </w:rPr>
                          <w:t>期末银行存款</w:t>
                        </w:r>
                        <w:r>
                          <w:rPr>
                            <w:rFonts w:ascii="宋体" w:hAnsi="宋体" w:cs="宋体" w:eastAsia="宋体" w:hint="default"/>
                            <w:w w:val="99"/>
                            <w:sz w:val="16"/>
                            <w:szCs w:val="16"/>
                          </w:rPr>
                          <w:t> </w:t>
                        </w:r>
                        <w:r>
                          <w:rPr>
                            <w:rFonts w:ascii="宋体" w:hAnsi="宋体" w:cs="宋体" w:eastAsia="宋体" w:hint="default"/>
                            <w:sz w:val="16"/>
                            <w:szCs w:val="16"/>
                          </w:rPr>
                          <w:t>余额</w:t>
                        </w:r>
                      </w:p>
                    </w:tc>
                    <w:tc>
                      <w:tcPr>
                        <w:tcW w:w="1389" w:type="dxa"/>
                        <w:gridSpan w:val="2"/>
                        <w:tcBorders>
                          <w:top w:val="single" w:sz="4" w:space="0" w:color="000000"/>
                          <w:left w:val="single" w:sz="4" w:space="0" w:color="000000"/>
                          <w:bottom w:val="single" w:sz="4" w:space="0" w:color="000000"/>
                          <w:right w:val="single" w:sz="4" w:space="0" w:color="000000"/>
                        </w:tcBorders>
                      </w:tcPr>
                      <w:p>
                        <w:pPr>
                          <w:pStyle w:val="TableParagraph"/>
                          <w:spacing w:line="357" w:lineRule="auto" w:before="68"/>
                          <w:ind w:left="103" w:right="155"/>
                          <w:jc w:val="left"/>
                          <w:rPr>
                            <w:rFonts w:ascii="宋体" w:hAnsi="宋体" w:cs="宋体" w:eastAsia="宋体" w:hint="default"/>
                            <w:sz w:val="16"/>
                            <w:szCs w:val="16"/>
                          </w:rPr>
                        </w:pPr>
                        <w:r>
                          <w:rPr>
                            <w:rFonts w:ascii="宋体" w:hAnsi="宋体" w:cs="宋体" w:eastAsia="宋体" w:hint="default"/>
                            <w:sz w:val="16"/>
                            <w:szCs w:val="16"/>
                          </w:rPr>
                          <w:t>期末银行定期存</w:t>
                        </w:r>
                        <w:r>
                          <w:rPr>
                            <w:rFonts w:ascii="宋体" w:hAnsi="宋体" w:cs="宋体" w:eastAsia="宋体" w:hint="default"/>
                            <w:w w:val="99"/>
                            <w:sz w:val="16"/>
                            <w:szCs w:val="16"/>
                          </w:rPr>
                          <w:t> </w:t>
                        </w:r>
                        <w:r>
                          <w:rPr>
                            <w:rFonts w:ascii="宋体" w:hAnsi="宋体" w:cs="宋体" w:eastAsia="宋体" w:hint="default"/>
                            <w:sz w:val="16"/>
                            <w:szCs w:val="16"/>
                          </w:rPr>
                          <w:t>款余额</w:t>
                        </w:r>
                      </w:p>
                    </w:tc>
                    <w:tc>
                      <w:tcPr>
                        <w:tcW w:w="1882" w:type="dxa"/>
                        <w:gridSpan w:val="3"/>
                        <w:tcBorders>
                          <w:top w:val="single" w:sz="4" w:space="0" w:color="000000"/>
                          <w:left w:val="single" w:sz="4" w:space="0" w:color="000000"/>
                          <w:bottom w:val="single" w:sz="4" w:space="0" w:color="000000"/>
                          <w:right w:val="single" w:sz="17"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103" w:right="0"/>
                          <w:jc w:val="left"/>
                          <w:rPr>
                            <w:rFonts w:ascii="宋体" w:hAnsi="宋体" w:cs="宋体" w:eastAsia="宋体" w:hint="default"/>
                            <w:sz w:val="16"/>
                            <w:szCs w:val="16"/>
                          </w:rPr>
                        </w:pPr>
                        <w:r>
                          <w:rPr>
                            <w:rFonts w:ascii="宋体" w:hAnsi="宋体" w:cs="宋体" w:eastAsia="宋体" w:hint="default"/>
                            <w:sz w:val="16"/>
                            <w:szCs w:val="16"/>
                          </w:rPr>
                          <w:t>期末银行理财余额</w:t>
                        </w:r>
                      </w:p>
                    </w:tc>
                  </w:tr>
                  <w:tr>
                    <w:trPr>
                      <w:trHeight w:val="402" w:hRule="exact"/>
                    </w:trPr>
                    <w:tc>
                      <w:tcPr>
                        <w:tcW w:w="3510" w:type="dxa"/>
                        <w:gridSpan w:val="4"/>
                        <w:tcBorders>
                          <w:top w:val="single" w:sz="4" w:space="0" w:color="000000"/>
                          <w:left w:val="single" w:sz="17" w:space="0" w:color="000000"/>
                          <w:bottom w:val="single" w:sz="4" w:space="0" w:color="000000"/>
                          <w:right w:val="single" w:sz="4" w:space="0" w:color="000000"/>
                        </w:tcBorders>
                      </w:tcPr>
                      <w:p>
                        <w:pPr>
                          <w:pStyle w:val="TableParagraph"/>
                          <w:spacing w:line="240" w:lineRule="auto" w:before="67"/>
                          <w:ind w:left="119" w:right="0"/>
                          <w:jc w:val="left"/>
                          <w:rPr>
                            <w:rFonts w:ascii="宋体" w:hAnsi="宋体" w:cs="宋体" w:eastAsia="宋体" w:hint="default"/>
                            <w:sz w:val="16"/>
                            <w:szCs w:val="16"/>
                          </w:rPr>
                        </w:pPr>
                        <w:r>
                          <w:rPr>
                            <w:rFonts w:ascii="宋体" w:hAnsi="宋体" w:cs="宋体" w:eastAsia="宋体" w:hint="default"/>
                            <w:sz w:val="16"/>
                            <w:szCs w:val="16"/>
                          </w:rPr>
                          <w:t>平安银行股份有限公司深圳华侨城支行</w:t>
                        </w:r>
                      </w:p>
                    </w:tc>
                    <w:tc>
                      <w:tcPr>
                        <w:tcW w:w="150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396" w:right="0"/>
                          <w:jc w:val="left"/>
                          <w:rPr>
                            <w:rFonts w:ascii="Times New Roman" w:hAnsi="Times New Roman" w:cs="Times New Roman" w:eastAsia="Times New Roman" w:hint="default"/>
                            <w:sz w:val="16"/>
                            <w:szCs w:val="16"/>
                          </w:rPr>
                        </w:pPr>
                        <w:r>
                          <w:rPr>
                            <w:rFonts w:ascii="Times New Roman"/>
                            <w:sz w:val="16"/>
                          </w:rPr>
                          <w:t>497,249,970.68</w:t>
                        </w:r>
                      </w:p>
                    </w:tc>
                    <w:tc>
                      <w:tcPr>
                        <w:tcW w:w="127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321" w:right="0"/>
                          <w:jc w:val="left"/>
                          <w:rPr>
                            <w:rFonts w:ascii="Times New Roman" w:hAnsi="Times New Roman" w:cs="Times New Roman" w:eastAsia="Times New Roman" w:hint="default"/>
                            <w:sz w:val="16"/>
                            <w:szCs w:val="16"/>
                          </w:rPr>
                        </w:pPr>
                        <w:r>
                          <w:rPr>
                            <w:rFonts w:ascii="Times New Roman"/>
                            <w:sz w:val="16"/>
                          </w:rPr>
                          <w:t>6,454,344.85</w:t>
                        </w:r>
                      </w:p>
                    </w:tc>
                    <w:tc>
                      <w:tcPr>
                        <w:tcW w:w="138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1"/>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882" w:type="dxa"/>
                        <w:gridSpan w:val="3"/>
                        <w:tcBorders>
                          <w:top w:val="single" w:sz="4" w:space="0" w:color="000000"/>
                          <w:left w:val="single" w:sz="4" w:space="0" w:color="000000"/>
                          <w:bottom w:val="single" w:sz="4" w:space="0" w:color="000000"/>
                          <w:right w:val="single" w:sz="17" w:space="0" w:color="000000"/>
                        </w:tcBorders>
                      </w:tcPr>
                      <w:p>
                        <w:pPr>
                          <w:pStyle w:val="TableParagraph"/>
                          <w:spacing w:line="240" w:lineRule="auto" w:before="104"/>
                          <w:ind w:left="735" w:right="0"/>
                          <w:jc w:val="left"/>
                          <w:rPr>
                            <w:rFonts w:ascii="Times New Roman" w:hAnsi="Times New Roman" w:cs="Times New Roman" w:eastAsia="Times New Roman" w:hint="default"/>
                            <w:sz w:val="16"/>
                            <w:szCs w:val="16"/>
                          </w:rPr>
                        </w:pPr>
                        <w:r>
                          <w:rPr>
                            <w:rFonts w:ascii="Times New Roman"/>
                            <w:sz w:val="16"/>
                          </w:rPr>
                          <w:t>240,000,000.00</w:t>
                        </w:r>
                      </w:p>
                    </w:tc>
                  </w:tr>
                  <w:tr>
                    <w:trPr>
                      <w:trHeight w:val="413" w:hRule="exact"/>
                    </w:trPr>
                    <w:tc>
                      <w:tcPr>
                        <w:tcW w:w="3510" w:type="dxa"/>
                        <w:gridSpan w:val="4"/>
                        <w:tcBorders>
                          <w:top w:val="single" w:sz="4" w:space="0" w:color="000000"/>
                          <w:left w:val="single" w:sz="17" w:space="0" w:color="000000"/>
                          <w:bottom w:val="single" w:sz="8" w:space="0" w:color="000000"/>
                          <w:right w:val="single" w:sz="4" w:space="0" w:color="000000"/>
                        </w:tcBorders>
                      </w:tcPr>
                      <w:p>
                        <w:pPr>
                          <w:pStyle w:val="TableParagraph"/>
                          <w:spacing w:line="240" w:lineRule="auto" w:before="67"/>
                          <w:ind w:left="119" w:right="0"/>
                          <w:jc w:val="left"/>
                          <w:rPr>
                            <w:rFonts w:ascii="宋体" w:hAnsi="宋体" w:cs="宋体" w:eastAsia="宋体" w:hint="default"/>
                            <w:sz w:val="16"/>
                            <w:szCs w:val="16"/>
                          </w:rPr>
                        </w:pPr>
                        <w:r>
                          <w:rPr>
                            <w:rFonts w:ascii="宋体" w:hAnsi="宋体" w:cs="宋体" w:eastAsia="宋体" w:hint="default"/>
                            <w:sz w:val="16"/>
                            <w:szCs w:val="16"/>
                          </w:rPr>
                          <w:t>兴业银行股份有限公司深圳华富支行</w:t>
                        </w:r>
                      </w:p>
                    </w:tc>
                    <w:tc>
                      <w:tcPr>
                        <w:tcW w:w="1509" w:type="dxa"/>
                        <w:gridSpan w:val="2"/>
                        <w:tcBorders>
                          <w:top w:val="single" w:sz="4" w:space="0" w:color="000000"/>
                          <w:left w:val="single" w:sz="4" w:space="0" w:color="000000"/>
                          <w:bottom w:val="single" w:sz="8" w:space="0" w:color="000000"/>
                          <w:right w:val="single" w:sz="4" w:space="0" w:color="000000"/>
                        </w:tcBorders>
                      </w:tcPr>
                      <w:p>
                        <w:pPr>
                          <w:pStyle w:val="TableParagraph"/>
                          <w:spacing w:line="240" w:lineRule="auto" w:before="104"/>
                          <w:ind w:left="396" w:right="0"/>
                          <w:jc w:val="left"/>
                          <w:rPr>
                            <w:rFonts w:ascii="Times New Roman" w:hAnsi="Times New Roman" w:cs="Times New Roman" w:eastAsia="Times New Roman" w:hint="default"/>
                            <w:sz w:val="16"/>
                            <w:szCs w:val="16"/>
                          </w:rPr>
                        </w:pPr>
                        <w:r>
                          <w:rPr>
                            <w:rFonts w:ascii="Times New Roman"/>
                            <w:sz w:val="16"/>
                          </w:rPr>
                          <w:t>181,740,000.00</w:t>
                        </w:r>
                      </w:p>
                    </w:tc>
                    <w:tc>
                      <w:tcPr>
                        <w:tcW w:w="1276" w:type="dxa"/>
                        <w:gridSpan w:val="3"/>
                        <w:tcBorders>
                          <w:top w:val="single" w:sz="4" w:space="0" w:color="000000"/>
                          <w:left w:val="single" w:sz="4" w:space="0" w:color="000000"/>
                          <w:bottom w:val="single" w:sz="8" w:space="0" w:color="000000"/>
                          <w:right w:val="single" w:sz="4" w:space="0" w:color="000000"/>
                        </w:tcBorders>
                      </w:tcPr>
                      <w:p>
                        <w:pPr>
                          <w:pStyle w:val="TableParagraph"/>
                          <w:spacing w:line="240" w:lineRule="auto" w:before="104"/>
                          <w:ind w:left="321" w:right="0"/>
                          <w:jc w:val="left"/>
                          <w:rPr>
                            <w:rFonts w:ascii="Times New Roman" w:hAnsi="Times New Roman" w:cs="Times New Roman" w:eastAsia="Times New Roman" w:hint="default"/>
                            <w:sz w:val="16"/>
                            <w:szCs w:val="16"/>
                          </w:rPr>
                        </w:pPr>
                        <w:r>
                          <w:rPr>
                            <w:rFonts w:ascii="Times New Roman"/>
                            <w:sz w:val="16"/>
                          </w:rPr>
                          <w:t>3,525,230.41</w:t>
                        </w:r>
                      </w:p>
                    </w:tc>
                    <w:tc>
                      <w:tcPr>
                        <w:tcW w:w="1389" w:type="dxa"/>
                        <w:gridSpan w:val="2"/>
                        <w:tcBorders>
                          <w:top w:val="single" w:sz="4" w:space="0" w:color="000000"/>
                          <w:left w:val="single" w:sz="4" w:space="0" w:color="000000"/>
                          <w:bottom w:val="single" w:sz="8"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0.00</w:t>
                        </w:r>
                      </w:p>
                    </w:tc>
                    <w:tc>
                      <w:tcPr>
                        <w:tcW w:w="1882" w:type="dxa"/>
                        <w:gridSpan w:val="3"/>
                        <w:tcBorders>
                          <w:top w:val="single" w:sz="4" w:space="0" w:color="000000"/>
                          <w:left w:val="single" w:sz="4" w:space="0" w:color="000000"/>
                          <w:bottom w:val="single" w:sz="8" w:space="0" w:color="000000"/>
                          <w:right w:val="single" w:sz="17" w:space="0" w:color="000000"/>
                        </w:tcBorders>
                      </w:tcPr>
                      <w:p>
                        <w:pPr>
                          <w:pStyle w:val="TableParagraph"/>
                          <w:spacing w:line="240" w:lineRule="auto" w:before="104"/>
                          <w:ind w:left="814" w:right="0"/>
                          <w:jc w:val="left"/>
                          <w:rPr>
                            <w:rFonts w:ascii="Times New Roman" w:hAnsi="Times New Roman" w:cs="Times New Roman" w:eastAsia="Times New Roman" w:hint="default"/>
                            <w:sz w:val="16"/>
                            <w:szCs w:val="16"/>
                          </w:rPr>
                        </w:pPr>
                        <w:r>
                          <w:rPr>
                            <w:rFonts w:ascii="Times New Roman"/>
                            <w:sz w:val="16"/>
                          </w:rPr>
                          <w:t>60,000,000.00</w:t>
                        </w:r>
                      </w:p>
                    </w:tc>
                  </w:tr>
                </w:tbl>
                <w:p>
                  <w:pPr/>
                </w:p>
              </w:txbxContent>
            </v:textbox>
            <w10:wrap type="none"/>
          </v:shape>
        </w:pict>
      </w:r>
      <w:r>
        <w:rPr/>
        <w:t>。</w:t>
      </w:r>
    </w:p>
    <w:p>
      <w:pPr>
        <w:spacing w:after="0" w:line="240" w:lineRule="auto"/>
        <w:jc w:val="right"/>
        <w:sectPr>
          <w:pgSz w:w="11910" w:h="16840"/>
          <w:pgMar w:header="747" w:footer="979" w:top="1060" w:bottom="1160" w:left="980" w:right="0"/>
        </w:sectPr>
      </w:pPr>
    </w:p>
    <w:p>
      <w:pPr>
        <w:spacing w:line="240" w:lineRule="auto" w:before="0"/>
        <w:rPr>
          <w:rFonts w:ascii="宋体" w:hAnsi="宋体" w:cs="宋体" w:eastAsia="宋体" w:hint="default"/>
          <w:sz w:val="20"/>
          <w:szCs w:val="20"/>
        </w:rPr>
      </w:pPr>
      <w:r>
        <w:rPr/>
        <w:pict>
          <v:shape style="position:absolute;margin-left:55.650002pt;margin-top:71.999985pt;width:481.5pt;height:694.6pt;mso-position-horizontal-relative:page;mso-position-vertical-relative:page;z-index:114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544"/>
                    <w:gridCol w:w="1475"/>
                    <w:gridCol w:w="1276"/>
                    <w:gridCol w:w="1389"/>
                    <w:gridCol w:w="1882"/>
                  </w:tblGrid>
                  <w:tr>
                    <w:trPr>
                      <w:trHeight w:val="402" w:hRule="exact"/>
                    </w:trPr>
                    <w:tc>
                      <w:tcPr>
                        <w:tcW w:w="3544"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66"/>
                          <w:ind w:left="119" w:right="0"/>
                          <w:jc w:val="left"/>
                          <w:rPr>
                            <w:rFonts w:ascii="宋体" w:hAnsi="宋体" w:cs="宋体" w:eastAsia="宋体" w:hint="default"/>
                            <w:sz w:val="16"/>
                            <w:szCs w:val="16"/>
                          </w:rPr>
                        </w:pPr>
                        <w:r>
                          <w:rPr>
                            <w:rFonts w:ascii="宋体" w:hAnsi="宋体" w:cs="宋体" w:eastAsia="宋体" w:hint="default"/>
                            <w:sz w:val="16"/>
                            <w:szCs w:val="16"/>
                          </w:rPr>
                          <w:t>兴业银行股份有限公司深圳深南支行</w:t>
                        </w:r>
                      </w:p>
                    </w:tc>
                    <w:tc>
                      <w:tcPr>
                        <w:tcW w:w="14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Times New Roman" w:hAnsi="Times New Roman" w:cs="Times New Roman" w:eastAsia="Times New Roman" w:hint="default"/>
                            <w:sz w:val="16"/>
                            <w:szCs w:val="16"/>
                          </w:rPr>
                        </w:pPr>
                        <w:r>
                          <w:rPr>
                            <w:rFonts w:ascii="Times New Roman"/>
                            <w:spacing w:val="-1"/>
                            <w:sz w:val="16"/>
                          </w:rPr>
                          <w:t>384,270,000.00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2"/>
                          <w:jc w:val="right"/>
                          <w:rPr>
                            <w:rFonts w:ascii="Times New Roman" w:hAnsi="Times New Roman" w:cs="Times New Roman" w:eastAsia="Times New Roman" w:hint="default"/>
                            <w:sz w:val="16"/>
                            <w:szCs w:val="16"/>
                          </w:rPr>
                        </w:pPr>
                        <w:r>
                          <w:rPr>
                            <w:rFonts w:ascii="Times New Roman"/>
                            <w:w w:val="95"/>
                            <w:sz w:val="16"/>
                          </w:rPr>
                          <w:t>3,347,093.82</w:t>
                        </w:r>
                        <w:r>
                          <w:rPr>
                            <w:rFonts w:ascii="Times New Roman"/>
                            <w:sz w:val="16"/>
                          </w:rPr>
                        </w:r>
                      </w:p>
                    </w:tc>
                    <w:tc>
                      <w:tcPr>
                        <w:tcW w:w="1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1882"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102"/>
                          <w:ind w:right="118"/>
                          <w:jc w:val="right"/>
                          <w:rPr>
                            <w:rFonts w:ascii="Times New Roman" w:hAnsi="Times New Roman" w:cs="Times New Roman" w:eastAsia="Times New Roman" w:hint="default"/>
                            <w:sz w:val="16"/>
                            <w:szCs w:val="16"/>
                          </w:rPr>
                        </w:pPr>
                        <w:r>
                          <w:rPr>
                            <w:rFonts w:ascii="Times New Roman"/>
                            <w:spacing w:val="-1"/>
                            <w:sz w:val="16"/>
                          </w:rPr>
                          <w:t>130,000,000.00</w:t>
                        </w:r>
                      </w:p>
                    </w:tc>
                  </w:tr>
                  <w:tr>
                    <w:trPr>
                      <w:trHeight w:val="402" w:hRule="exact"/>
                    </w:trPr>
                    <w:tc>
                      <w:tcPr>
                        <w:tcW w:w="3544"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66"/>
                          <w:ind w:left="119" w:right="0"/>
                          <w:jc w:val="left"/>
                          <w:rPr>
                            <w:rFonts w:ascii="宋体" w:hAnsi="宋体" w:cs="宋体" w:eastAsia="宋体" w:hint="default"/>
                            <w:sz w:val="16"/>
                            <w:szCs w:val="16"/>
                          </w:rPr>
                        </w:pPr>
                        <w:r>
                          <w:rPr>
                            <w:rFonts w:ascii="宋体" w:hAnsi="宋体" w:cs="宋体" w:eastAsia="宋体" w:hint="default"/>
                            <w:sz w:val="16"/>
                            <w:szCs w:val="16"/>
                          </w:rPr>
                          <w:t>中国光大银行股份有限公司深圳熙龙湾支行</w:t>
                        </w:r>
                      </w:p>
                    </w:tc>
                    <w:tc>
                      <w:tcPr>
                        <w:tcW w:w="14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Times New Roman" w:hAnsi="Times New Roman" w:cs="Times New Roman" w:eastAsia="Times New Roman" w:hint="default"/>
                            <w:sz w:val="16"/>
                            <w:szCs w:val="16"/>
                          </w:rPr>
                        </w:pPr>
                        <w:r>
                          <w:rPr>
                            <w:rFonts w:ascii="Times New Roman"/>
                            <w:spacing w:val="-1"/>
                            <w:sz w:val="16"/>
                          </w:rPr>
                          <w:t>79,819,600.00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2"/>
                          <w:jc w:val="right"/>
                          <w:rPr>
                            <w:rFonts w:ascii="Times New Roman" w:hAnsi="Times New Roman" w:cs="Times New Roman" w:eastAsia="Times New Roman" w:hint="default"/>
                            <w:sz w:val="16"/>
                            <w:szCs w:val="16"/>
                          </w:rPr>
                        </w:pPr>
                        <w:r>
                          <w:rPr>
                            <w:rFonts w:ascii="Times New Roman"/>
                            <w:w w:val="95"/>
                            <w:sz w:val="16"/>
                          </w:rPr>
                          <w:t>8,028,375.67</w:t>
                        </w:r>
                        <w:r>
                          <w:rPr>
                            <w:rFonts w:ascii="Times New Roman"/>
                            <w:sz w:val="16"/>
                          </w:rPr>
                        </w:r>
                      </w:p>
                    </w:tc>
                    <w:tc>
                      <w:tcPr>
                        <w:tcW w:w="1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1882"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102"/>
                          <w:ind w:right="118"/>
                          <w:jc w:val="right"/>
                          <w:rPr>
                            <w:rFonts w:ascii="Times New Roman" w:hAnsi="Times New Roman" w:cs="Times New Roman" w:eastAsia="Times New Roman" w:hint="default"/>
                            <w:sz w:val="16"/>
                            <w:szCs w:val="16"/>
                          </w:rPr>
                        </w:pPr>
                        <w:r>
                          <w:rPr>
                            <w:rFonts w:ascii="Times New Roman"/>
                            <w:spacing w:val="-1"/>
                            <w:sz w:val="16"/>
                          </w:rPr>
                          <w:t>45,000,000.00</w:t>
                        </w:r>
                      </w:p>
                    </w:tc>
                  </w:tr>
                  <w:tr>
                    <w:trPr>
                      <w:trHeight w:val="402" w:hRule="exact"/>
                    </w:trPr>
                    <w:tc>
                      <w:tcPr>
                        <w:tcW w:w="3544"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66"/>
                          <w:ind w:left="119" w:right="0"/>
                          <w:jc w:val="left"/>
                          <w:rPr>
                            <w:rFonts w:ascii="宋体" w:hAnsi="宋体" w:cs="宋体" w:eastAsia="宋体" w:hint="default"/>
                            <w:sz w:val="16"/>
                            <w:szCs w:val="16"/>
                          </w:rPr>
                        </w:pPr>
                        <w:r>
                          <w:rPr>
                            <w:rFonts w:ascii="宋体" w:hAnsi="宋体" w:cs="宋体" w:eastAsia="宋体" w:hint="default"/>
                            <w:sz w:val="16"/>
                            <w:szCs w:val="16"/>
                          </w:rPr>
                          <w:t>北京银行股份有限公司深圳南山支行</w:t>
                        </w:r>
                      </w:p>
                    </w:tc>
                    <w:tc>
                      <w:tcPr>
                        <w:tcW w:w="14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Times New Roman" w:hAnsi="Times New Roman" w:cs="Times New Roman" w:eastAsia="Times New Roman" w:hint="default"/>
                            <w:sz w:val="16"/>
                            <w:szCs w:val="16"/>
                          </w:rPr>
                        </w:pPr>
                        <w:r>
                          <w:rPr>
                            <w:rFonts w:ascii="Times New Roman"/>
                            <w:spacing w:val="-1"/>
                            <w:sz w:val="16"/>
                          </w:rPr>
                          <w:t>95,827,200.00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2"/>
                          <w:jc w:val="right"/>
                          <w:rPr>
                            <w:rFonts w:ascii="Times New Roman" w:hAnsi="Times New Roman" w:cs="Times New Roman" w:eastAsia="Times New Roman" w:hint="default"/>
                            <w:sz w:val="16"/>
                            <w:szCs w:val="16"/>
                          </w:rPr>
                        </w:pPr>
                        <w:r>
                          <w:rPr>
                            <w:rFonts w:ascii="Times New Roman"/>
                            <w:spacing w:val="-1"/>
                            <w:sz w:val="16"/>
                          </w:rPr>
                          <w:t>42,809,411.37</w:t>
                        </w:r>
                      </w:p>
                    </w:tc>
                    <w:tc>
                      <w:tcPr>
                        <w:tcW w:w="1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1882"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102"/>
                          <w:ind w:right="118"/>
                          <w:jc w:val="right"/>
                          <w:rPr>
                            <w:rFonts w:ascii="Times New Roman" w:hAnsi="Times New Roman" w:cs="Times New Roman" w:eastAsia="Times New Roman" w:hint="default"/>
                            <w:sz w:val="16"/>
                            <w:szCs w:val="16"/>
                          </w:rPr>
                        </w:pPr>
                        <w:r>
                          <w:rPr>
                            <w:rFonts w:ascii="Times New Roman"/>
                            <w:w w:val="99"/>
                            <w:sz w:val="16"/>
                          </w:rPr>
                          <w:t>0</w:t>
                        </w:r>
                        <w:r>
                          <w:rPr>
                            <w:rFonts w:ascii="Times New Roman"/>
                            <w:sz w:val="16"/>
                          </w:rPr>
                        </w:r>
                      </w:p>
                    </w:tc>
                  </w:tr>
                  <w:tr>
                    <w:trPr>
                      <w:trHeight w:val="402" w:hRule="exact"/>
                    </w:trPr>
                    <w:tc>
                      <w:tcPr>
                        <w:tcW w:w="3544"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66"/>
                          <w:ind w:left="119" w:right="0"/>
                          <w:jc w:val="left"/>
                          <w:rPr>
                            <w:rFonts w:ascii="宋体" w:hAnsi="宋体" w:cs="宋体" w:eastAsia="宋体" w:hint="default"/>
                            <w:sz w:val="16"/>
                            <w:szCs w:val="16"/>
                          </w:rPr>
                        </w:pPr>
                        <w:r>
                          <w:rPr>
                            <w:rFonts w:ascii="宋体" w:hAnsi="宋体" w:cs="宋体" w:eastAsia="宋体" w:hint="default"/>
                            <w:sz w:val="16"/>
                            <w:szCs w:val="16"/>
                          </w:rPr>
                          <w:t>上海银行股份有限公司深圳君汇支行</w:t>
                        </w:r>
                      </w:p>
                    </w:tc>
                    <w:tc>
                      <w:tcPr>
                        <w:tcW w:w="14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01"/>
                          <w:jc w:val="right"/>
                          <w:rPr>
                            <w:rFonts w:ascii="Times New Roman" w:hAnsi="Times New Roman" w:cs="Times New Roman" w:eastAsia="Times New Roman" w:hint="default"/>
                            <w:sz w:val="16"/>
                            <w:szCs w:val="16"/>
                          </w:rPr>
                        </w:pPr>
                        <w:r>
                          <w:rPr>
                            <w:rFonts w:ascii="Times New Roman"/>
                            <w:spacing w:val="-1"/>
                            <w:sz w:val="16"/>
                          </w:rPr>
                          <w:t>83,222,400.00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02"/>
                          <w:jc w:val="right"/>
                          <w:rPr>
                            <w:rFonts w:ascii="Times New Roman" w:hAnsi="Times New Roman" w:cs="Times New Roman" w:eastAsia="Times New Roman" w:hint="default"/>
                            <w:sz w:val="16"/>
                            <w:szCs w:val="16"/>
                          </w:rPr>
                        </w:pPr>
                        <w:r>
                          <w:rPr>
                            <w:rFonts w:ascii="Times New Roman"/>
                            <w:spacing w:val="-1"/>
                            <w:sz w:val="16"/>
                          </w:rPr>
                          <w:t>11,030,710.46</w:t>
                        </w:r>
                      </w:p>
                    </w:tc>
                    <w:tc>
                      <w:tcPr>
                        <w:tcW w:w="1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1882"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103"/>
                          <w:ind w:right="118"/>
                          <w:jc w:val="right"/>
                          <w:rPr>
                            <w:rFonts w:ascii="Times New Roman" w:hAnsi="Times New Roman" w:cs="Times New Roman" w:eastAsia="Times New Roman" w:hint="default"/>
                            <w:sz w:val="16"/>
                            <w:szCs w:val="16"/>
                          </w:rPr>
                        </w:pPr>
                        <w:r>
                          <w:rPr>
                            <w:rFonts w:ascii="Times New Roman"/>
                            <w:w w:val="99"/>
                            <w:sz w:val="16"/>
                          </w:rPr>
                          <w:t>0</w:t>
                        </w:r>
                        <w:r>
                          <w:rPr>
                            <w:rFonts w:ascii="Times New Roman"/>
                            <w:sz w:val="16"/>
                          </w:rPr>
                        </w:r>
                      </w:p>
                    </w:tc>
                  </w:tr>
                  <w:tr>
                    <w:trPr>
                      <w:trHeight w:val="402" w:hRule="exact"/>
                    </w:trPr>
                    <w:tc>
                      <w:tcPr>
                        <w:tcW w:w="3544"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66"/>
                          <w:ind w:left="119" w:right="0"/>
                          <w:jc w:val="left"/>
                          <w:rPr>
                            <w:rFonts w:ascii="宋体" w:hAnsi="宋体" w:cs="宋体" w:eastAsia="宋体" w:hint="default"/>
                            <w:sz w:val="16"/>
                            <w:szCs w:val="16"/>
                          </w:rPr>
                        </w:pPr>
                        <w:r>
                          <w:rPr>
                            <w:rFonts w:ascii="宋体" w:hAnsi="宋体" w:cs="宋体" w:eastAsia="宋体" w:hint="default"/>
                            <w:sz w:val="16"/>
                            <w:szCs w:val="16"/>
                          </w:rPr>
                          <w:t>中国建设银行股份有限公司深圳市分行营业部</w:t>
                        </w:r>
                      </w:p>
                    </w:tc>
                    <w:tc>
                      <w:tcPr>
                        <w:tcW w:w="14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Times New Roman" w:hAnsi="Times New Roman" w:cs="Times New Roman" w:eastAsia="Times New Roman" w:hint="default"/>
                            <w:sz w:val="16"/>
                            <w:szCs w:val="16"/>
                          </w:rPr>
                        </w:pPr>
                        <w:r>
                          <w:rPr>
                            <w:rFonts w:ascii="Times New Roman"/>
                            <w:spacing w:val="-1"/>
                            <w:sz w:val="16"/>
                          </w:rPr>
                          <w:t>151,400,000.00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2"/>
                          <w:jc w:val="right"/>
                          <w:rPr>
                            <w:rFonts w:ascii="Times New Roman" w:hAnsi="Times New Roman" w:cs="Times New Roman" w:eastAsia="Times New Roman" w:hint="default"/>
                            <w:sz w:val="16"/>
                            <w:szCs w:val="16"/>
                          </w:rPr>
                        </w:pPr>
                        <w:r>
                          <w:rPr>
                            <w:rFonts w:ascii="Times New Roman"/>
                            <w:spacing w:val="-1"/>
                            <w:sz w:val="16"/>
                          </w:rPr>
                          <w:t>15,801,662.55</w:t>
                        </w:r>
                      </w:p>
                    </w:tc>
                    <w:tc>
                      <w:tcPr>
                        <w:tcW w:w="1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1882"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102"/>
                          <w:ind w:right="118"/>
                          <w:jc w:val="right"/>
                          <w:rPr>
                            <w:rFonts w:ascii="Times New Roman" w:hAnsi="Times New Roman" w:cs="Times New Roman" w:eastAsia="Times New Roman" w:hint="default"/>
                            <w:sz w:val="16"/>
                            <w:szCs w:val="16"/>
                          </w:rPr>
                        </w:pPr>
                        <w:r>
                          <w:rPr>
                            <w:rFonts w:ascii="Times New Roman"/>
                            <w:w w:val="99"/>
                            <w:sz w:val="16"/>
                          </w:rPr>
                          <w:t>0</w:t>
                        </w:r>
                        <w:r>
                          <w:rPr>
                            <w:rFonts w:ascii="Times New Roman"/>
                            <w:sz w:val="16"/>
                          </w:rPr>
                        </w:r>
                      </w:p>
                    </w:tc>
                  </w:tr>
                  <w:tr>
                    <w:trPr>
                      <w:trHeight w:val="402" w:hRule="exact"/>
                    </w:trPr>
                    <w:tc>
                      <w:tcPr>
                        <w:tcW w:w="3544"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66"/>
                          <w:ind w:left="119" w:right="0"/>
                          <w:jc w:val="left"/>
                          <w:rPr>
                            <w:rFonts w:ascii="宋体" w:hAnsi="宋体" w:cs="宋体" w:eastAsia="宋体" w:hint="default"/>
                            <w:sz w:val="16"/>
                            <w:szCs w:val="16"/>
                          </w:rPr>
                        </w:pPr>
                        <w:r>
                          <w:rPr>
                            <w:rFonts w:ascii="宋体" w:hAnsi="宋体" w:cs="宋体" w:eastAsia="宋体" w:hint="default"/>
                            <w:sz w:val="16"/>
                            <w:szCs w:val="16"/>
                          </w:rPr>
                          <w:t>交通银行股份有限公司深圳光明支行</w:t>
                        </w:r>
                      </w:p>
                    </w:tc>
                    <w:tc>
                      <w:tcPr>
                        <w:tcW w:w="14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Times New Roman" w:hAnsi="Times New Roman" w:cs="Times New Roman" w:eastAsia="Times New Roman" w:hint="default"/>
                            <w:sz w:val="16"/>
                            <w:szCs w:val="16"/>
                          </w:rPr>
                        </w:pPr>
                        <w:r>
                          <w:rPr>
                            <w:rFonts w:ascii="Times New Roman"/>
                            <w:spacing w:val="-1"/>
                            <w:sz w:val="16"/>
                          </w:rPr>
                          <w:t>151,720,800.00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2"/>
                          <w:jc w:val="right"/>
                          <w:rPr>
                            <w:rFonts w:ascii="Times New Roman" w:hAnsi="Times New Roman" w:cs="Times New Roman" w:eastAsia="Times New Roman" w:hint="default"/>
                            <w:sz w:val="16"/>
                            <w:szCs w:val="16"/>
                          </w:rPr>
                        </w:pPr>
                        <w:r>
                          <w:rPr>
                            <w:rFonts w:ascii="Times New Roman"/>
                            <w:w w:val="95"/>
                            <w:sz w:val="16"/>
                          </w:rPr>
                          <w:t>1,864,123.32</w:t>
                        </w:r>
                        <w:r>
                          <w:rPr>
                            <w:rFonts w:ascii="Times New Roman"/>
                            <w:sz w:val="16"/>
                          </w:rPr>
                        </w:r>
                      </w:p>
                    </w:tc>
                    <w:tc>
                      <w:tcPr>
                        <w:tcW w:w="1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1882"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102"/>
                          <w:ind w:right="118"/>
                          <w:jc w:val="right"/>
                          <w:rPr>
                            <w:rFonts w:ascii="Times New Roman" w:hAnsi="Times New Roman" w:cs="Times New Roman" w:eastAsia="Times New Roman" w:hint="default"/>
                            <w:sz w:val="16"/>
                            <w:szCs w:val="16"/>
                          </w:rPr>
                        </w:pPr>
                        <w:r>
                          <w:rPr>
                            <w:rFonts w:ascii="Times New Roman"/>
                            <w:spacing w:val="-1"/>
                            <w:sz w:val="16"/>
                          </w:rPr>
                          <w:t>10,0000,000.00</w:t>
                        </w:r>
                      </w:p>
                    </w:tc>
                  </w:tr>
                  <w:tr>
                    <w:trPr>
                      <w:trHeight w:val="402" w:hRule="exact"/>
                    </w:trPr>
                    <w:tc>
                      <w:tcPr>
                        <w:tcW w:w="3544" w:type="dxa"/>
                        <w:tcBorders>
                          <w:top w:val="single" w:sz="4" w:space="0" w:color="000000"/>
                          <w:left w:val="single" w:sz="17" w:space="0" w:color="000000"/>
                          <w:bottom w:val="single" w:sz="4" w:space="0" w:color="000000"/>
                          <w:right w:val="single" w:sz="4" w:space="0" w:color="000000"/>
                        </w:tcBorders>
                      </w:tcPr>
                      <w:p>
                        <w:pPr>
                          <w:pStyle w:val="TableParagraph"/>
                          <w:tabs>
                            <w:tab w:pos="598" w:val="left" w:leader="none"/>
                          </w:tabs>
                          <w:spacing w:line="240" w:lineRule="auto" w:before="66"/>
                          <w:ind w:left="119" w:right="0"/>
                          <w:jc w:val="left"/>
                          <w:rPr>
                            <w:rFonts w:ascii="宋体" w:hAnsi="宋体" w:cs="宋体" w:eastAsia="宋体" w:hint="default"/>
                            <w:sz w:val="16"/>
                            <w:szCs w:val="16"/>
                          </w:rPr>
                        </w:pPr>
                        <w:r>
                          <w:rPr>
                            <w:rFonts w:ascii="宋体" w:hAnsi="宋体" w:cs="宋体" w:eastAsia="宋体" w:hint="default"/>
                            <w:w w:val="95"/>
                            <w:sz w:val="16"/>
                            <w:szCs w:val="16"/>
                          </w:rPr>
                          <w:t>合</w:t>
                          <w:tab/>
                        </w:r>
                        <w:r>
                          <w:rPr>
                            <w:rFonts w:ascii="宋体" w:hAnsi="宋体" w:cs="宋体" w:eastAsia="宋体" w:hint="default"/>
                            <w:sz w:val="16"/>
                            <w:szCs w:val="16"/>
                          </w:rPr>
                          <w:t>计</w:t>
                        </w:r>
                      </w:p>
                    </w:tc>
                    <w:tc>
                      <w:tcPr>
                        <w:tcW w:w="14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Times New Roman" w:hAnsi="Times New Roman" w:cs="Times New Roman" w:eastAsia="Times New Roman" w:hint="default"/>
                            <w:sz w:val="16"/>
                            <w:szCs w:val="16"/>
                          </w:rPr>
                        </w:pPr>
                        <w:r>
                          <w:rPr>
                            <w:rFonts w:ascii="Times New Roman"/>
                            <w:spacing w:val="-1"/>
                            <w:sz w:val="16"/>
                          </w:rPr>
                          <w:t>1,625,249,970.68</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2"/>
                          <w:jc w:val="right"/>
                          <w:rPr>
                            <w:rFonts w:ascii="Times New Roman" w:hAnsi="Times New Roman" w:cs="Times New Roman" w:eastAsia="Times New Roman" w:hint="default"/>
                            <w:sz w:val="16"/>
                            <w:szCs w:val="16"/>
                          </w:rPr>
                        </w:pPr>
                        <w:r>
                          <w:rPr>
                            <w:rFonts w:ascii="Times New Roman"/>
                            <w:spacing w:val="-1"/>
                            <w:sz w:val="16"/>
                          </w:rPr>
                          <w:t>92,860,952.45</w:t>
                        </w:r>
                      </w:p>
                    </w:tc>
                    <w:tc>
                      <w:tcPr>
                        <w:tcW w:w="1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1882"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102"/>
                          <w:ind w:right="118"/>
                          <w:jc w:val="right"/>
                          <w:rPr>
                            <w:rFonts w:ascii="Times New Roman" w:hAnsi="Times New Roman" w:cs="Times New Roman" w:eastAsia="Times New Roman" w:hint="default"/>
                            <w:sz w:val="16"/>
                            <w:szCs w:val="16"/>
                          </w:rPr>
                        </w:pPr>
                        <w:r>
                          <w:rPr>
                            <w:rFonts w:ascii="Times New Roman"/>
                            <w:spacing w:val="-1"/>
                            <w:sz w:val="16"/>
                          </w:rPr>
                          <w:t>575,000,000.00</w:t>
                        </w:r>
                      </w:p>
                    </w:tc>
                  </w:tr>
                  <w:tr>
                    <w:trPr>
                      <w:trHeight w:val="11067" w:hRule="exact"/>
                    </w:trPr>
                    <w:tc>
                      <w:tcPr>
                        <w:tcW w:w="9565"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348" w:lineRule="auto"/>
                          <w:ind w:left="22" w:right="6101"/>
                          <w:jc w:val="left"/>
                          <w:rPr>
                            <w:rFonts w:ascii="宋体" w:hAnsi="宋体" w:cs="宋体" w:eastAsia="宋体" w:hint="default"/>
                            <w:sz w:val="18"/>
                            <w:szCs w:val="18"/>
                          </w:rPr>
                        </w:pPr>
                        <w:r>
                          <w:rPr>
                            <w:rFonts w:ascii="宋体" w:hAnsi="宋体" w:cs="宋体" w:eastAsia="宋体" w:hint="default"/>
                            <w:b/>
                            <w:bCs/>
                            <w:sz w:val="18"/>
                            <w:szCs w:val="18"/>
                          </w:rPr>
                          <w:t>三、本次募集资金投资项目基本情况</w:t>
                        </w:r>
                        <w:r>
                          <w:rPr>
                            <w:rFonts w:ascii="宋体" w:hAnsi="宋体" w:cs="宋体" w:eastAsia="宋体" w:hint="default"/>
                            <w:b/>
                            <w:bCs/>
                            <w:w w:val="99"/>
                            <w:sz w:val="18"/>
                            <w:szCs w:val="18"/>
                          </w:rPr>
                          <w:t> </w:t>
                        </w:r>
                        <w:r>
                          <w:rPr>
                            <w:rFonts w:ascii="宋体" w:hAnsi="宋体" w:cs="宋体" w:eastAsia="宋体" w:hint="default"/>
                            <w:sz w:val="18"/>
                            <w:szCs w:val="18"/>
                          </w:rPr>
                          <w:t>详见下文</w:t>
                        </w:r>
                        <w:r>
                          <w:rPr>
                            <w:rFonts w:ascii="Times New Roman" w:hAnsi="Times New Roman" w:cs="Times New Roman" w:eastAsia="Times New Roman" w:hint="default"/>
                            <w:sz w:val="18"/>
                            <w:szCs w:val="18"/>
                          </w:rPr>
                          <w:t>“</w:t>
                        </w:r>
                        <w:r>
                          <w:rPr>
                            <w:rFonts w:ascii="宋体" w:hAnsi="宋体" w:cs="宋体" w:eastAsia="宋体" w:hint="default"/>
                            <w:sz w:val="18"/>
                            <w:szCs w:val="18"/>
                          </w:rPr>
                          <w:t>募集资金承诺项目情况</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b/>
                            <w:bCs/>
                            <w:sz w:val="18"/>
                            <w:szCs w:val="18"/>
                          </w:rPr>
                          <w:t>四、本次募集资金变更项目情况</w:t>
                        </w:r>
                        <w:r>
                          <w:rPr>
                            <w:rFonts w:ascii="宋体" w:hAnsi="宋体" w:cs="宋体" w:eastAsia="宋体" w:hint="default"/>
                            <w:b/>
                            <w:bCs/>
                            <w:w w:val="99"/>
                            <w:sz w:val="18"/>
                            <w:szCs w:val="18"/>
                          </w:rPr>
                          <w:t> </w:t>
                        </w:r>
                        <w:r>
                          <w:rPr>
                            <w:rFonts w:ascii="宋体" w:hAnsi="宋体" w:cs="宋体" w:eastAsia="宋体" w:hint="default"/>
                            <w:sz w:val="18"/>
                            <w:szCs w:val="18"/>
                          </w:rPr>
                          <w:t>详见下文</w:t>
                        </w:r>
                        <w:r>
                          <w:rPr>
                            <w:rFonts w:ascii="Times New Roman" w:hAnsi="Times New Roman" w:cs="Times New Roman" w:eastAsia="Times New Roman" w:hint="default"/>
                            <w:sz w:val="18"/>
                            <w:szCs w:val="18"/>
                          </w:rPr>
                          <w:t>“</w:t>
                        </w:r>
                        <w:r>
                          <w:rPr>
                            <w:rFonts w:ascii="宋体" w:hAnsi="宋体" w:cs="宋体" w:eastAsia="宋体" w:hint="default"/>
                            <w:sz w:val="18"/>
                            <w:szCs w:val="18"/>
                          </w:rPr>
                          <w:t>募集资金变更项目情况</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b/>
                            <w:bCs/>
                            <w:sz w:val="18"/>
                            <w:szCs w:val="18"/>
                          </w:rPr>
                          <w:t>五、募集资金投资项目先期投入及置换情况</w:t>
                        </w:r>
                        <w:r>
                          <w:rPr>
                            <w:rFonts w:ascii="宋体" w:hAnsi="宋体" w:cs="宋体" w:eastAsia="宋体" w:hint="default"/>
                            <w:sz w:val="18"/>
                            <w:szCs w:val="18"/>
                          </w:rPr>
                        </w:r>
                      </w:p>
                      <w:p>
                        <w:pPr>
                          <w:pStyle w:val="TableParagraph"/>
                          <w:spacing w:line="300" w:lineRule="auto" w:before="35"/>
                          <w:ind w:left="22" w:right="40"/>
                          <w:jc w:val="left"/>
                          <w:rPr>
                            <w:rFonts w:ascii="宋体" w:hAnsi="宋体" w:cs="宋体" w:eastAsia="宋体" w:hint="default"/>
                            <w:sz w:val="18"/>
                            <w:szCs w:val="18"/>
                          </w:rPr>
                        </w:pPr>
                        <w:r>
                          <w:rPr>
                            <w:rFonts w:ascii="宋体" w:hAnsi="宋体" w:cs="宋体" w:eastAsia="宋体" w:hint="default"/>
                            <w:sz w:val="18"/>
                            <w:szCs w:val="18"/>
                          </w:rPr>
                          <w:t>根据《非公开发行</w:t>
                        </w:r>
                        <w:r>
                          <w:rPr>
                            <w:rFonts w:ascii="宋体" w:hAnsi="宋体" w:cs="宋体" w:eastAsia="宋体" w:hint="default"/>
                            <w:spacing w:val="-28"/>
                            <w:sz w:val="18"/>
                            <w:szCs w:val="18"/>
                          </w:rPr>
                          <w:t> </w:t>
                        </w:r>
                        <w:r>
                          <w:rPr>
                            <w:rFonts w:ascii="Times New Roman" w:hAnsi="Times New Roman" w:cs="Times New Roman" w:eastAsia="Times New Roman" w:hint="default"/>
                            <w:w w:val="99"/>
                            <w:sz w:val="18"/>
                            <w:szCs w:val="18"/>
                          </w:rPr>
                          <w:t>A</w:t>
                        </w:r>
                        <w:r>
                          <w:rPr>
                            <w:rFonts w:ascii="Times New Roman" w:hAnsi="Times New Roman" w:cs="Times New Roman" w:eastAsia="Times New Roman" w:hint="default"/>
                            <w:spacing w:val="17"/>
                            <w:w w:val="99"/>
                            <w:sz w:val="18"/>
                            <w:szCs w:val="18"/>
                          </w:rPr>
                          <w:t> </w:t>
                        </w:r>
                        <w:r>
                          <w:rPr>
                            <w:rFonts w:ascii="宋体" w:hAnsi="宋体" w:cs="宋体" w:eastAsia="宋体" w:hint="default"/>
                            <w:spacing w:val="-3"/>
                            <w:sz w:val="18"/>
                            <w:szCs w:val="18"/>
                          </w:rPr>
                          <w:t>股股票方案的预案》，在本次募集资金到位前，公司将以自筹资金对上述募集资金项目先行投入，待</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募集资金到位后以募集资金置换上述先行投入的资金。截至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日，公司以自筹资金预先投入上述募集资金</w:t>
                        </w:r>
                      </w:p>
                      <w:p>
                        <w:pPr>
                          <w:pStyle w:val="TableParagraph"/>
                          <w:spacing w:line="240" w:lineRule="auto" w:before="1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投资项目款项计人民币 </w:t>
                        </w:r>
                        <w:r>
                          <w:rPr>
                            <w:rFonts w:ascii="Times New Roman" w:hAnsi="Times New Roman" w:cs="Times New Roman" w:eastAsia="Times New Roman" w:hint="default"/>
                            <w:sz w:val="18"/>
                            <w:szCs w:val="18"/>
                          </w:rPr>
                          <w:t>236,431,102.79</w:t>
                        </w:r>
                        <w:r>
                          <w:rPr>
                            <w:rFonts w:ascii="Times New Roman" w:hAnsi="Times New Roman" w:cs="Times New Roman" w:eastAsia="Times New Roman" w:hint="default"/>
                            <w:spacing w:val="-11"/>
                            <w:sz w:val="18"/>
                            <w:szCs w:val="18"/>
                          </w:rPr>
                          <w:t> </w:t>
                        </w:r>
                        <w:r>
                          <w:rPr>
                            <w:rFonts w:ascii="宋体" w:hAnsi="宋体" w:cs="宋体" w:eastAsia="宋体" w:hint="default"/>
                            <w:spacing w:val="-3"/>
                            <w:sz w:val="18"/>
                            <w:szCs w:val="18"/>
                          </w:rPr>
                          <w:t>元，该事项业经瑞华会计师事务所（特殊普通合伙）验证，并出具瑞华核字【</w:t>
                        </w:r>
                        <w:r>
                          <w:rPr>
                            <w:rFonts w:ascii="Times New Roman" w:hAnsi="Times New Roman" w:cs="Times New Roman" w:eastAsia="Times New Roman" w:hint="default"/>
                            <w:spacing w:val="-3"/>
                            <w:sz w:val="18"/>
                            <w:szCs w:val="18"/>
                          </w:rPr>
                          <w:t>2017</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48210017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号审计报告。公司于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日召开的第五届董事会</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年第十一次会议审议通过了《关于使用募集资</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金置换预先已投入募投项目的自筹资金的议案</w:t>
                        </w:r>
                        <w:r>
                          <w:rPr>
                            <w:rFonts w:ascii="宋体" w:hAnsi="宋体" w:cs="宋体" w:eastAsia="宋体" w:hint="default"/>
                            <w:spacing w:val="-90"/>
                            <w:sz w:val="18"/>
                            <w:szCs w:val="18"/>
                          </w:rPr>
                          <w:t>》</w:t>
                        </w:r>
                        <w:r>
                          <w:rPr>
                            <w:rFonts w:ascii="宋体" w:hAnsi="宋体" w:cs="宋体" w:eastAsia="宋体" w:hint="default"/>
                            <w:spacing w:val="-77"/>
                            <w:sz w:val="18"/>
                            <w:szCs w:val="18"/>
                          </w:rPr>
                          <w:t>，</w:t>
                        </w:r>
                        <w:r>
                          <w:rPr>
                            <w:rFonts w:ascii="宋体" w:hAnsi="宋体" w:cs="宋体" w:eastAsia="宋体" w:hint="default"/>
                            <w:sz w:val="18"/>
                            <w:szCs w:val="18"/>
                          </w:rPr>
                          <w:t>同意公司用募集资金人民币</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236,431</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z w:val="18"/>
                            <w:szCs w:val="18"/>
                          </w:rPr>
                          <w:t>102.79 </w:t>
                        </w:r>
                        <w:r>
                          <w:rPr>
                            <w:rFonts w:ascii="宋体" w:hAnsi="宋体" w:cs="宋体" w:eastAsia="宋体" w:hint="default"/>
                            <w:sz w:val="18"/>
                            <w:szCs w:val="18"/>
                          </w:rPr>
                          <w:t>元置换募投项目先期投入的自</w:t>
                        </w:r>
                      </w:p>
                      <w:p>
                        <w:pPr>
                          <w:pStyle w:val="TableParagraph"/>
                          <w:spacing w:line="302" w:lineRule="auto" w:before="63"/>
                          <w:ind w:left="22" w:right="23"/>
                          <w:jc w:val="left"/>
                          <w:rPr>
                            <w:rFonts w:ascii="宋体" w:hAnsi="宋体" w:cs="宋体" w:eastAsia="宋体" w:hint="default"/>
                            <w:sz w:val="18"/>
                            <w:szCs w:val="18"/>
                          </w:rPr>
                        </w:pPr>
                        <w:r>
                          <w:rPr>
                            <w:rFonts w:ascii="宋体" w:hAnsi="宋体" w:cs="宋体" w:eastAsia="宋体" w:hint="default"/>
                            <w:sz w:val="18"/>
                            <w:szCs w:val="18"/>
                          </w:rPr>
                          <w:t>筹资金。募集资金到账后，公司分别于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1"/>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2"/>
                            <w:sz w:val="18"/>
                            <w:szCs w:val="18"/>
                          </w:rPr>
                          <w:t> </w:t>
                        </w:r>
                        <w:r>
                          <w:rPr>
                            <w:rFonts w:ascii="宋体" w:hAnsi="宋体" w:cs="宋体" w:eastAsia="宋体" w:hint="default"/>
                            <w:spacing w:val="-4"/>
                            <w:sz w:val="18"/>
                            <w:szCs w:val="18"/>
                          </w:rPr>
                          <w:t>日、</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2"/>
                            <w:sz w:val="18"/>
                            <w:szCs w:val="18"/>
                          </w:rPr>
                          <w:t> </w:t>
                        </w:r>
                        <w:r>
                          <w:rPr>
                            <w:rFonts w:ascii="宋体" w:hAnsi="宋体" w:cs="宋体" w:eastAsia="宋体" w:hint="default"/>
                            <w:spacing w:val="-4"/>
                            <w:sz w:val="18"/>
                            <w:szCs w:val="18"/>
                          </w:rPr>
                          <w:t>日、</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2"/>
                            <w:sz w:val="18"/>
                            <w:szCs w:val="18"/>
                          </w:rPr>
                          <w:t> </w:t>
                        </w:r>
                        <w:r>
                          <w:rPr>
                            <w:rFonts w:ascii="宋体" w:hAnsi="宋体" w:cs="宋体" w:eastAsia="宋体" w:hint="default"/>
                            <w:spacing w:val="-4"/>
                            <w:sz w:val="18"/>
                            <w:szCs w:val="18"/>
                          </w:rPr>
                          <w:t>日、</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pacing w:val="-4"/>
                            <w:sz w:val="18"/>
                            <w:szCs w:val="18"/>
                          </w:rPr>
                          <w:t>日、</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日将上述预先投 入募投项目的自筹资金由募集资金账户转至公司普通账户。</w:t>
                        </w:r>
                      </w:p>
                      <w:p>
                        <w:pPr>
                          <w:pStyle w:val="TableParagraph"/>
                          <w:spacing w:line="360" w:lineRule="auto" w:before="69"/>
                          <w:ind w:left="22" w:right="5211"/>
                          <w:jc w:val="left"/>
                          <w:rPr>
                            <w:rFonts w:ascii="宋体" w:hAnsi="宋体" w:cs="宋体" w:eastAsia="宋体" w:hint="default"/>
                            <w:sz w:val="18"/>
                            <w:szCs w:val="18"/>
                          </w:rPr>
                        </w:pPr>
                        <w:r>
                          <w:rPr>
                            <w:rFonts w:ascii="宋体" w:hAnsi="宋体" w:cs="宋体" w:eastAsia="宋体" w:hint="default"/>
                            <w:b/>
                            <w:bCs/>
                            <w:sz w:val="18"/>
                            <w:szCs w:val="18"/>
                          </w:rPr>
                          <w:t>六、用闲置募集资金暂时补充流动资金的情况</w:t>
                        </w:r>
                        <w:r>
                          <w:rPr>
                            <w:rFonts w:ascii="宋体" w:hAnsi="宋体" w:cs="宋体" w:eastAsia="宋体" w:hint="default"/>
                            <w:b/>
                            <w:bCs/>
                            <w:w w:val="99"/>
                            <w:sz w:val="18"/>
                            <w:szCs w:val="18"/>
                          </w:rPr>
                          <w:t> </w:t>
                        </w:r>
                        <w:r>
                          <w:rPr>
                            <w:rFonts w:ascii="宋体" w:hAnsi="宋体" w:cs="宋体" w:eastAsia="宋体" w:hint="default"/>
                            <w:sz w:val="18"/>
                            <w:szCs w:val="18"/>
                          </w:rPr>
                          <w:t>详见下文“用闲置募集资金暂时补充流动资金的情况” </w:t>
                        </w:r>
                        <w:r>
                          <w:rPr>
                            <w:rFonts w:ascii="宋体" w:hAnsi="宋体" w:cs="宋体" w:eastAsia="宋体" w:hint="default"/>
                            <w:b/>
                            <w:bCs/>
                            <w:sz w:val="18"/>
                            <w:szCs w:val="18"/>
                          </w:rPr>
                          <w:t>七、使用部分闲置募集资金进行现金管理的情况</w:t>
                        </w:r>
                        <w:r>
                          <w:rPr>
                            <w:rFonts w:ascii="宋体" w:hAnsi="宋体" w:cs="宋体" w:eastAsia="宋体" w:hint="default"/>
                            <w:sz w:val="18"/>
                            <w:szCs w:val="18"/>
                          </w:rPr>
                        </w:r>
                      </w:p>
                      <w:p>
                        <w:pPr>
                          <w:pStyle w:val="TableParagraph"/>
                          <w:spacing w:line="240" w:lineRule="auto" w:before="2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5"/>
                            <w:sz w:val="18"/>
                            <w:szCs w:val="18"/>
                          </w:rPr>
                          <w:t> </w:t>
                        </w:r>
                        <w:r>
                          <w:rPr>
                            <w:rFonts w:ascii="宋体" w:hAnsi="宋体" w:cs="宋体" w:eastAsia="宋体" w:hint="default"/>
                            <w:spacing w:val="-4"/>
                            <w:sz w:val="18"/>
                            <w:szCs w:val="18"/>
                          </w:rPr>
                          <w:t>日，公司第五届董事会</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年第十一次会议审议通过了《关于使用部分暂时闲置募集资金进行现金管理的</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议案</w:t>
                        </w:r>
                        <w:r>
                          <w:rPr>
                            <w:rFonts w:ascii="宋体" w:hAnsi="宋体" w:cs="宋体" w:eastAsia="宋体" w:hint="default"/>
                            <w:spacing w:val="-90"/>
                            <w:sz w:val="18"/>
                            <w:szCs w:val="18"/>
                          </w:rPr>
                          <w:t>》</w:t>
                        </w:r>
                        <w:r>
                          <w:rPr>
                            <w:rFonts w:ascii="宋体" w:hAnsi="宋体" w:cs="宋体" w:eastAsia="宋体" w:hint="default"/>
                            <w:spacing w:val="-9"/>
                            <w:sz w:val="18"/>
                            <w:szCs w:val="18"/>
                          </w:rPr>
                          <w:t>，</w:t>
                        </w:r>
                        <w:r>
                          <w:rPr>
                            <w:rFonts w:ascii="宋体" w:hAnsi="宋体" w:cs="宋体" w:eastAsia="宋体" w:hint="default"/>
                            <w:sz w:val="18"/>
                            <w:szCs w:val="18"/>
                          </w:rPr>
                          <w:t>同意公司在确保不影响募集资金投资项目正常进行的前提下</w:t>
                        </w:r>
                        <w:r>
                          <w:rPr>
                            <w:rFonts w:ascii="宋体" w:hAnsi="宋体" w:cs="宋体" w:eastAsia="宋体" w:hint="default"/>
                            <w:spacing w:val="-9"/>
                            <w:sz w:val="18"/>
                            <w:szCs w:val="18"/>
                          </w:rPr>
                          <w:t>，</w:t>
                        </w:r>
                        <w:r>
                          <w:rPr>
                            <w:rFonts w:ascii="宋体" w:hAnsi="宋体" w:cs="宋体" w:eastAsia="宋体" w:hint="default"/>
                            <w:sz w:val="18"/>
                            <w:szCs w:val="18"/>
                          </w:rPr>
                          <w:t>使用不超过人民币</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亿</w:t>
                        </w:r>
                        <w:r>
                          <w:rPr>
                            <w:rFonts w:ascii="宋体" w:hAnsi="宋体" w:cs="宋体" w:eastAsia="宋体" w:hint="default"/>
                            <w:spacing w:val="-9"/>
                            <w:sz w:val="18"/>
                            <w:szCs w:val="18"/>
                          </w:rPr>
                          <w:t>元</w:t>
                        </w:r>
                        <w:r>
                          <w:rPr>
                            <w:rFonts w:ascii="宋体" w:hAnsi="宋体" w:cs="宋体" w:eastAsia="宋体" w:hint="default"/>
                            <w:spacing w:val="1"/>
                            <w:sz w:val="18"/>
                            <w:szCs w:val="18"/>
                          </w:rPr>
                          <w:t>（</w:t>
                        </w:r>
                        <w:r>
                          <w:rPr>
                            <w:rFonts w:ascii="宋体" w:hAnsi="宋体" w:cs="宋体" w:eastAsia="宋体" w:hint="default"/>
                            <w:sz w:val="18"/>
                            <w:szCs w:val="18"/>
                          </w:rPr>
                          <w:t>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亿元</w:t>
                        </w:r>
                        <w:r>
                          <w:rPr>
                            <w:rFonts w:ascii="宋体" w:hAnsi="宋体" w:cs="宋体" w:eastAsia="宋体" w:hint="default"/>
                            <w:spacing w:val="-9"/>
                            <w:sz w:val="18"/>
                            <w:szCs w:val="18"/>
                          </w:rPr>
                          <w:t>）</w:t>
                        </w:r>
                        <w:r>
                          <w:rPr>
                            <w:rFonts w:ascii="宋体" w:hAnsi="宋体" w:cs="宋体" w:eastAsia="宋体" w:hint="default"/>
                            <w:spacing w:val="1"/>
                            <w:sz w:val="18"/>
                            <w:szCs w:val="18"/>
                          </w:rPr>
                          <w:t>额</w:t>
                        </w:r>
                        <w:r>
                          <w:rPr>
                            <w:rFonts w:ascii="宋体" w:hAnsi="宋体" w:cs="宋体" w:eastAsia="宋体" w:hint="default"/>
                            <w:sz w:val="18"/>
                            <w:szCs w:val="18"/>
                          </w:rPr>
                          <w:t>度的闲</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置募集资金进行现金管理，在上述额度内，闲置募集资金进行现金管理的期限自董事会审议通过之日起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个月内可滚动</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使用，投资单个理财产品的期限不得超过</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个月。董事会授权公司法定代表人在上述额度内行使决策权并签署相关文件</w:t>
                        </w:r>
                      </w:p>
                      <w:p>
                        <w:pPr>
                          <w:pStyle w:val="TableParagraph"/>
                          <w:spacing w:line="302" w:lineRule="auto" w:before="101"/>
                          <w:ind w:left="22" w:right="81"/>
                          <w:jc w:val="left"/>
                          <w:rPr>
                            <w:rFonts w:ascii="宋体" w:hAnsi="宋体" w:cs="宋体" w:eastAsia="宋体" w:hint="default"/>
                            <w:sz w:val="18"/>
                            <w:szCs w:val="18"/>
                          </w:rPr>
                        </w:pPr>
                        <w:r>
                          <w:rPr>
                            <w:rFonts w:ascii="宋体" w:hAnsi="宋体" w:cs="宋体" w:eastAsia="宋体" w:hint="default"/>
                            <w:sz w:val="18"/>
                            <w:szCs w:val="18"/>
                          </w:rPr>
                          <w:t>公司已严格按上述议案、在不超过人民币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亿元（含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亿元）额度内使用闲置募集资金进行现金管理，在现金管理产 品到期后，公司陆续安全收回资金并归还至募集资金专户。</w:t>
                        </w:r>
                      </w:p>
                      <w:p>
                        <w:pPr>
                          <w:pStyle w:val="TableParagraph"/>
                          <w:spacing w:line="240" w:lineRule="auto" w:before="70"/>
                          <w:ind w:left="22" w:right="0"/>
                          <w:jc w:val="left"/>
                          <w:rPr>
                            <w:rFonts w:ascii="宋体" w:hAnsi="宋体" w:cs="宋体" w:eastAsia="宋体" w:hint="default"/>
                            <w:sz w:val="18"/>
                            <w:szCs w:val="18"/>
                          </w:rPr>
                        </w:pPr>
                        <w:r>
                          <w:rPr>
                            <w:rFonts w:ascii="宋体" w:hAnsi="宋体" w:cs="宋体" w:eastAsia="宋体" w:hint="default"/>
                            <w:sz w:val="18"/>
                            <w:szCs w:val="18"/>
                          </w:rPr>
                          <w:t>截至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日，公司现金管理进展情况如下：</w:t>
                        </w:r>
                      </w:p>
                      <w:p>
                        <w:pPr>
                          <w:pStyle w:val="TableParagraph"/>
                          <w:spacing w:line="240" w:lineRule="auto" w:before="10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日，公司购买了光大银行深圳熙龙湾支行发行的对公结构性存款产品，该产品为保本浮动收益型产品，金</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额为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4,500 </w:t>
                        </w:r>
                        <w:r>
                          <w:rPr>
                            <w:rFonts w:ascii="宋体" w:hAnsi="宋体" w:cs="宋体" w:eastAsia="宋体" w:hint="default"/>
                            <w:sz w:val="18"/>
                            <w:szCs w:val="18"/>
                          </w:rPr>
                          <w:t>万元，起始日期</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pStyle w:val="TableParagraph"/>
                          <w:spacing w:line="240" w:lineRule="auto" w:before="10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日，公司购买了兴业银行深圳深南支行发行的对公结构性存款产品，该产品为保本浮动收益型产品，金额</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7,000 </w:t>
                        </w:r>
                        <w:r>
                          <w:rPr>
                            <w:rFonts w:ascii="宋体" w:hAnsi="宋体" w:cs="宋体" w:eastAsia="宋体" w:hint="default"/>
                            <w:sz w:val="18"/>
                            <w:szCs w:val="18"/>
                          </w:rPr>
                          <w:t>万元，起始日期</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pStyle w:val="TableParagraph"/>
                          <w:spacing w:line="240" w:lineRule="auto" w:before="10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日，公司购买了平安银行深圳华侨城支行发行的对公结构性存款产品，该产品为保本浮动收益型产品，金</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额为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3,000 </w:t>
                        </w:r>
                        <w:r>
                          <w:rPr>
                            <w:rFonts w:ascii="宋体" w:hAnsi="宋体" w:cs="宋体" w:eastAsia="宋体" w:hint="default"/>
                            <w:sz w:val="18"/>
                            <w:szCs w:val="18"/>
                          </w:rPr>
                          <w:t>万元，起始日期</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pStyle w:val="TableParagraph"/>
                          <w:spacing w:line="240" w:lineRule="auto" w:before="10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日，公司购买了交通银行深圳光明支行发行的对公结构性存款产品，该产品为保本浮动收益型产品，金额</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3,000 </w:t>
                        </w:r>
                        <w:r>
                          <w:rPr>
                            <w:rFonts w:ascii="宋体" w:hAnsi="宋体" w:cs="宋体" w:eastAsia="宋体" w:hint="default"/>
                            <w:sz w:val="18"/>
                            <w:szCs w:val="18"/>
                          </w:rPr>
                          <w:t>万元，起始日期</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pStyle w:val="TableParagraph"/>
                          <w:spacing w:line="240" w:lineRule="auto" w:before="10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日，公司购买了平安银行深圳华侨城支行发行的对公结构性存款产品，该产品为保本浮动收益型产品，金</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额为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21,000 </w:t>
                        </w:r>
                        <w:r>
                          <w:rPr>
                            <w:rFonts w:ascii="宋体" w:hAnsi="宋体" w:cs="宋体" w:eastAsia="宋体" w:hint="default"/>
                            <w:sz w:val="18"/>
                            <w:szCs w:val="18"/>
                          </w:rPr>
                          <w:t>万元，随时可支取；</w:t>
                        </w:r>
                      </w:p>
                    </w:tc>
                  </w:tr>
                </w:tbl>
                <w:p>
                  <w:pPr/>
                </w:p>
              </w:txbxContent>
            </v:textbox>
            <w10:wrap type="none"/>
          </v:shape>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p>
      <w:pPr>
        <w:pStyle w:val="BodyText"/>
        <w:spacing w:line="240" w:lineRule="auto" w:before="44"/>
        <w:ind w:left="0" w:right="1144"/>
        <w:jc w:val="right"/>
      </w:pP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6"/>
          <w:szCs w:val="16"/>
        </w:rPr>
      </w:pPr>
    </w:p>
    <w:p>
      <w:pPr>
        <w:pStyle w:val="BodyText"/>
        <w:spacing w:line="240" w:lineRule="auto"/>
        <w:ind w:left="0" w:right="1144"/>
        <w:jc w:val="right"/>
      </w:pPr>
      <w:r>
        <w:rPr/>
        <w:t>。</w:t>
      </w:r>
    </w:p>
    <w:p>
      <w:pPr>
        <w:spacing w:after="0" w:line="240" w:lineRule="auto"/>
        <w:jc w:val="right"/>
        <w:sectPr>
          <w:pgSz w:w="11910" w:h="16840"/>
          <w:pgMar w:header="747" w:footer="979" w:top="1060" w:bottom="1160" w:left="980" w:right="0"/>
        </w:sectPr>
      </w:pPr>
    </w:p>
    <w:p>
      <w:pPr>
        <w:spacing w:line="240" w:lineRule="auto" w:before="11"/>
        <w:rPr>
          <w:rFonts w:ascii="宋体" w:hAnsi="宋体" w:cs="宋体" w:eastAsia="宋体" w:hint="default"/>
          <w:sz w:val="28"/>
          <w:szCs w:val="28"/>
        </w:rPr>
      </w:pPr>
    </w:p>
    <w:p>
      <w:pPr>
        <w:spacing w:line="2354" w:lineRule="exact"/>
        <w:ind w:left="154" w:right="0" w:firstLine="0"/>
        <w:rPr>
          <w:rFonts w:ascii="宋体" w:hAnsi="宋体" w:cs="宋体" w:eastAsia="宋体" w:hint="default"/>
          <w:sz w:val="20"/>
          <w:szCs w:val="20"/>
        </w:rPr>
      </w:pPr>
      <w:r>
        <w:rPr>
          <w:rFonts w:ascii="宋体" w:hAnsi="宋体" w:cs="宋体" w:eastAsia="宋体" w:hint="default"/>
          <w:position w:val="-46"/>
          <w:sz w:val="20"/>
          <w:szCs w:val="20"/>
        </w:rPr>
        <w:pict>
          <v:shape style="width:478.3pt;height:117.75pt;mso-position-horizontal-relative:char;mso-position-vertical-relative:line" type="#_x0000_t202" filled="false" stroked="true" strokeweight=".48004pt" strokecolor="#000000">
            <w10:anchorlock/>
            <v:textbox inset="0,0,0,0">
              <w:txbxContent>
                <w:p>
                  <w:pPr>
                    <w:pStyle w:val="BodyText"/>
                    <w:spacing w:line="240" w:lineRule="auto" w:before="10"/>
                    <w:ind w:left="22" w:right="0"/>
                    <w:jc w:val="left"/>
                  </w:pPr>
                  <w:r>
                    <w:rPr>
                      <w:rFonts w:ascii="Times New Roman" w:hAnsi="Times New Roman" w:cs="Times New Roman" w:eastAsia="Times New Roman" w:hint="default"/>
                    </w:rPr>
                    <w:t>2018</w:t>
                  </w:r>
                  <w:r>
                    <w:rPr>
                      <w:rFonts w:ascii="Times New Roman" w:hAnsi="Times New Roman" w:cs="Times New Roman" w:eastAsia="Times New Roman" w:hint="default"/>
                      <w:spacing w:val="-17"/>
                    </w:rPr>
                    <w:t> </w:t>
                  </w:r>
                  <w:r>
                    <w:rPr/>
                    <w:t>年</w:t>
                  </w:r>
                  <w:r>
                    <w:rPr>
                      <w:spacing w:val="-62"/>
                    </w:rPr>
                    <w:t> </w:t>
                  </w:r>
                  <w:r>
                    <w:rPr>
                      <w:rFonts w:ascii="Times New Roman" w:hAnsi="Times New Roman" w:cs="Times New Roman" w:eastAsia="Times New Roman" w:hint="default"/>
                    </w:rPr>
                    <w:t>12</w:t>
                  </w:r>
                  <w:r>
                    <w:rPr>
                      <w:rFonts w:ascii="Times New Roman" w:hAnsi="Times New Roman" w:cs="Times New Roman" w:eastAsia="Times New Roman" w:hint="default"/>
                      <w:spacing w:val="-16"/>
                    </w:rPr>
                    <w:t> </w:t>
                  </w:r>
                  <w:r>
                    <w:rPr/>
                    <w:t>月</w:t>
                  </w:r>
                  <w:r>
                    <w:rPr>
                      <w:spacing w:val="-62"/>
                    </w:rPr>
                    <w:t> </w:t>
                  </w:r>
                  <w:r>
                    <w:rPr>
                      <w:rFonts w:ascii="Times New Roman" w:hAnsi="Times New Roman" w:cs="Times New Roman" w:eastAsia="Times New Roman" w:hint="default"/>
                    </w:rPr>
                    <w:t>26</w:t>
                  </w:r>
                  <w:r>
                    <w:rPr>
                      <w:rFonts w:ascii="Times New Roman" w:hAnsi="Times New Roman" w:cs="Times New Roman" w:eastAsia="Times New Roman" w:hint="default"/>
                      <w:spacing w:val="-17"/>
                    </w:rPr>
                    <w:t> </w:t>
                  </w:r>
                  <w:r>
                    <w:rPr/>
                    <w:t>日，公司购买了交通银行深圳光明支行发行的对公结构性存款产品，该产品为保本浮动收益型产品，金额</w:t>
                  </w:r>
                </w:p>
                <w:p>
                  <w:pPr>
                    <w:pStyle w:val="BodyText"/>
                    <w:spacing w:line="240" w:lineRule="auto" w:before="64"/>
                    <w:ind w:left="22" w:right="0"/>
                    <w:jc w:val="left"/>
                  </w:pPr>
                  <w:r>
                    <w:rPr/>
                    <w:t>为</w:t>
                  </w:r>
                  <w:r>
                    <w:rPr>
                      <w:spacing w:val="-46"/>
                    </w:rPr>
                    <w:t> </w:t>
                  </w:r>
                  <w:r>
                    <w:rPr>
                      <w:rFonts w:ascii="Times New Roman" w:hAnsi="Times New Roman" w:cs="Times New Roman" w:eastAsia="Times New Roman" w:hint="default"/>
                    </w:rPr>
                    <w:t>7,000 </w:t>
                  </w:r>
                  <w:r>
                    <w:rPr/>
                    <w:t>万元，随时可支取；</w:t>
                  </w:r>
                </w:p>
                <w:p>
                  <w:pPr>
                    <w:pStyle w:val="BodyText"/>
                    <w:spacing w:line="240" w:lineRule="auto" w:before="102"/>
                    <w:ind w:left="22" w:right="0"/>
                    <w:jc w:val="left"/>
                  </w:pPr>
                  <w:r>
                    <w:rPr>
                      <w:rFonts w:ascii="Times New Roman" w:hAnsi="Times New Roman" w:cs="Times New Roman" w:eastAsia="Times New Roman" w:hint="default"/>
                    </w:rPr>
                    <w:t>2018</w:t>
                  </w:r>
                  <w:r>
                    <w:rPr>
                      <w:rFonts w:ascii="Times New Roman" w:hAnsi="Times New Roman" w:cs="Times New Roman" w:eastAsia="Times New Roman" w:hint="default"/>
                      <w:spacing w:val="-17"/>
                    </w:rPr>
                    <w:t> </w:t>
                  </w:r>
                  <w:r>
                    <w:rPr/>
                    <w:t>年</w:t>
                  </w:r>
                  <w:r>
                    <w:rPr>
                      <w:spacing w:val="-62"/>
                    </w:rPr>
                    <w:t> </w:t>
                  </w:r>
                  <w:r>
                    <w:rPr>
                      <w:rFonts w:ascii="Times New Roman" w:hAnsi="Times New Roman" w:cs="Times New Roman" w:eastAsia="Times New Roman" w:hint="default"/>
                    </w:rPr>
                    <w:t>12</w:t>
                  </w:r>
                  <w:r>
                    <w:rPr>
                      <w:rFonts w:ascii="Times New Roman" w:hAnsi="Times New Roman" w:cs="Times New Roman" w:eastAsia="Times New Roman" w:hint="default"/>
                      <w:spacing w:val="-16"/>
                    </w:rPr>
                    <w:t> </w:t>
                  </w:r>
                  <w:r>
                    <w:rPr/>
                    <w:t>月</w:t>
                  </w:r>
                  <w:r>
                    <w:rPr>
                      <w:spacing w:val="-62"/>
                    </w:rPr>
                    <w:t> </w:t>
                  </w:r>
                  <w:r>
                    <w:rPr>
                      <w:rFonts w:ascii="Times New Roman" w:hAnsi="Times New Roman" w:cs="Times New Roman" w:eastAsia="Times New Roman" w:hint="default"/>
                    </w:rPr>
                    <w:t>26</w:t>
                  </w:r>
                  <w:r>
                    <w:rPr>
                      <w:rFonts w:ascii="Times New Roman" w:hAnsi="Times New Roman" w:cs="Times New Roman" w:eastAsia="Times New Roman" w:hint="default"/>
                      <w:spacing w:val="-17"/>
                    </w:rPr>
                    <w:t> </w:t>
                  </w:r>
                  <w:r>
                    <w:rPr/>
                    <w:t>日，公司购买了兴业银行深圳深南支行发行的对公结构性存款产品，该产品为保本浮动收益型产品，金额</w:t>
                  </w:r>
                </w:p>
                <w:p>
                  <w:pPr>
                    <w:pStyle w:val="BodyText"/>
                    <w:spacing w:line="240" w:lineRule="auto" w:before="64"/>
                    <w:ind w:left="22" w:right="0"/>
                    <w:jc w:val="left"/>
                  </w:pPr>
                  <w:r>
                    <w:rPr/>
                    <w:t>为</w:t>
                  </w:r>
                  <w:r>
                    <w:rPr>
                      <w:spacing w:val="-46"/>
                    </w:rPr>
                    <w:t> </w:t>
                  </w:r>
                  <w:r>
                    <w:rPr>
                      <w:rFonts w:ascii="Times New Roman" w:hAnsi="Times New Roman" w:cs="Times New Roman" w:eastAsia="Times New Roman" w:hint="default"/>
                    </w:rPr>
                    <w:t>6,000 </w:t>
                  </w:r>
                  <w:r>
                    <w:rPr/>
                    <w:t>万元，随时可支取；</w:t>
                  </w:r>
                </w:p>
                <w:p>
                  <w:pPr>
                    <w:pStyle w:val="BodyText"/>
                    <w:spacing w:line="240" w:lineRule="auto" w:before="101"/>
                    <w:ind w:left="22" w:right="0"/>
                    <w:jc w:val="left"/>
                  </w:pPr>
                  <w:r>
                    <w:rPr>
                      <w:rFonts w:ascii="Times New Roman" w:hAnsi="Times New Roman" w:cs="Times New Roman" w:eastAsia="Times New Roman" w:hint="default"/>
                    </w:rPr>
                    <w:t>2018</w:t>
                  </w:r>
                  <w:r>
                    <w:rPr>
                      <w:rFonts w:ascii="Times New Roman" w:hAnsi="Times New Roman" w:cs="Times New Roman" w:eastAsia="Times New Roman" w:hint="default"/>
                      <w:spacing w:val="-17"/>
                    </w:rPr>
                    <w:t> </w:t>
                  </w:r>
                  <w:r>
                    <w:rPr/>
                    <w:t>年</w:t>
                  </w:r>
                  <w:r>
                    <w:rPr>
                      <w:spacing w:val="-62"/>
                    </w:rPr>
                    <w:t> </w:t>
                  </w:r>
                  <w:r>
                    <w:rPr>
                      <w:rFonts w:ascii="Times New Roman" w:hAnsi="Times New Roman" w:cs="Times New Roman" w:eastAsia="Times New Roman" w:hint="default"/>
                    </w:rPr>
                    <w:t>12</w:t>
                  </w:r>
                  <w:r>
                    <w:rPr>
                      <w:rFonts w:ascii="Times New Roman" w:hAnsi="Times New Roman" w:cs="Times New Roman" w:eastAsia="Times New Roman" w:hint="default"/>
                      <w:spacing w:val="-16"/>
                    </w:rPr>
                    <w:t> </w:t>
                  </w:r>
                  <w:r>
                    <w:rPr/>
                    <w:t>月</w:t>
                  </w:r>
                  <w:r>
                    <w:rPr>
                      <w:spacing w:val="-62"/>
                    </w:rPr>
                    <w:t> </w:t>
                  </w:r>
                  <w:r>
                    <w:rPr>
                      <w:rFonts w:ascii="Times New Roman" w:hAnsi="Times New Roman" w:cs="Times New Roman" w:eastAsia="Times New Roman" w:hint="default"/>
                    </w:rPr>
                    <w:t>27</w:t>
                  </w:r>
                  <w:r>
                    <w:rPr>
                      <w:rFonts w:ascii="Times New Roman" w:hAnsi="Times New Roman" w:cs="Times New Roman" w:eastAsia="Times New Roman" w:hint="default"/>
                      <w:spacing w:val="-17"/>
                    </w:rPr>
                    <w:t> </w:t>
                  </w:r>
                  <w:r>
                    <w:rPr/>
                    <w:t>日，公司购买了兴业银行深圳华富支行发行的对公结构性存款产品，该产品为保本浮动收益型产品，金额</w:t>
                  </w:r>
                </w:p>
                <w:p>
                  <w:pPr>
                    <w:pStyle w:val="BodyText"/>
                    <w:spacing w:line="240" w:lineRule="auto" w:before="64"/>
                    <w:ind w:left="22" w:right="0"/>
                    <w:jc w:val="left"/>
                  </w:pPr>
                  <w:r>
                    <w:rPr/>
                    <w:t>为</w:t>
                  </w:r>
                  <w:r>
                    <w:rPr>
                      <w:spacing w:val="-46"/>
                    </w:rPr>
                    <w:t> </w:t>
                  </w:r>
                  <w:r>
                    <w:rPr>
                      <w:rFonts w:ascii="Times New Roman" w:hAnsi="Times New Roman" w:cs="Times New Roman" w:eastAsia="Times New Roman" w:hint="default"/>
                    </w:rPr>
                    <w:t>6,000 </w:t>
                  </w:r>
                  <w:r>
                    <w:rPr/>
                    <w:t>万元，随时可支取。</w:t>
                  </w:r>
                </w:p>
                <w:p>
                  <w:pPr>
                    <w:pStyle w:val="BodyText"/>
                    <w:spacing w:line="240" w:lineRule="auto" w:before="102"/>
                    <w:ind w:left="22" w:right="0"/>
                    <w:jc w:val="left"/>
                  </w:pPr>
                  <w:r>
                    <w:rPr/>
                    <w:t>截至</w:t>
                  </w:r>
                  <w:r>
                    <w:rPr>
                      <w:spacing w:val="-4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46"/>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日，公司现金管理尚未到期余额为</w:t>
                  </w:r>
                  <w:r>
                    <w:rPr>
                      <w:spacing w:val="-46"/>
                    </w:rPr>
                    <w:t> </w:t>
                  </w:r>
                  <w:r>
                    <w:rPr>
                      <w:rFonts w:ascii="Times New Roman" w:hAnsi="Times New Roman" w:cs="Times New Roman" w:eastAsia="Times New Roman" w:hint="default"/>
                    </w:rPr>
                    <w:t>57,500</w:t>
                  </w:r>
                  <w:r>
                    <w:rPr>
                      <w:rFonts w:ascii="Times New Roman" w:hAnsi="Times New Roman" w:cs="Times New Roman" w:eastAsia="Times New Roman" w:hint="default"/>
                      <w:spacing w:val="-1"/>
                    </w:rPr>
                    <w:t> </w:t>
                  </w:r>
                  <w:r>
                    <w:rPr/>
                    <w:t>万元。</w:t>
                  </w:r>
                </w:p>
              </w:txbxContent>
            </v:textbox>
          </v:shape>
        </w:pict>
      </w:r>
      <w:r>
        <w:rPr>
          <w:rFonts w:ascii="宋体" w:hAnsi="宋体" w:cs="宋体" w:eastAsia="宋体" w:hint="default"/>
          <w:position w:val="-46"/>
          <w:sz w:val="20"/>
          <w:szCs w:val="20"/>
        </w:rPr>
      </w:r>
    </w:p>
    <w:p>
      <w:pPr>
        <w:spacing w:line="240" w:lineRule="auto" w:before="8"/>
        <w:rPr>
          <w:rFonts w:ascii="宋体" w:hAnsi="宋体" w:cs="宋体" w:eastAsia="宋体" w:hint="default"/>
          <w:sz w:val="19"/>
          <w:szCs w:val="19"/>
        </w:rPr>
      </w:pPr>
    </w:p>
    <w:p>
      <w:pPr>
        <w:pStyle w:val="Heading3"/>
        <w:spacing w:line="240" w:lineRule="auto" w:before="35"/>
        <w:ind w:right="0"/>
        <w:jc w:val="left"/>
        <w:rPr>
          <w:b w:val="0"/>
          <w:bCs w:val="0"/>
        </w:rPr>
      </w:pPr>
      <w:bookmarkStart w:name="（2）募集资金承诺项目情况" w:id="51"/>
      <w:bookmarkEnd w:id="51"/>
      <w:r>
        <w:rPr>
          <w:b w:val="0"/>
          <w:bCs w:val="0"/>
        </w:rPr>
      </w:r>
      <w:r>
        <w:rPr/>
        <w:t>（</w:t>
      </w:r>
      <w:r>
        <w:rPr>
          <w:rFonts w:ascii="Times New Roman" w:hAnsi="Times New Roman" w:cs="Times New Roman" w:eastAsia="Times New Roman" w:hint="default"/>
        </w:rPr>
        <w:t>2</w:t>
      </w:r>
      <w:r>
        <w:rPr/>
        <w:t>）募集资金承诺项目情况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130"/>
        <w:jc w:val="right"/>
      </w:pPr>
      <w:r>
        <w:rPr/>
        <w:t>单位：万元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770"/>
        <w:gridCol w:w="779"/>
        <w:gridCol w:w="780"/>
        <w:gridCol w:w="780"/>
        <w:gridCol w:w="779"/>
        <w:gridCol w:w="780"/>
        <w:gridCol w:w="780"/>
        <w:gridCol w:w="780"/>
        <w:gridCol w:w="780"/>
        <w:gridCol w:w="780"/>
        <w:gridCol w:w="780"/>
      </w:tblGrid>
      <w:tr>
        <w:trPr>
          <w:trHeight w:val="1338"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520" w:right="69" w:hanging="451"/>
              <w:jc w:val="left"/>
              <w:rPr>
                <w:rFonts w:ascii="宋体" w:hAnsi="宋体" w:cs="宋体" w:eastAsia="宋体" w:hint="default"/>
                <w:sz w:val="18"/>
                <w:szCs w:val="18"/>
              </w:rPr>
            </w:pPr>
            <w:r>
              <w:rPr>
                <w:rFonts w:ascii="宋体" w:hAnsi="宋体" w:cs="宋体" w:eastAsia="宋体" w:hint="default"/>
                <w:sz w:val="18"/>
                <w:szCs w:val="18"/>
              </w:rPr>
              <w:t>承诺投资项目和超募 资金投向</w:t>
            </w:r>
          </w:p>
        </w:tc>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1"/>
              <w:ind w:left="24" w:right="23"/>
              <w:jc w:val="center"/>
              <w:rPr>
                <w:rFonts w:ascii="Times New Roman" w:hAnsi="Times New Roman" w:cs="Times New Roman" w:eastAsia="Times New Roman" w:hint="default"/>
                <w:sz w:val="18"/>
                <w:szCs w:val="18"/>
              </w:rPr>
            </w:pPr>
            <w:r>
              <w:rPr>
                <w:rFonts w:ascii="宋体" w:hAnsi="宋体" w:cs="宋体" w:eastAsia="宋体" w:hint="default"/>
                <w:sz w:val="18"/>
                <w:szCs w:val="18"/>
              </w:rPr>
              <w:t>是否已变 更项目 </w:t>
            </w:r>
            <w:r>
              <w:rPr>
                <w:rFonts w:ascii="Times New Roman" w:hAnsi="Times New Roman" w:cs="Times New Roman" w:eastAsia="Times New Roman" w:hint="default"/>
                <w:sz w:val="18"/>
                <w:szCs w:val="18"/>
              </w:rPr>
              <w:t>(</w:t>
            </w:r>
            <w:r>
              <w:rPr>
                <w:rFonts w:ascii="宋体" w:hAnsi="宋体" w:cs="宋体" w:eastAsia="宋体" w:hint="default"/>
                <w:sz w:val="18"/>
                <w:szCs w:val="18"/>
              </w:rPr>
              <w:t>含部分 变更</w:t>
            </w:r>
            <w:r>
              <w:rPr>
                <w:rFonts w:ascii="Times New Roman" w:hAnsi="Times New Roman" w:cs="Times New Roman" w:eastAsia="Times New Roman" w:hint="default"/>
                <w:sz w:val="18"/>
                <w:szCs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4" w:right="24"/>
              <w:jc w:val="center"/>
              <w:rPr>
                <w:rFonts w:ascii="宋体" w:hAnsi="宋体" w:cs="宋体" w:eastAsia="宋体" w:hint="default"/>
                <w:sz w:val="18"/>
                <w:szCs w:val="18"/>
              </w:rPr>
            </w:pPr>
            <w:r>
              <w:rPr>
                <w:rFonts w:ascii="宋体" w:hAnsi="宋体" w:cs="宋体" w:eastAsia="宋体" w:hint="default"/>
                <w:sz w:val="18"/>
                <w:szCs w:val="18"/>
              </w:rPr>
              <w:t>募集资金 承诺投资 总额</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38" w:lineRule="auto"/>
              <w:ind w:left="24" w:right="24"/>
              <w:jc w:val="center"/>
              <w:rPr>
                <w:rFonts w:ascii="Times New Roman" w:hAnsi="Times New Roman" w:cs="Times New Roman" w:eastAsia="Times New Roman" w:hint="default"/>
                <w:sz w:val="18"/>
                <w:szCs w:val="18"/>
              </w:rPr>
            </w:pPr>
            <w:r>
              <w:rPr>
                <w:rFonts w:ascii="宋体" w:hAnsi="宋体" w:cs="宋体" w:eastAsia="宋体" w:hint="default"/>
                <w:sz w:val="18"/>
                <w:szCs w:val="18"/>
              </w:rPr>
              <w:t>调整后投 资总额 </w:t>
            </w:r>
            <w:r>
              <w:rPr>
                <w:rFonts w:ascii="Times New Roman" w:hAnsi="Times New Roman" w:cs="Times New Roman" w:eastAsia="Times New Roman" w:hint="default"/>
                <w:sz w:val="18"/>
                <w:szCs w:val="18"/>
              </w:rPr>
              <w:t>(1)</w:t>
            </w:r>
          </w:p>
        </w:tc>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4" w:right="23"/>
              <w:jc w:val="left"/>
              <w:rPr>
                <w:rFonts w:ascii="宋体" w:hAnsi="宋体" w:cs="宋体" w:eastAsia="宋体" w:hint="default"/>
                <w:sz w:val="18"/>
                <w:szCs w:val="18"/>
              </w:rPr>
            </w:pPr>
            <w:r>
              <w:rPr>
                <w:rFonts w:ascii="宋体" w:hAnsi="宋体" w:cs="宋体" w:eastAsia="宋体" w:hint="default"/>
                <w:sz w:val="18"/>
                <w:szCs w:val="18"/>
              </w:rPr>
              <w:t>本报告期 投入金额</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5" w:right="23"/>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截至期末 累计投入 金额</w:t>
            </w:r>
            <w:r>
              <w:rPr>
                <w:rFonts w:ascii="Times New Roman" w:hAnsi="Times New Roman" w:cs="Times New Roman" w:eastAsia="Times New Roman" w:hint="default"/>
                <w:sz w:val="18"/>
                <w:szCs w:val="18"/>
              </w:rPr>
              <w:t>(2)</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4" w:lineRule="auto" w:before="51"/>
              <w:ind w:left="25" w:right="23"/>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截至期末 投资进度 </w:t>
            </w:r>
            <w:r>
              <w:rPr>
                <w:rFonts w:ascii="Times New Roman" w:hAnsi="Times New Roman" w:cs="Times New Roman" w:eastAsia="Times New Roman" w:hint="default"/>
                <w:sz w:val="18"/>
                <w:szCs w:val="18"/>
              </w:rPr>
              <w:t>(3)</w:t>
            </w:r>
            <w:r>
              <w:rPr>
                <w:rFonts w:ascii="宋体" w:hAnsi="宋体" w:cs="宋体" w:eastAsia="宋体" w:hint="default"/>
                <w:sz w:val="18"/>
                <w:szCs w:val="18"/>
              </w:rPr>
              <w:t>＝ </w:t>
            </w:r>
            <w:r>
              <w:rPr>
                <w:rFonts w:ascii="Times New Roman" w:hAnsi="Times New Roman" w:cs="Times New Roman" w:eastAsia="Times New Roman" w:hint="default"/>
                <w:sz w:val="18"/>
                <w:szCs w:val="18"/>
              </w:rPr>
              <w:t>(2)/(1)</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5" w:right="23"/>
              <w:jc w:val="center"/>
              <w:rPr>
                <w:rFonts w:ascii="宋体" w:hAnsi="宋体" w:cs="宋体" w:eastAsia="宋体" w:hint="default"/>
                <w:sz w:val="18"/>
                <w:szCs w:val="18"/>
              </w:rPr>
            </w:pPr>
            <w:r>
              <w:rPr>
                <w:rFonts w:ascii="宋体" w:hAnsi="宋体" w:cs="宋体" w:eastAsia="宋体" w:hint="default"/>
                <w:sz w:val="18"/>
                <w:szCs w:val="18"/>
              </w:rPr>
              <w:t>项目达到 预定可使 用状态日 期</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5" w:right="23"/>
              <w:jc w:val="center"/>
              <w:rPr>
                <w:rFonts w:ascii="宋体" w:hAnsi="宋体" w:cs="宋体" w:eastAsia="宋体" w:hint="default"/>
                <w:sz w:val="18"/>
                <w:szCs w:val="18"/>
              </w:rPr>
            </w:pPr>
            <w:r>
              <w:rPr>
                <w:rFonts w:ascii="宋体" w:hAnsi="宋体" w:cs="宋体" w:eastAsia="宋体" w:hint="default"/>
                <w:sz w:val="18"/>
                <w:szCs w:val="18"/>
              </w:rPr>
              <w:t>本报告期 实现的效 益</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5" w:right="23"/>
              <w:jc w:val="left"/>
              <w:rPr>
                <w:rFonts w:ascii="宋体" w:hAnsi="宋体" w:cs="宋体" w:eastAsia="宋体" w:hint="default"/>
                <w:sz w:val="18"/>
                <w:szCs w:val="18"/>
              </w:rPr>
            </w:pPr>
            <w:r>
              <w:rPr>
                <w:rFonts w:ascii="宋体" w:hAnsi="宋体" w:cs="宋体" w:eastAsia="宋体" w:hint="default"/>
                <w:sz w:val="18"/>
                <w:szCs w:val="18"/>
              </w:rPr>
              <w:t>是否达到 预计效益</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5" w:right="23"/>
              <w:jc w:val="center"/>
              <w:rPr>
                <w:rFonts w:ascii="宋体" w:hAnsi="宋体" w:cs="宋体" w:eastAsia="宋体" w:hint="default"/>
                <w:sz w:val="18"/>
                <w:szCs w:val="18"/>
              </w:rPr>
            </w:pPr>
            <w:r>
              <w:rPr>
                <w:rFonts w:ascii="宋体" w:hAnsi="宋体" w:cs="宋体" w:eastAsia="宋体" w:hint="default"/>
                <w:sz w:val="18"/>
                <w:szCs w:val="18"/>
              </w:rPr>
              <w:t>项目可行 性是否发 生重大变 化</w:t>
            </w:r>
          </w:p>
        </w:tc>
      </w:tr>
      <w:tr>
        <w:trPr>
          <w:trHeight w:val="402" w:hRule="exact"/>
        </w:trPr>
        <w:tc>
          <w:tcPr>
            <w:tcW w:w="9569"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承诺投资项目</w:t>
            </w:r>
          </w:p>
        </w:tc>
      </w:tr>
      <w:tr>
        <w:trPr>
          <w:trHeight w:val="1026"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117"/>
              <w:jc w:val="both"/>
              <w:rPr>
                <w:rFonts w:ascii="宋体" w:hAnsi="宋体" w:cs="宋体" w:eastAsia="宋体" w:hint="default"/>
                <w:sz w:val="18"/>
                <w:szCs w:val="18"/>
              </w:rPr>
            </w:pPr>
            <w:r>
              <w:rPr>
                <w:rFonts w:ascii="宋体" w:hAnsi="宋体" w:cs="宋体" w:eastAsia="宋体" w:hint="default"/>
                <w:sz w:val="18"/>
                <w:szCs w:val="18"/>
              </w:rPr>
              <w:t>基于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RFID</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技术的智 能物联运营支撑系统 项目</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52,200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49,661.81</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5,360.19</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7,071.81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14.24%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p>
            <w:pPr>
              <w:pStyle w:val="TableParagraph"/>
              <w:spacing w:line="240" w:lineRule="auto" w:before="64"/>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117"/>
              <w:jc w:val="left"/>
              <w:rPr>
                <w:rFonts w:ascii="宋体" w:hAnsi="宋体" w:cs="宋体" w:eastAsia="宋体" w:hint="default"/>
                <w:sz w:val="18"/>
                <w:szCs w:val="18"/>
              </w:rPr>
            </w:pPr>
            <w:r>
              <w:rPr>
                <w:rFonts w:ascii="宋体" w:hAnsi="宋体" w:cs="宋体" w:eastAsia="宋体" w:hint="default"/>
                <w:sz w:val="18"/>
                <w:szCs w:val="18"/>
              </w:rPr>
              <w:t>劲嘉新型材料精品包 装项目</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38,427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38,427</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4,758.21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18,789.08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48.90%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w:t>
            </w:r>
          </w:p>
          <w:p>
            <w:pPr>
              <w:pStyle w:val="TableParagraph"/>
              <w:spacing w:line="240" w:lineRule="auto" w:before="64"/>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117"/>
              <w:jc w:val="left"/>
              <w:rPr>
                <w:rFonts w:ascii="宋体" w:hAnsi="宋体" w:cs="宋体" w:eastAsia="宋体" w:hint="default"/>
                <w:sz w:val="18"/>
                <w:szCs w:val="18"/>
              </w:rPr>
            </w:pPr>
            <w:r>
              <w:rPr>
                <w:rFonts w:ascii="宋体" w:hAnsi="宋体" w:cs="宋体" w:eastAsia="宋体" w:hint="default"/>
                <w:sz w:val="18"/>
                <w:szCs w:val="18"/>
              </w:rPr>
              <w:t>贵州新型材料精品包 装及智能化升级项目</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9,582.72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9,582.72</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555.8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w w:val="95"/>
                <w:sz w:val="18"/>
              </w:rPr>
              <w:t>5,411.48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56.47%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29</w:t>
            </w:r>
          </w:p>
          <w:p>
            <w:pPr>
              <w:pStyle w:val="TableParagraph"/>
              <w:spacing w:line="240" w:lineRule="auto" w:before="64"/>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7"/>
              <w:jc w:val="both"/>
              <w:rPr>
                <w:rFonts w:ascii="宋体" w:hAnsi="宋体" w:cs="宋体" w:eastAsia="宋体" w:hint="default"/>
                <w:sz w:val="18"/>
                <w:szCs w:val="18"/>
              </w:rPr>
            </w:pPr>
            <w:r>
              <w:rPr>
                <w:rFonts w:ascii="宋体" w:hAnsi="宋体" w:cs="宋体" w:eastAsia="宋体" w:hint="default"/>
                <w:sz w:val="18"/>
                <w:szCs w:val="18"/>
              </w:rPr>
              <w:t>江苏新型材料精品包 装及智能化升级技术 改造项目</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8,322.24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8,322.24</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220.95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2,797.76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33.62%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29</w:t>
            </w:r>
          </w:p>
          <w:p>
            <w:pPr>
              <w:pStyle w:val="TableParagraph"/>
              <w:spacing w:line="240" w:lineRule="auto" w:before="64"/>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117"/>
              <w:jc w:val="left"/>
              <w:rPr>
                <w:rFonts w:ascii="宋体" w:hAnsi="宋体" w:cs="宋体" w:eastAsia="宋体" w:hint="default"/>
                <w:sz w:val="18"/>
                <w:szCs w:val="18"/>
              </w:rPr>
            </w:pPr>
            <w:r>
              <w:rPr>
                <w:rFonts w:ascii="宋体" w:hAnsi="宋体" w:cs="宋体" w:eastAsia="宋体" w:hint="default"/>
                <w:sz w:val="18"/>
                <w:szCs w:val="18"/>
              </w:rPr>
              <w:t>安徽新型材料精品包 装及智能化升级项目</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7,981.96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7,981.96</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2,525.1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2,906.79</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36.42%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29</w:t>
            </w:r>
          </w:p>
          <w:p>
            <w:pPr>
              <w:pStyle w:val="TableParagraph"/>
              <w:spacing w:line="240" w:lineRule="auto" w:before="64"/>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117"/>
              <w:jc w:val="left"/>
              <w:rPr>
                <w:rFonts w:ascii="宋体" w:hAnsi="宋体" w:cs="宋体" w:eastAsia="宋体" w:hint="default"/>
                <w:sz w:val="18"/>
                <w:szCs w:val="18"/>
              </w:rPr>
            </w:pPr>
            <w:r>
              <w:rPr>
                <w:rFonts w:ascii="宋体" w:hAnsi="宋体" w:cs="宋体" w:eastAsia="宋体" w:hint="default"/>
                <w:sz w:val="18"/>
                <w:szCs w:val="18"/>
              </w:rPr>
              <w:t>劲嘉智能化包装升级 项目</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15,140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15,140</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w w:val="95"/>
                <w:sz w:val="18"/>
              </w:rPr>
              <w:t>4,118.48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10,635.18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70.25%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p>
            <w:pPr>
              <w:pStyle w:val="TableParagraph"/>
              <w:spacing w:line="240" w:lineRule="auto" w:before="64"/>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338"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9"/>
                <w:sz w:val="18"/>
                <w:szCs w:val="18"/>
              </w:rPr>
              <w:t>贵州省食品安全（含药</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9"/>
                <w:sz w:val="18"/>
                <w:szCs w:val="18"/>
              </w:rPr>
              <w:t>品保健品）物联网与大</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数据营销溯源平台项 目</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18,174</w:t>
            </w:r>
          </w:p>
        </w:tc>
        <w:tc>
          <w:tcPr>
            <w:tcW w:w="780" w:type="dxa"/>
            <w:tcBorders>
              <w:top w:val="single" w:sz="4" w:space="0" w:color="000000"/>
              <w:left w:val="single" w:sz="4" w:space="0" w:color="000000"/>
              <w:bottom w:val="single" w:sz="4" w:space="0" w:color="000000"/>
              <w:right w:val="single" w:sz="4" w:space="0" w:color="000000"/>
            </w:tcBorders>
          </w:tcPr>
          <w:p>
            <w:pPr/>
          </w:p>
        </w:tc>
        <w:tc>
          <w:tcPr>
            <w:tcW w:w="779"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7"/>
              <w:jc w:val="left"/>
              <w:rPr>
                <w:rFonts w:ascii="宋体" w:hAnsi="宋体" w:cs="宋体" w:eastAsia="宋体" w:hint="default"/>
                <w:sz w:val="18"/>
                <w:szCs w:val="18"/>
              </w:rPr>
            </w:pPr>
            <w:r>
              <w:rPr>
                <w:rFonts w:ascii="宋体" w:hAnsi="宋体" w:cs="宋体" w:eastAsia="宋体" w:hint="default"/>
                <w:sz w:val="18"/>
                <w:szCs w:val="18"/>
              </w:rPr>
              <w:t>中丰田光电科技改扩 建项目</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18,174</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12,285.38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12,285.38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67.60%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r>
        <w:rPr/>
        <w:pict>
          <v:shape style="position:absolute;margin-left:56.459999pt;margin-top:71.999985pt;width:479.2pt;height:688pt;mso-position-horizontal-relative:page;mso-position-vertical-relative:page;z-index:119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770"/>
                    <w:gridCol w:w="779"/>
                    <w:gridCol w:w="780"/>
                    <w:gridCol w:w="780"/>
                    <w:gridCol w:w="779"/>
                    <w:gridCol w:w="780"/>
                    <w:gridCol w:w="780"/>
                    <w:gridCol w:w="780"/>
                    <w:gridCol w:w="780"/>
                    <w:gridCol w:w="780"/>
                    <w:gridCol w:w="780"/>
                  </w:tblGrid>
                  <w:tr>
                    <w:trPr>
                      <w:trHeight w:val="362" w:hRule="exact"/>
                    </w:trPr>
                    <w:tc>
                      <w:tcPr>
                        <w:tcW w:w="1770" w:type="dxa"/>
                        <w:tcBorders>
                          <w:top w:val="single" w:sz="4" w:space="0" w:color="000000"/>
                          <w:left w:val="single" w:sz="4" w:space="0" w:color="000000"/>
                          <w:bottom w:val="single" w:sz="4" w:space="0" w:color="000000"/>
                          <w:right w:val="single" w:sz="4" w:space="0" w:color="000000"/>
                        </w:tcBorders>
                      </w:tcPr>
                      <w:p>
                        <w:pPr/>
                      </w:p>
                    </w:tc>
                    <w:tc>
                      <w:tcPr>
                        <w:tcW w:w="779"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79"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117"/>
                          <w:jc w:val="left"/>
                          <w:rPr>
                            <w:rFonts w:ascii="宋体" w:hAnsi="宋体" w:cs="宋体" w:eastAsia="宋体" w:hint="default"/>
                            <w:sz w:val="18"/>
                            <w:szCs w:val="18"/>
                          </w:rPr>
                        </w:pPr>
                        <w:r>
                          <w:rPr>
                            <w:rFonts w:ascii="宋体" w:hAnsi="宋体" w:cs="宋体" w:eastAsia="宋体" w:hint="default"/>
                            <w:sz w:val="18"/>
                            <w:szCs w:val="18"/>
                          </w:rPr>
                          <w:t>包装技术研发中心项 目</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15,172.08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15,172.08</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224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77" w:right="0"/>
                          <w:jc w:val="left"/>
                          <w:rPr>
                            <w:rFonts w:ascii="Times New Roman" w:hAnsi="Times New Roman" w:cs="Times New Roman" w:eastAsia="Times New Roman" w:hint="default"/>
                            <w:sz w:val="18"/>
                            <w:szCs w:val="18"/>
                          </w:rPr>
                        </w:pPr>
                        <w:r>
                          <w:rPr>
                            <w:rFonts w:ascii="Times New Roman"/>
                            <w:sz w:val="18"/>
                          </w:rPr>
                          <w:t>224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83" w:right="0"/>
                          <w:jc w:val="left"/>
                          <w:rPr>
                            <w:rFonts w:ascii="Times New Roman" w:hAnsi="Times New Roman" w:cs="Times New Roman" w:eastAsia="Times New Roman" w:hint="default"/>
                            <w:sz w:val="18"/>
                            <w:szCs w:val="18"/>
                          </w:rPr>
                        </w:pPr>
                        <w:r>
                          <w:rPr>
                            <w:rFonts w:ascii="Times New Roman"/>
                            <w:sz w:val="18"/>
                          </w:rPr>
                          <w:t>1.48%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p>
                        <w:pPr>
                          <w:pStyle w:val="TableParagraph"/>
                          <w:spacing w:line="240" w:lineRule="auto" w:before="64"/>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61" w:hRule="exact"/>
                    </w:trPr>
                    <w:tc>
                      <w:tcPr>
                        <w:tcW w:w="1770" w:type="dxa"/>
                        <w:tcBorders>
                          <w:top w:val="single" w:sz="4" w:space="0" w:color="000000"/>
                          <w:left w:val="single" w:sz="4" w:space="0" w:color="000000"/>
                          <w:bottom w:val="nil" w:sz="6" w:space="0" w:color="auto"/>
                          <w:right w:val="single" w:sz="4" w:space="0" w:color="000000"/>
                        </w:tcBorders>
                        <w:shd w:val="clear" w:color="auto" w:fill="D2D2D2"/>
                      </w:tcPr>
                      <w:p>
                        <w:pPr/>
                      </w:p>
                    </w:tc>
                    <w:tc>
                      <w:tcPr>
                        <w:tcW w:w="779" w:type="dxa"/>
                        <w:tcBorders>
                          <w:top w:val="single" w:sz="4" w:space="0" w:color="000000"/>
                          <w:left w:val="single" w:sz="4" w:space="0" w:color="000000"/>
                          <w:bottom w:val="nil" w:sz="6" w:space="0" w:color="auto"/>
                          <w:right w:val="single" w:sz="4" w:space="0" w:color="000000"/>
                        </w:tcBorders>
                        <w:shd w:val="clear" w:color="auto" w:fill="D2D2D2"/>
                      </w:tcPr>
                      <w:p>
                        <w:pPr/>
                      </w:p>
                    </w:tc>
                    <w:tc>
                      <w:tcPr>
                        <w:tcW w:w="780"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5" w:right="0"/>
                          <w:jc w:val="left"/>
                          <w:rPr>
                            <w:rFonts w:ascii="Times New Roman" w:hAnsi="Times New Roman" w:cs="Times New Roman" w:eastAsia="Times New Roman" w:hint="default"/>
                            <w:sz w:val="18"/>
                            <w:szCs w:val="18"/>
                          </w:rPr>
                        </w:pPr>
                        <w:r>
                          <w:rPr>
                            <w:rFonts w:ascii="Times New Roman"/>
                            <w:sz w:val="18"/>
                          </w:rPr>
                          <w:t>165,000</w:t>
                        </w:r>
                      </w:p>
                    </w:tc>
                    <w:tc>
                      <w:tcPr>
                        <w:tcW w:w="780"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162,461.8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w:t>
                        </w:r>
                      </w:p>
                    </w:tc>
                    <w:tc>
                      <w:tcPr>
                        <w:tcW w:w="779"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2" w:right="0"/>
                          <w:jc w:val="left"/>
                          <w:rPr>
                            <w:rFonts w:ascii="Times New Roman" w:hAnsi="Times New Roman" w:cs="Times New Roman" w:eastAsia="Times New Roman" w:hint="default"/>
                            <w:sz w:val="18"/>
                            <w:szCs w:val="18"/>
                          </w:rPr>
                        </w:pPr>
                        <w:r>
                          <w:rPr>
                            <w:rFonts w:ascii="Times New Roman"/>
                            <w:sz w:val="18"/>
                          </w:rPr>
                          <w:t>30,048.11</w:t>
                        </w:r>
                      </w:p>
                    </w:tc>
                    <w:tc>
                      <w:tcPr>
                        <w:tcW w:w="780" w:type="dxa"/>
                        <w:vMerge w:val="restart"/>
                        <w:tcBorders>
                          <w:top w:val="single" w:sz="4" w:space="0" w:color="000000"/>
                          <w:left w:val="single" w:sz="4" w:space="0" w:color="000000"/>
                          <w:right w:val="single" w:sz="10" w:space="0" w:color="D2D2D2"/>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7" w:right="0"/>
                          <w:jc w:val="left"/>
                          <w:rPr>
                            <w:rFonts w:ascii="Times New Roman" w:hAnsi="Times New Roman" w:cs="Times New Roman" w:eastAsia="Times New Roman" w:hint="default"/>
                            <w:sz w:val="18"/>
                            <w:szCs w:val="18"/>
                          </w:rPr>
                        </w:pPr>
                        <w:r>
                          <w:rPr>
                            <w:rFonts w:ascii="Times New Roman"/>
                            <w:sz w:val="18"/>
                          </w:rPr>
                          <w:t>60,121.48</w:t>
                        </w:r>
                      </w:p>
                    </w:tc>
                    <w:tc>
                      <w:tcPr>
                        <w:tcW w:w="780" w:type="dxa"/>
                        <w:tcBorders>
                          <w:top w:val="single" w:sz="4" w:space="0" w:color="000000"/>
                          <w:left w:val="single" w:sz="4" w:space="0" w:color="000000"/>
                          <w:bottom w:val="nil" w:sz="6" w:space="0" w:color="auto"/>
                          <w:right w:val="single" w:sz="4" w:space="0" w:color="000000"/>
                        </w:tcBorders>
                        <w:shd w:val="clear" w:color="auto" w:fill="D2D2D2"/>
                      </w:tcPr>
                      <w:p>
                        <w:pPr/>
                      </w:p>
                    </w:tc>
                    <w:tc>
                      <w:tcPr>
                        <w:tcW w:w="780" w:type="dxa"/>
                        <w:tcBorders>
                          <w:top w:val="single" w:sz="4" w:space="0" w:color="000000"/>
                          <w:left w:val="single" w:sz="4" w:space="0" w:color="000000"/>
                          <w:bottom w:val="nil" w:sz="6" w:space="0" w:color="auto"/>
                          <w:right w:val="single" w:sz="4" w:space="0" w:color="000000"/>
                        </w:tcBorders>
                        <w:shd w:val="clear" w:color="auto" w:fill="D2D2D2"/>
                      </w:tcPr>
                      <w:p>
                        <w:pPr/>
                      </w:p>
                    </w:tc>
                    <w:tc>
                      <w:tcPr>
                        <w:tcW w:w="780" w:type="dxa"/>
                        <w:vMerge w:val="restart"/>
                        <w:tcBorders>
                          <w:top w:val="single" w:sz="4" w:space="0" w:color="000000"/>
                          <w:left w:val="single" w:sz="9" w:space="0" w:color="D2D2D2"/>
                          <w:right w:val="single" w:sz="10" w:space="0" w:color="D2D2D2"/>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nil" w:sz="6" w:space="0" w:color="auto"/>
                          <w:right w:val="single" w:sz="4" w:space="0" w:color="000000"/>
                        </w:tcBorders>
                        <w:shd w:val="clear" w:color="auto" w:fill="D2D2D2"/>
                      </w:tcPr>
                      <w:p>
                        <w:pPr/>
                      </w:p>
                    </w:tc>
                    <w:tc>
                      <w:tcPr>
                        <w:tcW w:w="780"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2" w:hRule="exact"/>
                    </w:trPr>
                    <w:tc>
                      <w:tcPr>
                        <w:tcW w:w="177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承诺投资项目小计</w:t>
                        </w:r>
                      </w:p>
                    </w:tc>
                    <w:tc>
                      <w:tcPr>
                        <w:tcW w:w="77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c>
                      <w:tcPr>
                        <w:tcW w:w="780" w:type="dxa"/>
                        <w:vMerge/>
                        <w:tcBorders>
                          <w:left w:val="single" w:sz="9" w:space="0" w:color="D2D2D2"/>
                          <w:right w:val="single" w:sz="4" w:space="0" w:color="000000"/>
                        </w:tcBorders>
                      </w:tcPr>
                      <w:p>
                        <w:pPr/>
                      </w:p>
                    </w:tc>
                    <w:tc>
                      <w:tcPr>
                        <w:tcW w:w="780"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c>
                      <w:tcPr>
                        <w:tcW w:w="780" w:type="dxa"/>
                        <w:vMerge/>
                        <w:tcBorders>
                          <w:left w:val="single" w:sz="4" w:space="0" w:color="000000"/>
                          <w:right w:val="single" w:sz="10" w:space="0" w:color="D2D2D2"/>
                        </w:tcBorders>
                      </w:tcPr>
                      <w:p>
                        <w:pPr/>
                      </w:p>
                    </w:tc>
                    <w:tc>
                      <w:tcPr>
                        <w:tcW w:w="78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325" w:right="0"/>
                          <w:jc w:val="left"/>
                          <w:rPr>
                            <w:rFonts w:ascii="Times New Roman" w:hAnsi="Times New Roman" w:cs="Times New Roman" w:eastAsia="Times New Roman" w:hint="default"/>
                            <w:sz w:val="18"/>
                            <w:szCs w:val="18"/>
                          </w:rPr>
                        </w:pPr>
                        <w:r>
                          <w:rPr>
                            <w:rFonts w:ascii="Times New Roman"/>
                            <w:sz w:val="18"/>
                          </w:rPr>
                          <w:t>--</w:t>
                        </w:r>
                      </w:p>
                    </w:tc>
                    <w:tc>
                      <w:tcPr>
                        <w:tcW w:w="78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80" w:type="dxa"/>
                        <w:vMerge/>
                        <w:tcBorders>
                          <w:left w:val="single" w:sz="9" w:space="0" w:color="D2D2D2"/>
                          <w:right w:val="single" w:sz="10" w:space="0" w:color="D2D2D2"/>
                        </w:tcBorders>
                      </w:tcPr>
                      <w:p>
                        <w:pPr/>
                      </w:p>
                    </w:tc>
                    <w:tc>
                      <w:tcPr>
                        <w:tcW w:w="78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166" w:hRule="exact"/>
                    </w:trPr>
                    <w:tc>
                      <w:tcPr>
                        <w:tcW w:w="1770" w:type="dxa"/>
                        <w:tcBorders>
                          <w:top w:val="nil" w:sz="6" w:space="0" w:color="auto"/>
                          <w:left w:val="single" w:sz="4" w:space="0" w:color="000000"/>
                          <w:bottom w:val="single" w:sz="4" w:space="0" w:color="000000"/>
                          <w:right w:val="single" w:sz="4" w:space="0" w:color="000000"/>
                        </w:tcBorders>
                        <w:shd w:val="clear" w:color="auto" w:fill="D2D2D2"/>
                      </w:tcPr>
                      <w:p>
                        <w:pPr/>
                      </w:p>
                    </w:tc>
                    <w:tc>
                      <w:tcPr>
                        <w:tcW w:w="779" w:type="dxa"/>
                        <w:tcBorders>
                          <w:top w:val="nil" w:sz="6" w:space="0" w:color="auto"/>
                          <w:left w:val="single" w:sz="4" w:space="0" w:color="000000"/>
                          <w:bottom w:val="single" w:sz="4" w:space="0" w:color="000000"/>
                          <w:right w:val="single" w:sz="4" w:space="0" w:color="000000"/>
                        </w:tcBorders>
                        <w:shd w:val="clear" w:color="auto" w:fill="D2D2D2"/>
                      </w:tcPr>
                      <w:p>
                        <w:pPr/>
                      </w:p>
                    </w:tc>
                    <w:tc>
                      <w:tcPr>
                        <w:tcW w:w="780" w:type="dxa"/>
                        <w:vMerge/>
                        <w:tcBorders>
                          <w:left w:val="single" w:sz="9" w:space="0" w:color="D2D2D2"/>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79"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10" w:space="0" w:color="D2D2D2"/>
                        </w:tcBorders>
                      </w:tcPr>
                      <w:p>
                        <w:pPr/>
                      </w:p>
                    </w:tc>
                    <w:tc>
                      <w:tcPr>
                        <w:tcW w:w="780" w:type="dxa"/>
                        <w:tcBorders>
                          <w:top w:val="nil" w:sz="6" w:space="0" w:color="auto"/>
                          <w:left w:val="single" w:sz="4" w:space="0" w:color="000000"/>
                          <w:bottom w:val="single" w:sz="4" w:space="0" w:color="000000"/>
                          <w:right w:val="single" w:sz="4" w:space="0" w:color="000000"/>
                        </w:tcBorders>
                        <w:shd w:val="clear" w:color="auto" w:fill="D2D2D2"/>
                      </w:tcPr>
                      <w:p>
                        <w:pPr/>
                      </w:p>
                    </w:tc>
                    <w:tc>
                      <w:tcPr>
                        <w:tcW w:w="780" w:type="dxa"/>
                        <w:tcBorders>
                          <w:top w:val="nil" w:sz="6" w:space="0" w:color="auto"/>
                          <w:left w:val="single" w:sz="4" w:space="0" w:color="000000"/>
                          <w:bottom w:val="single" w:sz="4" w:space="0" w:color="000000"/>
                          <w:right w:val="single" w:sz="4" w:space="0" w:color="000000"/>
                        </w:tcBorders>
                        <w:shd w:val="clear" w:color="auto" w:fill="D2D2D2"/>
                      </w:tcPr>
                      <w:p>
                        <w:pPr/>
                      </w:p>
                    </w:tc>
                    <w:tc>
                      <w:tcPr>
                        <w:tcW w:w="780" w:type="dxa"/>
                        <w:vMerge/>
                        <w:tcBorders>
                          <w:left w:val="single" w:sz="9" w:space="0" w:color="D2D2D2"/>
                          <w:bottom w:val="single" w:sz="4" w:space="0" w:color="000000"/>
                          <w:right w:val="single" w:sz="10" w:space="0" w:color="D2D2D2"/>
                        </w:tcBorders>
                      </w:tcPr>
                      <w:p>
                        <w:pPr/>
                      </w:p>
                    </w:tc>
                    <w:tc>
                      <w:tcPr>
                        <w:tcW w:w="780" w:type="dxa"/>
                        <w:tcBorders>
                          <w:top w:val="nil" w:sz="6" w:space="0" w:color="auto"/>
                          <w:left w:val="single" w:sz="4" w:space="0" w:color="000000"/>
                          <w:bottom w:val="single" w:sz="4" w:space="0" w:color="000000"/>
                          <w:right w:val="single" w:sz="4" w:space="0" w:color="000000"/>
                        </w:tcBorders>
                        <w:shd w:val="clear" w:color="auto" w:fill="D2D2D2"/>
                      </w:tcPr>
                      <w:p>
                        <w:pPr/>
                      </w:p>
                    </w:tc>
                    <w:tc>
                      <w:tcPr>
                        <w:tcW w:w="780"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97" w:hRule="exact"/>
                    </w:trPr>
                    <w:tc>
                      <w:tcPr>
                        <w:tcW w:w="9569"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超募资金投向</w:t>
                        </w:r>
                      </w:p>
                    </w:tc>
                  </w:tr>
                  <w:tr>
                    <w:trPr>
                      <w:trHeight w:val="402"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779"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79"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770" w:type="dxa"/>
                        <w:tcBorders>
                          <w:top w:val="single" w:sz="4" w:space="0" w:color="000000"/>
                          <w:left w:val="single" w:sz="4" w:space="0" w:color="000000"/>
                          <w:bottom w:val="nil" w:sz="6" w:space="0" w:color="auto"/>
                          <w:right w:val="single" w:sz="4" w:space="0" w:color="000000"/>
                        </w:tcBorders>
                        <w:shd w:val="clear" w:color="auto" w:fill="D2D2D2"/>
                      </w:tcPr>
                      <w:p>
                        <w:pPr/>
                      </w:p>
                    </w:tc>
                    <w:tc>
                      <w:tcPr>
                        <w:tcW w:w="779" w:type="dxa"/>
                        <w:tcBorders>
                          <w:top w:val="single" w:sz="4" w:space="0" w:color="000000"/>
                          <w:left w:val="single" w:sz="4" w:space="0" w:color="000000"/>
                          <w:bottom w:val="nil" w:sz="6" w:space="0" w:color="auto"/>
                          <w:right w:val="single" w:sz="4" w:space="0" w:color="000000"/>
                        </w:tcBorders>
                        <w:shd w:val="clear" w:color="auto" w:fill="D2D2D2"/>
                      </w:tcPr>
                      <w:p>
                        <w:pPr/>
                      </w:p>
                    </w:tc>
                    <w:tc>
                      <w:tcPr>
                        <w:tcW w:w="780"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5" w:right="0"/>
                          <w:jc w:val="left"/>
                          <w:rPr>
                            <w:rFonts w:ascii="Times New Roman" w:hAnsi="Times New Roman" w:cs="Times New Roman" w:eastAsia="Times New Roman" w:hint="default"/>
                            <w:sz w:val="18"/>
                            <w:szCs w:val="18"/>
                          </w:rPr>
                        </w:pPr>
                        <w:r>
                          <w:rPr>
                            <w:rFonts w:ascii="Times New Roman"/>
                            <w:sz w:val="18"/>
                          </w:rPr>
                          <w:t>165,000</w:t>
                        </w:r>
                      </w:p>
                    </w:tc>
                    <w:tc>
                      <w:tcPr>
                        <w:tcW w:w="780"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162,461.8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w:t>
                        </w:r>
                      </w:p>
                    </w:tc>
                    <w:tc>
                      <w:tcPr>
                        <w:tcW w:w="779"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2" w:right="0"/>
                          <w:jc w:val="left"/>
                          <w:rPr>
                            <w:rFonts w:ascii="Times New Roman" w:hAnsi="Times New Roman" w:cs="Times New Roman" w:eastAsia="Times New Roman" w:hint="default"/>
                            <w:sz w:val="18"/>
                            <w:szCs w:val="18"/>
                          </w:rPr>
                        </w:pPr>
                        <w:r>
                          <w:rPr>
                            <w:rFonts w:ascii="Times New Roman"/>
                            <w:sz w:val="18"/>
                          </w:rPr>
                          <w:t>30,048.11</w:t>
                        </w:r>
                      </w:p>
                    </w:tc>
                    <w:tc>
                      <w:tcPr>
                        <w:tcW w:w="78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7" w:right="0"/>
                          <w:jc w:val="left"/>
                          <w:rPr>
                            <w:rFonts w:ascii="Times New Roman" w:hAnsi="Times New Roman" w:cs="Times New Roman" w:eastAsia="Times New Roman" w:hint="default"/>
                            <w:sz w:val="18"/>
                            <w:szCs w:val="18"/>
                          </w:rPr>
                        </w:pPr>
                        <w:r>
                          <w:rPr>
                            <w:rFonts w:ascii="Times New Roman"/>
                            <w:sz w:val="18"/>
                          </w:rPr>
                          <w:t>60,121.48</w:t>
                        </w:r>
                      </w:p>
                    </w:tc>
                    <w:tc>
                      <w:tcPr>
                        <w:tcW w:w="78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8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8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8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8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r>
                  <w:tr>
                    <w:trPr>
                      <w:trHeight w:val="392" w:hRule="exact"/>
                    </w:trPr>
                    <w:tc>
                      <w:tcPr>
                        <w:tcW w:w="177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c>
                      <w:tcPr>
                        <w:tcW w:w="780" w:type="dxa"/>
                        <w:vMerge/>
                        <w:tcBorders>
                          <w:left w:val="single" w:sz="9" w:space="0" w:color="D2D2D2"/>
                          <w:right w:val="single" w:sz="4" w:space="0" w:color="000000"/>
                        </w:tcBorders>
                      </w:tcPr>
                      <w:p>
                        <w:pPr/>
                      </w:p>
                    </w:tc>
                    <w:tc>
                      <w:tcPr>
                        <w:tcW w:w="780"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shd w:val="clear" w:color="auto" w:fill="D2D2D2"/>
                      </w:tcPr>
                      <w:p>
                        <w:pPr/>
                      </w:p>
                    </w:tc>
                    <w:tc>
                      <w:tcPr>
                        <w:tcW w:w="780" w:type="dxa"/>
                        <w:vMerge/>
                        <w:tcBorders>
                          <w:left w:val="single" w:sz="4" w:space="0" w:color="000000"/>
                          <w:right w:val="single" w:sz="4" w:space="0" w:color="000000"/>
                        </w:tcBorders>
                        <w:shd w:val="clear" w:color="auto" w:fill="D2D2D2"/>
                      </w:tcPr>
                      <w:p>
                        <w:pPr/>
                      </w:p>
                    </w:tc>
                    <w:tc>
                      <w:tcPr>
                        <w:tcW w:w="78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shd w:val="clear" w:color="auto" w:fill="D2D2D2"/>
                      </w:tcPr>
                      <w:p>
                        <w:pPr/>
                      </w:p>
                    </w:tc>
                    <w:tc>
                      <w:tcPr>
                        <w:tcW w:w="780" w:type="dxa"/>
                        <w:vMerge/>
                        <w:tcBorders>
                          <w:left w:val="single" w:sz="4" w:space="0" w:color="000000"/>
                          <w:right w:val="single" w:sz="4" w:space="0" w:color="000000"/>
                        </w:tcBorders>
                        <w:shd w:val="clear" w:color="auto" w:fill="D2D2D2"/>
                      </w:tcPr>
                      <w:p>
                        <w:pPr/>
                      </w:p>
                    </w:tc>
                  </w:tr>
                  <w:tr>
                    <w:trPr>
                      <w:trHeight w:val="161" w:hRule="exact"/>
                    </w:trPr>
                    <w:tc>
                      <w:tcPr>
                        <w:tcW w:w="1770" w:type="dxa"/>
                        <w:tcBorders>
                          <w:top w:val="nil" w:sz="6" w:space="0" w:color="auto"/>
                          <w:left w:val="single" w:sz="4" w:space="0" w:color="000000"/>
                          <w:bottom w:val="single" w:sz="4" w:space="0" w:color="000000"/>
                          <w:right w:val="single" w:sz="4" w:space="0" w:color="000000"/>
                        </w:tcBorders>
                        <w:shd w:val="clear" w:color="auto" w:fill="D2D2D2"/>
                      </w:tcPr>
                      <w:p>
                        <w:pPr/>
                      </w:p>
                    </w:tc>
                    <w:tc>
                      <w:tcPr>
                        <w:tcW w:w="779" w:type="dxa"/>
                        <w:tcBorders>
                          <w:top w:val="nil" w:sz="6" w:space="0" w:color="auto"/>
                          <w:left w:val="single" w:sz="4" w:space="0" w:color="000000"/>
                          <w:bottom w:val="single" w:sz="4" w:space="0" w:color="000000"/>
                          <w:right w:val="single" w:sz="4" w:space="0" w:color="000000"/>
                        </w:tcBorders>
                        <w:shd w:val="clear" w:color="auto" w:fill="D2D2D2"/>
                      </w:tcPr>
                      <w:p>
                        <w:pPr/>
                      </w:p>
                    </w:tc>
                    <w:tc>
                      <w:tcPr>
                        <w:tcW w:w="780" w:type="dxa"/>
                        <w:vMerge/>
                        <w:tcBorders>
                          <w:left w:val="single" w:sz="9" w:space="0" w:color="D2D2D2"/>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79"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shd w:val="clear" w:color="auto" w:fill="D2D2D2"/>
                      </w:tcPr>
                      <w:p>
                        <w:pPr/>
                      </w:p>
                    </w:tc>
                    <w:tc>
                      <w:tcPr>
                        <w:tcW w:w="780" w:type="dxa"/>
                        <w:vMerge/>
                        <w:tcBorders>
                          <w:left w:val="single" w:sz="4" w:space="0" w:color="000000"/>
                          <w:bottom w:val="single" w:sz="4" w:space="0" w:color="000000"/>
                          <w:right w:val="single" w:sz="4" w:space="0" w:color="000000"/>
                        </w:tcBorders>
                        <w:shd w:val="clear" w:color="auto" w:fill="D2D2D2"/>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shd w:val="clear" w:color="auto" w:fill="D2D2D2"/>
                      </w:tcPr>
                      <w:p>
                        <w:pPr/>
                      </w:p>
                    </w:tc>
                    <w:tc>
                      <w:tcPr>
                        <w:tcW w:w="780"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17"/>
                          <w:jc w:val="left"/>
                          <w:rPr>
                            <w:rFonts w:ascii="宋体" w:hAnsi="宋体" w:cs="宋体" w:eastAsia="宋体" w:hint="default"/>
                            <w:sz w:val="18"/>
                            <w:szCs w:val="18"/>
                          </w:rPr>
                        </w:pPr>
                        <w:r>
                          <w:rPr>
                            <w:rFonts w:ascii="宋体" w:hAnsi="宋体" w:cs="宋体" w:eastAsia="宋体" w:hint="default"/>
                            <w:sz w:val="18"/>
                            <w:szCs w:val="18"/>
                          </w:rPr>
                          <w:t>未达到计划进度或预 计收益的情况和原因</w:t>
                        </w:r>
                      </w:p>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（分具体项目）</w:t>
                        </w:r>
                      </w:p>
                    </w:tc>
                    <w:tc>
                      <w:tcPr>
                        <w:tcW w:w="7798" w:type="dxa"/>
                        <w:gridSpan w:val="10"/>
                        <w:tcBorders>
                          <w:top w:val="single" w:sz="4" w:space="0" w:color="000000"/>
                          <w:left w:val="single" w:sz="9"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6"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161" w:hRule="exact"/>
                    </w:trPr>
                    <w:tc>
                      <w:tcPr>
                        <w:tcW w:w="1770" w:type="dxa"/>
                        <w:tcBorders>
                          <w:top w:val="single" w:sz="4" w:space="0" w:color="000000"/>
                          <w:left w:val="single" w:sz="4" w:space="0" w:color="000000"/>
                          <w:bottom w:val="nil" w:sz="6" w:space="0" w:color="auto"/>
                          <w:right w:val="single" w:sz="4" w:space="0" w:color="000000"/>
                        </w:tcBorders>
                        <w:shd w:val="clear" w:color="auto" w:fill="D2D2D2"/>
                      </w:tcPr>
                      <w:p>
                        <w:pPr/>
                      </w:p>
                    </w:tc>
                    <w:tc>
                      <w:tcPr>
                        <w:tcW w:w="7798" w:type="dxa"/>
                        <w:gridSpan w:val="10"/>
                        <w:vMerge w:val="restart"/>
                        <w:tcBorders>
                          <w:top w:val="single" w:sz="4" w:space="0" w:color="000000"/>
                          <w:left w:val="single" w:sz="9" w:space="0" w:color="D2D2D2"/>
                          <w:right w:val="single" w:sz="4" w:space="0" w:color="000000"/>
                        </w:tcBorders>
                      </w:tcPr>
                      <w:p>
                        <w:pPr>
                          <w:pStyle w:val="TableParagraph"/>
                          <w:spacing w:line="309" w:lineRule="auto" w:before="51"/>
                          <w:ind w:left="16" w:right="25"/>
                          <w:jc w:val="both"/>
                          <w:rPr>
                            <w:rFonts w:ascii="宋体" w:hAnsi="宋体" w:cs="宋体" w:eastAsia="宋体" w:hint="default"/>
                            <w:sz w:val="18"/>
                            <w:szCs w:val="18"/>
                          </w:rPr>
                        </w:pPr>
                        <w:r>
                          <w:rPr>
                            <w:rFonts w:ascii="宋体" w:hAnsi="宋体" w:cs="宋体" w:eastAsia="宋体" w:hint="default"/>
                            <w:sz w:val="18"/>
                            <w:szCs w:val="18"/>
                          </w:rPr>
                          <w:t>鉴于市场环境的变化以及公司发展战略、生产经营的实际情况，为确保募集资金有效使用，公司将 原募集资金投资项目</w:t>
                        </w:r>
                        <w:r>
                          <w:rPr>
                            <w:rFonts w:ascii="Times New Roman" w:hAnsi="Times New Roman" w:cs="Times New Roman" w:eastAsia="Times New Roman" w:hint="default"/>
                            <w:sz w:val="18"/>
                            <w:szCs w:val="18"/>
                          </w:rPr>
                          <w:t>“</w:t>
                        </w:r>
                        <w:r>
                          <w:rPr>
                            <w:rFonts w:ascii="宋体" w:hAnsi="宋体" w:cs="宋体" w:eastAsia="宋体" w:hint="default"/>
                            <w:sz w:val="18"/>
                            <w:szCs w:val="18"/>
                          </w:rPr>
                          <w:t>贵州省食品安全（含药品保健品）物联网与大数据营销溯源平台项目</w:t>
                        </w:r>
                        <w:r>
                          <w:rPr>
                            <w:rFonts w:ascii="Times New Roman" w:hAnsi="Times New Roman" w:cs="Times New Roman" w:eastAsia="Times New Roman" w:hint="default"/>
                            <w:sz w:val="18"/>
                            <w:szCs w:val="18"/>
                          </w:rPr>
                          <w:t>”</w:t>
                        </w:r>
                        <w:r>
                          <w:rPr>
                            <w:rFonts w:ascii="宋体" w:hAnsi="宋体" w:cs="宋体" w:eastAsia="宋体" w:hint="default"/>
                            <w:sz w:val="18"/>
                            <w:szCs w:val="18"/>
                          </w:rPr>
                          <w:t>，变更 为</w:t>
                        </w:r>
                        <w:r>
                          <w:rPr>
                            <w:rFonts w:ascii="Times New Roman" w:hAnsi="Times New Roman" w:cs="Times New Roman" w:eastAsia="Times New Roman" w:hint="default"/>
                            <w:sz w:val="18"/>
                            <w:szCs w:val="18"/>
                          </w:rPr>
                          <w:t>“</w:t>
                        </w:r>
                        <w:r>
                          <w:rPr>
                            <w:rFonts w:ascii="宋体" w:hAnsi="宋体" w:cs="宋体" w:eastAsia="宋体" w:hint="default"/>
                            <w:sz w:val="18"/>
                            <w:szCs w:val="18"/>
                          </w:rPr>
                          <w:t>中丰田光电科技改扩建项目</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704" w:hRule="exact"/>
                    </w:trPr>
                    <w:tc>
                      <w:tcPr>
                        <w:tcW w:w="177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51"/>
                          <w:ind w:left="22" w:right="117"/>
                          <w:jc w:val="left"/>
                          <w:rPr>
                            <w:rFonts w:ascii="宋体" w:hAnsi="宋体" w:cs="宋体" w:eastAsia="宋体" w:hint="default"/>
                            <w:sz w:val="18"/>
                            <w:szCs w:val="18"/>
                          </w:rPr>
                        </w:pPr>
                        <w:r>
                          <w:rPr>
                            <w:rFonts w:ascii="宋体" w:hAnsi="宋体" w:cs="宋体" w:eastAsia="宋体" w:hint="default"/>
                            <w:sz w:val="18"/>
                            <w:szCs w:val="18"/>
                          </w:rPr>
                          <w:t>项目可行性发生重大 变化的情况说明</w:t>
                        </w:r>
                      </w:p>
                    </w:tc>
                    <w:tc>
                      <w:tcPr>
                        <w:tcW w:w="7798" w:type="dxa"/>
                        <w:gridSpan w:val="10"/>
                        <w:vMerge/>
                        <w:tcBorders>
                          <w:left w:val="single" w:sz="9" w:space="0" w:color="D2D2D2"/>
                          <w:right w:val="single" w:sz="4" w:space="0" w:color="000000"/>
                        </w:tcBorders>
                      </w:tcPr>
                      <w:p>
                        <w:pPr/>
                      </w:p>
                    </w:tc>
                  </w:tr>
                  <w:tr>
                    <w:trPr>
                      <w:trHeight w:val="161" w:hRule="exact"/>
                    </w:trPr>
                    <w:tc>
                      <w:tcPr>
                        <w:tcW w:w="1770" w:type="dxa"/>
                        <w:tcBorders>
                          <w:top w:val="nil" w:sz="6" w:space="0" w:color="auto"/>
                          <w:left w:val="single" w:sz="4" w:space="0" w:color="000000"/>
                          <w:bottom w:val="single" w:sz="4" w:space="0" w:color="000000"/>
                          <w:right w:val="single" w:sz="4" w:space="0" w:color="000000"/>
                        </w:tcBorders>
                        <w:shd w:val="clear" w:color="auto" w:fill="D2D2D2"/>
                      </w:tcPr>
                      <w:p>
                        <w:pPr/>
                      </w:p>
                    </w:tc>
                    <w:tc>
                      <w:tcPr>
                        <w:tcW w:w="7798" w:type="dxa"/>
                        <w:gridSpan w:val="10"/>
                        <w:vMerge/>
                        <w:tcBorders>
                          <w:left w:val="single" w:sz="9" w:space="0" w:color="D2D2D2"/>
                          <w:bottom w:val="single" w:sz="4" w:space="0" w:color="000000"/>
                          <w:right w:val="single" w:sz="4" w:space="0" w:color="000000"/>
                        </w:tcBorders>
                      </w:tcPr>
                      <w:p>
                        <w:pPr/>
                      </w:p>
                    </w:tc>
                  </w:tr>
                  <w:tr>
                    <w:trPr>
                      <w:trHeight w:val="402" w:hRule="exact"/>
                    </w:trPr>
                    <w:tc>
                      <w:tcPr>
                        <w:tcW w:w="1770"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95"/>
                          <w:ind w:left="22" w:right="22"/>
                          <w:jc w:val="left"/>
                          <w:rPr>
                            <w:rFonts w:ascii="宋体" w:hAnsi="宋体" w:cs="宋体" w:eastAsia="宋体" w:hint="default"/>
                            <w:sz w:val="18"/>
                            <w:szCs w:val="18"/>
                          </w:rPr>
                        </w:pPr>
                        <w:r>
                          <w:rPr>
                            <w:rFonts w:ascii="宋体" w:hAnsi="宋体" w:cs="宋体" w:eastAsia="宋体" w:hint="default"/>
                            <w:spacing w:val="-9"/>
                            <w:sz w:val="18"/>
                            <w:szCs w:val="18"/>
                          </w:rPr>
                          <w:t>超募资金的金额、用途</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及使用进展情况</w:t>
                        </w:r>
                      </w:p>
                    </w:tc>
                    <w:tc>
                      <w:tcPr>
                        <w:tcW w:w="7798" w:type="dxa"/>
                        <w:gridSpan w:val="10"/>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770" w:type="dxa"/>
                        <w:vMerge/>
                        <w:tcBorders>
                          <w:left w:val="single" w:sz="4" w:space="0" w:color="000000"/>
                          <w:bottom w:val="single" w:sz="4" w:space="0" w:color="000000"/>
                          <w:right w:val="single" w:sz="4" w:space="0" w:color="000000"/>
                        </w:tcBorders>
                        <w:shd w:val="clear" w:color="auto" w:fill="D2D2D2"/>
                      </w:tcPr>
                      <w:p>
                        <w:pPr/>
                      </w:p>
                    </w:tc>
                    <w:tc>
                      <w:tcPr>
                        <w:tcW w:w="7798" w:type="dxa"/>
                        <w:gridSpan w:val="10"/>
                        <w:tcBorders>
                          <w:top w:val="single" w:sz="4" w:space="0" w:color="000000"/>
                          <w:left w:val="single" w:sz="9" w:space="0" w:color="D2D2D2"/>
                          <w:bottom w:val="single" w:sz="4" w:space="0" w:color="000000"/>
                          <w:right w:val="single" w:sz="4" w:space="0" w:color="000000"/>
                        </w:tcBorders>
                      </w:tcPr>
                      <w:p>
                        <w:pPr/>
                      </w:p>
                    </w:tc>
                  </w:tr>
                  <w:tr>
                    <w:trPr>
                      <w:trHeight w:val="402" w:hRule="exact"/>
                    </w:trPr>
                    <w:tc>
                      <w:tcPr>
                        <w:tcW w:w="1770" w:type="dxa"/>
                        <w:vMerge w:val="restart"/>
                        <w:tcBorders>
                          <w:top w:val="single" w:sz="4" w:space="0" w:color="000000"/>
                          <w:left w:val="single" w:sz="4" w:space="0" w:color="000000"/>
                          <w:right w:val="single" w:sz="4" w:space="0" w:color="000000"/>
                        </w:tcBorders>
                        <w:shd w:val="clear" w:color="auto" w:fill="D2D2D2"/>
                      </w:tcPr>
                      <w:p>
                        <w:pPr/>
                      </w:p>
                    </w:tc>
                    <w:tc>
                      <w:tcPr>
                        <w:tcW w:w="7798"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360" w:hRule="exact"/>
                    </w:trPr>
                    <w:tc>
                      <w:tcPr>
                        <w:tcW w:w="1770" w:type="dxa"/>
                        <w:vMerge/>
                        <w:tcBorders>
                          <w:left w:val="single" w:sz="4" w:space="0" w:color="000000"/>
                          <w:bottom w:val="nil" w:sz="6" w:space="0" w:color="auto"/>
                          <w:right w:val="single" w:sz="4" w:space="0" w:color="000000"/>
                        </w:tcBorders>
                        <w:shd w:val="clear" w:color="auto" w:fill="D2D2D2"/>
                      </w:tcPr>
                      <w:p>
                        <w:pPr/>
                      </w:p>
                    </w:tc>
                    <w:tc>
                      <w:tcPr>
                        <w:tcW w:w="7798"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报告期内发生</w:t>
                        </w:r>
                      </w:p>
                    </w:tc>
                  </w:tr>
                  <w:tr>
                    <w:trPr>
                      <w:trHeight w:val="662" w:hRule="exact"/>
                    </w:trPr>
                    <w:tc>
                      <w:tcPr>
                        <w:tcW w:w="177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8"/>
                          <w:ind w:left="22" w:right="117"/>
                          <w:jc w:val="left"/>
                          <w:rPr>
                            <w:rFonts w:ascii="宋体" w:hAnsi="宋体" w:cs="宋体" w:eastAsia="宋体" w:hint="default"/>
                            <w:sz w:val="18"/>
                            <w:szCs w:val="18"/>
                          </w:rPr>
                        </w:pPr>
                        <w:r>
                          <w:rPr>
                            <w:rFonts w:ascii="宋体" w:hAnsi="宋体" w:cs="宋体" w:eastAsia="宋体" w:hint="default"/>
                            <w:sz w:val="18"/>
                            <w:szCs w:val="18"/>
                          </w:rPr>
                          <w:t>募集资金投资项目实 施地点变更情况</w:t>
                        </w:r>
                      </w:p>
                    </w:tc>
                    <w:tc>
                      <w:tcPr>
                        <w:tcW w:w="7798" w:type="dxa"/>
                        <w:gridSpan w:val="10"/>
                        <w:vMerge w:val="restart"/>
                        <w:tcBorders>
                          <w:top w:val="single" w:sz="4" w:space="0" w:color="000000"/>
                          <w:left w:val="single" w:sz="9" w:space="0" w:color="D2D2D2"/>
                          <w:right w:val="single" w:sz="4" w:space="0" w:color="000000"/>
                        </w:tcBorders>
                      </w:tcPr>
                      <w:p>
                        <w:pPr>
                          <w:pStyle w:val="TableParagraph"/>
                          <w:spacing w:line="300" w:lineRule="auto" w:before="94"/>
                          <w:ind w:left="16" w:right="21"/>
                          <w:jc w:val="both"/>
                          <w:rPr>
                            <w:rFonts w:ascii="宋体" w:hAnsi="宋体" w:cs="宋体" w:eastAsia="宋体" w:hint="default"/>
                            <w:sz w:val="18"/>
                            <w:szCs w:val="18"/>
                          </w:rPr>
                        </w:pPr>
                        <w:r>
                          <w:rPr>
                            <w:rFonts w:ascii="宋体" w:hAnsi="宋体" w:cs="宋体" w:eastAsia="宋体" w:hint="default"/>
                            <w:sz w:val="18"/>
                            <w:szCs w:val="18"/>
                          </w:rPr>
                          <w:t>根据</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日召开的公司第五届董事会</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年第一次会议审议通过的《关于变更部分募集 </w:t>
                        </w:r>
                        <w:r>
                          <w:rPr>
                            <w:rFonts w:ascii="宋体" w:hAnsi="宋体" w:cs="宋体" w:eastAsia="宋体" w:hint="default"/>
                            <w:spacing w:val="-3"/>
                            <w:sz w:val="18"/>
                            <w:szCs w:val="18"/>
                          </w:rPr>
                          <w:t>资金投资项目的议案》，公司将原募集资金投资项目</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贵州省食品安全（含药品保健品）物联网与大</w:t>
                        </w:r>
                        <w:r>
                          <w:rPr>
                            <w:rFonts w:ascii="宋体" w:hAnsi="宋体" w:cs="宋体" w:eastAsia="宋体" w:hint="default"/>
                            <w:spacing w:val="-49"/>
                            <w:sz w:val="18"/>
                            <w:szCs w:val="18"/>
                          </w:rPr>
                          <w:t> </w:t>
                        </w:r>
                        <w:r>
                          <w:rPr>
                            <w:rFonts w:ascii="宋体" w:hAnsi="宋体" w:cs="宋体" w:eastAsia="宋体" w:hint="default"/>
                            <w:spacing w:val="-49"/>
                            <w:sz w:val="18"/>
                            <w:szCs w:val="18"/>
                          </w:rPr>
                        </w:r>
                        <w:r>
                          <w:rPr>
                            <w:rFonts w:ascii="宋体" w:hAnsi="宋体" w:cs="宋体" w:eastAsia="宋体" w:hint="default"/>
                            <w:spacing w:val="-2"/>
                            <w:sz w:val="18"/>
                            <w:szCs w:val="18"/>
                          </w:rPr>
                          <w:t>数据营销溯源平台项目</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，变更为</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中丰田光电科技改扩建项目</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，项目实施地点由贵州省贵阳市变更</w:t>
                        </w:r>
                        <w:r>
                          <w:rPr>
                            <w:rFonts w:ascii="宋体" w:hAnsi="宋体" w:cs="宋体" w:eastAsia="宋体" w:hint="default"/>
                            <w:spacing w:val="-58"/>
                            <w:sz w:val="18"/>
                            <w:szCs w:val="18"/>
                          </w:rPr>
                          <w:t> </w:t>
                        </w:r>
                        <w:r>
                          <w:rPr>
                            <w:rFonts w:ascii="宋体" w:hAnsi="宋体" w:cs="宋体" w:eastAsia="宋体" w:hint="default"/>
                            <w:spacing w:val="-58"/>
                            <w:sz w:val="18"/>
                            <w:szCs w:val="18"/>
                          </w:rPr>
                        </w:r>
                        <w:r>
                          <w:rPr>
                            <w:rFonts w:ascii="宋体" w:hAnsi="宋体" w:cs="宋体" w:eastAsia="宋体" w:hint="default"/>
                            <w:sz w:val="18"/>
                            <w:szCs w:val="18"/>
                          </w:rPr>
                          <w:t>为广东省珠海市。</w:t>
                        </w:r>
                      </w:p>
                    </w:tc>
                  </w:tr>
                  <w:tr>
                    <w:trPr>
                      <w:trHeight w:val="719" w:hRule="exact"/>
                    </w:trPr>
                    <w:tc>
                      <w:tcPr>
                        <w:tcW w:w="1770" w:type="dxa"/>
                        <w:tcBorders>
                          <w:top w:val="nil" w:sz="6" w:space="0" w:color="auto"/>
                          <w:left w:val="single" w:sz="4" w:space="0" w:color="000000"/>
                          <w:bottom w:val="single" w:sz="4" w:space="0" w:color="000000"/>
                          <w:right w:val="single" w:sz="4" w:space="0" w:color="000000"/>
                        </w:tcBorders>
                        <w:shd w:val="clear" w:color="auto" w:fill="D2D2D2"/>
                      </w:tcPr>
                      <w:p>
                        <w:pPr/>
                      </w:p>
                    </w:tc>
                    <w:tc>
                      <w:tcPr>
                        <w:tcW w:w="7798" w:type="dxa"/>
                        <w:gridSpan w:val="10"/>
                        <w:vMerge/>
                        <w:tcBorders>
                          <w:left w:val="single" w:sz="9" w:space="0" w:color="D2D2D2"/>
                          <w:bottom w:val="single" w:sz="4" w:space="0" w:color="000000"/>
                          <w:right w:val="single" w:sz="4" w:space="0" w:color="000000"/>
                        </w:tcBorders>
                      </w:tcPr>
                      <w:p>
                        <w:pPr/>
                      </w:p>
                    </w:tc>
                  </w:tr>
                  <w:tr>
                    <w:trPr>
                      <w:trHeight w:val="402" w:hRule="exact"/>
                    </w:trPr>
                    <w:tc>
                      <w:tcPr>
                        <w:tcW w:w="1770" w:type="dxa"/>
                        <w:vMerge w:val="restart"/>
                        <w:tcBorders>
                          <w:top w:val="single" w:sz="4" w:space="0" w:color="000000"/>
                          <w:left w:val="single" w:sz="4" w:space="0" w:color="000000"/>
                          <w:right w:val="single" w:sz="4" w:space="0" w:color="000000"/>
                        </w:tcBorders>
                        <w:shd w:val="clear" w:color="auto" w:fill="D2D2D2"/>
                      </w:tcPr>
                      <w:p>
                        <w:pPr/>
                      </w:p>
                    </w:tc>
                    <w:tc>
                      <w:tcPr>
                        <w:tcW w:w="7798"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359" w:hRule="exact"/>
                    </w:trPr>
                    <w:tc>
                      <w:tcPr>
                        <w:tcW w:w="1770" w:type="dxa"/>
                        <w:vMerge/>
                        <w:tcBorders>
                          <w:left w:val="single" w:sz="4" w:space="0" w:color="000000"/>
                          <w:bottom w:val="nil" w:sz="6" w:space="0" w:color="auto"/>
                          <w:right w:val="single" w:sz="4" w:space="0" w:color="000000"/>
                        </w:tcBorders>
                        <w:shd w:val="clear" w:color="auto" w:fill="D2D2D2"/>
                      </w:tcPr>
                      <w:p>
                        <w:pPr/>
                      </w:p>
                    </w:tc>
                    <w:tc>
                      <w:tcPr>
                        <w:tcW w:w="7798"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报告期内发生</w:t>
                        </w:r>
                      </w:p>
                    </w:tc>
                  </w:tr>
                  <w:tr>
                    <w:trPr>
                      <w:trHeight w:val="662" w:hRule="exact"/>
                    </w:trPr>
                    <w:tc>
                      <w:tcPr>
                        <w:tcW w:w="177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8"/>
                          <w:ind w:left="22" w:right="117"/>
                          <w:jc w:val="left"/>
                          <w:rPr>
                            <w:rFonts w:ascii="宋体" w:hAnsi="宋体" w:cs="宋体" w:eastAsia="宋体" w:hint="default"/>
                            <w:sz w:val="18"/>
                            <w:szCs w:val="18"/>
                          </w:rPr>
                        </w:pPr>
                        <w:r>
                          <w:rPr>
                            <w:rFonts w:ascii="宋体" w:hAnsi="宋体" w:cs="宋体" w:eastAsia="宋体" w:hint="default"/>
                            <w:sz w:val="18"/>
                            <w:szCs w:val="18"/>
                          </w:rPr>
                          <w:t>募集资金投资项目实 施方式调整情况</w:t>
                        </w:r>
                      </w:p>
                    </w:tc>
                    <w:tc>
                      <w:tcPr>
                        <w:tcW w:w="7798" w:type="dxa"/>
                        <w:gridSpan w:val="10"/>
                        <w:vMerge w:val="restart"/>
                        <w:tcBorders>
                          <w:top w:val="single" w:sz="4" w:space="0" w:color="000000"/>
                          <w:left w:val="single" w:sz="9" w:space="0" w:color="D2D2D2"/>
                          <w:right w:val="single" w:sz="4" w:space="0" w:color="000000"/>
                        </w:tcBorders>
                      </w:tcPr>
                      <w:p>
                        <w:pPr>
                          <w:pStyle w:val="TableParagraph"/>
                          <w:spacing w:line="307" w:lineRule="auto" w:before="94"/>
                          <w:ind w:left="16" w:right="23"/>
                          <w:jc w:val="both"/>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日召开的第五届董事会</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年第一次会议审议通过了《关于调整部分募集资金投资 </w:t>
                        </w:r>
                        <w:r>
                          <w:rPr>
                            <w:rFonts w:ascii="宋体" w:hAnsi="宋体" w:cs="宋体" w:eastAsia="宋体" w:hint="default"/>
                            <w:spacing w:val="-3"/>
                            <w:sz w:val="18"/>
                            <w:szCs w:val="18"/>
                          </w:rPr>
                          <w:t>项目建设内容的议案》，为了达到募集资金使用效率的最大化，保证募集资金投资项目的整体效益</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公司基于云计算技术快速发展、智能物联运营支撑系统的需要，</w:t>
                        </w:r>
                        <w:r>
                          <w:rPr>
                            <w:rFonts w:ascii="Times New Roman" w:hAnsi="Times New Roman" w:cs="Times New Roman" w:eastAsia="Times New Roman" w:hint="default"/>
                            <w:sz w:val="18"/>
                            <w:szCs w:val="18"/>
                          </w:rPr>
                          <w:t>“</w:t>
                        </w:r>
                        <w:r>
                          <w:rPr>
                            <w:rFonts w:ascii="宋体" w:hAnsi="宋体" w:cs="宋体" w:eastAsia="宋体" w:hint="default"/>
                            <w:sz w:val="18"/>
                            <w:szCs w:val="18"/>
                          </w:rPr>
                          <w:t>基于</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RFID</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技术的智能物联运营支 撑系统项目</w:t>
                        </w:r>
                        <w:r>
                          <w:rPr>
                            <w:rFonts w:ascii="Times New Roman" w:hAnsi="Times New Roman" w:cs="Times New Roman" w:eastAsia="Times New Roman" w:hint="default"/>
                            <w:sz w:val="18"/>
                            <w:szCs w:val="18"/>
                          </w:rPr>
                          <w:t>”</w:t>
                        </w:r>
                        <w:r>
                          <w:rPr>
                            <w:rFonts w:ascii="宋体" w:hAnsi="宋体" w:cs="宋体" w:eastAsia="宋体" w:hint="default"/>
                            <w:sz w:val="18"/>
                            <w:szCs w:val="18"/>
                          </w:rPr>
                          <w:t>在原有投资项目基础上新增</w:t>
                        </w:r>
                        <w:r>
                          <w:rPr>
                            <w:rFonts w:ascii="Times New Roman" w:hAnsi="Times New Roman" w:cs="Times New Roman" w:eastAsia="Times New Roman" w:hint="default"/>
                            <w:sz w:val="18"/>
                            <w:szCs w:val="18"/>
                          </w:rPr>
                          <w:t>“</w:t>
                        </w:r>
                        <w:r>
                          <w:rPr>
                            <w:rFonts w:ascii="宋体" w:hAnsi="宋体" w:cs="宋体" w:eastAsia="宋体" w:hint="default"/>
                            <w:sz w:val="18"/>
                            <w:szCs w:val="18"/>
                          </w:rPr>
                          <w:t>物联网研发运营服务中心</w:t>
                        </w:r>
                        <w:r>
                          <w:rPr>
                            <w:rFonts w:ascii="Times New Roman" w:hAnsi="Times New Roman" w:cs="Times New Roman" w:eastAsia="Times New Roman" w:hint="default"/>
                            <w:sz w:val="18"/>
                            <w:szCs w:val="18"/>
                          </w:rPr>
                          <w:t>”</w:t>
                        </w:r>
                        <w:r>
                          <w:rPr>
                            <w:rFonts w:ascii="宋体" w:hAnsi="宋体" w:cs="宋体" w:eastAsia="宋体" w:hint="default"/>
                            <w:sz w:val="18"/>
                            <w:szCs w:val="18"/>
                          </w:rPr>
                          <w:t>投资项目。</w:t>
                        </w:r>
                      </w:p>
                    </w:tc>
                  </w:tr>
                  <w:tr>
                    <w:trPr>
                      <w:trHeight w:val="719" w:hRule="exact"/>
                    </w:trPr>
                    <w:tc>
                      <w:tcPr>
                        <w:tcW w:w="1770" w:type="dxa"/>
                        <w:tcBorders>
                          <w:top w:val="nil" w:sz="6" w:space="0" w:color="auto"/>
                          <w:left w:val="single" w:sz="4" w:space="0" w:color="000000"/>
                          <w:bottom w:val="single" w:sz="4" w:space="0" w:color="000000"/>
                          <w:right w:val="single" w:sz="4" w:space="0" w:color="000000"/>
                        </w:tcBorders>
                        <w:shd w:val="clear" w:color="auto" w:fill="D2D2D2"/>
                      </w:tcPr>
                      <w:p>
                        <w:pPr/>
                      </w:p>
                    </w:tc>
                    <w:tc>
                      <w:tcPr>
                        <w:tcW w:w="7798" w:type="dxa"/>
                        <w:gridSpan w:val="10"/>
                        <w:vMerge/>
                        <w:tcBorders>
                          <w:left w:val="single" w:sz="9" w:space="0" w:color="D2D2D2"/>
                          <w:bottom w:val="single" w:sz="4" w:space="0" w:color="000000"/>
                          <w:right w:val="single" w:sz="4" w:space="0" w:color="000000"/>
                        </w:tcBorders>
                      </w:tcPr>
                      <w:p>
                        <w:pPr/>
                      </w:p>
                    </w:tc>
                  </w:tr>
                  <w:tr>
                    <w:trPr>
                      <w:trHeight w:val="402" w:hRule="exact"/>
                    </w:trPr>
                    <w:tc>
                      <w:tcPr>
                        <w:tcW w:w="1770" w:type="dxa"/>
                        <w:vMerge w:val="restart"/>
                        <w:tcBorders>
                          <w:top w:val="single" w:sz="4" w:space="0" w:color="000000"/>
                          <w:left w:val="single" w:sz="4" w:space="0" w:color="000000"/>
                          <w:right w:val="single" w:sz="4" w:space="0" w:color="000000"/>
                        </w:tcBorders>
                        <w:shd w:val="clear" w:color="auto" w:fill="D2D2D2"/>
                      </w:tcPr>
                      <w:p>
                        <w:pPr/>
                      </w:p>
                    </w:tc>
                    <w:tc>
                      <w:tcPr>
                        <w:tcW w:w="7798"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739" w:hRule="exact"/>
                    </w:trPr>
                    <w:tc>
                      <w:tcPr>
                        <w:tcW w:w="1770" w:type="dxa"/>
                        <w:vMerge/>
                        <w:tcBorders>
                          <w:left w:val="single" w:sz="4" w:space="0" w:color="000000"/>
                          <w:bottom w:val="nil" w:sz="6" w:space="0" w:color="auto"/>
                          <w:right w:val="single" w:sz="4" w:space="0" w:color="000000"/>
                        </w:tcBorders>
                        <w:shd w:val="clear" w:color="auto" w:fill="D2D2D2"/>
                      </w:tcPr>
                      <w:p>
                        <w:pPr/>
                      </w:p>
                    </w:tc>
                    <w:tc>
                      <w:tcPr>
                        <w:tcW w:w="7798" w:type="dxa"/>
                        <w:gridSpan w:val="10"/>
                        <w:vMerge w:val="restart"/>
                        <w:tcBorders>
                          <w:top w:val="single" w:sz="4" w:space="0" w:color="000000"/>
                          <w:left w:val="single" w:sz="9" w:space="0" w:color="D2D2D2"/>
                          <w:right w:val="single" w:sz="4" w:space="0" w:color="000000"/>
                        </w:tcBorders>
                      </w:tcPr>
                      <w:p>
                        <w:pPr>
                          <w:pStyle w:val="TableParagraph"/>
                          <w:spacing w:line="300" w:lineRule="auto" w:before="51"/>
                          <w:ind w:left="16" w:right="25"/>
                          <w:jc w:val="both"/>
                          <w:rPr>
                            <w:rFonts w:ascii="Times New Roman" w:hAnsi="Times New Roman" w:cs="Times New Roman" w:eastAsia="Times New Roman" w:hint="default"/>
                            <w:sz w:val="18"/>
                            <w:szCs w:val="18"/>
                          </w:rPr>
                        </w:pPr>
                        <w:r>
                          <w:rPr>
                            <w:rFonts w:ascii="宋体" w:hAnsi="宋体" w:cs="宋体" w:eastAsia="宋体" w:hint="default"/>
                            <w:sz w:val="18"/>
                            <w:szCs w:val="18"/>
                          </w:rPr>
                          <w:t>根据《非公开发行</w:t>
                        </w:r>
                        <w:r>
                          <w:rPr>
                            <w:rFonts w:ascii="宋体" w:hAnsi="宋体" w:cs="宋体" w:eastAsia="宋体" w:hint="default"/>
                            <w:spacing w:val="-43"/>
                            <w:sz w:val="18"/>
                            <w:szCs w:val="18"/>
                          </w:rPr>
                          <w:t> </w:t>
                        </w:r>
                        <w:r>
                          <w:rPr>
                            <w:rFonts w:ascii="Times New Roman" w:hAnsi="Times New Roman" w:cs="Times New Roman" w:eastAsia="Times New Roman" w:hint="default"/>
                            <w:w w:val="99"/>
                            <w:sz w:val="18"/>
                            <w:szCs w:val="18"/>
                          </w:rPr>
                          <w:t>A</w:t>
                        </w:r>
                        <w:r>
                          <w:rPr>
                            <w:rFonts w:ascii="Times New Roman" w:hAnsi="Times New Roman" w:cs="Times New Roman" w:eastAsia="Times New Roman" w:hint="default"/>
                            <w:spacing w:val="2"/>
                            <w:w w:val="99"/>
                            <w:sz w:val="18"/>
                            <w:szCs w:val="18"/>
                          </w:rPr>
                          <w:t> </w:t>
                        </w:r>
                        <w:r>
                          <w:rPr>
                            <w:rFonts w:ascii="宋体" w:hAnsi="宋体" w:cs="宋体" w:eastAsia="宋体" w:hint="default"/>
                            <w:spacing w:val="-3"/>
                            <w:sz w:val="18"/>
                            <w:szCs w:val="18"/>
                          </w:rPr>
                          <w:t>股股票方案的预案》，在本次募集资金到位前，公司将以自筹资金对上述募集</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资金项目先行投入，待募集资金到位后以募集资金置换上述先行投入的资金。截至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p>
                      <w:p>
                        <w:pPr>
                          <w:pStyle w:val="TableParagraph"/>
                          <w:spacing w:line="300" w:lineRule="auto" w:before="13"/>
                          <w:ind w:left="16" w:right="21"/>
                          <w:jc w:val="both"/>
                          <w:rPr>
                            <w:rFonts w:ascii="宋体" w:hAnsi="宋体" w:cs="宋体" w:eastAsia="宋体" w:hint="default"/>
                            <w:sz w:val="18"/>
                            <w:szCs w:val="18"/>
                          </w:rPr>
                        </w:pPr>
                        <w:r>
                          <w:rPr>
                            <w:rFonts w:ascii="宋体" w:hAnsi="宋体" w:cs="宋体" w:eastAsia="宋体" w:hint="default"/>
                            <w:sz w:val="18"/>
                            <w:szCs w:val="18"/>
                          </w:rPr>
                          <w:t>日，公司以自筹资金预先投入上述募集资金投资项目款项计人民币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236,431,102.79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元，该事项业经 </w:t>
                        </w:r>
                        <w:r>
                          <w:rPr>
                            <w:rFonts w:ascii="宋体" w:hAnsi="宋体" w:cs="宋体" w:eastAsia="宋体" w:hint="default"/>
                            <w:spacing w:val="-1"/>
                            <w:sz w:val="18"/>
                            <w:szCs w:val="18"/>
                          </w:rPr>
                          <w:t>瑞华会计师事务所（特殊普通合伙）验证，并出具瑞华核字【</w:t>
                        </w:r>
                        <w:r>
                          <w:rPr>
                            <w:rFonts w:ascii="Times New Roman" w:hAnsi="Times New Roman" w:cs="Times New Roman" w:eastAsia="Times New Roman" w:hint="default"/>
                            <w:spacing w:val="-1"/>
                            <w:sz w:val="18"/>
                            <w:szCs w:val="18"/>
                          </w:rPr>
                          <w:t>2017</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48210017 </w:t>
                        </w:r>
                        <w:r>
                          <w:rPr>
                            <w:rFonts w:ascii="宋体" w:hAnsi="宋体" w:cs="宋体" w:eastAsia="宋体" w:hint="default"/>
                            <w:spacing w:val="-1"/>
                            <w:sz w:val="18"/>
                            <w:szCs w:val="18"/>
                          </w:rPr>
                          <w:t>号审计报告。公司于</w:t>
                        </w:r>
                        <w:r>
                          <w:rPr>
                            <w:rFonts w:ascii="宋体" w:hAnsi="宋体" w:cs="宋体" w:eastAsia="宋体" w:hint="default"/>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日召开的第五届董事会</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年第十一次会议审议通过了《关于使用募集资金置换预</w:t>
                        </w:r>
                      </w:p>
                      <w:p>
                        <w:pPr>
                          <w:pStyle w:val="TableParagraph"/>
                          <w:spacing w:line="240" w:lineRule="auto" w:before="13"/>
                          <w:ind w:left="16" w:right="0"/>
                          <w:jc w:val="both"/>
                          <w:rPr>
                            <w:rFonts w:ascii="宋体" w:hAnsi="宋体" w:cs="宋体" w:eastAsia="宋体" w:hint="default"/>
                            <w:sz w:val="18"/>
                            <w:szCs w:val="18"/>
                          </w:rPr>
                        </w:pPr>
                        <w:r>
                          <w:rPr>
                            <w:rFonts w:ascii="宋体" w:hAnsi="宋体" w:cs="宋体" w:eastAsia="宋体" w:hint="default"/>
                            <w:sz w:val="18"/>
                            <w:szCs w:val="18"/>
                          </w:rPr>
                          <w:t>先已投入募投项目的自筹资金的议案</w:t>
                        </w:r>
                        <w:r>
                          <w:rPr>
                            <w:rFonts w:ascii="宋体" w:hAnsi="宋体" w:cs="宋体" w:eastAsia="宋体" w:hint="default"/>
                            <w:spacing w:val="-90"/>
                            <w:sz w:val="18"/>
                            <w:szCs w:val="18"/>
                          </w:rPr>
                          <w:t>》</w:t>
                        </w:r>
                        <w:r>
                          <w:rPr>
                            <w:rFonts w:ascii="宋体" w:hAnsi="宋体" w:cs="宋体" w:eastAsia="宋体" w:hint="default"/>
                            <w:spacing w:val="-44"/>
                            <w:sz w:val="18"/>
                            <w:szCs w:val="18"/>
                          </w:rPr>
                          <w:t>，</w:t>
                        </w:r>
                        <w:r>
                          <w:rPr>
                            <w:rFonts w:ascii="宋体" w:hAnsi="宋体" w:cs="宋体" w:eastAsia="宋体" w:hint="default"/>
                            <w:sz w:val="18"/>
                            <w:szCs w:val="18"/>
                          </w:rPr>
                          <w:t>同意公司用募集资金人民币</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236,431,10</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z w:val="18"/>
                            <w:szCs w:val="18"/>
                          </w:rPr>
                          <w:t>.79 </w:t>
                        </w:r>
                        <w:r>
                          <w:rPr>
                            <w:rFonts w:ascii="宋体" w:hAnsi="宋体" w:cs="宋体" w:eastAsia="宋体" w:hint="default"/>
                            <w:sz w:val="18"/>
                            <w:szCs w:val="18"/>
                          </w:rPr>
                          <w:t>元置换募投项目</w:t>
                        </w:r>
                      </w:p>
                      <w:p>
                        <w:pPr>
                          <w:pStyle w:val="TableParagraph"/>
                          <w:spacing w:line="240" w:lineRule="auto" w:before="63"/>
                          <w:ind w:left="16" w:right="0"/>
                          <w:jc w:val="both"/>
                          <w:rPr>
                            <w:rFonts w:ascii="宋体" w:hAnsi="宋体" w:cs="宋体" w:eastAsia="宋体" w:hint="default"/>
                            <w:sz w:val="18"/>
                            <w:szCs w:val="18"/>
                          </w:rPr>
                        </w:pPr>
                        <w:r>
                          <w:rPr>
                            <w:rFonts w:ascii="宋体" w:hAnsi="宋体" w:cs="宋体" w:eastAsia="宋体" w:hint="default"/>
                            <w:sz w:val="18"/>
                            <w:szCs w:val="18"/>
                          </w:rPr>
                          <w:t>先期投入的自筹资金。募集资金到账后，公司分别于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3"/>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p>
                        <w:pPr>
                          <w:pStyle w:val="TableParagraph"/>
                          <w:spacing w:line="240" w:lineRule="auto" w:before="64"/>
                          <w:ind w:left="16" w:right="0"/>
                          <w:jc w:val="both"/>
                          <w:rPr>
                            <w:rFonts w:ascii="宋体" w:hAnsi="宋体" w:cs="宋体" w:eastAsia="宋体" w:hint="default"/>
                            <w:sz w:val="18"/>
                            <w:szCs w:val="18"/>
                          </w:rPr>
                        </w:pP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日将上述预先投入募投项目的自筹资金由募集资金账户转至公司普通账户。</w:t>
                        </w:r>
                      </w:p>
                    </w:tc>
                  </w:tr>
                  <w:tr>
                    <w:trPr>
                      <w:trHeight w:val="705" w:hRule="exact"/>
                    </w:trPr>
                    <w:tc>
                      <w:tcPr>
                        <w:tcW w:w="177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9" w:lineRule="auto" w:before="51"/>
                          <w:ind w:left="22" w:right="117"/>
                          <w:jc w:val="left"/>
                          <w:rPr>
                            <w:rFonts w:ascii="宋体" w:hAnsi="宋体" w:cs="宋体" w:eastAsia="宋体" w:hint="default"/>
                            <w:sz w:val="18"/>
                            <w:szCs w:val="18"/>
                          </w:rPr>
                        </w:pPr>
                        <w:r>
                          <w:rPr>
                            <w:rFonts w:ascii="宋体" w:hAnsi="宋体" w:cs="宋体" w:eastAsia="宋体" w:hint="default"/>
                            <w:sz w:val="18"/>
                            <w:szCs w:val="18"/>
                          </w:rPr>
                          <w:t>募集资金投资项目先 期投入及置换情况</w:t>
                        </w:r>
                      </w:p>
                    </w:tc>
                    <w:tc>
                      <w:tcPr>
                        <w:tcW w:w="7798" w:type="dxa"/>
                        <w:gridSpan w:val="10"/>
                        <w:vMerge/>
                        <w:tcBorders>
                          <w:left w:val="single" w:sz="9" w:space="0" w:color="D2D2D2"/>
                          <w:right w:val="single" w:sz="4" w:space="0" w:color="000000"/>
                        </w:tcBorders>
                      </w:tcPr>
                      <w:p>
                        <w:pPr/>
                      </w:p>
                    </w:tc>
                  </w:tr>
                  <w:tr>
                    <w:trPr>
                      <w:trHeight w:val="1142" w:hRule="exact"/>
                    </w:trPr>
                    <w:tc>
                      <w:tcPr>
                        <w:tcW w:w="1770" w:type="dxa"/>
                        <w:tcBorders>
                          <w:top w:val="nil" w:sz="6" w:space="0" w:color="auto"/>
                          <w:left w:val="single" w:sz="4" w:space="0" w:color="000000"/>
                          <w:bottom w:val="single" w:sz="4" w:space="0" w:color="000000"/>
                          <w:right w:val="single" w:sz="4" w:space="0" w:color="000000"/>
                        </w:tcBorders>
                        <w:shd w:val="clear" w:color="auto" w:fill="D2D2D2"/>
                      </w:tcPr>
                      <w:p>
                        <w:pPr/>
                      </w:p>
                    </w:tc>
                    <w:tc>
                      <w:tcPr>
                        <w:tcW w:w="7798" w:type="dxa"/>
                        <w:gridSpan w:val="10"/>
                        <w:vMerge/>
                        <w:tcBorders>
                          <w:left w:val="single" w:sz="9" w:space="0" w:color="D2D2D2"/>
                          <w:bottom w:val="single" w:sz="4" w:space="0" w:color="000000"/>
                          <w:right w:val="single" w:sz="4" w:space="0" w:color="000000"/>
                        </w:tcBorders>
                      </w:tcPr>
                      <w:p>
                        <w:pPr/>
                      </w:p>
                    </w:tc>
                  </w:tr>
                </w:tbl>
                <w:p>
                  <w:pPr/>
                </w:p>
              </w:txbxContent>
            </v:textbox>
            <w10:wrap type="none"/>
          </v:shape>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6"/>
          <w:szCs w:val="26"/>
        </w:rPr>
      </w:pPr>
    </w:p>
    <w:p>
      <w:pPr>
        <w:pStyle w:val="BodyText"/>
        <w:spacing w:line="240" w:lineRule="auto" w:before="133"/>
        <w:ind w:left="0" w:right="1142"/>
        <w:jc w:val="right"/>
      </w:pPr>
      <w:r>
        <w:rPr/>
        <w:t>，</w:t>
      </w:r>
    </w:p>
    <w:p>
      <w:pPr>
        <w:spacing w:after="0" w:line="240" w:lineRule="auto"/>
        <w:jc w:val="righ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8"/>
          <w:szCs w:val="18"/>
        </w:rPr>
      </w:pPr>
    </w:p>
    <w:p>
      <w:pPr>
        <w:pStyle w:val="BodyText"/>
        <w:spacing w:line="240" w:lineRule="auto" w:before="44"/>
        <w:ind w:left="0" w:right="1140"/>
        <w:jc w:val="right"/>
      </w:pPr>
      <w:r>
        <w:rPr/>
        <w:pict>
          <v:shape style="position:absolute;margin-left:56.459999pt;margin-top:-176.968292pt;width:479.2pt;height:511.15pt;mso-position-horizontal-relative:page;mso-position-vertical-relative:paragraph;z-index:121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770"/>
                    <w:gridCol w:w="7798"/>
                  </w:tblGrid>
                  <w:tr>
                    <w:trPr>
                      <w:trHeight w:val="402" w:hRule="exact"/>
                    </w:trPr>
                    <w:tc>
                      <w:tcPr>
                        <w:tcW w:w="17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55"/>
                          <w:ind w:left="22" w:right="117"/>
                          <w:jc w:val="left"/>
                          <w:rPr>
                            <w:rFonts w:ascii="宋体" w:hAnsi="宋体" w:cs="宋体" w:eastAsia="宋体" w:hint="default"/>
                            <w:sz w:val="18"/>
                            <w:szCs w:val="18"/>
                          </w:rPr>
                        </w:pPr>
                        <w:r>
                          <w:rPr>
                            <w:rFonts w:ascii="宋体" w:hAnsi="宋体" w:cs="宋体" w:eastAsia="宋体" w:hint="default"/>
                            <w:sz w:val="18"/>
                            <w:szCs w:val="18"/>
                          </w:rPr>
                          <w:t>用闲置募集资金暂时 补充流动资金情况</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6643" w:hRule="exact"/>
                    </w:trPr>
                    <w:tc>
                      <w:tcPr>
                        <w:tcW w:w="1770" w:type="dxa"/>
                        <w:vMerge/>
                        <w:tcBorders>
                          <w:left w:val="single" w:sz="4" w:space="0" w:color="000000"/>
                          <w:bottom w:val="single" w:sz="4" w:space="0" w:color="FFFFFF"/>
                          <w:right w:val="single" w:sz="4" w:space="0" w:color="000000"/>
                        </w:tcBorders>
                        <w:shd w:val="clear" w:color="auto" w:fill="D2D2D2"/>
                      </w:tcPr>
                      <w:p>
                        <w:pPr/>
                      </w:p>
                    </w:tc>
                    <w:tc>
                      <w:tcPr>
                        <w:tcW w:w="7798" w:type="dxa"/>
                        <w:tcBorders>
                          <w:top w:val="single" w:sz="4" w:space="0" w:color="000000"/>
                          <w:left w:val="single" w:sz="4" w:space="0" w:color="000000"/>
                          <w:bottom w:val="single" w:sz="4" w:space="0" w:color="FFFFFF"/>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日公司召开第五届董事会</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年第十一次会议审议通过了《关于使用部分闲置募集</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资金暂时补充流动资金的议案</w:t>
                        </w:r>
                        <w:r>
                          <w:rPr>
                            <w:rFonts w:ascii="宋体" w:hAnsi="宋体" w:cs="宋体" w:eastAsia="宋体" w:hint="default"/>
                            <w:spacing w:val="-90"/>
                            <w:sz w:val="18"/>
                            <w:szCs w:val="18"/>
                          </w:rPr>
                          <w:t>》</w:t>
                        </w:r>
                        <w:r>
                          <w:rPr>
                            <w:rFonts w:ascii="宋体" w:hAnsi="宋体" w:cs="宋体" w:eastAsia="宋体" w:hint="default"/>
                            <w:spacing w:val="-29"/>
                            <w:sz w:val="18"/>
                            <w:szCs w:val="18"/>
                          </w:rPr>
                          <w:t>，</w:t>
                        </w:r>
                        <w:r>
                          <w:rPr>
                            <w:rFonts w:ascii="宋体" w:hAnsi="宋体" w:cs="宋体" w:eastAsia="宋体" w:hint="default"/>
                            <w:sz w:val="18"/>
                            <w:szCs w:val="18"/>
                          </w:rPr>
                          <w:t>同意公司使用不超过人民币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亿</w:t>
                        </w:r>
                        <w:r>
                          <w:rPr>
                            <w:rFonts w:ascii="宋体" w:hAnsi="宋体" w:cs="宋体" w:eastAsia="宋体" w:hint="default"/>
                            <w:spacing w:val="-29"/>
                            <w:sz w:val="18"/>
                            <w:szCs w:val="18"/>
                          </w:rPr>
                          <w:t>元</w:t>
                        </w:r>
                        <w:r>
                          <w:rPr>
                            <w:rFonts w:ascii="宋体" w:hAnsi="宋体" w:cs="宋体" w:eastAsia="宋体" w:hint="default"/>
                            <w:spacing w:val="1"/>
                            <w:sz w:val="18"/>
                            <w:szCs w:val="18"/>
                          </w:rPr>
                          <w:t>（</w:t>
                        </w:r>
                        <w:r>
                          <w:rPr>
                            <w:rFonts w:ascii="宋体" w:hAnsi="宋体" w:cs="宋体" w:eastAsia="宋体" w:hint="default"/>
                            <w:sz w:val="18"/>
                            <w:szCs w:val="18"/>
                          </w:rPr>
                          <w:t>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亿元</w:t>
                        </w:r>
                        <w:r>
                          <w:rPr>
                            <w:rFonts w:ascii="宋体" w:hAnsi="宋体" w:cs="宋体" w:eastAsia="宋体" w:hint="default"/>
                            <w:spacing w:val="-29"/>
                            <w:sz w:val="18"/>
                            <w:szCs w:val="18"/>
                          </w:rPr>
                          <w:t>）</w:t>
                        </w:r>
                        <w:r>
                          <w:rPr>
                            <w:rFonts w:ascii="宋体" w:hAnsi="宋体" w:cs="宋体" w:eastAsia="宋体" w:hint="default"/>
                            <w:spacing w:val="1"/>
                            <w:sz w:val="18"/>
                            <w:szCs w:val="18"/>
                          </w:rPr>
                          <w:t>闲</w:t>
                        </w:r>
                        <w:r>
                          <w:rPr>
                            <w:rFonts w:ascii="宋体" w:hAnsi="宋体" w:cs="宋体" w:eastAsia="宋体" w:hint="default"/>
                            <w:sz w:val="18"/>
                            <w:szCs w:val="18"/>
                          </w:rPr>
                          <w:t>置募集资金暂时</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补充流动资金，使用期限自董事会审议通过之日起不超过</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0"/>
                            <w:sz w:val="18"/>
                            <w:szCs w:val="18"/>
                          </w:rPr>
                          <w:t> </w:t>
                        </w:r>
                        <w:r>
                          <w:rPr>
                            <w:rFonts w:ascii="宋体" w:hAnsi="宋体" w:cs="宋体" w:eastAsia="宋体" w:hint="default"/>
                            <w:spacing w:val="-3"/>
                            <w:sz w:val="18"/>
                            <w:szCs w:val="18"/>
                          </w:rPr>
                          <w:t>个月，到期之前将上述资金及时归还到</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募集资金专用账户。公司按上述议案使用人民币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5.95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亿元闲置募集资金暂时补充流动资金，并在</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日到期之前，陆续按承诺将上述款项归还至募集资金专户。</w:t>
                        </w:r>
                        <w:r>
                          <w:rPr>
                            <w:rFonts w:ascii="Times New Roman" w:hAnsi="Times New Roman" w:cs="Times New Roman" w:eastAsia="Times New Roman" w:hint="default"/>
                            <w:spacing w:val="-3"/>
                            <w:sz w:val="18"/>
                            <w:szCs w:val="18"/>
                          </w:rPr>
                          <w:t>2018</w:t>
                        </w:r>
                        <w:r>
                          <w:rPr>
                            <w:rFonts w:ascii="Times New Roman" w:hAnsi="Times New Roman" w:cs="Times New Roman" w:eastAsia="Times New Roman" w:hint="default"/>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日公司召</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开第五届董事会</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w:t>
                        </w:r>
                        <w:r>
                          <w:rPr>
                            <w:rFonts w:ascii="宋体" w:hAnsi="宋体" w:cs="宋体" w:eastAsia="宋体" w:hint="default"/>
                            <w:spacing w:val="1"/>
                            <w:sz w:val="18"/>
                            <w:szCs w:val="18"/>
                          </w:rPr>
                          <w:t>十</w:t>
                        </w:r>
                        <w:r>
                          <w:rPr>
                            <w:rFonts w:ascii="宋体" w:hAnsi="宋体" w:cs="宋体" w:eastAsia="宋体" w:hint="default"/>
                            <w:sz w:val="18"/>
                            <w:szCs w:val="18"/>
                          </w:rPr>
                          <w:t>二次会议审议通过</w:t>
                        </w:r>
                        <w:r>
                          <w:rPr>
                            <w:rFonts w:ascii="宋体" w:hAnsi="宋体" w:cs="宋体" w:eastAsia="宋体" w:hint="default"/>
                            <w:spacing w:val="-88"/>
                            <w:sz w:val="18"/>
                            <w:szCs w:val="18"/>
                          </w:rPr>
                          <w:t>了</w:t>
                        </w:r>
                        <w:r>
                          <w:rPr>
                            <w:rFonts w:ascii="宋体" w:hAnsi="宋体" w:cs="宋体" w:eastAsia="宋体" w:hint="default"/>
                            <w:sz w:val="18"/>
                            <w:szCs w:val="18"/>
                          </w:rPr>
                          <w:t>《关于归还募集资金后继续使用部分闲置募集资金</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暂时补充流动资金的议案</w:t>
                        </w:r>
                        <w:r>
                          <w:rPr>
                            <w:rFonts w:ascii="宋体" w:hAnsi="宋体" w:cs="宋体" w:eastAsia="宋体" w:hint="default"/>
                            <w:spacing w:val="-90"/>
                            <w:sz w:val="18"/>
                            <w:szCs w:val="18"/>
                          </w:rPr>
                          <w:t>》</w:t>
                        </w:r>
                        <w:r>
                          <w:rPr>
                            <w:rFonts w:ascii="宋体" w:hAnsi="宋体" w:cs="宋体" w:eastAsia="宋体" w:hint="default"/>
                            <w:spacing w:val="-29"/>
                            <w:sz w:val="18"/>
                            <w:szCs w:val="18"/>
                          </w:rPr>
                          <w:t>，</w:t>
                        </w:r>
                        <w:r>
                          <w:rPr>
                            <w:rFonts w:ascii="宋体" w:hAnsi="宋体" w:cs="宋体" w:eastAsia="宋体" w:hint="default"/>
                            <w:sz w:val="18"/>
                            <w:szCs w:val="18"/>
                          </w:rPr>
                          <w:t>同意公司继续使用不超过人民币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亿</w:t>
                        </w:r>
                        <w:r>
                          <w:rPr>
                            <w:rFonts w:ascii="宋体" w:hAnsi="宋体" w:cs="宋体" w:eastAsia="宋体" w:hint="default"/>
                            <w:spacing w:val="-29"/>
                            <w:sz w:val="18"/>
                            <w:szCs w:val="18"/>
                          </w:rPr>
                          <w:t>元</w:t>
                        </w:r>
                        <w:r>
                          <w:rPr>
                            <w:rFonts w:ascii="宋体" w:hAnsi="宋体" w:cs="宋体" w:eastAsia="宋体" w:hint="default"/>
                            <w:spacing w:val="1"/>
                            <w:sz w:val="18"/>
                            <w:szCs w:val="18"/>
                          </w:rPr>
                          <w:t>（</w:t>
                        </w:r>
                        <w:r>
                          <w:rPr>
                            <w:rFonts w:ascii="宋体" w:hAnsi="宋体" w:cs="宋体" w:eastAsia="宋体" w:hint="default"/>
                            <w:sz w:val="18"/>
                            <w:szCs w:val="18"/>
                          </w:rPr>
                          <w:t>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亿元</w:t>
                        </w:r>
                        <w:r>
                          <w:rPr>
                            <w:rFonts w:ascii="宋体" w:hAnsi="宋体" w:cs="宋体" w:eastAsia="宋体" w:hint="default"/>
                            <w:spacing w:val="-29"/>
                            <w:sz w:val="18"/>
                            <w:szCs w:val="18"/>
                          </w:rPr>
                          <w:t>）</w:t>
                        </w:r>
                        <w:r>
                          <w:rPr>
                            <w:rFonts w:ascii="宋体" w:hAnsi="宋体" w:cs="宋体" w:eastAsia="宋体" w:hint="default"/>
                            <w:spacing w:val="1"/>
                            <w:sz w:val="18"/>
                            <w:szCs w:val="18"/>
                          </w:rPr>
                          <w:t>闲</w:t>
                        </w:r>
                        <w:r>
                          <w:rPr>
                            <w:rFonts w:ascii="宋体" w:hAnsi="宋体" w:cs="宋体" w:eastAsia="宋体" w:hint="default"/>
                            <w:sz w:val="18"/>
                            <w:szCs w:val="18"/>
                          </w:rPr>
                          <w:t>置募集资金暂时</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补充流动资金，使用期限自董事会审议通过之日起不超过</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pacing w:val="-3"/>
                            <w:sz w:val="18"/>
                            <w:szCs w:val="18"/>
                          </w:rPr>
                          <w:t>个月。</w:t>
                        </w:r>
                        <w:r>
                          <w:rPr>
                            <w:rFonts w:ascii="Times New Roman" w:hAnsi="Times New Roman" w:cs="Times New Roman" w:eastAsia="Times New Roman" w:hint="default"/>
                            <w:spacing w:val="-3"/>
                            <w:sz w:val="18"/>
                            <w:szCs w:val="18"/>
                          </w:rPr>
                          <w:t>2018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日公司将闲置募</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集资金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70,000,</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z w:val="18"/>
                            <w:szCs w:val="18"/>
                          </w:rPr>
                          <w:t>00.00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元用于</w:t>
                        </w:r>
                        <w:r>
                          <w:rPr>
                            <w:rFonts w:ascii="宋体" w:hAnsi="宋体" w:cs="宋体" w:eastAsia="宋体" w:hint="default"/>
                            <w:spacing w:val="-2"/>
                            <w:sz w:val="18"/>
                            <w:szCs w:val="18"/>
                          </w:rPr>
                          <w:t>补</w:t>
                        </w:r>
                        <w:r>
                          <w:rPr>
                            <w:rFonts w:ascii="宋体" w:hAnsi="宋体" w:cs="宋体" w:eastAsia="宋体" w:hint="default"/>
                            <w:sz w:val="18"/>
                            <w:szCs w:val="18"/>
                          </w:rPr>
                          <w:t>充流动资金</w:t>
                        </w:r>
                        <w:r>
                          <w:rPr>
                            <w:rFonts w:ascii="宋体" w:hAnsi="宋体" w:cs="宋体" w:eastAsia="宋体" w:hint="default"/>
                            <w:spacing w:val="-90"/>
                            <w:sz w:val="18"/>
                            <w:szCs w:val="18"/>
                          </w:rPr>
                          <w:t>，</w:t>
                        </w:r>
                        <w:r>
                          <w:rPr>
                            <w:rFonts w:ascii="宋体" w:hAnsi="宋体" w:cs="宋体" w:eastAsia="宋体" w:hint="default"/>
                            <w:sz w:val="18"/>
                            <w:szCs w:val="18"/>
                          </w:rPr>
                          <w:t>补充期限为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8"/>
                            <w:sz w:val="18"/>
                            <w:szCs w:val="18"/>
                          </w:rPr>
                          <w:t>1</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日至</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8"/>
                            <w:sz w:val="18"/>
                            <w:szCs w:val="18"/>
                          </w:rPr>
                          <w:t>1</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r>
                          <w:rPr>
                            <w:rFonts w:ascii="宋体" w:hAnsi="宋体" w:cs="宋体" w:eastAsia="宋体" w:hint="default"/>
                            <w:spacing w:val="-90"/>
                            <w:sz w:val="18"/>
                            <w:szCs w:val="18"/>
                          </w:rPr>
                          <w:t>；</w:t>
                        </w:r>
                        <w:r>
                          <w:rPr>
                            <w:rFonts w:ascii="Times New Roman" w:hAnsi="Times New Roman" w:cs="Times New Roman" w:eastAsia="Times New Roman" w:hint="default"/>
                            <w:sz w:val="18"/>
                            <w:szCs w:val="18"/>
                          </w:rPr>
                          <w:t>2018</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日公司将闲置募集资金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30,000,000.00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元用于补充流动资金，补充期限为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6"/>
                            <w:sz w:val="18"/>
                            <w:szCs w:val="18"/>
                          </w:rPr>
                          <w:t>1</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r>
                          <w:rPr>
                            <w:rFonts w:ascii="宋体" w:hAnsi="宋体" w:cs="宋体" w:eastAsia="宋体" w:hint="default"/>
                            <w:spacing w:val="-75"/>
                            <w:sz w:val="18"/>
                            <w:szCs w:val="18"/>
                          </w:rPr>
                          <w:t>；</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8"/>
                            <w:sz w:val="18"/>
                            <w:szCs w:val="18"/>
                          </w:rPr>
                          <w:t>1</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r>
                          <w:rPr>
                            <w:rFonts w:ascii="宋体" w:hAnsi="宋体" w:cs="宋体" w:eastAsia="宋体" w:hint="default"/>
                            <w:spacing w:val="1"/>
                            <w:sz w:val="18"/>
                            <w:szCs w:val="18"/>
                          </w:rPr>
                          <w:t>公</w:t>
                        </w:r>
                        <w:r>
                          <w:rPr>
                            <w:rFonts w:ascii="宋体" w:hAnsi="宋体" w:cs="宋体" w:eastAsia="宋体" w:hint="default"/>
                            <w:sz w:val="18"/>
                            <w:szCs w:val="18"/>
                          </w:rPr>
                          <w:t>司将闲置募集资金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30,000,00</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z w:val="18"/>
                            <w:szCs w:val="18"/>
                          </w:rPr>
                          <w:t>.00 </w:t>
                        </w:r>
                        <w:r>
                          <w:rPr>
                            <w:rFonts w:ascii="宋体" w:hAnsi="宋体" w:cs="宋体" w:eastAsia="宋体" w:hint="default"/>
                            <w:sz w:val="18"/>
                            <w:szCs w:val="18"/>
                          </w:rPr>
                          <w:t>元用于补充流动资金</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补充期限为</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pacing w:val="-8"/>
                            <w:sz w:val="18"/>
                            <w:szCs w:val="18"/>
                          </w:rPr>
                          <w:t>1</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月</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日至</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pacing w:val="-8"/>
                            <w:sz w:val="18"/>
                            <w:szCs w:val="18"/>
                          </w:rPr>
                          <w:t>1</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月</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日</w:t>
                        </w:r>
                        <w:r>
                          <w:rPr>
                            <w:rFonts w:ascii="宋体" w:hAnsi="宋体" w:cs="宋体" w:eastAsia="宋体" w:hint="default"/>
                            <w:spacing w:val="-90"/>
                            <w:sz w:val="18"/>
                            <w:szCs w:val="18"/>
                          </w:rPr>
                          <w:t>；</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pacing w:val="-8"/>
                            <w:sz w:val="18"/>
                            <w:szCs w:val="18"/>
                          </w:rPr>
                          <w:t>1</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月</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日公司将闲置募集资金</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50</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z w:val="18"/>
                            <w:szCs w:val="18"/>
                          </w:rPr>
                          <w:t>000,000.00</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元用于补充流动资金，补充期限为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将闲置募集资金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150,000,000.00 </w:t>
                        </w:r>
                        <w:r>
                          <w:rPr>
                            <w:rFonts w:ascii="宋体" w:hAnsi="宋体" w:cs="宋体" w:eastAsia="宋体" w:hint="default"/>
                            <w:sz w:val="18"/>
                            <w:szCs w:val="18"/>
                          </w:rPr>
                          <w:t>元用于补充流动资金，补充期限为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w:t>
                        </w:r>
                        <w:r>
                          <w:rPr>
                            <w:rFonts w:ascii="宋体" w:hAnsi="宋体" w:cs="宋体" w:eastAsia="宋体" w:hint="default"/>
                            <w:spacing w:val="-90"/>
                            <w:sz w:val="18"/>
                            <w:szCs w:val="18"/>
                          </w:rPr>
                          <w:t>；</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pacing w:val="-8"/>
                            <w:sz w:val="18"/>
                            <w:szCs w:val="18"/>
                          </w:rPr>
                          <w:t>1</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w:t>
                        </w:r>
                        <w:r>
                          <w:rPr>
                            <w:rFonts w:ascii="宋体" w:hAnsi="宋体" w:cs="宋体" w:eastAsia="宋体" w:hint="default"/>
                            <w:spacing w:val="1"/>
                            <w:sz w:val="18"/>
                            <w:szCs w:val="18"/>
                          </w:rPr>
                          <w:t>公</w:t>
                        </w:r>
                        <w:r>
                          <w:rPr>
                            <w:rFonts w:ascii="宋体" w:hAnsi="宋体" w:cs="宋体" w:eastAsia="宋体" w:hint="default"/>
                            <w:sz w:val="18"/>
                            <w:szCs w:val="18"/>
                          </w:rPr>
                          <w:t>司将闲置募集资金</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10,000,00</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z w:val="18"/>
                            <w:szCs w:val="18"/>
                          </w:rPr>
                          <w:t>.00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元用于补充流动资金</w:t>
                        </w:r>
                        <w:r>
                          <w:rPr>
                            <w:rFonts w:ascii="宋体" w:hAnsi="宋体" w:cs="宋体" w:eastAsia="宋体" w:hint="default"/>
                            <w:spacing w:val="-90"/>
                            <w:sz w:val="18"/>
                            <w:szCs w:val="18"/>
                          </w:rPr>
                          <w:t>，</w:t>
                        </w:r>
                        <w:r>
                          <w:rPr>
                            <w:rFonts w:ascii="宋体" w:hAnsi="宋体" w:cs="宋体" w:eastAsia="宋体" w:hint="default"/>
                            <w:sz w:val="18"/>
                            <w:szCs w:val="18"/>
                          </w:rPr>
                          <w:t>补充期限为</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8</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日；</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日公司将闲置募集资金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10,000,000.00 </w:t>
                        </w:r>
                        <w:r>
                          <w:rPr>
                            <w:rFonts w:ascii="宋体" w:hAnsi="宋体" w:cs="宋体" w:eastAsia="宋体" w:hint="default"/>
                            <w:sz w:val="18"/>
                            <w:szCs w:val="18"/>
                          </w:rPr>
                          <w:t>元用于补</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充流动资金，补充期限为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日公司将闲置</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募集资金</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15,000,000.00</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元用于补充流动资金，补充期限为</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日</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25 </w:t>
                        </w:r>
                        <w:r>
                          <w:rPr>
                            <w:rFonts w:ascii="宋体" w:hAnsi="宋体" w:cs="宋体" w:eastAsia="宋体" w:hint="default"/>
                            <w:sz w:val="18"/>
                            <w:szCs w:val="18"/>
                          </w:rPr>
                          <w:t>日公司将闲置募集资金</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20,000,000.00</w:t>
                        </w:r>
                        <w:r>
                          <w:rPr>
                            <w:rFonts w:ascii="Times New Roman" w:hAnsi="Times New Roman" w:cs="Times New Roman" w:eastAsia="Times New Roman" w:hint="default"/>
                            <w:spacing w:val="1"/>
                            <w:sz w:val="18"/>
                            <w:szCs w:val="18"/>
                          </w:rPr>
                          <w:t> </w:t>
                        </w:r>
                        <w:r>
                          <w:rPr>
                            <w:rFonts w:ascii="宋体" w:hAnsi="宋体" w:cs="宋体" w:eastAsia="宋体" w:hint="default"/>
                            <w:spacing w:val="-4"/>
                            <w:sz w:val="18"/>
                            <w:szCs w:val="18"/>
                          </w:rPr>
                          <w:t>元用于补充流动资金，补充期限为</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pacing w:val="-5"/>
                            <w:sz w:val="18"/>
                            <w:szCs w:val="18"/>
                          </w:rPr>
                          <w:t>日。截至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2"/>
                            <w:sz w:val="18"/>
                            <w:szCs w:val="18"/>
                          </w:rPr>
                          <w:t> </w:t>
                        </w:r>
                        <w:r>
                          <w:rPr>
                            <w:rFonts w:ascii="Times New Roman" w:hAnsi="Times New Roman" w:cs="Times New Roman" w:eastAsia="Times New Roman" w:hint="default"/>
                            <w:sz w:val="18"/>
                            <w:szCs w:val="18"/>
                          </w:rPr>
                          <w:t>31  </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日，公司使用闲置募集资金暂时补充流动资</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金总额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3.85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亿元。</w:t>
                        </w:r>
                      </w:p>
                    </w:tc>
                  </w:tr>
                  <w:tr>
                    <w:trPr>
                      <w:trHeight w:val="402" w:hRule="exact"/>
                    </w:trPr>
                    <w:tc>
                      <w:tcPr>
                        <w:tcW w:w="1770" w:type="dxa"/>
                        <w:vMerge w:val="restart"/>
                        <w:tcBorders>
                          <w:top w:val="single" w:sz="4" w:space="0" w:color="FFFFFF"/>
                          <w:left w:val="single" w:sz="4" w:space="0" w:color="000000"/>
                          <w:right w:val="single" w:sz="4" w:space="0" w:color="000000"/>
                        </w:tcBorders>
                        <w:shd w:val="clear" w:color="auto" w:fill="D2D2D2"/>
                      </w:tcPr>
                      <w:p>
                        <w:pPr>
                          <w:pStyle w:val="TableParagraph"/>
                          <w:spacing w:line="316" w:lineRule="auto" w:before="97"/>
                          <w:ind w:left="22" w:right="117"/>
                          <w:jc w:val="left"/>
                          <w:rPr>
                            <w:rFonts w:ascii="宋体" w:hAnsi="宋体" w:cs="宋体" w:eastAsia="宋体" w:hint="default"/>
                            <w:sz w:val="18"/>
                            <w:szCs w:val="18"/>
                          </w:rPr>
                        </w:pPr>
                        <w:r>
                          <w:rPr>
                            <w:rFonts w:ascii="宋体" w:hAnsi="宋体" w:cs="宋体" w:eastAsia="宋体" w:hint="default"/>
                            <w:sz w:val="18"/>
                            <w:szCs w:val="18"/>
                          </w:rPr>
                          <w:t>项目实施出现募集资 金结余的金额及原因</w:t>
                        </w:r>
                      </w:p>
                    </w:tc>
                    <w:tc>
                      <w:tcPr>
                        <w:tcW w:w="7798"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770" w:type="dxa"/>
                        <w:vMerge/>
                        <w:tcBorders>
                          <w:left w:val="single" w:sz="4" w:space="0" w:color="000000"/>
                          <w:bottom w:val="single" w:sz="4" w:space="0" w:color="000000"/>
                          <w:right w:val="single" w:sz="4" w:space="0" w:color="000000"/>
                        </w:tcBorders>
                        <w:shd w:val="clear" w:color="auto" w:fill="D2D2D2"/>
                      </w:tcPr>
                      <w:p>
                        <w:pPr/>
                      </w:p>
                    </w:tc>
                    <w:tc>
                      <w:tcPr>
                        <w:tcW w:w="7798"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2" w:right="117"/>
                          <w:jc w:val="left"/>
                          <w:rPr>
                            <w:rFonts w:ascii="宋体" w:hAnsi="宋体" w:cs="宋体" w:eastAsia="宋体" w:hint="default"/>
                            <w:sz w:val="18"/>
                            <w:szCs w:val="18"/>
                          </w:rPr>
                        </w:pPr>
                        <w:r>
                          <w:rPr>
                            <w:rFonts w:ascii="宋体" w:hAnsi="宋体" w:cs="宋体" w:eastAsia="宋体" w:hint="default"/>
                            <w:sz w:val="18"/>
                            <w:szCs w:val="18"/>
                          </w:rPr>
                          <w:t>尚未使用的募集资金 用途及去向</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截至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日，公司尚未使用的募集资金余额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1,023,403,412.84</w:t>
                        </w:r>
                        <w:r>
                          <w:rPr>
                            <w:rFonts w:ascii="Times New Roman" w:hAnsi="Times New Roman" w:cs="Times New Roman" w:eastAsia="Times New Roman" w:hint="default"/>
                            <w:spacing w:val="-1"/>
                            <w:sz w:val="18"/>
                            <w:szCs w:val="18"/>
                          </w:rPr>
                          <w:t> </w:t>
                        </w:r>
                        <w:r>
                          <w:rPr>
                            <w:rFonts w:ascii="宋体" w:hAnsi="宋体" w:cs="宋体" w:eastAsia="宋体" w:hint="default"/>
                            <w:spacing w:val="-4"/>
                            <w:sz w:val="18"/>
                            <w:szCs w:val="18"/>
                          </w:rPr>
                          <w:t>元，加上募集资金利息收</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入</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29,489,826.</w:t>
                        </w:r>
                        <w:r>
                          <w:rPr>
                            <w:rFonts w:ascii="Times New Roman" w:hAnsi="Times New Roman" w:cs="Times New Roman" w:eastAsia="Times New Roman" w:hint="default"/>
                            <w:spacing w:val="-2"/>
                            <w:sz w:val="18"/>
                            <w:szCs w:val="18"/>
                          </w:rPr>
                          <w:t>9</w:t>
                        </w:r>
                        <w:r>
                          <w:rPr>
                            <w:rFonts w:ascii="Times New Roman" w:hAnsi="Times New Roman" w:cs="Times New Roman" w:eastAsia="Times New Roman" w:hint="default"/>
                            <w:sz w:val="18"/>
                            <w:szCs w:val="18"/>
                          </w:rPr>
                          <w:t>4 </w:t>
                        </w:r>
                        <w:r>
                          <w:rPr>
                            <w:rFonts w:ascii="宋体" w:hAnsi="宋体" w:cs="宋体" w:eastAsia="宋体" w:hint="default"/>
                            <w:sz w:val="18"/>
                            <w:szCs w:val="18"/>
                          </w:rPr>
                          <w:t>元</w:t>
                        </w:r>
                        <w:r>
                          <w:rPr>
                            <w:rFonts w:ascii="宋体" w:hAnsi="宋体" w:cs="宋体" w:eastAsia="宋体" w:hint="default"/>
                            <w:spacing w:val="-89"/>
                            <w:sz w:val="18"/>
                            <w:szCs w:val="18"/>
                          </w:rPr>
                          <w:t>，</w:t>
                        </w:r>
                        <w:r>
                          <w:rPr>
                            <w:rFonts w:ascii="宋体" w:hAnsi="宋体" w:cs="宋体" w:eastAsia="宋体" w:hint="default"/>
                            <w:sz w:val="18"/>
                            <w:szCs w:val="18"/>
                          </w:rPr>
                          <w:t>扣除支付的手续费</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32,287.33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r>
                          <w:rPr>
                            <w:rFonts w:ascii="宋体" w:hAnsi="宋体" w:cs="宋体" w:eastAsia="宋体" w:hint="default"/>
                            <w:spacing w:val="-89"/>
                            <w:sz w:val="18"/>
                            <w:szCs w:val="18"/>
                          </w:rPr>
                          <w:t>，</w:t>
                        </w:r>
                        <w:r>
                          <w:rPr>
                            <w:rFonts w:ascii="宋体" w:hAnsi="宋体" w:cs="宋体" w:eastAsia="宋体" w:hint="default"/>
                            <w:sz w:val="18"/>
                            <w:szCs w:val="18"/>
                          </w:rPr>
                          <w:t>实际尚未使用的募集资金余额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1,052</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z w:val="18"/>
                            <w:szCs w:val="18"/>
                          </w:rPr>
                          <w:t>860,952.45</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其中活期存款</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92,860,952.45</w:t>
                        </w:r>
                        <w:r>
                          <w:rPr>
                            <w:rFonts w:ascii="Times New Roman" w:hAnsi="Times New Roman" w:cs="Times New Roman" w:eastAsia="Times New Roman" w:hint="default"/>
                            <w:spacing w:val="2"/>
                            <w:sz w:val="18"/>
                            <w:szCs w:val="18"/>
                          </w:rPr>
                          <w:t> </w:t>
                        </w:r>
                        <w:r>
                          <w:rPr>
                            <w:rFonts w:ascii="宋体" w:hAnsi="宋体" w:cs="宋体" w:eastAsia="宋体" w:hint="default"/>
                            <w:spacing w:val="-5"/>
                            <w:sz w:val="18"/>
                            <w:szCs w:val="18"/>
                          </w:rPr>
                          <w:t>元、期末暂时补充流动资金余额</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385,000,000.00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元及期末现金管理余</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575,000,000</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z w:val="18"/>
                            <w:szCs w:val="18"/>
                          </w:rPr>
                          <w:t>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r>
                          <w:rPr>
                            <w:rFonts w:ascii="宋体" w:hAnsi="宋体" w:cs="宋体" w:eastAsia="宋体" w:hint="default"/>
                            <w:spacing w:val="-90"/>
                            <w:sz w:val="18"/>
                            <w:szCs w:val="18"/>
                          </w:rPr>
                          <w:t>）</w:t>
                        </w:r>
                        <w:r>
                          <w:rPr>
                            <w:rFonts w:ascii="宋体" w:hAnsi="宋体" w:cs="宋体" w:eastAsia="宋体" w:hint="default"/>
                            <w:sz w:val="18"/>
                            <w:szCs w:val="18"/>
                          </w:rPr>
                          <w:t>。</w:t>
                        </w:r>
                      </w:p>
                    </w:tc>
                  </w:tr>
                  <w:tr>
                    <w:trPr>
                      <w:trHeight w:val="1026"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17"/>
                          <w:jc w:val="both"/>
                          <w:rPr>
                            <w:rFonts w:ascii="宋体" w:hAnsi="宋体" w:cs="宋体" w:eastAsia="宋体" w:hint="default"/>
                            <w:sz w:val="18"/>
                            <w:szCs w:val="18"/>
                          </w:rPr>
                        </w:pPr>
                        <w:r>
                          <w:rPr>
                            <w:rFonts w:ascii="宋体" w:hAnsi="宋体" w:cs="宋体" w:eastAsia="宋体" w:hint="default"/>
                            <w:sz w:val="18"/>
                            <w:szCs w:val="18"/>
                          </w:rPr>
                          <w:t>募集资金使用及披露 中存在的问题或其他 情况</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5"/>
          <w:szCs w:val="25"/>
        </w:rPr>
      </w:pPr>
    </w:p>
    <w:p>
      <w:pPr>
        <w:pStyle w:val="BodyText"/>
        <w:spacing w:line="240" w:lineRule="auto" w:before="44"/>
        <w:ind w:left="0" w:right="1141"/>
        <w:jc w:val="right"/>
      </w:pP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1"/>
          <w:szCs w:val="21"/>
        </w:rPr>
      </w:pPr>
    </w:p>
    <w:p>
      <w:pPr>
        <w:pStyle w:val="Heading3"/>
        <w:spacing w:line="240" w:lineRule="auto" w:before="35"/>
        <w:ind w:right="0"/>
        <w:jc w:val="left"/>
        <w:rPr>
          <w:b w:val="0"/>
          <w:bCs w:val="0"/>
        </w:rPr>
      </w:pPr>
      <w:bookmarkStart w:name="（3）募集资金变更项目情况" w:id="52"/>
      <w:bookmarkEnd w:id="52"/>
      <w:r>
        <w:rPr>
          <w:b w:val="0"/>
          <w:bCs w:val="0"/>
        </w:rPr>
      </w:r>
      <w:r>
        <w:rPr/>
        <w:t>（</w:t>
      </w:r>
      <w:r>
        <w:rPr>
          <w:rFonts w:ascii="Times New Roman" w:hAnsi="Times New Roman" w:cs="Times New Roman" w:eastAsia="Times New Roman" w:hint="default"/>
        </w:rPr>
        <w:t>3</w:t>
      </w:r>
      <w:r>
        <w:rPr/>
        <w:t>）募集资金变更项目情况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3"/>
        <w:ind w:left="0" w:right="1130"/>
        <w:jc w:val="right"/>
      </w:pPr>
      <w:r>
        <w:rPr/>
        <w:t>单位：万元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958"/>
        <w:gridCol w:w="958"/>
        <w:gridCol w:w="956"/>
        <w:gridCol w:w="959"/>
        <w:gridCol w:w="956"/>
        <w:gridCol w:w="956"/>
        <w:gridCol w:w="956"/>
        <w:gridCol w:w="957"/>
        <w:gridCol w:w="958"/>
        <w:gridCol w:w="945"/>
      </w:tblGrid>
      <w:tr>
        <w:trPr>
          <w:trHeight w:val="1338" w:hRule="exact"/>
        </w:trPr>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382" w:right="23" w:hanging="360"/>
              <w:jc w:val="left"/>
              <w:rPr>
                <w:rFonts w:ascii="宋体" w:hAnsi="宋体" w:cs="宋体" w:eastAsia="宋体" w:hint="default"/>
                <w:sz w:val="18"/>
                <w:szCs w:val="18"/>
              </w:rPr>
            </w:pPr>
            <w:r>
              <w:rPr>
                <w:rFonts w:ascii="宋体" w:hAnsi="宋体" w:cs="宋体" w:eastAsia="宋体" w:hint="default"/>
                <w:sz w:val="18"/>
                <w:szCs w:val="18"/>
              </w:rPr>
              <w:t>变更后的项 目</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04" w:right="23" w:hanging="180"/>
              <w:jc w:val="left"/>
              <w:rPr>
                <w:rFonts w:ascii="宋体" w:hAnsi="宋体" w:cs="宋体" w:eastAsia="宋体" w:hint="default"/>
                <w:sz w:val="18"/>
                <w:szCs w:val="18"/>
              </w:rPr>
            </w:pPr>
            <w:r>
              <w:rPr>
                <w:rFonts w:ascii="宋体" w:hAnsi="宋体" w:cs="宋体" w:eastAsia="宋体" w:hint="default"/>
                <w:sz w:val="18"/>
                <w:szCs w:val="18"/>
              </w:rPr>
              <w:t>对应的原承 诺项目</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3"/>
              <w:jc w:val="center"/>
              <w:rPr>
                <w:rFonts w:ascii="宋体" w:hAnsi="宋体" w:cs="宋体" w:eastAsia="宋体" w:hint="default"/>
                <w:sz w:val="18"/>
                <w:szCs w:val="18"/>
              </w:rPr>
            </w:pPr>
            <w:r>
              <w:rPr>
                <w:rFonts w:ascii="宋体" w:hAnsi="宋体" w:cs="宋体" w:eastAsia="宋体" w:hint="default"/>
                <w:sz w:val="18"/>
                <w:szCs w:val="18"/>
              </w:rPr>
              <w:t>变更后项目 拟投入募集 资金总额</w:t>
            </w:r>
          </w:p>
          <w:p>
            <w:pPr>
              <w:pStyle w:val="TableParagraph"/>
              <w:spacing w:line="240" w:lineRule="auto" w:before="58"/>
              <w:ind w:right="0"/>
              <w:jc w:val="center"/>
              <w:rPr>
                <w:rFonts w:ascii="Times New Roman" w:hAnsi="Times New Roman" w:cs="Times New Roman" w:eastAsia="Times New Roman" w:hint="default"/>
                <w:sz w:val="18"/>
                <w:szCs w:val="18"/>
              </w:rPr>
            </w:pPr>
            <w:r>
              <w:rPr>
                <w:rFonts w:ascii="Times New Roman"/>
                <w:sz w:val="18"/>
              </w:rPr>
              <w:t>(1)</w:t>
            </w:r>
          </w:p>
        </w:tc>
        <w:tc>
          <w:tcPr>
            <w:tcW w:w="9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5" w:right="22"/>
              <w:jc w:val="left"/>
              <w:rPr>
                <w:rFonts w:ascii="宋体" w:hAnsi="宋体" w:cs="宋体" w:eastAsia="宋体" w:hint="default"/>
                <w:sz w:val="18"/>
                <w:szCs w:val="18"/>
              </w:rPr>
            </w:pPr>
            <w:r>
              <w:rPr>
                <w:rFonts w:ascii="宋体" w:hAnsi="宋体" w:cs="宋体" w:eastAsia="宋体" w:hint="default"/>
                <w:sz w:val="18"/>
                <w:szCs w:val="18"/>
              </w:rPr>
              <w:t>本报告期实 际投入金额</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23"/>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截至期末实 际累计投入 金额</w:t>
            </w:r>
            <w:r>
              <w:rPr>
                <w:rFonts w:ascii="Times New Roman" w:hAnsi="Times New Roman" w:cs="Times New Roman" w:eastAsia="Times New Roman" w:hint="default"/>
                <w:sz w:val="18"/>
                <w:szCs w:val="18"/>
              </w:rPr>
              <w:t>(2)</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38" w:lineRule="auto"/>
              <w:ind w:left="22" w:right="23"/>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截至期末投 资进度 </w:t>
            </w:r>
            <w:r>
              <w:rPr>
                <w:rFonts w:ascii="Times New Roman" w:hAnsi="Times New Roman" w:cs="Times New Roman" w:eastAsia="Times New Roman" w:hint="default"/>
                <w:sz w:val="18"/>
                <w:szCs w:val="18"/>
              </w:rPr>
              <w:t>(3)=(2)/(1)</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23"/>
              <w:jc w:val="center"/>
              <w:rPr>
                <w:rFonts w:ascii="宋体" w:hAnsi="宋体" w:cs="宋体" w:eastAsia="宋体" w:hint="default"/>
                <w:sz w:val="18"/>
                <w:szCs w:val="18"/>
              </w:rPr>
            </w:pPr>
            <w:r>
              <w:rPr>
                <w:rFonts w:ascii="宋体" w:hAnsi="宋体" w:cs="宋体" w:eastAsia="宋体" w:hint="default"/>
                <w:sz w:val="18"/>
                <w:szCs w:val="18"/>
              </w:rPr>
              <w:t>项目达到预 定可使用状 态日期</w:t>
            </w:r>
          </w:p>
        </w:tc>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113" w:right="21" w:hanging="90"/>
              <w:jc w:val="left"/>
              <w:rPr>
                <w:rFonts w:ascii="宋体" w:hAnsi="宋体" w:cs="宋体" w:eastAsia="宋体" w:hint="default"/>
                <w:sz w:val="18"/>
                <w:szCs w:val="18"/>
              </w:rPr>
            </w:pPr>
            <w:r>
              <w:rPr>
                <w:rFonts w:ascii="宋体" w:hAnsi="宋体" w:cs="宋体" w:eastAsia="宋体" w:hint="default"/>
                <w:sz w:val="18"/>
                <w:szCs w:val="18"/>
              </w:rPr>
              <w:t>本报告期实 现的效益</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02" w:right="23" w:hanging="180"/>
              <w:jc w:val="left"/>
              <w:rPr>
                <w:rFonts w:ascii="宋体" w:hAnsi="宋体" w:cs="宋体" w:eastAsia="宋体" w:hint="default"/>
                <w:sz w:val="18"/>
                <w:szCs w:val="18"/>
              </w:rPr>
            </w:pPr>
            <w:r>
              <w:rPr>
                <w:rFonts w:ascii="宋体" w:hAnsi="宋体" w:cs="宋体" w:eastAsia="宋体" w:hint="default"/>
                <w:sz w:val="18"/>
                <w:szCs w:val="18"/>
              </w:rPr>
              <w:t>是否达到预 计效益</w:t>
            </w:r>
          </w:p>
        </w:tc>
        <w:tc>
          <w:tcPr>
            <w:tcW w:w="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0"/>
              <w:jc w:val="center"/>
              <w:rPr>
                <w:rFonts w:ascii="宋体" w:hAnsi="宋体" w:cs="宋体" w:eastAsia="宋体" w:hint="default"/>
                <w:sz w:val="18"/>
                <w:szCs w:val="18"/>
              </w:rPr>
            </w:pPr>
            <w:r>
              <w:rPr>
                <w:rFonts w:ascii="宋体" w:hAnsi="宋体" w:cs="宋体" w:eastAsia="宋体" w:hint="default"/>
                <w:sz w:val="18"/>
                <w:szCs w:val="18"/>
              </w:rPr>
              <w:t>变更后的项 目可行性是 否发生重大 变化</w:t>
            </w:r>
          </w:p>
        </w:tc>
      </w:tr>
      <w:tr>
        <w:trPr>
          <w:trHeight w:val="714"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基于</w:t>
            </w:r>
            <w:r>
              <w:rPr>
                <w:rFonts w:ascii="宋体" w:hAnsi="宋体" w:cs="宋体" w:eastAsia="宋体" w:hint="default"/>
                <w:spacing w:val="-2"/>
                <w:sz w:val="18"/>
                <w:szCs w:val="18"/>
              </w:rPr>
              <w:t> </w:t>
            </w:r>
            <w:r>
              <w:rPr>
                <w:rFonts w:ascii="Times New Roman" w:hAnsi="Times New Roman" w:cs="Times New Roman" w:eastAsia="Times New Roman" w:hint="default"/>
                <w:sz w:val="18"/>
                <w:szCs w:val="18"/>
              </w:rPr>
              <w:t>RFID</w:t>
            </w:r>
          </w:p>
          <w:p>
            <w:pPr>
              <w:pStyle w:val="TableParagraph"/>
              <w:spacing w:line="240" w:lineRule="auto" w:before="61"/>
              <w:ind w:left="22" w:right="0"/>
              <w:jc w:val="left"/>
              <w:rPr>
                <w:rFonts w:ascii="宋体" w:hAnsi="宋体" w:cs="宋体" w:eastAsia="宋体" w:hint="default"/>
                <w:sz w:val="18"/>
                <w:szCs w:val="18"/>
              </w:rPr>
            </w:pPr>
            <w:r>
              <w:rPr>
                <w:rFonts w:ascii="宋体" w:hAnsi="宋体" w:cs="宋体" w:eastAsia="宋体" w:hint="default"/>
                <w:sz w:val="18"/>
                <w:szCs w:val="18"/>
              </w:rPr>
              <w:t>技术的智能</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基于</w:t>
            </w:r>
            <w:r>
              <w:rPr>
                <w:rFonts w:ascii="宋体" w:hAnsi="宋体" w:cs="宋体" w:eastAsia="宋体" w:hint="default"/>
                <w:spacing w:val="-2"/>
                <w:sz w:val="18"/>
                <w:szCs w:val="18"/>
              </w:rPr>
              <w:t> </w:t>
            </w:r>
            <w:r>
              <w:rPr>
                <w:rFonts w:ascii="Times New Roman" w:hAnsi="Times New Roman" w:cs="Times New Roman" w:eastAsia="Times New Roman" w:hint="default"/>
                <w:sz w:val="18"/>
                <w:szCs w:val="18"/>
              </w:rPr>
              <w:t>RFID</w:t>
            </w:r>
          </w:p>
          <w:p>
            <w:pPr>
              <w:pStyle w:val="TableParagraph"/>
              <w:spacing w:line="240" w:lineRule="auto" w:before="61"/>
              <w:ind w:left="22" w:right="0"/>
              <w:jc w:val="left"/>
              <w:rPr>
                <w:rFonts w:ascii="宋体" w:hAnsi="宋体" w:cs="宋体" w:eastAsia="宋体" w:hint="default"/>
                <w:sz w:val="18"/>
                <w:szCs w:val="18"/>
              </w:rPr>
            </w:pPr>
            <w:r>
              <w:rPr>
                <w:rFonts w:ascii="宋体" w:hAnsi="宋体" w:cs="宋体" w:eastAsia="宋体" w:hint="default"/>
                <w:sz w:val="18"/>
                <w:szCs w:val="18"/>
              </w:rPr>
              <w:t>技术的智能</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3" w:right="0"/>
              <w:jc w:val="left"/>
              <w:rPr>
                <w:rFonts w:ascii="Times New Roman" w:hAnsi="Times New Roman" w:cs="Times New Roman" w:eastAsia="Times New Roman" w:hint="default"/>
                <w:sz w:val="18"/>
                <w:szCs w:val="18"/>
              </w:rPr>
            </w:pPr>
            <w:r>
              <w:rPr>
                <w:rFonts w:ascii="Times New Roman"/>
                <w:sz w:val="18"/>
              </w:rPr>
              <w:t>49,661.81</w:t>
            </w:r>
          </w:p>
        </w:tc>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96" w:right="0"/>
              <w:jc w:val="left"/>
              <w:rPr>
                <w:rFonts w:ascii="Times New Roman" w:hAnsi="Times New Roman" w:cs="Times New Roman" w:eastAsia="Times New Roman" w:hint="default"/>
                <w:sz w:val="18"/>
                <w:szCs w:val="18"/>
              </w:rPr>
            </w:pPr>
            <w:r>
              <w:rPr>
                <w:rFonts w:ascii="Times New Roman"/>
                <w:sz w:val="18"/>
              </w:rPr>
              <w:t>5,360.19</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93" w:right="0"/>
              <w:jc w:val="left"/>
              <w:rPr>
                <w:rFonts w:ascii="Times New Roman" w:hAnsi="Times New Roman" w:cs="Times New Roman" w:eastAsia="Times New Roman" w:hint="default"/>
                <w:sz w:val="18"/>
                <w:szCs w:val="18"/>
              </w:rPr>
            </w:pPr>
            <w:r>
              <w:rPr>
                <w:rFonts w:ascii="Times New Roman"/>
                <w:sz w:val="18"/>
              </w:rPr>
              <w:t>7,071.81</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68" w:right="0"/>
              <w:jc w:val="left"/>
              <w:rPr>
                <w:rFonts w:ascii="Times New Roman" w:hAnsi="Times New Roman" w:cs="Times New Roman" w:eastAsia="Times New Roman" w:hint="default"/>
                <w:sz w:val="18"/>
                <w:szCs w:val="18"/>
              </w:rPr>
            </w:pPr>
            <w:r>
              <w:rPr>
                <w:rFonts w:ascii="Times New Roman"/>
                <w:sz w:val="18"/>
              </w:rPr>
              <w:t>14.24%</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57"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5"/>
          <w:szCs w:val="25"/>
        </w:rPr>
      </w:pPr>
    </w:p>
    <w:p>
      <w:pPr>
        <w:pStyle w:val="BodyText"/>
        <w:spacing w:line="240" w:lineRule="auto" w:before="44"/>
        <w:ind w:left="0" w:right="1137"/>
        <w:jc w:val="right"/>
      </w:pPr>
      <w:r>
        <w:rPr/>
        <w:pict>
          <v:shape style="position:absolute;margin-left:56.459999pt;margin-top:-168.328278pt;width:479.3pt;height:435.2pt;mso-position-horizontal-relative:page;mso-position-vertical-relative:paragraph;z-index:124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958"/>
                    <w:gridCol w:w="958"/>
                    <w:gridCol w:w="956"/>
                    <w:gridCol w:w="959"/>
                    <w:gridCol w:w="956"/>
                    <w:gridCol w:w="956"/>
                    <w:gridCol w:w="956"/>
                    <w:gridCol w:w="957"/>
                    <w:gridCol w:w="958"/>
                    <w:gridCol w:w="956"/>
                  </w:tblGrid>
                  <w:tr>
                    <w:trPr>
                      <w:trHeight w:val="674"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23"/>
                          <w:jc w:val="left"/>
                          <w:rPr>
                            <w:rFonts w:ascii="宋体" w:hAnsi="宋体" w:cs="宋体" w:eastAsia="宋体" w:hint="default"/>
                            <w:sz w:val="18"/>
                            <w:szCs w:val="18"/>
                          </w:rPr>
                        </w:pPr>
                        <w:r>
                          <w:rPr>
                            <w:rFonts w:ascii="宋体" w:hAnsi="宋体" w:cs="宋体" w:eastAsia="宋体" w:hint="default"/>
                            <w:sz w:val="18"/>
                            <w:szCs w:val="18"/>
                          </w:rPr>
                          <w:t>物联运营支 撑系统项目</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23"/>
                          <w:jc w:val="left"/>
                          <w:rPr>
                            <w:rFonts w:ascii="宋体" w:hAnsi="宋体" w:cs="宋体" w:eastAsia="宋体" w:hint="default"/>
                            <w:sz w:val="18"/>
                            <w:szCs w:val="18"/>
                          </w:rPr>
                        </w:pPr>
                        <w:r>
                          <w:rPr>
                            <w:rFonts w:ascii="宋体" w:hAnsi="宋体" w:cs="宋体" w:eastAsia="宋体" w:hint="default"/>
                            <w:sz w:val="18"/>
                            <w:szCs w:val="18"/>
                          </w:rPr>
                          <w:t>物联运营支 撑系统项目</w:t>
                        </w:r>
                      </w:p>
                    </w:tc>
                    <w:tc>
                      <w:tcPr>
                        <w:tcW w:w="956" w:type="dxa"/>
                        <w:tcBorders>
                          <w:top w:val="single" w:sz="4" w:space="0" w:color="000000"/>
                          <w:left w:val="single" w:sz="4" w:space="0" w:color="000000"/>
                          <w:bottom w:val="single" w:sz="4" w:space="0" w:color="000000"/>
                          <w:right w:val="single" w:sz="4" w:space="0" w:color="000000"/>
                        </w:tcBorders>
                      </w:tcPr>
                      <w:p>
                        <w:pPr/>
                      </w:p>
                    </w:tc>
                    <w:tc>
                      <w:tcPr>
                        <w:tcW w:w="959"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r>
                  <w:tr>
                    <w:trPr>
                      <w:trHeight w:val="1962"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2" w:right="23"/>
                          <w:jc w:val="both"/>
                          <w:rPr>
                            <w:rFonts w:ascii="宋体" w:hAnsi="宋体" w:cs="宋体" w:eastAsia="宋体" w:hint="default"/>
                            <w:sz w:val="18"/>
                            <w:szCs w:val="18"/>
                          </w:rPr>
                        </w:pPr>
                        <w:r>
                          <w:rPr>
                            <w:rFonts w:ascii="宋体" w:hAnsi="宋体" w:cs="宋体" w:eastAsia="宋体" w:hint="default"/>
                            <w:sz w:val="18"/>
                            <w:szCs w:val="18"/>
                          </w:rPr>
                          <w:t>中丰田光电 科技改扩建 项目</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3"/>
                          <w:jc w:val="both"/>
                          <w:rPr>
                            <w:rFonts w:ascii="宋体" w:hAnsi="宋体" w:cs="宋体" w:eastAsia="宋体" w:hint="default"/>
                            <w:sz w:val="18"/>
                            <w:szCs w:val="18"/>
                          </w:rPr>
                        </w:pPr>
                        <w:r>
                          <w:rPr>
                            <w:rFonts w:ascii="宋体" w:hAnsi="宋体" w:cs="宋体" w:eastAsia="宋体" w:hint="default"/>
                            <w:sz w:val="18"/>
                            <w:szCs w:val="18"/>
                          </w:rPr>
                          <w:t>贵州省食品 安全（含药 品保健品） 物联网与大 数据营销溯 源平台项目</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18,174</w:t>
                        </w:r>
                      </w:p>
                    </w:tc>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12,285.38</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12,285.38</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368" w:right="0"/>
                          <w:jc w:val="left"/>
                          <w:rPr>
                            <w:rFonts w:ascii="Times New Roman" w:hAnsi="Times New Roman" w:cs="Times New Roman" w:eastAsia="Times New Roman" w:hint="default"/>
                            <w:sz w:val="18"/>
                            <w:szCs w:val="18"/>
                          </w:rPr>
                        </w:pPr>
                        <w:r>
                          <w:rPr>
                            <w:rFonts w:ascii="Times New Roman"/>
                            <w:sz w:val="18"/>
                          </w:rPr>
                          <w:t>67.60%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57"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383"/>
                          <w:jc w:val="right"/>
                          <w:rPr>
                            <w:rFonts w:ascii="宋体" w:hAnsi="宋体" w:cs="宋体" w:eastAsia="宋体" w:hint="default"/>
                            <w:sz w:val="18"/>
                            <w:szCs w:val="18"/>
                          </w:rPr>
                        </w:pPr>
                        <w:r>
                          <w:rPr>
                            <w:rFonts w:ascii="宋体" w:hAnsi="宋体" w:cs="宋体" w:eastAsia="宋体" w:hint="default"/>
                            <w:sz w:val="18"/>
                            <w:szCs w:val="18"/>
                          </w:rPr>
                          <w:t>不适用</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67,835.81</w:t>
                        </w:r>
                      </w:p>
                    </w:tc>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17,645.57</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19,357.19</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412" w:right="0"/>
                          <w:jc w:val="left"/>
                          <w:rPr>
                            <w:rFonts w:ascii="Times New Roman" w:hAnsi="Times New Roman" w:cs="Times New Roman" w:eastAsia="Times New Roman" w:hint="default"/>
                            <w:sz w:val="18"/>
                            <w:szCs w:val="18"/>
                          </w:rPr>
                        </w:pPr>
                        <w:r>
                          <w:rPr>
                            <w:rFonts w:ascii="Times New Roman"/>
                            <w:sz w:val="18"/>
                          </w:rPr>
                          <w:t>--</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413"/>
                          <w:jc w:val="right"/>
                          <w:rPr>
                            <w:rFonts w:ascii="Times New Roman" w:hAnsi="Times New Roman" w:cs="Times New Roman" w:eastAsia="Times New Roman" w:hint="default"/>
                            <w:sz w:val="18"/>
                            <w:szCs w:val="18"/>
                          </w:rPr>
                        </w:pPr>
                        <w:r>
                          <w:rPr>
                            <w:rFonts w:ascii="Times New Roman"/>
                            <w:sz w:val="18"/>
                          </w:rPr>
                          <w:t>--</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r>
                    <w:trPr>
                      <w:trHeight w:val="4226" w:hRule="exact"/>
                    </w:trPr>
                    <w:tc>
                      <w:tcPr>
                        <w:tcW w:w="287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58"/>
                          <w:ind w:left="22" w:right="21"/>
                          <w:jc w:val="left"/>
                          <w:rPr>
                            <w:rFonts w:ascii="Times New Roman" w:hAnsi="Times New Roman" w:cs="Times New Roman" w:eastAsia="Times New Roman" w:hint="default"/>
                            <w:sz w:val="18"/>
                            <w:szCs w:val="18"/>
                          </w:rPr>
                        </w:pPr>
                        <w:r>
                          <w:rPr>
                            <w:rFonts w:ascii="宋体" w:hAnsi="宋体" w:cs="宋体" w:eastAsia="宋体" w:hint="default"/>
                            <w:spacing w:val="-4"/>
                            <w:sz w:val="18"/>
                            <w:szCs w:val="18"/>
                          </w:rPr>
                          <w:t>变更原因、决策程序及信息披露情况</w:t>
                        </w:r>
                        <w:r>
                          <w:rPr>
                            <w:rFonts w:ascii="宋体" w:hAnsi="宋体" w:cs="宋体" w:eastAsia="宋体" w:hint="default"/>
                            <w:sz w:val="18"/>
                            <w:szCs w:val="18"/>
                          </w:rPr>
                          <w:t> 说明</w:t>
                        </w:r>
                        <w:r>
                          <w:rPr>
                            <w:rFonts w:ascii="Times New Roman" w:hAnsi="Times New Roman" w:cs="Times New Roman" w:eastAsia="Times New Roman" w:hint="default"/>
                            <w:sz w:val="18"/>
                            <w:szCs w:val="18"/>
                          </w:rPr>
                          <w:t>(</w:t>
                        </w:r>
                        <w:r>
                          <w:rPr>
                            <w:rFonts w:ascii="宋体" w:hAnsi="宋体" w:cs="宋体" w:eastAsia="宋体" w:hint="default"/>
                            <w:sz w:val="18"/>
                            <w:szCs w:val="18"/>
                          </w:rPr>
                          <w:t>分具体项目</w:t>
                        </w:r>
                        <w:r>
                          <w:rPr>
                            <w:rFonts w:ascii="Times New Roman" w:hAnsi="Times New Roman" w:cs="Times New Roman" w:eastAsia="Times New Roman" w:hint="default"/>
                            <w:sz w:val="18"/>
                            <w:szCs w:val="18"/>
                          </w:rPr>
                          <w:t>)</w:t>
                        </w:r>
                      </w:p>
                    </w:tc>
                    <w:tc>
                      <w:tcPr>
                        <w:tcW w:w="6699" w:type="dxa"/>
                        <w:gridSpan w:val="7"/>
                        <w:tcBorders>
                          <w:top w:val="single" w:sz="4" w:space="0" w:color="000000"/>
                          <w:left w:val="single" w:sz="4" w:space="0" w:color="000000"/>
                          <w:bottom w:val="single" w:sz="4" w:space="0" w:color="000000"/>
                          <w:right w:val="single" w:sz="4" w:space="0" w:color="000000"/>
                        </w:tcBorders>
                      </w:tcPr>
                      <w:p>
                        <w:pPr>
                          <w:pStyle w:val="TableParagraph"/>
                          <w:spacing w:line="307" w:lineRule="auto" w:before="51"/>
                          <w:ind w:left="23" w:right="21"/>
                          <w:jc w:val="left"/>
                          <w:rPr>
                            <w:rFonts w:ascii="宋体" w:hAnsi="宋体" w:cs="宋体" w:eastAsia="宋体" w:hint="default"/>
                            <w:sz w:val="18"/>
                            <w:szCs w:val="18"/>
                          </w:rPr>
                        </w:pPr>
                        <w:r>
                          <w:rPr>
                            <w:rFonts w:ascii="宋体" w:hAnsi="宋体" w:cs="宋体" w:eastAsia="宋体" w:hint="default"/>
                            <w:sz w:val="18"/>
                            <w:szCs w:val="18"/>
                          </w:rPr>
                          <w:t>公司于</w:t>
                        </w:r>
                        <w:r>
                          <w:rPr>
                            <w:rFonts w:ascii="宋体" w:hAnsi="宋体" w:cs="宋体" w:eastAsia="宋体" w:hint="default"/>
                            <w:spacing w:val="2"/>
                            <w:sz w:val="18"/>
                            <w:szCs w:val="18"/>
                          </w:rPr>
                          <w:t>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日召开的第五届董事会</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2018 </w:t>
                        </w:r>
                        <w:r>
                          <w:rPr>
                            <w:rFonts w:ascii="宋体" w:hAnsi="宋体" w:cs="宋体" w:eastAsia="宋体" w:hint="default"/>
                            <w:spacing w:val="-5"/>
                            <w:sz w:val="18"/>
                            <w:szCs w:val="18"/>
                          </w:rPr>
                          <w:t>年第一次会议，审议通过了《关于</w:t>
                        </w:r>
                        <w:r>
                          <w:rPr>
                            <w:rFonts w:ascii="宋体" w:hAnsi="宋体" w:cs="宋体" w:eastAsia="宋体" w:hint="default"/>
                            <w:sz w:val="18"/>
                            <w:szCs w:val="18"/>
                          </w:rPr>
                          <w:t> </w:t>
                        </w:r>
                        <w:r>
                          <w:rPr>
                            <w:rFonts w:ascii="宋体" w:hAnsi="宋体" w:cs="宋体" w:eastAsia="宋体" w:hint="default"/>
                            <w:spacing w:val="-3"/>
                            <w:sz w:val="18"/>
                            <w:szCs w:val="18"/>
                          </w:rPr>
                          <w:t>调整部分募集资金投资项目建设内容的议案》，为了达到募集资金使用效率的最大化</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保证募集资金投资项目的整体效益，公司拟对募集资金投资项目</w:t>
                        </w:r>
                        <w:r>
                          <w:rPr>
                            <w:rFonts w:ascii="Times New Roman" w:hAnsi="Times New Roman" w:cs="Times New Roman" w:eastAsia="Times New Roman" w:hint="default"/>
                            <w:sz w:val="18"/>
                            <w:szCs w:val="18"/>
                          </w:rPr>
                          <w:t>“</w:t>
                        </w:r>
                        <w:r>
                          <w:rPr>
                            <w:rFonts w:ascii="宋体" w:hAnsi="宋体" w:cs="宋体" w:eastAsia="宋体" w:hint="default"/>
                            <w:sz w:val="18"/>
                            <w:szCs w:val="18"/>
                          </w:rPr>
                          <w:t>基于 </w:t>
                        </w:r>
                        <w:r>
                          <w:rPr>
                            <w:rFonts w:ascii="Times New Roman" w:hAnsi="Times New Roman" w:cs="Times New Roman" w:eastAsia="Times New Roman" w:hint="default"/>
                            <w:sz w:val="18"/>
                            <w:szCs w:val="18"/>
                          </w:rPr>
                          <w:t>RFID</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技术的 智能物联运营支撑系统项目</w:t>
                        </w:r>
                        <w:r>
                          <w:rPr>
                            <w:rFonts w:ascii="Times New Roman" w:hAnsi="Times New Roman" w:cs="Times New Roman" w:eastAsia="Times New Roman" w:hint="default"/>
                            <w:sz w:val="18"/>
                            <w:szCs w:val="18"/>
                          </w:rPr>
                          <w:t>”</w:t>
                        </w:r>
                        <w:r>
                          <w:rPr>
                            <w:rFonts w:ascii="宋体" w:hAnsi="宋体" w:cs="宋体" w:eastAsia="宋体" w:hint="default"/>
                            <w:sz w:val="18"/>
                            <w:szCs w:val="18"/>
                          </w:rPr>
                          <w:t>的建设内容进行调整；同时审议通过了《关于变更部分 </w:t>
                        </w:r>
                        <w:r>
                          <w:rPr>
                            <w:rFonts w:ascii="宋体" w:hAnsi="宋体" w:cs="宋体" w:eastAsia="宋体" w:hint="default"/>
                            <w:spacing w:val="-3"/>
                            <w:sz w:val="18"/>
                            <w:szCs w:val="18"/>
                          </w:rPr>
                          <w:t>募集资金投资项目的议案》，鉴于市场环境的变化以及公司发展战略、生产经营的实</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际情况，为确保募集资金有效使用，公司拟将原募集资金投资项目</w:t>
                        </w:r>
                        <w:r>
                          <w:rPr>
                            <w:rFonts w:ascii="Times New Roman" w:hAnsi="Times New Roman" w:cs="Times New Roman" w:eastAsia="Times New Roman" w:hint="default"/>
                            <w:sz w:val="18"/>
                            <w:szCs w:val="18"/>
                          </w:rPr>
                          <w:t>“</w:t>
                        </w:r>
                        <w:r>
                          <w:rPr>
                            <w:rFonts w:ascii="宋体" w:hAnsi="宋体" w:cs="宋体" w:eastAsia="宋体" w:hint="default"/>
                            <w:sz w:val="18"/>
                            <w:szCs w:val="18"/>
                          </w:rPr>
                          <w:t>贵州省食品安全</w:t>
                        </w:r>
                      </w:p>
                      <w:p>
                        <w:pPr>
                          <w:pStyle w:val="TableParagraph"/>
                          <w:spacing w:line="302" w:lineRule="auto" w:before="7"/>
                          <w:ind w:left="23" w:right="22"/>
                          <w:jc w:val="left"/>
                          <w:rPr>
                            <w:rFonts w:ascii="宋体" w:hAnsi="宋体" w:cs="宋体" w:eastAsia="宋体" w:hint="default"/>
                            <w:sz w:val="18"/>
                            <w:szCs w:val="18"/>
                          </w:rPr>
                        </w:pPr>
                        <w:r>
                          <w:rPr>
                            <w:rFonts w:ascii="宋体" w:hAnsi="宋体" w:cs="宋体" w:eastAsia="宋体" w:hint="default"/>
                            <w:sz w:val="18"/>
                            <w:szCs w:val="18"/>
                          </w:rPr>
                          <w:t>（含药品保健品）物联网与大数据营销溯源平台项目</w:t>
                        </w:r>
                        <w:r>
                          <w:rPr>
                            <w:rFonts w:ascii="Times New Roman" w:hAnsi="Times New Roman" w:cs="Times New Roman" w:eastAsia="Times New Roman" w:hint="default"/>
                            <w:sz w:val="18"/>
                            <w:szCs w:val="18"/>
                          </w:rPr>
                          <w:t>”</w:t>
                        </w:r>
                        <w:r>
                          <w:rPr>
                            <w:rFonts w:ascii="宋体" w:hAnsi="宋体" w:cs="宋体" w:eastAsia="宋体" w:hint="default"/>
                            <w:sz w:val="18"/>
                            <w:szCs w:val="18"/>
                          </w:rPr>
                          <w:t>，变更为</w:t>
                        </w:r>
                        <w:r>
                          <w:rPr>
                            <w:rFonts w:ascii="Times New Roman" w:hAnsi="Times New Roman" w:cs="Times New Roman" w:eastAsia="Times New Roman" w:hint="default"/>
                            <w:sz w:val="18"/>
                            <w:szCs w:val="18"/>
                          </w:rPr>
                          <w:t>“</w:t>
                        </w:r>
                        <w:r>
                          <w:rPr>
                            <w:rFonts w:ascii="宋体" w:hAnsi="宋体" w:cs="宋体" w:eastAsia="宋体" w:hint="default"/>
                            <w:sz w:val="18"/>
                            <w:szCs w:val="18"/>
                          </w:rPr>
                          <w:t>中丰田光电科技改扩 建项目</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p>
                        <w:pPr>
                          <w:pStyle w:val="TableParagraph"/>
                          <w:spacing w:line="338" w:lineRule="auto" w:before="52"/>
                          <w:ind w:left="23" w:right="-8"/>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日，公司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年第一次临时股东大会审议通过了上述两项议案。 公司在信息披露网站：巨潮资讯网</w:t>
                        </w:r>
                        <w:r>
                          <w:rPr>
                            <w:rFonts w:ascii="宋体" w:hAnsi="宋体" w:cs="宋体" w:eastAsia="宋体" w:hint="default"/>
                            <w:spacing w:val="-42"/>
                            <w:sz w:val="18"/>
                            <w:szCs w:val="18"/>
                          </w:rPr>
                          <w:t> </w:t>
                        </w:r>
                        <w:hyperlink r:id="rId11">
                          <w:r>
                            <w:rPr>
                              <w:rFonts w:ascii="Times New Roman" w:hAnsi="Times New Roman" w:cs="Times New Roman" w:eastAsia="Times New Roman" w:hint="default"/>
                              <w:spacing w:val="-1"/>
                              <w:w w:val="99"/>
                              <w:sz w:val="18"/>
                              <w:szCs w:val="18"/>
                            </w:rPr>
                            <w:t>www.cninfo.com.cn</w:t>
                          </w:r>
                        </w:hyperlink>
                        <w:r>
                          <w:rPr>
                            <w:rFonts w:ascii="Times New Roman" w:hAnsi="Times New Roman" w:cs="Times New Roman" w:eastAsia="Times New Roman" w:hint="default"/>
                            <w:spacing w:val="6"/>
                            <w:w w:val="99"/>
                            <w:sz w:val="18"/>
                            <w:szCs w:val="18"/>
                          </w:rPr>
                          <w:t> </w:t>
                        </w:r>
                        <w:r>
                          <w:rPr>
                            <w:rFonts w:ascii="宋体" w:hAnsi="宋体" w:cs="宋体" w:eastAsia="宋体" w:hint="default"/>
                            <w:spacing w:val="-7"/>
                            <w:sz w:val="18"/>
                            <w:szCs w:val="18"/>
                          </w:rPr>
                          <w:t>和信息披露媒体《证券日报》、</w:t>
                        </w:r>
                      </w:p>
                      <w:p>
                        <w:pPr>
                          <w:pStyle w:val="TableParagraph"/>
                          <w:spacing w:line="230" w:lineRule="exact"/>
                          <w:ind w:left="23" w:right="0"/>
                          <w:jc w:val="lef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90"/>
                            <w:sz w:val="18"/>
                            <w:szCs w:val="18"/>
                          </w:rPr>
                          <w:t>》</w:t>
                        </w:r>
                        <w:r>
                          <w:rPr>
                            <w:rFonts w:ascii="宋体" w:hAnsi="宋体" w:cs="宋体" w:eastAsia="宋体" w:hint="default"/>
                            <w:spacing w:val="-106"/>
                            <w:sz w:val="18"/>
                            <w:szCs w:val="18"/>
                          </w:rPr>
                          <w:t>、</w:t>
                        </w:r>
                        <w:r>
                          <w:rPr>
                            <w:rFonts w:ascii="宋体" w:hAnsi="宋体" w:cs="宋体" w:eastAsia="宋体" w:hint="default"/>
                            <w:sz w:val="18"/>
                            <w:szCs w:val="18"/>
                          </w:rPr>
                          <w:t>《中国证券报</w:t>
                        </w:r>
                        <w:r>
                          <w:rPr>
                            <w:rFonts w:ascii="宋体" w:hAnsi="宋体" w:cs="宋体" w:eastAsia="宋体" w:hint="default"/>
                            <w:spacing w:val="-90"/>
                            <w:sz w:val="18"/>
                            <w:szCs w:val="18"/>
                          </w:rPr>
                          <w:t>》</w:t>
                        </w:r>
                        <w:r>
                          <w:rPr>
                            <w:rFonts w:ascii="宋体" w:hAnsi="宋体" w:cs="宋体" w:eastAsia="宋体" w:hint="default"/>
                            <w:spacing w:val="-106"/>
                            <w:sz w:val="18"/>
                            <w:szCs w:val="18"/>
                          </w:rPr>
                          <w:t>、</w:t>
                        </w:r>
                        <w:r>
                          <w:rPr>
                            <w:rFonts w:ascii="宋体" w:hAnsi="宋体" w:cs="宋体" w:eastAsia="宋体" w:hint="default"/>
                            <w:sz w:val="18"/>
                            <w:szCs w:val="18"/>
                          </w:rPr>
                          <w:t>《上海证券报</w:t>
                        </w:r>
                        <w:r>
                          <w:rPr>
                            <w:rFonts w:ascii="宋体" w:hAnsi="宋体" w:cs="宋体" w:eastAsia="宋体" w:hint="default"/>
                            <w:spacing w:val="-90"/>
                            <w:sz w:val="18"/>
                            <w:szCs w:val="18"/>
                          </w:rPr>
                          <w:t>》</w:t>
                        </w:r>
                        <w:r>
                          <w:rPr>
                            <w:rFonts w:ascii="宋体" w:hAnsi="宋体" w:cs="宋体" w:eastAsia="宋体" w:hint="default"/>
                            <w:spacing w:val="-16"/>
                            <w:sz w:val="18"/>
                            <w:szCs w:val="18"/>
                          </w:rPr>
                          <w:t>，</w:t>
                        </w:r>
                        <w:r>
                          <w:rPr>
                            <w:rFonts w:ascii="宋体" w:hAnsi="宋体" w:cs="宋体" w:eastAsia="宋体" w:hint="default"/>
                            <w:sz w:val="18"/>
                            <w:szCs w:val="18"/>
                          </w:rPr>
                          <w:t>于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日刊载</w:t>
                        </w:r>
                        <w:r>
                          <w:rPr>
                            <w:rFonts w:ascii="宋体" w:hAnsi="宋体" w:cs="宋体" w:eastAsia="宋体" w:hint="default"/>
                            <w:spacing w:val="-15"/>
                            <w:sz w:val="18"/>
                            <w:szCs w:val="18"/>
                          </w:rPr>
                          <w:t>了</w:t>
                        </w:r>
                        <w:r>
                          <w:rPr>
                            <w:rFonts w:ascii="宋体" w:hAnsi="宋体" w:cs="宋体" w:eastAsia="宋体" w:hint="default"/>
                            <w:sz w:val="18"/>
                            <w:szCs w:val="18"/>
                          </w:rPr>
                          <w:t>《关于调整</w:t>
                        </w:r>
                      </w:p>
                      <w:p>
                        <w:pPr>
                          <w:pStyle w:val="TableParagraph"/>
                          <w:spacing w:line="319" w:lineRule="auto" w:before="63"/>
                          <w:ind w:left="23" w:right="183"/>
                          <w:jc w:val="left"/>
                          <w:rPr>
                            <w:rFonts w:ascii="宋体" w:hAnsi="宋体" w:cs="宋体" w:eastAsia="宋体" w:hint="default"/>
                            <w:sz w:val="18"/>
                            <w:szCs w:val="18"/>
                          </w:rPr>
                        </w:pPr>
                        <w:r>
                          <w:rPr>
                            <w:rFonts w:ascii="宋体" w:hAnsi="宋体" w:cs="宋体" w:eastAsia="宋体" w:hint="default"/>
                            <w:sz w:val="18"/>
                            <w:szCs w:val="18"/>
                          </w:rPr>
                          <w:t>部分募集资金投资项目建设内容的公告》和《关于变更部分募集资金投资项目的公 </w:t>
                        </w:r>
                        <w:r>
                          <w:rPr>
                            <w:rFonts w:ascii="宋体" w:hAnsi="宋体" w:cs="宋体" w:eastAsia="宋体" w:hint="default"/>
                            <w:spacing w:val="-23"/>
                            <w:sz w:val="18"/>
                            <w:szCs w:val="18"/>
                          </w:rPr>
                          <w:t>告》，于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日刊载了《</w:t>
                        </w:r>
                        <w:r>
                          <w:rPr>
                            <w:rFonts w:ascii="Times New Roman" w:hAnsi="Times New Roman" w:cs="Times New Roman" w:eastAsia="Times New Roman" w:hint="default"/>
                            <w:sz w:val="18"/>
                            <w:szCs w:val="18"/>
                          </w:rPr>
                          <w:t>2018 </w:t>
                        </w:r>
                        <w:r>
                          <w:rPr>
                            <w:rFonts w:ascii="宋体" w:hAnsi="宋体" w:cs="宋体" w:eastAsia="宋体" w:hint="default"/>
                            <w:spacing w:val="-6"/>
                            <w:sz w:val="18"/>
                            <w:szCs w:val="18"/>
                          </w:rPr>
                          <w:t>年第一次临时股东大会决议公告》。</w:t>
                        </w:r>
                      </w:p>
                    </w:tc>
                  </w:tr>
                  <w:tr>
                    <w:trPr>
                      <w:trHeight w:val="714" w:hRule="exact"/>
                    </w:trPr>
                    <w:tc>
                      <w:tcPr>
                        <w:tcW w:w="287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137"/>
                          <w:jc w:val="left"/>
                          <w:rPr>
                            <w:rFonts w:ascii="Times New Roman" w:hAnsi="Times New Roman" w:cs="Times New Roman" w:eastAsia="Times New Roman" w:hint="default"/>
                            <w:sz w:val="18"/>
                            <w:szCs w:val="18"/>
                          </w:rPr>
                        </w:pPr>
                        <w:r>
                          <w:rPr>
                            <w:rFonts w:ascii="宋体" w:hAnsi="宋体" w:cs="宋体" w:eastAsia="宋体" w:hint="default"/>
                            <w:sz w:val="18"/>
                            <w:szCs w:val="18"/>
                          </w:rPr>
                          <w:t>未达到计划进度或预计收益的情况 和原因</w:t>
                        </w:r>
                        <w:r>
                          <w:rPr>
                            <w:rFonts w:ascii="Times New Roman" w:hAnsi="Times New Roman" w:cs="Times New Roman" w:eastAsia="Times New Roman" w:hint="default"/>
                            <w:sz w:val="18"/>
                            <w:szCs w:val="18"/>
                          </w:rPr>
                          <w:t>(</w:t>
                        </w:r>
                        <w:r>
                          <w:rPr>
                            <w:rFonts w:ascii="宋体" w:hAnsi="宋体" w:cs="宋体" w:eastAsia="宋体" w:hint="default"/>
                            <w:sz w:val="18"/>
                            <w:szCs w:val="18"/>
                          </w:rPr>
                          <w:t>分具体项目</w:t>
                        </w:r>
                        <w:r>
                          <w:rPr>
                            <w:rFonts w:ascii="Times New Roman" w:hAnsi="Times New Roman" w:cs="Times New Roman" w:eastAsia="Times New Roman" w:hint="default"/>
                            <w:sz w:val="18"/>
                            <w:szCs w:val="18"/>
                          </w:rPr>
                          <w:t>)</w:t>
                        </w:r>
                      </w:p>
                    </w:tc>
                    <w:tc>
                      <w:tcPr>
                        <w:tcW w:w="6699"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715" w:hRule="exact"/>
                    </w:trPr>
                    <w:tc>
                      <w:tcPr>
                        <w:tcW w:w="287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137"/>
                          <w:jc w:val="left"/>
                          <w:rPr>
                            <w:rFonts w:ascii="宋体" w:hAnsi="宋体" w:cs="宋体" w:eastAsia="宋体" w:hint="default"/>
                            <w:sz w:val="18"/>
                            <w:szCs w:val="18"/>
                          </w:rPr>
                        </w:pPr>
                        <w:r>
                          <w:rPr>
                            <w:rFonts w:ascii="宋体" w:hAnsi="宋体" w:cs="宋体" w:eastAsia="宋体" w:hint="default"/>
                            <w:sz w:val="18"/>
                            <w:szCs w:val="18"/>
                          </w:rPr>
                          <w:t>变更后的项目可行性发生重大变化 的情况说明</w:t>
                        </w:r>
                      </w:p>
                    </w:tc>
                    <w:tc>
                      <w:tcPr>
                        <w:tcW w:w="6699"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4"/>
          <w:szCs w:val="24"/>
        </w:rPr>
      </w:pPr>
    </w:p>
    <w:p>
      <w:pPr>
        <w:pStyle w:val="Heading2"/>
        <w:spacing w:line="240" w:lineRule="auto" w:before="26"/>
        <w:ind w:right="0"/>
        <w:jc w:val="left"/>
        <w:rPr>
          <w:b w:val="0"/>
          <w:bCs w:val="0"/>
        </w:rPr>
      </w:pPr>
      <w:bookmarkStart w:name="六、重大资产和股权出售" w:id="53"/>
      <w:bookmarkEnd w:id="53"/>
      <w:r>
        <w:rPr>
          <w:b w:val="0"/>
          <w:bCs w:val="0"/>
        </w:rPr>
      </w:r>
      <w:r>
        <w:rPr/>
        <w:t>六、重大资产和股权出售</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出售重大资产情况" w:id="54"/>
      <w:bookmarkEnd w:id="54"/>
      <w:r>
        <w:rPr>
          <w:b w:val="0"/>
          <w:bCs w:val="0"/>
        </w:rPr>
      </w:r>
      <w:r>
        <w:rPr>
          <w:rFonts w:ascii="Times New Roman" w:hAnsi="Times New Roman" w:cs="Times New Roman" w:eastAsia="Times New Roman" w:hint="default"/>
        </w:rPr>
        <w:t>1</w:t>
      </w:r>
      <w:r>
        <w:rPr/>
        <w:t>、出售重大资产情况</w:t>
      </w:r>
      <w:r>
        <w:rPr>
          <w:b w:val="0"/>
          <w:bCs w:val="0"/>
        </w:rPr>
      </w:r>
    </w:p>
    <w:p>
      <w:pPr>
        <w:spacing w:line="240" w:lineRule="auto" w:before="8"/>
        <w:rPr>
          <w:rFonts w:ascii="宋体" w:hAnsi="宋体" w:cs="宋体" w:eastAsia="宋体" w:hint="default"/>
          <w:b/>
          <w:bCs/>
          <w:sz w:val="26"/>
          <w:szCs w:val="26"/>
        </w:rPr>
      </w:pPr>
    </w:p>
    <w:p>
      <w:pPr>
        <w:pStyle w:val="BodyText"/>
        <w:spacing w:line="338" w:lineRule="auto"/>
        <w:ind w:right="841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公司报告期未出售重大资产。</w:t>
      </w:r>
    </w:p>
    <w:p>
      <w:pPr>
        <w:spacing w:line="240" w:lineRule="auto" w:before="1"/>
        <w:rPr>
          <w:rFonts w:ascii="宋体" w:hAnsi="宋体" w:cs="宋体" w:eastAsia="宋体" w:hint="default"/>
          <w:sz w:val="21"/>
          <w:szCs w:val="21"/>
        </w:rPr>
      </w:pPr>
    </w:p>
    <w:p>
      <w:pPr>
        <w:pStyle w:val="Heading3"/>
        <w:spacing w:line="240" w:lineRule="auto"/>
        <w:ind w:right="0"/>
        <w:jc w:val="left"/>
        <w:rPr>
          <w:b w:val="0"/>
          <w:bCs w:val="0"/>
        </w:rPr>
      </w:pPr>
      <w:bookmarkStart w:name="2、出售重大股权情况" w:id="55"/>
      <w:bookmarkEnd w:id="55"/>
      <w:r>
        <w:rPr>
          <w:b w:val="0"/>
          <w:bCs w:val="0"/>
        </w:rPr>
      </w:r>
      <w:r>
        <w:rPr>
          <w:rFonts w:ascii="Times New Roman" w:hAnsi="Times New Roman" w:cs="Times New Roman" w:eastAsia="Times New Roman" w:hint="default"/>
        </w:rPr>
        <w:t>2</w:t>
      </w:r>
      <w:r>
        <w:rPr/>
        <w:t>、出售重大股权情况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
        <w:rPr>
          <w:rFonts w:ascii="宋体" w:hAnsi="宋体" w:cs="宋体" w:eastAsia="宋体" w:hint="default"/>
          <w:sz w:val="24"/>
          <w:szCs w:val="24"/>
        </w:rPr>
      </w:pPr>
    </w:p>
    <w:p>
      <w:pPr>
        <w:pStyle w:val="Heading2"/>
        <w:spacing w:line="240" w:lineRule="auto"/>
        <w:ind w:right="0"/>
        <w:jc w:val="left"/>
        <w:rPr>
          <w:b w:val="0"/>
          <w:bCs w:val="0"/>
        </w:rPr>
      </w:pPr>
      <w:bookmarkStart w:name="七、主要控股参股公司分析" w:id="56"/>
      <w:bookmarkEnd w:id="56"/>
      <w:r>
        <w:rPr>
          <w:b w:val="0"/>
          <w:bCs w:val="0"/>
        </w:rPr>
      </w:r>
      <w:r>
        <w:rPr/>
        <w:t>七、主要控股参股公司分析</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3"/>
        <w:ind w:right="0"/>
        <w:jc w:val="left"/>
      </w:pPr>
      <w:r>
        <w:rPr/>
        <w:t>主要子公司及对公司净利润影响达</w:t>
      </w:r>
      <w:r>
        <w:rPr>
          <w:spacing w:val="-46"/>
        </w:rPr>
        <w:t> </w:t>
      </w:r>
      <w:r>
        <w:rPr>
          <w:rFonts w:ascii="Times New Roman" w:hAnsi="Times New Roman" w:cs="Times New Roman" w:eastAsia="Times New Roman" w:hint="default"/>
        </w:rPr>
        <w:t>10%</w:t>
      </w:r>
      <w:r>
        <w:rPr/>
        <w:t>以上的参股公司情况</w:t>
      </w:r>
    </w:p>
    <w:p>
      <w:pPr>
        <w:spacing w:after="0" w:line="240" w:lineRule="auto"/>
        <w:jc w:val="left"/>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pStyle w:val="BodyText"/>
        <w:spacing w:line="240" w:lineRule="auto" w:before="44"/>
        <w:ind w:left="0" w:right="1130"/>
        <w:jc w:val="right"/>
      </w:pPr>
      <w:r>
        <w:rPr/>
        <w:t>单位：元</w:t>
      </w:r>
    </w:p>
    <w:p>
      <w:pPr>
        <w:spacing w:line="240" w:lineRule="auto" w:before="0"/>
        <w:rPr>
          <w:rFonts w:ascii="宋体" w:hAnsi="宋体" w:cs="宋体" w:eastAsia="宋体" w:hint="default"/>
          <w:sz w:val="8"/>
          <w:szCs w:val="8"/>
        </w:rPr>
      </w:pPr>
    </w:p>
    <w:tbl>
      <w:tblPr>
        <w:tblW w:w="0" w:type="auto"/>
        <w:jc w:val="left"/>
        <w:tblInd w:w="101" w:type="dxa"/>
        <w:tblLayout w:type="fixed"/>
        <w:tblCellMar>
          <w:top w:w="0" w:type="dxa"/>
          <w:left w:w="0" w:type="dxa"/>
          <w:bottom w:w="0" w:type="dxa"/>
          <w:right w:w="0" w:type="dxa"/>
        </w:tblCellMar>
        <w:tblLook w:val="01E0"/>
      </w:tblPr>
      <w:tblGrid>
        <w:gridCol w:w="962"/>
        <w:gridCol w:w="992"/>
        <w:gridCol w:w="1279"/>
        <w:gridCol w:w="1138"/>
        <w:gridCol w:w="1135"/>
        <w:gridCol w:w="1134"/>
        <w:gridCol w:w="996"/>
        <w:gridCol w:w="1034"/>
        <w:gridCol w:w="1184"/>
      </w:tblGrid>
      <w:tr>
        <w:trPr>
          <w:trHeight w:val="401" w:hRule="exact"/>
        </w:trPr>
        <w:tc>
          <w:tcPr>
            <w:tcW w:w="96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115"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99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131" w:right="0"/>
              <w:jc w:val="left"/>
              <w:rPr>
                <w:rFonts w:ascii="宋体" w:hAnsi="宋体" w:cs="宋体" w:eastAsia="宋体" w:hint="default"/>
                <w:sz w:val="18"/>
                <w:szCs w:val="18"/>
              </w:rPr>
            </w:pPr>
            <w:r>
              <w:rPr>
                <w:rFonts w:ascii="宋体" w:hAnsi="宋体" w:cs="宋体" w:eastAsia="宋体" w:hint="default"/>
                <w:sz w:val="18"/>
                <w:szCs w:val="18"/>
              </w:rPr>
              <w:t>公司类型</w:t>
            </w:r>
          </w:p>
        </w:tc>
        <w:tc>
          <w:tcPr>
            <w:tcW w:w="127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74" w:right="0"/>
              <w:jc w:val="left"/>
              <w:rPr>
                <w:rFonts w:ascii="宋体" w:hAnsi="宋体" w:cs="宋体" w:eastAsia="宋体" w:hint="default"/>
                <w:sz w:val="18"/>
                <w:szCs w:val="18"/>
              </w:rPr>
            </w:pPr>
            <w:r>
              <w:rPr>
                <w:rFonts w:ascii="宋体" w:hAnsi="宋体" w:cs="宋体" w:eastAsia="宋体" w:hint="default"/>
                <w:sz w:val="18"/>
                <w:szCs w:val="18"/>
              </w:rPr>
              <w:t>主要业务</w:t>
            </w:r>
          </w:p>
        </w:tc>
        <w:tc>
          <w:tcPr>
            <w:tcW w:w="113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04"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13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92" w:right="0"/>
              <w:jc w:val="left"/>
              <w:rPr>
                <w:rFonts w:ascii="宋体" w:hAnsi="宋体" w:cs="宋体" w:eastAsia="宋体" w:hint="default"/>
                <w:sz w:val="18"/>
                <w:szCs w:val="18"/>
              </w:rPr>
            </w:pPr>
            <w:r>
              <w:rPr>
                <w:rFonts w:ascii="宋体" w:hAnsi="宋体" w:cs="宋体" w:eastAsia="宋体" w:hint="default"/>
                <w:sz w:val="18"/>
                <w:szCs w:val="18"/>
              </w:rPr>
              <w:t>总资产</w:t>
            </w:r>
          </w:p>
        </w:tc>
        <w:tc>
          <w:tcPr>
            <w:tcW w:w="113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91"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99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right="132"/>
              <w:jc w:val="right"/>
              <w:rPr>
                <w:rFonts w:ascii="宋体" w:hAnsi="宋体" w:cs="宋体" w:eastAsia="宋体" w:hint="default"/>
                <w:sz w:val="18"/>
                <w:szCs w:val="18"/>
              </w:rPr>
            </w:pPr>
            <w:r>
              <w:rPr>
                <w:rFonts w:ascii="宋体" w:hAnsi="宋体" w:cs="宋体" w:eastAsia="宋体" w:hint="default"/>
                <w:sz w:val="18"/>
                <w:szCs w:val="18"/>
              </w:rPr>
              <w:t>营业收入</w:t>
            </w:r>
          </w:p>
        </w:tc>
        <w:tc>
          <w:tcPr>
            <w:tcW w:w="103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151" w:right="0"/>
              <w:jc w:val="left"/>
              <w:rPr>
                <w:rFonts w:ascii="宋体" w:hAnsi="宋体" w:cs="宋体" w:eastAsia="宋体" w:hint="default"/>
                <w:sz w:val="18"/>
                <w:szCs w:val="18"/>
              </w:rPr>
            </w:pPr>
            <w:r>
              <w:rPr>
                <w:rFonts w:ascii="宋体" w:hAnsi="宋体" w:cs="宋体" w:eastAsia="宋体" w:hint="default"/>
                <w:sz w:val="18"/>
                <w:szCs w:val="18"/>
              </w:rPr>
              <w:t>营业利润</w:t>
            </w:r>
          </w:p>
        </w:tc>
        <w:tc>
          <w:tcPr>
            <w:tcW w:w="118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316" w:right="0"/>
              <w:jc w:val="left"/>
              <w:rPr>
                <w:rFonts w:ascii="宋体" w:hAnsi="宋体" w:cs="宋体" w:eastAsia="宋体" w:hint="default"/>
                <w:sz w:val="18"/>
                <w:szCs w:val="18"/>
              </w:rPr>
            </w:pPr>
            <w:r>
              <w:rPr>
                <w:rFonts w:ascii="宋体" w:hAnsi="宋体" w:cs="宋体" w:eastAsia="宋体" w:hint="default"/>
                <w:sz w:val="18"/>
                <w:szCs w:val="18"/>
              </w:rPr>
              <w:t>净利润</w:t>
            </w:r>
          </w:p>
        </w:tc>
      </w:tr>
      <w:tr>
        <w:trPr>
          <w:trHeight w:val="1338" w:hRule="exact"/>
        </w:trPr>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103" w:right="93"/>
              <w:jc w:val="both"/>
              <w:rPr>
                <w:rFonts w:ascii="宋体" w:hAnsi="宋体" w:cs="宋体" w:eastAsia="宋体" w:hint="default"/>
                <w:sz w:val="18"/>
                <w:szCs w:val="18"/>
              </w:rPr>
            </w:pPr>
            <w:r>
              <w:rPr>
                <w:rFonts w:ascii="宋体" w:hAnsi="宋体" w:cs="宋体" w:eastAsia="宋体" w:hint="default"/>
                <w:spacing w:val="8"/>
                <w:sz w:val="18"/>
                <w:szCs w:val="18"/>
              </w:rPr>
              <w:t>中华香港 国际烟草 集团有限 </w:t>
            </w:r>
            <w:r>
              <w:rPr>
                <w:rFonts w:ascii="宋体" w:hAnsi="宋体" w:cs="宋体" w:eastAsia="宋体" w:hint="default"/>
                <w:sz w:val="18"/>
                <w:szCs w:val="18"/>
              </w:rPr>
              <w:t>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103" w:right="60"/>
              <w:jc w:val="both"/>
              <w:rPr>
                <w:rFonts w:ascii="宋体" w:hAnsi="宋体" w:cs="宋体" w:eastAsia="宋体" w:hint="default"/>
                <w:sz w:val="18"/>
                <w:szCs w:val="18"/>
              </w:rPr>
            </w:pPr>
            <w:r>
              <w:rPr>
                <w:rFonts w:ascii="宋体" w:hAnsi="宋体" w:cs="宋体" w:eastAsia="宋体" w:hint="default"/>
                <w:spacing w:val="32"/>
                <w:sz w:val="18"/>
                <w:szCs w:val="18"/>
              </w:rPr>
              <w:t>包装材料的</w:t>
            </w:r>
            <w:r>
              <w:rPr>
                <w:rFonts w:ascii="宋体" w:hAnsi="宋体" w:cs="宋体" w:eastAsia="宋体" w:hint="default"/>
                <w:spacing w:val="-50"/>
                <w:sz w:val="18"/>
                <w:szCs w:val="18"/>
              </w:rPr>
              <w:t> </w:t>
            </w:r>
            <w:r>
              <w:rPr>
                <w:rFonts w:ascii="宋体" w:hAnsi="宋体" w:cs="宋体" w:eastAsia="宋体" w:hint="default"/>
                <w:sz w:val="18"/>
                <w:szCs w:val="18"/>
              </w:rPr>
              <w:t>设计、制版、</w:t>
            </w:r>
            <w:r>
              <w:rPr>
                <w:rFonts w:ascii="宋体" w:hAnsi="宋体" w:cs="宋体" w:eastAsia="宋体" w:hint="default"/>
                <w:sz w:val="18"/>
                <w:szCs w:val="18"/>
              </w:rPr>
              <w:t> </w:t>
            </w:r>
            <w:r>
              <w:rPr>
                <w:rFonts w:ascii="宋体" w:hAnsi="宋体" w:cs="宋体" w:eastAsia="宋体" w:hint="default"/>
                <w:spacing w:val="32"/>
                <w:sz w:val="18"/>
                <w:szCs w:val="18"/>
              </w:rPr>
              <w:t>印刷及相关</w:t>
            </w:r>
            <w:r>
              <w:rPr>
                <w:rFonts w:ascii="宋体" w:hAnsi="宋体" w:cs="宋体" w:eastAsia="宋体" w:hint="default"/>
                <w:spacing w:val="-50"/>
                <w:sz w:val="18"/>
                <w:szCs w:val="18"/>
              </w:rPr>
              <w:t> </w:t>
            </w:r>
            <w:r>
              <w:rPr>
                <w:rFonts w:ascii="宋体" w:hAnsi="宋体" w:cs="宋体" w:eastAsia="宋体" w:hint="default"/>
                <w:sz w:val="18"/>
                <w:szCs w:val="18"/>
              </w:rPr>
              <w:t>业务</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HKD50,200</w:t>
            </w:r>
          </w:p>
          <w:p>
            <w:pPr>
              <w:pStyle w:val="TableParagraph"/>
              <w:spacing w:line="240" w:lineRule="auto" w:before="65"/>
              <w:ind w:left="103"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67" w:right="0"/>
              <w:jc w:val="left"/>
              <w:rPr>
                <w:rFonts w:ascii="Times New Roman" w:hAnsi="Times New Roman" w:cs="Times New Roman" w:eastAsia="Times New Roman" w:hint="default"/>
                <w:sz w:val="18"/>
                <w:szCs w:val="18"/>
              </w:rPr>
            </w:pPr>
            <w:r>
              <w:rPr>
                <w:rFonts w:ascii="Times New Roman"/>
                <w:sz w:val="18"/>
              </w:rPr>
              <w:t>1,087,300,8</w:t>
            </w:r>
          </w:p>
          <w:p>
            <w:pPr>
              <w:pStyle w:val="TableParagraph"/>
              <w:spacing w:line="240" w:lineRule="auto" w:before="105"/>
              <w:ind w:left="617" w:right="0"/>
              <w:jc w:val="left"/>
              <w:rPr>
                <w:rFonts w:ascii="Times New Roman" w:hAnsi="Times New Roman" w:cs="Times New Roman" w:eastAsia="Times New Roman" w:hint="default"/>
                <w:sz w:val="18"/>
                <w:szCs w:val="18"/>
              </w:rPr>
            </w:pPr>
            <w:r>
              <w:rPr>
                <w:rFonts w:ascii="Times New Roman"/>
                <w:sz w:val="18"/>
              </w:rPr>
              <w:t>41.38</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66" w:right="0"/>
              <w:jc w:val="left"/>
              <w:rPr>
                <w:rFonts w:ascii="Times New Roman" w:hAnsi="Times New Roman" w:cs="Times New Roman" w:eastAsia="Times New Roman" w:hint="default"/>
                <w:sz w:val="18"/>
                <w:szCs w:val="18"/>
              </w:rPr>
            </w:pPr>
            <w:r>
              <w:rPr>
                <w:rFonts w:ascii="Times New Roman"/>
                <w:sz w:val="18"/>
              </w:rPr>
              <w:t>1,084,447,8</w:t>
            </w:r>
          </w:p>
          <w:p>
            <w:pPr>
              <w:pStyle w:val="TableParagraph"/>
              <w:spacing w:line="240" w:lineRule="auto" w:before="105"/>
              <w:ind w:left="616" w:right="0"/>
              <w:jc w:val="left"/>
              <w:rPr>
                <w:rFonts w:ascii="Times New Roman" w:hAnsi="Times New Roman" w:cs="Times New Roman" w:eastAsia="Times New Roman" w:hint="default"/>
                <w:sz w:val="18"/>
                <w:szCs w:val="18"/>
              </w:rPr>
            </w:pPr>
            <w:r>
              <w:rPr>
                <w:rFonts w:ascii="Times New Roman"/>
                <w:sz w:val="18"/>
              </w:rPr>
              <w:t>03.20</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10" w:right="0"/>
              <w:jc w:val="left"/>
              <w:rPr>
                <w:rFonts w:ascii="Times New Roman" w:hAnsi="Times New Roman" w:cs="Times New Roman" w:eastAsia="Times New Roman" w:hint="default"/>
                <w:sz w:val="18"/>
                <w:szCs w:val="18"/>
              </w:rPr>
            </w:pPr>
            <w:r>
              <w:rPr>
                <w:rFonts w:ascii="Times New Roman"/>
                <w:sz w:val="18"/>
              </w:rPr>
              <w:t>167,723,32</w:t>
            </w:r>
          </w:p>
          <w:p>
            <w:pPr>
              <w:pStyle w:val="TableParagraph"/>
              <w:spacing w:line="240" w:lineRule="auto" w:before="105"/>
              <w:ind w:left="605" w:right="0"/>
              <w:jc w:val="left"/>
              <w:rPr>
                <w:rFonts w:ascii="Times New Roman" w:hAnsi="Times New Roman" w:cs="Times New Roman" w:eastAsia="Times New Roman" w:hint="default"/>
                <w:sz w:val="18"/>
                <w:szCs w:val="18"/>
              </w:rPr>
            </w:pPr>
            <w:r>
              <w:rPr>
                <w:rFonts w:ascii="Times New Roman"/>
                <w:sz w:val="18"/>
              </w:rPr>
              <w:t>9.81</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167,725,493.</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36</w:t>
            </w:r>
          </w:p>
        </w:tc>
      </w:tr>
      <w:tr>
        <w:trPr>
          <w:trHeight w:val="1338" w:hRule="exact"/>
        </w:trPr>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93"/>
              <w:jc w:val="both"/>
              <w:rPr>
                <w:rFonts w:ascii="宋体" w:hAnsi="宋体" w:cs="宋体" w:eastAsia="宋体" w:hint="default"/>
                <w:sz w:val="18"/>
                <w:szCs w:val="18"/>
              </w:rPr>
            </w:pPr>
            <w:r>
              <w:rPr>
                <w:rFonts w:ascii="宋体" w:hAnsi="宋体" w:cs="宋体" w:eastAsia="宋体" w:hint="default"/>
                <w:spacing w:val="8"/>
                <w:sz w:val="18"/>
                <w:szCs w:val="18"/>
              </w:rPr>
              <w:t>江苏劲嘉 新型包装 材料有限 </w:t>
            </w:r>
            <w:r>
              <w:rPr>
                <w:rFonts w:ascii="宋体" w:hAnsi="宋体" w:cs="宋体" w:eastAsia="宋体" w:hint="default"/>
                <w:sz w:val="18"/>
                <w:szCs w:val="18"/>
              </w:rPr>
              <w:t>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103" w:right="60"/>
              <w:jc w:val="both"/>
              <w:rPr>
                <w:rFonts w:ascii="宋体" w:hAnsi="宋体" w:cs="宋体" w:eastAsia="宋体" w:hint="default"/>
                <w:sz w:val="18"/>
                <w:szCs w:val="18"/>
              </w:rPr>
            </w:pPr>
            <w:r>
              <w:rPr>
                <w:rFonts w:ascii="宋体" w:hAnsi="宋体" w:cs="宋体" w:eastAsia="宋体" w:hint="default"/>
                <w:spacing w:val="32"/>
                <w:sz w:val="18"/>
                <w:szCs w:val="18"/>
              </w:rPr>
              <w:t>生产新型包</w:t>
            </w:r>
            <w:r>
              <w:rPr>
                <w:rFonts w:ascii="宋体" w:hAnsi="宋体" w:cs="宋体" w:eastAsia="宋体" w:hint="default"/>
                <w:spacing w:val="-50"/>
                <w:sz w:val="18"/>
                <w:szCs w:val="18"/>
              </w:rPr>
              <w:t> </w:t>
            </w:r>
            <w:r>
              <w:rPr>
                <w:rFonts w:ascii="宋体" w:hAnsi="宋体" w:cs="宋体" w:eastAsia="宋体" w:hint="default"/>
                <w:spacing w:val="-3"/>
                <w:sz w:val="18"/>
                <w:szCs w:val="18"/>
              </w:rPr>
              <w:t>装材料，销售</w:t>
            </w:r>
            <w:r>
              <w:rPr>
                <w:rFonts w:ascii="宋体" w:hAnsi="宋体" w:cs="宋体" w:eastAsia="宋体" w:hint="default"/>
                <w:sz w:val="18"/>
                <w:szCs w:val="18"/>
              </w:rPr>
              <w:t> 自产产品</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RMB6,000</w:t>
            </w:r>
          </w:p>
          <w:p>
            <w:pPr>
              <w:pStyle w:val="TableParagraph"/>
              <w:spacing w:line="240" w:lineRule="auto" w:before="65"/>
              <w:ind w:left="103"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350,063,776</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.39</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184,957,376</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.51</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61" w:right="0"/>
              <w:jc w:val="left"/>
              <w:rPr>
                <w:rFonts w:ascii="Times New Roman" w:hAnsi="Times New Roman" w:cs="Times New Roman" w:eastAsia="Times New Roman" w:hint="default"/>
                <w:sz w:val="18"/>
                <w:szCs w:val="18"/>
              </w:rPr>
            </w:pPr>
            <w:r>
              <w:rPr>
                <w:rFonts w:ascii="Times New Roman"/>
                <w:sz w:val="18"/>
              </w:rPr>
              <w:t>444,483,7</w:t>
            </w:r>
          </w:p>
          <w:p>
            <w:pPr>
              <w:pStyle w:val="TableParagraph"/>
              <w:spacing w:line="240" w:lineRule="auto" w:before="105"/>
              <w:ind w:left="477" w:right="0"/>
              <w:jc w:val="left"/>
              <w:rPr>
                <w:rFonts w:ascii="Times New Roman" w:hAnsi="Times New Roman" w:cs="Times New Roman" w:eastAsia="Times New Roman" w:hint="default"/>
                <w:sz w:val="18"/>
                <w:szCs w:val="18"/>
              </w:rPr>
            </w:pPr>
            <w:r>
              <w:rPr>
                <w:rFonts w:ascii="Times New Roman"/>
                <w:sz w:val="18"/>
              </w:rPr>
              <w:t>86.73</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10" w:right="0"/>
              <w:jc w:val="left"/>
              <w:rPr>
                <w:rFonts w:ascii="Times New Roman" w:hAnsi="Times New Roman" w:cs="Times New Roman" w:eastAsia="Times New Roman" w:hint="default"/>
                <w:sz w:val="18"/>
                <w:szCs w:val="18"/>
              </w:rPr>
            </w:pPr>
            <w:r>
              <w:rPr>
                <w:rFonts w:ascii="Times New Roman"/>
                <w:sz w:val="18"/>
              </w:rPr>
              <w:t>151,027,35</w:t>
            </w:r>
          </w:p>
          <w:p>
            <w:pPr>
              <w:pStyle w:val="TableParagraph"/>
              <w:spacing w:line="240" w:lineRule="auto" w:before="105"/>
              <w:ind w:left="605" w:right="0"/>
              <w:jc w:val="left"/>
              <w:rPr>
                <w:rFonts w:ascii="Times New Roman" w:hAnsi="Times New Roman" w:cs="Times New Roman" w:eastAsia="Times New Roman" w:hint="default"/>
                <w:sz w:val="18"/>
                <w:szCs w:val="18"/>
              </w:rPr>
            </w:pPr>
            <w:r>
              <w:rPr>
                <w:rFonts w:ascii="Times New Roman"/>
                <w:sz w:val="18"/>
              </w:rPr>
              <w:t>7.50</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129,153,018.</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61</w:t>
            </w:r>
          </w:p>
        </w:tc>
      </w:tr>
      <w:tr>
        <w:trPr>
          <w:trHeight w:val="1650" w:hRule="exact"/>
        </w:trPr>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103" w:right="93"/>
              <w:jc w:val="both"/>
              <w:rPr>
                <w:rFonts w:ascii="宋体" w:hAnsi="宋体" w:cs="宋体" w:eastAsia="宋体" w:hint="default"/>
                <w:sz w:val="18"/>
                <w:szCs w:val="18"/>
              </w:rPr>
            </w:pPr>
            <w:r>
              <w:rPr>
                <w:rFonts w:ascii="宋体" w:hAnsi="宋体" w:cs="宋体" w:eastAsia="宋体" w:hint="default"/>
                <w:spacing w:val="8"/>
                <w:sz w:val="18"/>
                <w:szCs w:val="18"/>
              </w:rPr>
              <w:t>安徽安泰 新型包装 材料有限 </w:t>
            </w:r>
            <w:r>
              <w:rPr>
                <w:rFonts w:ascii="宋体" w:hAnsi="宋体" w:cs="宋体" w:eastAsia="宋体" w:hint="default"/>
                <w:sz w:val="18"/>
                <w:szCs w:val="18"/>
              </w:rPr>
              <w:t>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60"/>
              <w:jc w:val="both"/>
              <w:rPr>
                <w:rFonts w:ascii="宋体" w:hAnsi="宋体" w:cs="宋体" w:eastAsia="宋体" w:hint="default"/>
                <w:sz w:val="18"/>
                <w:szCs w:val="18"/>
              </w:rPr>
            </w:pPr>
            <w:r>
              <w:rPr>
                <w:rFonts w:ascii="宋体" w:hAnsi="宋体" w:cs="宋体" w:eastAsia="宋体" w:hint="default"/>
                <w:spacing w:val="26"/>
                <w:sz w:val="18"/>
                <w:szCs w:val="18"/>
              </w:rPr>
              <w:t>新型包</w:t>
            </w:r>
            <w:r>
              <w:rPr>
                <w:rFonts w:ascii="宋体" w:hAnsi="宋体" w:cs="宋体" w:eastAsia="宋体" w:hint="default"/>
                <w:spacing w:val="-50"/>
                <w:sz w:val="18"/>
                <w:szCs w:val="18"/>
              </w:rPr>
              <w:t> </w:t>
            </w:r>
            <w:r>
              <w:rPr>
                <w:rFonts w:ascii="宋体" w:hAnsi="宋体" w:cs="宋体" w:eastAsia="宋体" w:hint="default"/>
                <w:spacing w:val="20"/>
                <w:sz w:val="18"/>
                <w:szCs w:val="18"/>
              </w:rPr>
              <w:t>装材</w:t>
            </w:r>
            <w:r>
              <w:rPr>
                <w:rFonts w:ascii="宋体" w:hAnsi="宋体" w:cs="宋体" w:eastAsia="宋体" w:hint="default"/>
                <w:spacing w:val="-50"/>
                <w:sz w:val="18"/>
                <w:szCs w:val="18"/>
              </w:rPr>
              <w:t> </w:t>
            </w:r>
            <w:r>
              <w:rPr>
                <w:rFonts w:ascii="宋体" w:hAnsi="宋体" w:cs="宋体" w:eastAsia="宋体" w:hint="default"/>
                <w:spacing w:val="-3"/>
                <w:sz w:val="18"/>
                <w:szCs w:val="18"/>
              </w:rPr>
              <w:t>料、包装装潢</w:t>
            </w:r>
            <w:r>
              <w:rPr>
                <w:rFonts w:ascii="宋体" w:hAnsi="宋体" w:cs="宋体" w:eastAsia="宋体" w:hint="default"/>
                <w:sz w:val="18"/>
                <w:szCs w:val="18"/>
              </w:rPr>
              <w:t> </w:t>
            </w:r>
            <w:r>
              <w:rPr>
                <w:rFonts w:ascii="宋体" w:hAnsi="宋体" w:cs="宋体" w:eastAsia="宋体" w:hint="default"/>
                <w:spacing w:val="32"/>
                <w:sz w:val="18"/>
                <w:szCs w:val="18"/>
              </w:rPr>
              <w:t>印刷品的设</w:t>
            </w:r>
            <w:r>
              <w:rPr>
                <w:rFonts w:ascii="宋体" w:hAnsi="宋体" w:cs="宋体" w:eastAsia="宋体" w:hint="default"/>
                <w:spacing w:val="-50"/>
                <w:sz w:val="18"/>
                <w:szCs w:val="18"/>
              </w:rPr>
              <w:t> </w:t>
            </w:r>
            <w:r>
              <w:rPr>
                <w:rFonts w:ascii="宋体" w:hAnsi="宋体" w:cs="宋体" w:eastAsia="宋体" w:hint="default"/>
                <w:spacing w:val="-3"/>
                <w:sz w:val="18"/>
                <w:szCs w:val="18"/>
              </w:rPr>
              <w:t>计、生产和销</w:t>
            </w:r>
            <w:r>
              <w:rPr>
                <w:rFonts w:ascii="宋体" w:hAnsi="宋体" w:cs="宋体" w:eastAsia="宋体" w:hint="default"/>
                <w:sz w:val="18"/>
                <w:szCs w:val="18"/>
              </w:rPr>
              <w:t> 售</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RMB11,000</w:t>
            </w:r>
          </w:p>
          <w:p>
            <w:pPr>
              <w:pStyle w:val="TableParagraph"/>
              <w:spacing w:line="240" w:lineRule="auto" w:before="65"/>
              <w:ind w:left="103"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623,407,613</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.50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521,180,862</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.28</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161" w:right="0"/>
              <w:jc w:val="left"/>
              <w:rPr>
                <w:rFonts w:ascii="Times New Roman" w:hAnsi="Times New Roman" w:cs="Times New Roman" w:eastAsia="Times New Roman" w:hint="default"/>
                <w:sz w:val="18"/>
                <w:szCs w:val="18"/>
              </w:rPr>
            </w:pPr>
            <w:r>
              <w:rPr>
                <w:rFonts w:ascii="Times New Roman"/>
                <w:sz w:val="18"/>
              </w:rPr>
              <w:t>475,846,2</w:t>
            </w:r>
          </w:p>
          <w:p>
            <w:pPr>
              <w:pStyle w:val="TableParagraph"/>
              <w:spacing w:line="240" w:lineRule="auto" w:before="105"/>
              <w:ind w:left="477" w:right="0"/>
              <w:jc w:val="left"/>
              <w:rPr>
                <w:rFonts w:ascii="Times New Roman" w:hAnsi="Times New Roman" w:cs="Times New Roman" w:eastAsia="Times New Roman" w:hint="default"/>
                <w:sz w:val="18"/>
                <w:szCs w:val="18"/>
              </w:rPr>
            </w:pPr>
            <w:r>
              <w:rPr>
                <w:rFonts w:ascii="Times New Roman"/>
                <w:sz w:val="18"/>
              </w:rPr>
              <w:t>99.77</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110" w:right="0"/>
              <w:jc w:val="left"/>
              <w:rPr>
                <w:rFonts w:ascii="Times New Roman" w:hAnsi="Times New Roman" w:cs="Times New Roman" w:eastAsia="Times New Roman" w:hint="default"/>
                <w:sz w:val="18"/>
                <w:szCs w:val="18"/>
              </w:rPr>
            </w:pPr>
            <w:r>
              <w:rPr>
                <w:rFonts w:ascii="Times New Roman"/>
                <w:sz w:val="18"/>
              </w:rPr>
              <w:t>207,781,94</w:t>
            </w:r>
          </w:p>
          <w:p>
            <w:pPr>
              <w:pStyle w:val="TableParagraph"/>
              <w:spacing w:line="240" w:lineRule="auto" w:before="105"/>
              <w:ind w:left="605" w:right="0"/>
              <w:jc w:val="left"/>
              <w:rPr>
                <w:rFonts w:ascii="Times New Roman" w:hAnsi="Times New Roman" w:cs="Times New Roman" w:eastAsia="Times New Roman" w:hint="default"/>
                <w:sz w:val="18"/>
                <w:szCs w:val="18"/>
              </w:rPr>
            </w:pPr>
            <w:r>
              <w:rPr>
                <w:rFonts w:ascii="Times New Roman"/>
                <w:sz w:val="18"/>
              </w:rPr>
              <w:t>7.55</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177,809,523.</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88</w:t>
            </w:r>
          </w:p>
        </w:tc>
      </w:tr>
      <w:tr>
        <w:trPr>
          <w:trHeight w:val="1962" w:hRule="exact"/>
        </w:trPr>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103" w:right="93"/>
              <w:jc w:val="both"/>
              <w:rPr>
                <w:rFonts w:ascii="宋体" w:hAnsi="宋体" w:cs="宋体" w:eastAsia="宋体" w:hint="default"/>
                <w:sz w:val="18"/>
                <w:szCs w:val="18"/>
              </w:rPr>
            </w:pPr>
            <w:r>
              <w:rPr>
                <w:rFonts w:ascii="宋体" w:hAnsi="宋体" w:cs="宋体" w:eastAsia="宋体" w:hint="default"/>
                <w:spacing w:val="8"/>
                <w:sz w:val="18"/>
                <w:szCs w:val="18"/>
              </w:rPr>
              <w:t>贵州劲嘉 新型包装 材料有限 </w:t>
            </w:r>
            <w:r>
              <w:rPr>
                <w:rFonts w:ascii="宋体" w:hAnsi="宋体" w:cs="宋体" w:eastAsia="宋体" w:hint="default"/>
                <w:sz w:val="18"/>
                <w:szCs w:val="18"/>
              </w:rPr>
              <w:t>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10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60"/>
              <w:jc w:val="both"/>
              <w:rPr>
                <w:rFonts w:ascii="宋体" w:hAnsi="宋体" w:cs="宋体" w:eastAsia="宋体" w:hint="default"/>
                <w:sz w:val="18"/>
                <w:szCs w:val="18"/>
              </w:rPr>
            </w:pPr>
            <w:r>
              <w:rPr>
                <w:rFonts w:ascii="宋体" w:hAnsi="宋体" w:cs="宋体" w:eastAsia="宋体" w:hint="default"/>
                <w:spacing w:val="32"/>
                <w:sz w:val="18"/>
                <w:szCs w:val="18"/>
              </w:rPr>
              <w:t>生产经营包</w:t>
            </w:r>
            <w:r>
              <w:rPr>
                <w:rFonts w:ascii="宋体" w:hAnsi="宋体" w:cs="宋体" w:eastAsia="宋体" w:hint="default"/>
                <w:spacing w:val="-50"/>
                <w:sz w:val="18"/>
                <w:szCs w:val="18"/>
              </w:rPr>
              <w:t> </w:t>
            </w:r>
            <w:r>
              <w:rPr>
                <w:rFonts w:ascii="宋体" w:hAnsi="宋体" w:cs="宋体" w:eastAsia="宋体" w:hint="default"/>
                <w:spacing w:val="-3"/>
                <w:sz w:val="18"/>
                <w:szCs w:val="18"/>
              </w:rPr>
              <w:t>装材料，承接</w:t>
            </w:r>
            <w:r>
              <w:rPr>
                <w:rFonts w:ascii="宋体" w:hAnsi="宋体" w:cs="宋体" w:eastAsia="宋体" w:hint="default"/>
                <w:sz w:val="18"/>
                <w:szCs w:val="18"/>
              </w:rPr>
              <w:t> </w:t>
            </w:r>
            <w:r>
              <w:rPr>
                <w:rFonts w:ascii="宋体" w:hAnsi="宋体" w:cs="宋体" w:eastAsia="宋体" w:hint="default"/>
                <w:spacing w:val="32"/>
                <w:sz w:val="18"/>
                <w:szCs w:val="18"/>
              </w:rPr>
              <w:t>包装材料的</w:t>
            </w:r>
            <w:r>
              <w:rPr>
                <w:rFonts w:ascii="宋体" w:hAnsi="宋体" w:cs="宋体" w:eastAsia="宋体" w:hint="default"/>
                <w:spacing w:val="-50"/>
                <w:sz w:val="18"/>
                <w:szCs w:val="18"/>
              </w:rPr>
              <w:t> </w:t>
            </w:r>
            <w:r>
              <w:rPr>
                <w:rFonts w:ascii="宋体" w:hAnsi="宋体" w:cs="宋体" w:eastAsia="宋体" w:hint="default"/>
                <w:sz w:val="18"/>
                <w:szCs w:val="18"/>
              </w:rPr>
              <w:t>设计、制版、</w:t>
            </w:r>
            <w:r>
              <w:rPr>
                <w:rFonts w:ascii="宋体" w:hAnsi="宋体" w:cs="宋体" w:eastAsia="宋体" w:hint="default"/>
                <w:sz w:val="18"/>
                <w:szCs w:val="18"/>
              </w:rPr>
              <w:t> </w:t>
            </w:r>
            <w:r>
              <w:rPr>
                <w:rFonts w:ascii="宋体" w:hAnsi="宋体" w:cs="宋体" w:eastAsia="宋体" w:hint="default"/>
                <w:spacing w:val="32"/>
                <w:sz w:val="18"/>
                <w:szCs w:val="18"/>
              </w:rPr>
              <w:t>包装装潢印</w:t>
            </w:r>
            <w:r>
              <w:rPr>
                <w:rFonts w:ascii="宋体" w:hAnsi="宋体" w:cs="宋体" w:eastAsia="宋体" w:hint="default"/>
                <w:spacing w:val="-50"/>
                <w:sz w:val="18"/>
                <w:szCs w:val="18"/>
              </w:rPr>
              <w:t> </w:t>
            </w:r>
            <w:r>
              <w:rPr>
                <w:rFonts w:ascii="宋体" w:hAnsi="宋体" w:cs="宋体" w:eastAsia="宋体" w:hint="default"/>
                <w:sz w:val="18"/>
                <w:szCs w:val="18"/>
              </w:rPr>
              <w:t>刷品印刷</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RMB10,000</w:t>
            </w:r>
          </w:p>
          <w:p>
            <w:pPr>
              <w:pStyle w:val="TableParagraph"/>
              <w:spacing w:line="240" w:lineRule="auto" w:before="65"/>
              <w:ind w:left="103"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494,287,013</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.98</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327,305,028</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.19</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161" w:right="0"/>
              <w:jc w:val="left"/>
              <w:rPr>
                <w:rFonts w:ascii="Times New Roman" w:hAnsi="Times New Roman" w:cs="Times New Roman" w:eastAsia="Times New Roman" w:hint="default"/>
                <w:sz w:val="18"/>
                <w:szCs w:val="18"/>
              </w:rPr>
            </w:pPr>
            <w:r>
              <w:rPr>
                <w:rFonts w:ascii="Times New Roman"/>
                <w:sz w:val="18"/>
              </w:rPr>
              <w:t>233,167,8</w:t>
            </w:r>
          </w:p>
          <w:p>
            <w:pPr>
              <w:pStyle w:val="TableParagraph"/>
              <w:spacing w:line="240" w:lineRule="auto" w:before="105"/>
              <w:ind w:left="477" w:right="0"/>
              <w:jc w:val="left"/>
              <w:rPr>
                <w:rFonts w:ascii="Times New Roman" w:hAnsi="Times New Roman" w:cs="Times New Roman" w:eastAsia="Times New Roman" w:hint="default"/>
                <w:sz w:val="18"/>
                <w:szCs w:val="18"/>
              </w:rPr>
            </w:pPr>
            <w:r>
              <w:rPr>
                <w:rFonts w:ascii="Times New Roman"/>
                <w:sz w:val="18"/>
              </w:rPr>
              <w:t>42.36</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69,049,491</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.65</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58,766,078.1</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9</w:t>
            </w:r>
          </w:p>
        </w:tc>
      </w:tr>
      <w:tr>
        <w:trPr>
          <w:trHeight w:val="4458" w:hRule="exact"/>
        </w:trPr>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316" w:lineRule="auto"/>
              <w:ind w:left="103" w:right="93"/>
              <w:jc w:val="left"/>
              <w:rPr>
                <w:rFonts w:ascii="宋体" w:hAnsi="宋体" w:cs="宋体" w:eastAsia="宋体" w:hint="default"/>
                <w:sz w:val="18"/>
                <w:szCs w:val="18"/>
              </w:rPr>
            </w:pPr>
            <w:r>
              <w:rPr>
                <w:rFonts w:ascii="宋体" w:hAnsi="宋体" w:cs="宋体" w:eastAsia="宋体" w:hint="default"/>
                <w:spacing w:val="8"/>
                <w:sz w:val="18"/>
                <w:szCs w:val="18"/>
              </w:rPr>
              <w:t>中丰田光 </w:t>
            </w:r>
            <w:r>
              <w:rPr>
                <w:rFonts w:ascii="宋体" w:hAnsi="宋体" w:cs="宋体" w:eastAsia="宋体" w:hint="default"/>
                <w:sz w:val="18"/>
                <w:szCs w:val="18"/>
              </w:rPr>
              <w:t>电 科</w:t>
            </w:r>
            <w:r>
              <w:rPr>
                <w:rFonts w:ascii="宋体" w:hAnsi="宋体" w:cs="宋体" w:eastAsia="宋体" w:hint="default"/>
                <w:spacing w:val="24"/>
                <w:sz w:val="18"/>
                <w:szCs w:val="18"/>
              </w:rPr>
              <w:t> </w:t>
            </w:r>
            <w:r>
              <w:rPr>
                <w:rFonts w:ascii="宋体" w:hAnsi="宋体" w:cs="宋体" w:eastAsia="宋体" w:hint="default"/>
                <w:sz w:val="18"/>
                <w:szCs w:val="18"/>
              </w:rPr>
              <w:t>技</w:t>
            </w:r>
          </w:p>
          <w:p>
            <w:pPr>
              <w:pStyle w:val="TableParagraph"/>
              <w:spacing w:line="319" w:lineRule="auto" w:before="19"/>
              <w:ind w:left="103" w:right="101"/>
              <w:jc w:val="left"/>
              <w:rPr>
                <w:rFonts w:ascii="宋体" w:hAnsi="宋体" w:cs="宋体" w:eastAsia="宋体" w:hint="default"/>
                <w:sz w:val="18"/>
                <w:szCs w:val="18"/>
              </w:rPr>
            </w:pPr>
            <w:r>
              <w:rPr>
                <w:rFonts w:ascii="宋体" w:hAnsi="宋体" w:cs="宋体" w:eastAsia="宋体" w:hint="default"/>
                <w:spacing w:val="6"/>
                <w:sz w:val="18"/>
                <w:szCs w:val="18"/>
              </w:rPr>
              <w:t>（珠海）</w:t>
            </w:r>
            <w:r>
              <w:rPr>
                <w:rFonts w:ascii="宋体" w:hAnsi="宋体" w:cs="宋体" w:eastAsia="宋体" w:hint="default"/>
                <w:sz w:val="18"/>
                <w:szCs w:val="18"/>
              </w:rPr>
              <w:t> 有限公司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2"/>
              <w:ind w:left="103" w:right="12"/>
              <w:jc w:val="both"/>
              <w:rPr>
                <w:rFonts w:ascii="宋体" w:hAnsi="宋体" w:cs="宋体" w:eastAsia="宋体" w:hint="default"/>
                <w:sz w:val="18"/>
                <w:szCs w:val="18"/>
              </w:rPr>
            </w:pPr>
            <w:r>
              <w:rPr>
                <w:rFonts w:ascii="宋体" w:hAnsi="宋体" w:cs="宋体" w:eastAsia="宋体" w:hint="default"/>
                <w:spacing w:val="32"/>
                <w:sz w:val="18"/>
                <w:szCs w:val="18"/>
              </w:rPr>
              <w:t>开发生产销</w:t>
            </w:r>
            <w:r>
              <w:rPr>
                <w:rFonts w:ascii="宋体" w:hAnsi="宋体" w:cs="宋体" w:eastAsia="宋体" w:hint="default"/>
                <w:spacing w:val="-50"/>
                <w:sz w:val="18"/>
                <w:szCs w:val="18"/>
              </w:rPr>
              <w:t> </w:t>
            </w:r>
            <w:r>
              <w:rPr>
                <w:rFonts w:ascii="宋体" w:hAnsi="宋体" w:cs="宋体" w:eastAsia="宋体" w:hint="default"/>
                <w:spacing w:val="32"/>
                <w:sz w:val="18"/>
                <w:szCs w:val="18"/>
              </w:rPr>
              <w:t>售激光新材</w:t>
            </w:r>
            <w:r>
              <w:rPr>
                <w:rFonts w:ascii="宋体" w:hAnsi="宋体" w:cs="宋体" w:eastAsia="宋体" w:hint="default"/>
                <w:spacing w:val="-50"/>
                <w:sz w:val="18"/>
                <w:szCs w:val="18"/>
              </w:rPr>
              <w:t> </w:t>
            </w:r>
            <w:r>
              <w:rPr>
                <w:rFonts w:ascii="宋体" w:hAnsi="宋体" w:cs="宋体" w:eastAsia="宋体" w:hint="default"/>
                <w:spacing w:val="-3"/>
                <w:sz w:val="18"/>
                <w:szCs w:val="18"/>
              </w:rPr>
              <w:t>料（包括宽幅</w:t>
            </w:r>
            <w:r>
              <w:rPr>
                <w:rFonts w:ascii="宋体" w:hAnsi="宋体" w:cs="宋体" w:eastAsia="宋体" w:hint="default"/>
                <w:sz w:val="18"/>
                <w:szCs w:val="18"/>
              </w:rPr>
              <w:t> 素面激光膜、 </w:t>
            </w:r>
            <w:r>
              <w:rPr>
                <w:rFonts w:ascii="宋体" w:hAnsi="宋体" w:cs="宋体" w:eastAsia="宋体" w:hint="default"/>
                <w:spacing w:val="32"/>
                <w:sz w:val="18"/>
                <w:szCs w:val="18"/>
              </w:rPr>
              <w:t>彩虹复合材</w:t>
            </w:r>
            <w:r>
              <w:rPr>
                <w:rFonts w:ascii="宋体" w:hAnsi="宋体" w:cs="宋体" w:eastAsia="宋体" w:hint="default"/>
                <w:spacing w:val="-50"/>
                <w:sz w:val="18"/>
                <w:szCs w:val="18"/>
              </w:rPr>
              <w:t> </w:t>
            </w:r>
            <w:r>
              <w:rPr>
                <w:rFonts w:ascii="宋体" w:hAnsi="宋体" w:cs="宋体" w:eastAsia="宋体" w:hint="default"/>
                <w:spacing w:val="-3"/>
                <w:sz w:val="18"/>
                <w:szCs w:val="18"/>
              </w:rPr>
              <w:t>料等）和高性</w:t>
            </w:r>
            <w:r>
              <w:rPr>
                <w:rFonts w:ascii="宋体" w:hAnsi="宋体" w:cs="宋体" w:eastAsia="宋体" w:hint="default"/>
                <w:sz w:val="18"/>
                <w:szCs w:val="18"/>
              </w:rPr>
              <w:t> </w:t>
            </w:r>
            <w:r>
              <w:rPr>
                <w:rFonts w:ascii="宋体" w:hAnsi="宋体" w:cs="宋体" w:eastAsia="宋体" w:hint="default"/>
                <w:spacing w:val="-3"/>
                <w:sz w:val="18"/>
                <w:szCs w:val="18"/>
              </w:rPr>
              <w:t>能涂料（包括</w:t>
            </w:r>
            <w:r>
              <w:rPr>
                <w:rFonts w:ascii="宋体" w:hAnsi="宋体" w:cs="宋体" w:eastAsia="宋体" w:hint="default"/>
                <w:sz w:val="18"/>
                <w:szCs w:val="18"/>
              </w:rPr>
              <w:t> </w:t>
            </w:r>
            <w:r>
              <w:rPr>
                <w:rFonts w:ascii="Times New Roman" w:hAnsi="Times New Roman" w:cs="Times New Roman" w:eastAsia="Times New Roman" w:hint="default"/>
                <w:sz w:val="18"/>
                <w:szCs w:val="18"/>
              </w:rPr>
              <w:t>WBC</w:t>
            </w:r>
            <w:r>
              <w:rPr>
                <w:rFonts w:ascii="Times New Roman" w:hAnsi="Times New Roman" w:cs="Times New Roman" w:eastAsia="Times New Roman" w:hint="default"/>
                <w:spacing w:val="6"/>
                <w:sz w:val="18"/>
                <w:szCs w:val="18"/>
              </w:rPr>
              <w:t> </w:t>
            </w:r>
            <w:r>
              <w:rPr>
                <w:rFonts w:ascii="宋体" w:hAnsi="宋体" w:cs="宋体" w:eastAsia="宋体" w:hint="default"/>
                <w:spacing w:val="5"/>
                <w:sz w:val="18"/>
                <w:szCs w:val="18"/>
              </w:rPr>
              <w:t>水性汽</w:t>
            </w:r>
            <w:r>
              <w:rPr>
                <w:rFonts w:ascii="宋体" w:hAnsi="宋体" w:cs="宋体" w:eastAsia="宋体" w:hint="default"/>
                <w:sz w:val="18"/>
                <w:szCs w:val="18"/>
              </w:rPr>
              <w:t> </w:t>
            </w:r>
            <w:r>
              <w:rPr>
                <w:rFonts w:ascii="宋体" w:hAnsi="宋体" w:cs="宋体" w:eastAsia="宋体" w:hint="default"/>
                <w:spacing w:val="32"/>
                <w:sz w:val="18"/>
                <w:szCs w:val="18"/>
              </w:rPr>
              <w:t>车金属闪光</w:t>
            </w:r>
            <w:r>
              <w:rPr>
                <w:rFonts w:ascii="宋体" w:hAnsi="宋体" w:cs="宋体" w:eastAsia="宋体" w:hint="default"/>
                <w:spacing w:val="-50"/>
                <w:sz w:val="18"/>
                <w:szCs w:val="18"/>
              </w:rPr>
              <w:t> </w:t>
            </w:r>
            <w:r>
              <w:rPr>
                <w:rFonts w:ascii="宋体" w:hAnsi="宋体" w:cs="宋体" w:eastAsia="宋体" w:hint="default"/>
                <w:spacing w:val="32"/>
                <w:sz w:val="18"/>
                <w:szCs w:val="18"/>
              </w:rPr>
              <w:t>涂料和高性</w:t>
            </w:r>
            <w:r>
              <w:rPr>
                <w:rFonts w:ascii="宋体" w:hAnsi="宋体" w:cs="宋体" w:eastAsia="宋体" w:hint="default"/>
                <w:spacing w:val="-50"/>
                <w:sz w:val="18"/>
                <w:szCs w:val="18"/>
              </w:rPr>
              <w:t> </w:t>
            </w:r>
            <w:r>
              <w:rPr>
                <w:rFonts w:ascii="宋体" w:hAnsi="宋体" w:cs="宋体" w:eastAsia="宋体" w:hint="default"/>
                <w:spacing w:val="-3"/>
                <w:sz w:val="18"/>
                <w:szCs w:val="18"/>
              </w:rPr>
              <w:t>能油墨，细度</w:t>
            </w:r>
            <w:r>
              <w:rPr>
                <w:rFonts w:ascii="宋体" w:hAnsi="宋体" w:cs="宋体" w:eastAsia="宋体" w:hint="default"/>
                <w:sz w:val="18"/>
                <w:szCs w:val="18"/>
              </w:rPr>
              <w:t> 小 于 等</w:t>
            </w:r>
            <w:r>
              <w:rPr>
                <w:rFonts w:ascii="宋体" w:hAnsi="宋体" w:cs="宋体" w:eastAsia="宋体" w:hint="default"/>
                <w:spacing w:val="71"/>
                <w:sz w:val="18"/>
                <w:szCs w:val="18"/>
              </w:rPr>
              <w:t> </w:t>
            </w:r>
            <w:r>
              <w:rPr>
                <w:rFonts w:ascii="宋体" w:hAnsi="宋体" w:cs="宋体" w:eastAsia="宋体" w:hint="default"/>
                <w:sz w:val="18"/>
                <w:szCs w:val="18"/>
              </w:rPr>
              <w:t>于</w:t>
            </w:r>
            <w:r>
              <w:rPr>
                <w:rFonts w:ascii="宋体" w:hAnsi="宋体" w:cs="宋体" w:eastAsia="宋体" w:hint="default"/>
                <w:sz w:val="18"/>
                <w:szCs w:val="18"/>
              </w:rPr>
              <w:t> </w:t>
            </w:r>
            <w:r>
              <w:rPr>
                <w:rFonts w:ascii="Times New Roman" w:hAnsi="Times New Roman" w:cs="Times New Roman" w:eastAsia="Times New Roman" w:hint="default"/>
                <w:spacing w:val="-5"/>
                <w:sz w:val="18"/>
                <w:szCs w:val="18"/>
              </w:rPr>
              <w:t>20UM</w:t>
            </w:r>
            <w:r>
              <w:rPr>
                <w:rFonts w:ascii="宋体" w:hAnsi="宋体" w:cs="宋体" w:eastAsia="宋体" w:hint="default"/>
                <w:spacing w:val="-5"/>
                <w:sz w:val="18"/>
                <w:szCs w:val="18"/>
              </w:rPr>
              <w:t>，耐酸、</w:t>
            </w:r>
            <w:r>
              <w:rPr>
                <w:rFonts w:ascii="宋体" w:hAnsi="宋体" w:cs="宋体" w:eastAsia="宋体" w:hint="default"/>
                <w:sz w:val="18"/>
                <w:szCs w:val="18"/>
              </w:rPr>
              <w:t> 耐碱等）</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USD1,090</w:t>
            </w:r>
          </w:p>
          <w:p>
            <w:pPr>
              <w:pStyle w:val="TableParagraph"/>
              <w:spacing w:line="240" w:lineRule="auto" w:before="65"/>
              <w:ind w:left="103"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543,771,274</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.75</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243,826,691</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.77</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left="161" w:right="0"/>
              <w:jc w:val="left"/>
              <w:rPr>
                <w:rFonts w:ascii="Times New Roman" w:hAnsi="Times New Roman" w:cs="Times New Roman" w:eastAsia="Times New Roman" w:hint="default"/>
                <w:sz w:val="18"/>
                <w:szCs w:val="18"/>
              </w:rPr>
            </w:pPr>
            <w:r>
              <w:rPr>
                <w:rFonts w:ascii="Times New Roman"/>
                <w:sz w:val="18"/>
              </w:rPr>
              <w:t>472,782,4</w:t>
            </w:r>
          </w:p>
          <w:p>
            <w:pPr>
              <w:pStyle w:val="TableParagraph"/>
              <w:spacing w:line="240" w:lineRule="auto" w:before="105"/>
              <w:ind w:left="477" w:right="0"/>
              <w:jc w:val="left"/>
              <w:rPr>
                <w:rFonts w:ascii="Times New Roman" w:hAnsi="Times New Roman" w:cs="Times New Roman" w:eastAsia="Times New Roman" w:hint="default"/>
                <w:sz w:val="18"/>
                <w:szCs w:val="18"/>
              </w:rPr>
            </w:pPr>
            <w:r>
              <w:rPr>
                <w:rFonts w:ascii="Times New Roman"/>
                <w:sz w:val="18"/>
              </w:rPr>
              <w:t>88.95</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79,387,983</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.16</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2"/>
                <w:sz w:val="18"/>
              </w:rPr>
              <w:t>68,991,111.3</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9</w:t>
            </w:r>
          </w:p>
        </w:tc>
      </w:tr>
      <w:tr>
        <w:trPr>
          <w:trHeight w:val="2276" w:hRule="exact"/>
        </w:trPr>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9" w:lineRule="auto"/>
              <w:ind w:left="103" w:right="93"/>
              <w:jc w:val="both"/>
              <w:rPr>
                <w:rFonts w:ascii="宋体" w:hAnsi="宋体" w:cs="宋体" w:eastAsia="宋体" w:hint="default"/>
                <w:sz w:val="18"/>
                <w:szCs w:val="18"/>
              </w:rPr>
            </w:pPr>
            <w:r>
              <w:rPr>
                <w:rFonts w:ascii="宋体" w:hAnsi="宋体" w:cs="宋体" w:eastAsia="宋体" w:hint="default"/>
                <w:spacing w:val="8"/>
                <w:sz w:val="18"/>
                <w:szCs w:val="18"/>
              </w:rPr>
              <w:t>江苏顺泰 包装印刷 科技有限 </w:t>
            </w:r>
            <w:r>
              <w:rPr>
                <w:rFonts w:ascii="宋体" w:hAnsi="宋体" w:cs="宋体" w:eastAsia="宋体" w:hint="default"/>
                <w:sz w:val="18"/>
                <w:szCs w:val="18"/>
              </w:rPr>
              <w:t>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60"/>
              <w:jc w:val="both"/>
              <w:rPr>
                <w:rFonts w:ascii="宋体" w:hAnsi="宋体" w:cs="宋体" w:eastAsia="宋体" w:hint="default"/>
                <w:sz w:val="18"/>
                <w:szCs w:val="18"/>
              </w:rPr>
            </w:pPr>
            <w:r>
              <w:rPr>
                <w:rFonts w:ascii="宋体" w:hAnsi="宋体" w:cs="宋体" w:eastAsia="宋体" w:hint="default"/>
                <w:spacing w:val="32"/>
                <w:sz w:val="18"/>
                <w:szCs w:val="18"/>
              </w:rPr>
              <w:t>包装装潢印</w:t>
            </w:r>
            <w:r>
              <w:rPr>
                <w:rFonts w:ascii="宋体" w:hAnsi="宋体" w:cs="宋体" w:eastAsia="宋体" w:hint="default"/>
                <w:spacing w:val="-50"/>
                <w:sz w:val="18"/>
                <w:szCs w:val="18"/>
              </w:rPr>
              <w:t> </w:t>
            </w:r>
            <w:r>
              <w:rPr>
                <w:rFonts w:ascii="宋体" w:hAnsi="宋体" w:cs="宋体" w:eastAsia="宋体" w:hint="default"/>
                <w:spacing w:val="-3"/>
                <w:sz w:val="18"/>
                <w:szCs w:val="18"/>
              </w:rPr>
              <w:t>刷品印刷、新</w:t>
            </w:r>
            <w:r>
              <w:rPr>
                <w:rFonts w:ascii="宋体" w:hAnsi="宋体" w:cs="宋体" w:eastAsia="宋体" w:hint="default"/>
                <w:sz w:val="18"/>
                <w:szCs w:val="18"/>
              </w:rPr>
              <w:t> 型薄膜研发、 </w:t>
            </w:r>
            <w:r>
              <w:rPr>
                <w:rFonts w:ascii="宋体" w:hAnsi="宋体" w:cs="宋体" w:eastAsia="宋体" w:hint="default"/>
                <w:spacing w:val="-3"/>
                <w:sz w:val="18"/>
                <w:szCs w:val="18"/>
              </w:rPr>
              <w:t>生产；销售本</w:t>
            </w:r>
            <w:r>
              <w:rPr>
                <w:rFonts w:ascii="宋体" w:hAnsi="宋体" w:cs="宋体" w:eastAsia="宋体" w:hint="default"/>
                <w:sz w:val="18"/>
                <w:szCs w:val="18"/>
              </w:rPr>
              <w:t> </w:t>
            </w:r>
            <w:r>
              <w:rPr>
                <w:rFonts w:ascii="宋体" w:hAnsi="宋体" w:cs="宋体" w:eastAsia="宋体" w:hint="default"/>
                <w:spacing w:val="32"/>
                <w:sz w:val="18"/>
                <w:szCs w:val="18"/>
              </w:rPr>
              <w:t>公司自产产</w:t>
            </w:r>
            <w:r>
              <w:rPr>
                <w:rFonts w:ascii="宋体" w:hAnsi="宋体" w:cs="宋体" w:eastAsia="宋体" w:hint="default"/>
                <w:spacing w:val="-50"/>
                <w:sz w:val="18"/>
                <w:szCs w:val="18"/>
              </w:rPr>
              <w:t> </w:t>
            </w:r>
            <w:r>
              <w:rPr>
                <w:rFonts w:ascii="宋体" w:hAnsi="宋体" w:cs="宋体" w:eastAsia="宋体" w:hint="default"/>
                <w:spacing w:val="32"/>
                <w:sz w:val="18"/>
                <w:szCs w:val="18"/>
              </w:rPr>
              <w:t>品；包装设</w:t>
            </w:r>
            <w:r>
              <w:rPr>
                <w:rFonts w:ascii="宋体" w:hAnsi="宋体" w:cs="宋体" w:eastAsia="宋体" w:hint="default"/>
                <w:spacing w:val="-50"/>
                <w:sz w:val="18"/>
                <w:szCs w:val="18"/>
              </w:rPr>
              <w:t> </w:t>
            </w:r>
            <w:r>
              <w:rPr>
                <w:rFonts w:ascii="宋体" w:hAnsi="宋体" w:cs="宋体" w:eastAsia="宋体" w:hint="default"/>
                <w:sz w:val="18"/>
                <w:szCs w:val="18"/>
              </w:rPr>
              <w:t>计、制作</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USD1120</w:t>
            </w:r>
            <w:r>
              <w:rPr>
                <w:rFonts w:ascii="Times New Roman" w:hAnsi="Times New Roman" w:cs="Times New Roman" w:eastAsia="Times New Roman" w:hint="default"/>
                <w:spacing w:val="-27"/>
                <w:sz w:val="18"/>
                <w:szCs w:val="18"/>
              </w:rPr>
              <w:t> </w:t>
            </w:r>
            <w:r>
              <w:rPr>
                <w:rFonts w:ascii="宋体" w:hAnsi="宋体" w:cs="宋体" w:eastAsia="宋体" w:hint="default"/>
                <w:sz w:val="18"/>
                <w:szCs w:val="18"/>
              </w:rPr>
              <w:t>万</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288,078,320</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.84</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183,697,397</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.47</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61" w:right="0"/>
              <w:jc w:val="left"/>
              <w:rPr>
                <w:rFonts w:ascii="Times New Roman" w:hAnsi="Times New Roman" w:cs="Times New Roman" w:eastAsia="Times New Roman" w:hint="default"/>
                <w:sz w:val="18"/>
                <w:szCs w:val="18"/>
              </w:rPr>
            </w:pPr>
            <w:r>
              <w:rPr>
                <w:rFonts w:ascii="Times New Roman"/>
                <w:sz w:val="18"/>
              </w:rPr>
              <w:t>160,830,4</w:t>
            </w:r>
          </w:p>
          <w:p>
            <w:pPr>
              <w:pStyle w:val="TableParagraph"/>
              <w:spacing w:line="240" w:lineRule="auto" w:before="105"/>
              <w:ind w:left="477" w:right="0"/>
              <w:jc w:val="left"/>
              <w:rPr>
                <w:rFonts w:ascii="Times New Roman" w:hAnsi="Times New Roman" w:cs="Times New Roman" w:eastAsia="Times New Roman" w:hint="default"/>
                <w:sz w:val="18"/>
                <w:szCs w:val="18"/>
              </w:rPr>
            </w:pPr>
            <w:r>
              <w:rPr>
                <w:rFonts w:ascii="Times New Roman"/>
                <w:sz w:val="18"/>
              </w:rPr>
              <w:t>76.12</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61,024,015</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.00</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52,635,648.5</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9</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20" w:right="0"/>
        </w:sectPr>
      </w:pPr>
    </w:p>
    <w:p>
      <w:pPr>
        <w:spacing w:line="240" w:lineRule="auto" w:before="6"/>
        <w:rPr>
          <w:rFonts w:ascii="宋体" w:hAnsi="宋体" w:cs="宋体" w:eastAsia="宋体" w:hint="default"/>
          <w:sz w:val="28"/>
          <w:szCs w:val="28"/>
        </w:rPr>
      </w:pPr>
    </w:p>
    <w:tbl>
      <w:tblPr>
        <w:tblW w:w="0" w:type="auto"/>
        <w:jc w:val="left"/>
        <w:tblInd w:w="101" w:type="dxa"/>
        <w:tblLayout w:type="fixed"/>
        <w:tblCellMar>
          <w:top w:w="0" w:type="dxa"/>
          <w:left w:w="0" w:type="dxa"/>
          <w:bottom w:w="0" w:type="dxa"/>
          <w:right w:w="0" w:type="dxa"/>
        </w:tblCellMar>
        <w:tblLook w:val="01E0"/>
      </w:tblPr>
      <w:tblGrid>
        <w:gridCol w:w="962"/>
        <w:gridCol w:w="992"/>
        <w:gridCol w:w="1279"/>
        <w:gridCol w:w="1138"/>
        <w:gridCol w:w="1135"/>
        <w:gridCol w:w="1134"/>
        <w:gridCol w:w="996"/>
        <w:gridCol w:w="1034"/>
        <w:gridCol w:w="1184"/>
      </w:tblGrid>
      <w:tr>
        <w:trPr>
          <w:trHeight w:val="1962" w:hRule="exact"/>
        </w:trPr>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103" w:right="93"/>
              <w:jc w:val="both"/>
              <w:rPr>
                <w:rFonts w:ascii="宋体" w:hAnsi="宋体" w:cs="宋体" w:eastAsia="宋体" w:hint="default"/>
                <w:sz w:val="18"/>
                <w:szCs w:val="18"/>
              </w:rPr>
            </w:pPr>
            <w:r>
              <w:rPr>
                <w:rFonts w:ascii="宋体" w:hAnsi="宋体" w:cs="宋体" w:eastAsia="宋体" w:hint="default"/>
                <w:spacing w:val="8"/>
                <w:sz w:val="18"/>
                <w:szCs w:val="18"/>
              </w:rPr>
              <w:t>昆明彩印 有限责任 </w:t>
            </w:r>
            <w:r>
              <w:rPr>
                <w:rFonts w:ascii="宋体" w:hAnsi="宋体" w:cs="宋体" w:eastAsia="宋体" w:hint="default"/>
                <w:sz w:val="18"/>
                <w:szCs w:val="18"/>
              </w:rPr>
              <w:t>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10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60"/>
              <w:jc w:val="both"/>
              <w:rPr>
                <w:rFonts w:ascii="宋体" w:hAnsi="宋体" w:cs="宋体" w:eastAsia="宋体" w:hint="default"/>
                <w:sz w:val="18"/>
                <w:szCs w:val="18"/>
              </w:rPr>
            </w:pPr>
            <w:r>
              <w:rPr>
                <w:rFonts w:ascii="宋体" w:hAnsi="宋体" w:cs="宋体" w:eastAsia="宋体" w:hint="default"/>
                <w:spacing w:val="32"/>
                <w:sz w:val="18"/>
                <w:szCs w:val="18"/>
              </w:rPr>
              <w:t>内部资料性</w:t>
            </w:r>
            <w:r>
              <w:rPr>
                <w:rFonts w:ascii="宋体" w:hAnsi="宋体" w:cs="宋体" w:eastAsia="宋体" w:hint="default"/>
                <w:spacing w:val="-50"/>
                <w:sz w:val="18"/>
                <w:szCs w:val="18"/>
              </w:rPr>
              <w:t> </w:t>
            </w:r>
            <w:r>
              <w:rPr>
                <w:rFonts w:ascii="宋体" w:hAnsi="宋体" w:cs="宋体" w:eastAsia="宋体" w:hint="default"/>
                <w:spacing w:val="-3"/>
                <w:sz w:val="18"/>
                <w:szCs w:val="18"/>
              </w:rPr>
              <w:t>出版物、包装</w:t>
            </w:r>
            <w:r>
              <w:rPr>
                <w:rFonts w:ascii="宋体" w:hAnsi="宋体" w:cs="宋体" w:eastAsia="宋体" w:hint="default"/>
                <w:sz w:val="18"/>
                <w:szCs w:val="18"/>
              </w:rPr>
              <w:t> 装潢印刷品、 </w:t>
            </w:r>
            <w:r>
              <w:rPr>
                <w:rFonts w:ascii="宋体" w:hAnsi="宋体" w:cs="宋体" w:eastAsia="宋体" w:hint="default"/>
                <w:spacing w:val="32"/>
                <w:sz w:val="18"/>
                <w:szCs w:val="18"/>
              </w:rPr>
              <w:t>纸制品商标</w:t>
            </w:r>
            <w:r>
              <w:rPr>
                <w:rFonts w:ascii="宋体" w:hAnsi="宋体" w:cs="宋体" w:eastAsia="宋体" w:hint="default"/>
                <w:spacing w:val="-50"/>
                <w:sz w:val="18"/>
                <w:szCs w:val="18"/>
              </w:rPr>
              <w:t> </w:t>
            </w:r>
            <w:r>
              <w:rPr>
                <w:rFonts w:ascii="宋体" w:hAnsi="宋体" w:cs="宋体" w:eastAsia="宋体" w:hint="default"/>
                <w:sz w:val="18"/>
                <w:szCs w:val="18"/>
              </w:rPr>
              <w:t>标识的印刷、</w:t>
            </w:r>
            <w:r>
              <w:rPr>
                <w:rFonts w:ascii="宋体" w:hAnsi="宋体" w:cs="宋体" w:eastAsia="宋体" w:hint="default"/>
                <w:sz w:val="18"/>
                <w:szCs w:val="18"/>
              </w:rPr>
              <w:t> 纸盒加工</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USD750 </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万</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201,438,030</w:t>
            </w:r>
          </w:p>
          <w:p>
            <w:pPr>
              <w:pStyle w:val="TableParagraph"/>
              <w:spacing w:line="240" w:lineRule="auto" w:before="106"/>
              <w:ind w:right="100"/>
              <w:jc w:val="right"/>
              <w:rPr>
                <w:rFonts w:ascii="Times New Roman" w:hAnsi="Times New Roman" w:cs="Times New Roman" w:eastAsia="Times New Roman" w:hint="default"/>
                <w:sz w:val="18"/>
                <w:szCs w:val="18"/>
              </w:rPr>
            </w:pPr>
            <w:r>
              <w:rPr>
                <w:rFonts w:ascii="Times New Roman"/>
                <w:sz w:val="18"/>
              </w:rPr>
              <w:t>.29</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137,220,932</w:t>
            </w:r>
          </w:p>
          <w:p>
            <w:pPr>
              <w:pStyle w:val="TableParagraph"/>
              <w:spacing w:line="240" w:lineRule="auto" w:before="106"/>
              <w:ind w:right="100"/>
              <w:jc w:val="right"/>
              <w:rPr>
                <w:rFonts w:ascii="Times New Roman" w:hAnsi="Times New Roman" w:cs="Times New Roman" w:eastAsia="Times New Roman" w:hint="default"/>
                <w:sz w:val="18"/>
                <w:szCs w:val="18"/>
              </w:rPr>
            </w:pPr>
            <w:r>
              <w:rPr>
                <w:rFonts w:ascii="Times New Roman"/>
                <w:sz w:val="18"/>
              </w:rPr>
              <w:t>.09</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61" w:right="0"/>
              <w:jc w:val="left"/>
              <w:rPr>
                <w:rFonts w:ascii="Times New Roman" w:hAnsi="Times New Roman" w:cs="Times New Roman" w:eastAsia="Times New Roman" w:hint="default"/>
                <w:sz w:val="18"/>
                <w:szCs w:val="18"/>
              </w:rPr>
            </w:pPr>
            <w:r>
              <w:rPr>
                <w:rFonts w:ascii="Times New Roman"/>
                <w:sz w:val="18"/>
              </w:rPr>
              <w:t>199,179,3</w:t>
            </w:r>
          </w:p>
          <w:p>
            <w:pPr>
              <w:pStyle w:val="TableParagraph"/>
              <w:spacing w:line="240" w:lineRule="auto" w:before="106"/>
              <w:ind w:left="477" w:right="0"/>
              <w:jc w:val="left"/>
              <w:rPr>
                <w:rFonts w:ascii="Times New Roman" w:hAnsi="Times New Roman" w:cs="Times New Roman" w:eastAsia="Times New Roman" w:hint="default"/>
                <w:sz w:val="18"/>
                <w:szCs w:val="18"/>
              </w:rPr>
            </w:pPr>
            <w:r>
              <w:rPr>
                <w:rFonts w:ascii="Times New Roman"/>
                <w:sz w:val="18"/>
              </w:rPr>
              <w:t>05.98</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33,134,403</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.05</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27,577,678.0</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7</w:t>
            </w:r>
          </w:p>
        </w:tc>
      </w:tr>
      <w:tr>
        <w:trPr>
          <w:trHeight w:val="1026" w:hRule="exact"/>
        </w:trPr>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93"/>
              <w:jc w:val="both"/>
              <w:rPr>
                <w:rFonts w:ascii="宋体" w:hAnsi="宋体" w:cs="宋体" w:eastAsia="宋体" w:hint="default"/>
                <w:sz w:val="18"/>
                <w:szCs w:val="18"/>
              </w:rPr>
            </w:pPr>
            <w:r>
              <w:rPr>
                <w:rFonts w:ascii="宋体" w:hAnsi="宋体" w:cs="宋体" w:eastAsia="宋体" w:hint="default"/>
                <w:spacing w:val="8"/>
                <w:sz w:val="18"/>
                <w:szCs w:val="18"/>
              </w:rPr>
              <w:t>长春吉星 印务有限 </w:t>
            </w:r>
            <w:r>
              <w:rPr>
                <w:rFonts w:ascii="宋体" w:hAnsi="宋体" w:cs="宋体" w:eastAsia="宋体" w:hint="default"/>
                <w:sz w:val="18"/>
                <w:szCs w:val="18"/>
              </w:rPr>
              <w:t>责任公司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103" w:right="60"/>
              <w:jc w:val="left"/>
              <w:rPr>
                <w:rFonts w:ascii="宋体" w:hAnsi="宋体" w:cs="宋体" w:eastAsia="宋体" w:hint="default"/>
                <w:sz w:val="18"/>
                <w:szCs w:val="18"/>
              </w:rPr>
            </w:pPr>
            <w:r>
              <w:rPr>
                <w:rFonts w:ascii="宋体" w:hAnsi="宋体" w:cs="宋体" w:eastAsia="宋体" w:hint="default"/>
                <w:spacing w:val="32"/>
                <w:sz w:val="18"/>
                <w:szCs w:val="18"/>
              </w:rPr>
              <w:t>包装装潢印</w:t>
            </w:r>
            <w:r>
              <w:rPr>
                <w:rFonts w:ascii="宋体" w:hAnsi="宋体" w:cs="宋体" w:eastAsia="宋体" w:hint="default"/>
                <w:spacing w:val="-50"/>
                <w:sz w:val="18"/>
                <w:szCs w:val="18"/>
              </w:rPr>
              <w:t> </w:t>
            </w:r>
            <w:r>
              <w:rPr>
                <w:rFonts w:ascii="宋体" w:hAnsi="宋体" w:cs="宋体" w:eastAsia="宋体" w:hint="default"/>
                <w:sz w:val="18"/>
                <w:szCs w:val="18"/>
              </w:rPr>
              <w:t>刷品印刷</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RMB3,000</w:t>
            </w:r>
          </w:p>
          <w:p>
            <w:pPr>
              <w:pStyle w:val="TableParagraph"/>
              <w:spacing w:line="240" w:lineRule="auto" w:before="66"/>
              <w:ind w:left="103"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202,205,442</w:t>
            </w:r>
          </w:p>
          <w:p>
            <w:pPr>
              <w:pStyle w:val="TableParagraph"/>
              <w:spacing w:line="240" w:lineRule="auto" w:before="106"/>
              <w:ind w:right="100"/>
              <w:jc w:val="right"/>
              <w:rPr>
                <w:rFonts w:ascii="Times New Roman" w:hAnsi="Times New Roman" w:cs="Times New Roman" w:eastAsia="Times New Roman" w:hint="default"/>
                <w:sz w:val="18"/>
                <w:szCs w:val="18"/>
              </w:rPr>
            </w:pPr>
            <w:r>
              <w:rPr>
                <w:rFonts w:ascii="Times New Roman"/>
                <w:sz w:val="18"/>
              </w:rPr>
              <w:t>.74</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145,779,749</w:t>
            </w:r>
          </w:p>
          <w:p>
            <w:pPr>
              <w:pStyle w:val="TableParagraph"/>
              <w:spacing w:line="240" w:lineRule="auto" w:before="106"/>
              <w:ind w:right="100"/>
              <w:jc w:val="right"/>
              <w:rPr>
                <w:rFonts w:ascii="Times New Roman" w:hAnsi="Times New Roman" w:cs="Times New Roman" w:eastAsia="Times New Roman" w:hint="default"/>
                <w:sz w:val="18"/>
                <w:szCs w:val="18"/>
              </w:rPr>
            </w:pPr>
            <w:r>
              <w:rPr>
                <w:rFonts w:ascii="Times New Roman"/>
                <w:sz w:val="18"/>
              </w:rPr>
              <w:t>.81</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61" w:right="0"/>
              <w:jc w:val="left"/>
              <w:rPr>
                <w:rFonts w:ascii="Times New Roman" w:hAnsi="Times New Roman" w:cs="Times New Roman" w:eastAsia="Times New Roman" w:hint="default"/>
                <w:sz w:val="18"/>
                <w:szCs w:val="18"/>
              </w:rPr>
            </w:pPr>
            <w:r>
              <w:rPr>
                <w:rFonts w:ascii="Times New Roman"/>
                <w:sz w:val="18"/>
              </w:rPr>
              <w:t>125,513,9</w:t>
            </w:r>
          </w:p>
          <w:p>
            <w:pPr>
              <w:pStyle w:val="TableParagraph"/>
              <w:spacing w:line="240" w:lineRule="auto" w:before="106"/>
              <w:ind w:left="477" w:right="0"/>
              <w:jc w:val="left"/>
              <w:rPr>
                <w:rFonts w:ascii="Times New Roman" w:hAnsi="Times New Roman" w:cs="Times New Roman" w:eastAsia="Times New Roman" w:hint="default"/>
                <w:sz w:val="18"/>
                <w:szCs w:val="18"/>
              </w:rPr>
            </w:pPr>
            <w:r>
              <w:rPr>
                <w:rFonts w:ascii="Times New Roman"/>
                <w:sz w:val="18"/>
              </w:rPr>
              <w:t>58.61</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43,685,365</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.92</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38,223,409.2</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7</w:t>
            </w:r>
          </w:p>
        </w:tc>
      </w:tr>
      <w:tr>
        <w:trPr>
          <w:trHeight w:val="2274" w:hRule="exact"/>
        </w:trPr>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103" w:right="93"/>
              <w:jc w:val="both"/>
              <w:rPr>
                <w:rFonts w:ascii="宋体" w:hAnsi="宋体" w:cs="宋体" w:eastAsia="宋体" w:hint="default"/>
                <w:sz w:val="18"/>
                <w:szCs w:val="18"/>
              </w:rPr>
            </w:pPr>
            <w:r>
              <w:rPr>
                <w:rFonts w:ascii="宋体" w:hAnsi="宋体" w:cs="宋体" w:eastAsia="宋体" w:hint="default"/>
                <w:spacing w:val="8"/>
                <w:sz w:val="18"/>
                <w:szCs w:val="18"/>
              </w:rPr>
              <w:t>青岛嘉颐 泽印刷包 装有限公 </w:t>
            </w:r>
            <w:r>
              <w:rPr>
                <w:rFonts w:ascii="宋体" w:hAnsi="宋体" w:cs="宋体" w:eastAsia="宋体" w:hint="default"/>
                <w:sz w:val="18"/>
                <w:szCs w:val="18"/>
              </w:rPr>
              <w:t>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60"/>
              <w:jc w:val="both"/>
              <w:rPr>
                <w:rFonts w:ascii="宋体" w:hAnsi="宋体" w:cs="宋体" w:eastAsia="宋体" w:hint="default"/>
                <w:sz w:val="18"/>
                <w:szCs w:val="18"/>
              </w:rPr>
            </w:pPr>
            <w:r>
              <w:rPr>
                <w:rFonts w:ascii="宋体" w:hAnsi="宋体" w:cs="宋体" w:eastAsia="宋体" w:hint="default"/>
                <w:spacing w:val="32"/>
                <w:sz w:val="18"/>
                <w:szCs w:val="18"/>
              </w:rPr>
              <w:t>包装材料及</w:t>
            </w:r>
            <w:r>
              <w:rPr>
                <w:rFonts w:ascii="宋体" w:hAnsi="宋体" w:cs="宋体" w:eastAsia="宋体" w:hint="default"/>
                <w:spacing w:val="-50"/>
                <w:sz w:val="18"/>
                <w:szCs w:val="18"/>
              </w:rPr>
              <w:t> </w:t>
            </w:r>
            <w:r>
              <w:rPr>
                <w:rFonts w:ascii="宋体" w:hAnsi="宋体" w:cs="宋体" w:eastAsia="宋体" w:hint="default"/>
                <w:spacing w:val="32"/>
                <w:sz w:val="18"/>
                <w:szCs w:val="18"/>
              </w:rPr>
              <w:t>印刷材料技</w:t>
            </w:r>
            <w:r>
              <w:rPr>
                <w:rFonts w:ascii="宋体" w:hAnsi="宋体" w:cs="宋体" w:eastAsia="宋体" w:hint="default"/>
                <w:spacing w:val="-50"/>
                <w:sz w:val="18"/>
                <w:szCs w:val="18"/>
              </w:rPr>
              <w:t> </w:t>
            </w:r>
            <w:r>
              <w:rPr>
                <w:rFonts w:ascii="宋体" w:hAnsi="宋体" w:cs="宋体" w:eastAsia="宋体" w:hint="default"/>
                <w:spacing w:val="-3"/>
                <w:sz w:val="18"/>
                <w:szCs w:val="18"/>
              </w:rPr>
              <w:t>术的设计、研</w:t>
            </w:r>
            <w:r>
              <w:rPr>
                <w:rFonts w:ascii="宋体" w:hAnsi="宋体" w:cs="宋体" w:eastAsia="宋体" w:hint="default"/>
                <w:sz w:val="18"/>
                <w:szCs w:val="18"/>
              </w:rPr>
              <w:t> </w:t>
            </w:r>
            <w:r>
              <w:rPr>
                <w:rFonts w:ascii="宋体" w:hAnsi="宋体" w:cs="宋体" w:eastAsia="宋体" w:hint="default"/>
                <w:spacing w:val="-3"/>
                <w:sz w:val="18"/>
                <w:szCs w:val="18"/>
              </w:rPr>
              <w:t>发；转让自行</w:t>
            </w:r>
            <w:r>
              <w:rPr>
                <w:rFonts w:ascii="宋体" w:hAnsi="宋体" w:cs="宋体" w:eastAsia="宋体" w:hint="default"/>
                <w:sz w:val="18"/>
                <w:szCs w:val="18"/>
              </w:rPr>
              <w:t> </w:t>
            </w:r>
            <w:r>
              <w:rPr>
                <w:rFonts w:ascii="宋体" w:hAnsi="宋体" w:cs="宋体" w:eastAsia="宋体" w:hint="default"/>
                <w:spacing w:val="32"/>
                <w:sz w:val="18"/>
                <w:szCs w:val="18"/>
              </w:rPr>
              <w:t>开发的技术</w:t>
            </w:r>
            <w:r>
              <w:rPr>
                <w:rFonts w:ascii="宋体" w:hAnsi="宋体" w:cs="宋体" w:eastAsia="宋体" w:hint="default"/>
                <w:spacing w:val="-50"/>
                <w:sz w:val="18"/>
                <w:szCs w:val="18"/>
              </w:rPr>
              <w:t> </w:t>
            </w:r>
            <w:r>
              <w:rPr>
                <w:rFonts w:ascii="宋体" w:hAnsi="宋体" w:cs="宋体" w:eastAsia="宋体" w:hint="default"/>
                <w:spacing w:val="-3"/>
                <w:sz w:val="18"/>
                <w:szCs w:val="18"/>
              </w:rPr>
              <w:t>成果；生产包</w:t>
            </w:r>
            <w:r>
              <w:rPr>
                <w:rFonts w:ascii="宋体" w:hAnsi="宋体" w:cs="宋体" w:eastAsia="宋体" w:hint="default"/>
                <w:sz w:val="18"/>
                <w:szCs w:val="18"/>
              </w:rPr>
              <w:t> 装制品</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RMB6,000</w:t>
            </w:r>
          </w:p>
          <w:p>
            <w:pPr>
              <w:pStyle w:val="TableParagraph"/>
              <w:spacing w:line="240" w:lineRule="auto" w:before="66"/>
              <w:ind w:left="103"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379,612,583</w:t>
            </w:r>
          </w:p>
          <w:p>
            <w:pPr>
              <w:pStyle w:val="TableParagraph"/>
              <w:spacing w:line="240" w:lineRule="auto" w:before="106"/>
              <w:ind w:right="100"/>
              <w:jc w:val="right"/>
              <w:rPr>
                <w:rFonts w:ascii="Times New Roman" w:hAnsi="Times New Roman" w:cs="Times New Roman" w:eastAsia="Times New Roman" w:hint="default"/>
                <w:sz w:val="18"/>
                <w:szCs w:val="18"/>
              </w:rPr>
            </w:pPr>
            <w:r>
              <w:rPr>
                <w:rFonts w:ascii="Times New Roman"/>
                <w:sz w:val="18"/>
              </w:rPr>
              <w:t>.94</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90,140,581.</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68</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61" w:right="0"/>
              <w:jc w:val="left"/>
              <w:rPr>
                <w:rFonts w:ascii="Times New Roman" w:hAnsi="Times New Roman" w:cs="Times New Roman" w:eastAsia="Times New Roman" w:hint="default"/>
                <w:sz w:val="18"/>
                <w:szCs w:val="18"/>
              </w:rPr>
            </w:pPr>
            <w:r>
              <w:rPr>
                <w:rFonts w:ascii="Times New Roman"/>
                <w:sz w:val="18"/>
              </w:rPr>
              <w:t>129,199,5</w:t>
            </w:r>
          </w:p>
          <w:p>
            <w:pPr>
              <w:pStyle w:val="TableParagraph"/>
              <w:spacing w:line="240" w:lineRule="auto" w:before="106"/>
              <w:ind w:left="477" w:right="0"/>
              <w:jc w:val="left"/>
              <w:rPr>
                <w:rFonts w:ascii="Times New Roman" w:hAnsi="Times New Roman" w:cs="Times New Roman" w:eastAsia="Times New Roman" w:hint="default"/>
                <w:sz w:val="18"/>
                <w:szCs w:val="18"/>
              </w:rPr>
            </w:pPr>
            <w:r>
              <w:rPr>
                <w:rFonts w:ascii="Times New Roman"/>
                <w:sz w:val="18"/>
              </w:rPr>
              <w:t>51.24</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19,215,131</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.42</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16,732,951.9</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1</w:t>
            </w:r>
          </w:p>
        </w:tc>
      </w:tr>
      <w:tr>
        <w:trPr>
          <w:trHeight w:val="1650" w:hRule="exact"/>
        </w:trPr>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103" w:right="93"/>
              <w:jc w:val="both"/>
              <w:rPr>
                <w:rFonts w:ascii="宋体" w:hAnsi="宋体" w:cs="宋体" w:eastAsia="宋体" w:hint="default"/>
                <w:sz w:val="18"/>
                <w:szCs w:val="18"/>
              </w:rPr>
            </w:pPr>
            <w:r>
              <w:rPr>
                <w:rFonts w:ascii="宋体" w:hAnsi="宋体" w:cs="宋体" w:eastAsia="宋体" w:hint="default"/>
                <w:spacing w:val="8"/>
                <w:sz w:val="18"/>
                <w:szCs w:val="18"/>
              </w:rPr>
              <w:t>江西丰彩 丽印刷包 装有限公 </w:t>
            </w:r>
            <w:r>
              <w:rPr>
                <w:rFonts w:ascii="宋体" w:hAnsi="宋体" w:cs="宋体" w:eastAsia="宋体" w:hint="default"/>
                <w:sz w:val="18"/>
                <w:szCs w:val="18"/>
              </w:rPr>
              <w:t>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60"/>
              <w:jc w:val="both"/>
              <w:rPr>
                <w:rFonts w:ascii="宋体" w:hAnsi="宋体" w:cs="宋体" w:eastAsia="宋体" w:hint="default"/>
                <w:sz w:val="18"/>
                <w:szCs w:val="18"/>
              </w:rPr>
            </w:pPr>
            <w:r>
              <w:rPr>
                <w:rFonts w:ascii="宋体" w:hAnsi="宋体" w:cs="宋体" w:eastAsia="宋体" w:hint="default"/>
                <w:spacing w:val="32"/>
                <w:sz w:val="18"/>
                <w:szCs w:val="18"/>
              </w:rPr>
              <w:t>各类产品的</w:t>
            </w:r>
            <w:r>
              <w:rPr>
                <w:rFonts w:ascii="宋体" w:hAnsi="宋体" w:cs="宋体" w:eastAsia="宋体" w:hint="default"/>
                <w:spacing w:val="-50"/>
                <w:sz w:val="18"/>
                <w:szCs w:val="18"/>
              </w:rPr>
              <w:t> </w:t>
            </w:r>
            <w:r>
              <w:rPr>
                <w:rFonts w:ascii="宋体" w:hAnsi="宋体" w:cs="宋体" w:eastAsia="宋体" w:hint="default"/>
                <w:spacing w:val="32"/>
                <w:sz w:val="18"/>
                <w:szCs w:val="18"/>
              </w:rPr>
              <w:t>包装装潢印</w:t>
            </w:r>
            <w:r>
              <w:rPr>
                <w:rFonts w:ascii="宋体" w:hAnsi="宋体" w:cs="宋体" w:eastAsia="宋体" w:hint="default"/>
                <w:spacing w:val="-50"/>
                <w:sz w:val="18"/>
                <w:szCs w:val="18"/>
              </w:rPr>
              <w:t> </w:t>
            </w:r>
            <w:r>
              <w:rPr>
                <w:rFonts w:ascii="宋体" w:hAnsi="宋体" w:cs="宋体" w:eastAsia="宋体" w:hint="default"/>
                <w:spacing w:val="32"/>
                <w:sz w:val="18"/>
                <w:szCs w:val="18"/>
              </w:rPr>
              <w:t>刷及包装材</w:t>
            </w:r>
            <w:r>
              <w:rPr>
                <w:rFonts w:ascii="宋体" w:hAnsi="宋体" w:cs="宋体" w:eastAsia="宋体" w:hint="default"/>
                <w:spacing w:val="-50"/>
                <w:sz w:val="18"/>
                <w:szCs w:val="18"/>
              </w:rPr>
              <w:t> </w:t>
            </w:r>
            <w:r>
              <w:rPr>
                <w:rFonts w:ascii="宋体" w:hAnsi="宋体" w:cs="宋体" w:eastAsia="宋体" w:hint="default"/>
                <w:spacing w:val="-3"/>
                <w:sz w:val="18"/>
                <w:szCs w:val="18"/>
              </w:rPr>
              <w:t>料的开发、生</w:t>
            </w:r>
            <w:r>
              <w:rPr>
                <w:rFonts w:ascii="宋体" w:hAnsi="宋体" w:cs="宋体" w:eastAsia="宋体" w:hint="default"/>
                <w:sz w:val="18"/>
                <w:szCs w:val="18"/>
              </w:rPr>
              <w:t> 产与销售</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RMB2,500</w:t>
            </w:r>
          </w:p>
          <w:p>
            <w:pPr>
              <w:pStyle w:val="TableParagraph"/>
              <w:spacing w:line="240" w:lineRule="auto" w:before="66"/>
              <w:ind w:left="103"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89,167,362.</w:t>
            </w:r>
          </w:p>
          <w:p>
            <w:pPr>
              <w:pStyle w:val="TableParagraph"/>
              <w:spacing w:line="240" w:lineRule="auto" w:before="106"/>
              <w:ind w:right="108"/>
              <w:jc w:val="right"/>
              <w:rPr>
                <w:rFonts w:ascii="Times New Roman" w:hAnsi="Times New Roman" w:cs="Times New Roman" w:eastAsia="Times New Roman" w:hint="default"/>
                <w:sz w:val="18"/>
                <w:szCs w:val="18"/>
              </w:rPr>
            </w:pPr>
            <w:r>
              <w:rPr>
                <w:rFonts w:ascii="Times New Roman"/>
                <w:spacing w:val="-8"/>
                <w:sz w:val="18"/>
              </w:rPr>
              <w:t>11</w:t>
            </w:r>
            <w:r>
              <w:rPr>
                <w:rFonts w:ascii="Times New Roman"/>
                <w:sz w:val="18"/>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70,799,340.</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15</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61" w:right="0"/>
              <w:jc w:val="left"/>
              <w:rPr>
                <w:rFonts w:ascii="Times New Roman" w:hAnsi="Times New Roman" w:cs="Times New Roman" w:eastAsia="Times New Roman" w:hint="default"/>
                <w:sz w:val="18"/>
                <w:szCs w:val="18"/>
              </w:rPr>
            </w:pPr>
            <w:r>
              <w:rPr>
                <w:rFonts w:ascii="Times New Roman"/>
                <w:sz w:val="18"/>
              </w:rPr>
              <w:t>63,843,59</w:t>
            </w:r>
          </w:p>
          <w:p>
            <w:pPr>
              <w:pStyle w:val="TableParagraph"/>
              <w:spacing w:line="240" w:lineRule="auto" w:before="106"/>
              <w:ind w:left="567" w:right="0"/>
              <w:jc w:val="left"/>
              <w:rPr>
                <w:rFonts w:ascii="Times New Roman" w:hAnsi="Times New Roman" w:cs="Times New Roman" w:eastAsia="Times New Roman" w:hint="default"/>
                <w:sz w:val="18"/>
                <w:szCs w:val="18"/>
              </w:rPr>
            </w:pPr>
            <w:r>
              <w:rPr>
                <w:rFonts w:ascii="Times New Roman"/>
                <w:sz w:val="18"/>
              </w:rPr>
              <w:t>1.29</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9,928,649.</w:t>
            </w:r>
          </w:p>
          <w:p>
            <w:pPr>
              <w:pStyle w:val="TableParagraph"/>
              <w:spacing w:line="240" w:lineRule="auto" w:before="106"/>
              <w:ind w:right="102"/>
              <w:jc w:val="right"/>
              <w:rPr>
                <w:rFonts w:ascii="Times New Roman" w:hAnsi="Times New Roman" w:cs="Times New Roman" w:eastAsia="Times New Roman" w:hint="default"/>
                <w:sz w:val="18"/>
                <w:szCs w:val="18"/>
              </w:rPr>
            </w:pPr>
            <w:r>
              <w:rPr>
                <w:rFonts w:ascii="Times New Roman"/>
                <w:sz w:val="18"/>
              </w:rPr>
              <w:t>98</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27" w:right="0"/>
              <w:jc w:val="left"/>
              <w:rPr>
                <w:rFonts w:ascii="Times New Roman" w:hAnsi="Times New Roman" w:cs="Times New Roman" w:eastAsia="Times New Roman" w:hint="default"/>
                <w:sz w:val="18"/>
                <w:szCs w:val="18"/>
              </w:rPr>
            </w:pPr>
            <w:r>
              <w:rPr>
                <w:rFonts w:ascii="Times New Roman"/>
                <w:sz w:val="18"/>
              </w:rPr>
              <w:t>7,838,764.85</w:t>
            </w:r>
          </w:p>
        </w:tc>
      </w:tr>
      <w:tr>
        <w:trPr>
          <w:trHeight w:val="1338" w:hRule="exact"/>
        </w:trPr>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93"/>
              <w:jc w:val="both"/>
              <w:rPr>
                <w:rFonts w:ascii="宋体" w:hAnsi="宋体" w:cs="宋体" w:eastAsia="宋体" w:hint="default"/>
                <w:sz w:val="18"/>
                <w:szCs w:val="18"/>
              </w:rPr>
            </w:pPr>
            <w:r>
              <w:rPr>
                <w:rFonts w:ascii="宋体" w:hAnsi="宋体" w:cs="宋体" w:eastAsia="宋体" w:hint="default"/>
                <w:spacing w:val="8"/>
                <w:sz w:val="18"/>
                <w:szCs w:val="18"/>
              </w:rPr>
              <w:t>深圳劲嘉 新型智能 包装有限 </w:t>
            </w:r>
            <w:r>
              <w:rPr>
                <w:rFonts w:ascii="宋体" w:hAnsi="宋体" w:cs="宋体" w:eastAsia="宋体" w:hint="default"/>
                <w:sz w:val="18"/>
                <w:szCs w:val="18"/>
              </w:rPr>
              <w:t>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103" w:right="60"/>
              <w:jc w:val="left"/>
              <w:rPr>
                <w:rFonts w:ascii="宋体" w:hAnsi="宋体" w:cs="宋体" w:eastAsia="宋体" w:hint="default"/>
                <w:sz w:val="18"/>
                <w:szCs w:val="18"/>
              </w:rPr>
            </w:pPr>
            <w:r>
              <w:rPr>
                <w:rFonts w:ascii="宋体" w:hAnsi="宋体" w:cs="宋体" w:eastAsia="宋体" w:hint="default"/>
                <w:spacing w:val="32"/>
                <w:sz w:val="18"/>
                <w:szCs w:val="18"/>
              </w:rPr>
              <w:t>智能包装制</w:t>
            </w:r>
            <w:r>
              <w:rPr>
                <w:rFonts w:ascii="宋体" w:hAnsi="宋体" w:cs="宋体" w:eastAsia="宋体" w:hint="default"/>
                <w:spacing w:val="-50"/>
                <w:sz w:val="18"/>
                <w:szCs w:val="18"/>
              </w:rPr>
              <w:t> </w:t>
            </w:r>
            <w:r>
              <w:rPr>
                <w:rFonts w:ascii="宋体" w:hAnsi="宋体" w:cs="宋体" w:eastAsia="宋体" w:hint="default"/>
                <w:spacing w:val="-3"/>
                <w:sz w:val="18"/>
                <w:szCs w:val="18"/>
              </w:rPr>
              <w:t>品、包装材料</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RMB2,000</w:t>
            </w:r>
          </w:p>
          <w:p>
            <w:pPr>
              <w:pStyle w:val="TableParagraph"/>
              <w:spacing w:line="240" w:lineRule="auto" w:before="66"/>
              <w:ind w:left="103"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218,500,190</w:t>
            </w:r>
          </w:p>
          <w:p>
            <w:pPr>
              <w:pStyle w:val="TableParagraph"/>
              <w:spacing w:line="240" w:lineRule="auto" w:before="106"/>
              <w:ind w:right="100"/>
              <w:jc w:val="right"/>
              <w:rPr>
                <w:rFonts w:ascii="Times New Roman" w:hAnsi="Times New Roman" w:cs="Times New Roman" w:eastAsia="Times New Roman" w:hint="default"/>
                <w:sz w:val="18"/>
                <w:szCs w:val="18"/>
              </w:rPr>
            </w:pPr>
            <w:r>
              <w:rPr>
                <w:rFonts w:ascii="Times New Roman"/>
                <w:sz w:val="18"/>
              </w:rPr>
              <w:t>.79</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12,154,392.</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47</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61" w:right="0"/>
              <w:jc w:val="left"/>
              <w:rPr>
                <w:rFonts w:ascii="Times New Roman" w:hAnsi="Times New Roman" w:cs="Times New Roman" w:eastAsia="Times New Roman" w:hint="default"/>
                <w:sz w:val="18"/>
                <w:szCs w:val="18"/>
              </w:rPr>
            </w:pPr>
            <w:r>
              <w:rPr>
                <w:rFonts w:ascii="Times New Roman"/>
                <w:sz w:val="18"/>
              </w:rPr>
              <w:t>234,252,1</w:t>
            </w:r>
          </w:p>
          <w:p>
            <w:pPr>
              <w:pStyle w:val="TableParagraph"/>
              <w:spacing w:line="240" w:lineRule="auto" w:before="106"/>
              <w:ind w:left="477" w:right="0"/>
              <w:jc w:val="left"/>
              <w:rPr>
                <w:rFonts w:ascii="Times New Roman" w:hAnsi="Times New Roman" w:cs="Times New Roman" w:eastAsia="Times New Roman" w:hint="default"/>
                <w:sz w:val="18"/>
                <w:szCs w:val="18"/>
              </w:rPr>
            </w:pPr>
            <w:r>
              <w:rPr>
                <w:rFonts w:ascii="Times New Roman"/>
                <w:sz w:val="18"/>
              </w:rPr>
              <w:t>00.57</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29,878,407</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.32</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22,148,741.6</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6</w:t>
            </w:r>
          </w:p>
        </w:tc>
      </w:tr>
      <w:tr>
        <w:trPr>
          <w:trHeight w:val="1026" w:hRule="exact"/>
        </w:trPr>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93"/>
              <w:jc w:val="both"/>
              <w:rPr>
                <w:rFonts w:ascii="宋体" w:hAnsi="宋体" w:cs="宋体" w:eastAsia="宋体" w:hint="default"/>
                <w:sz w:val="18"/>
                <w:szCs w:val="18"/>
              </w:rPr>
            </w:pPr>
            <w:r>
              <w:rPr>
                <w:rFonts w:ascii="宋体" w:hAnsi="宋体" w:cs="宋体" w:eastAsia="宋体" w:hint="default"/>
                <w:spacing w:val="8"/>
                <w:sz w:val="18"/>
                <w:szCs w:val="18"/>
              </w:rPr>
              <w:t>重庆宏声 印务有限 </w:t>
            </w:r>
            <w:r>
              <w:rPr>
                <w:rFonts w:ascii="宋体" w:hAnsi="宋体" w:cs="宋体" w:eastAsia="宋体" w:hint="default"/>
                <w:sz w:val="18"/>
                <w:szCs w:val="18"/>
              </w:rPr>
              <w:t>责任公司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参股公司</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60"/>
              <w:jc w:val="both"/>
              <w:rPr>
                <w:rFonts w:ascii="宋体" w:hAnsi="宋体" w:cs="宋体" w:eastAsia="宋体" w:hint="default"/>
                <w:sz w:val="18"/>
                <w:szCs w:val="18"/>
              </w:rPr>
            </w:pPr>
            <w:r>
              <w:rPr>
                <w:rFonts w:ascii="宋体" w:hAnsi="宋体" w:cs="宋体" w:eastAsia="宋体" w:hint="default"/>
                <w:spacing w:val="32"/>
                <w:sz w:val="18"/>
                <w:szCs w:val="18"/>
              </w:rPr>
              <w:t>包装装潢印</w:t>
            </w:r>
            <w:r>
              <w:rPr>
                <w:rFonts w:ascii="宋体" w:hAnsi="宋体" w:cs="宋体" w:eastAsia="宋体" w:hint="default"/>
                <w:spacing w:val="-50"/>
                <w:sz w:val="18"/>
                <w:szCs w:val="18"/>
              </w:rPr>
              <w:t> </w:t>
            </w:r>
            <w:r>
              <w:rPr>
                <w:rFonts w:ascii="宋体" w:hAnsi="宋体" w:cs="宋体" w:eastAsia="宋体" w:hint="default"/>
                <w:spacing w:val="-3"/>
                <w:sz w:val="18"/>
                <w:szCs w:val="18"/>
              </w:rPr>
              <w:t>刷品、其他印</w:t>
            </w:r>
            <w:r>
              <w:rPr>
                <w:rFonts w:ascii="宋体" w:hAnsi="宋体" w:cs="宋体" w:eastAsia="宋体" w:hint="default"/>
                <w:sz w:val="18"/>
                <w:szCs w:val="18"/>
              </w:rPr>
              <w:t> 刷品</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RMB10,279</w:t>
            </w:r>
          </w:p>
          <w:p>
            <w:pPr>
              <w:pStyle w:val="TableParagraph"/>
              <w:spacing w:line="240" w:lineRule="auto" w:before="66"/>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.277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833,238,074</w:t>
            </w:r>
          </w:p>
          <w:p>
            <w:pPr>
              <w:pStyle w:val="TableParagraph"/>
              <w:spacing w:line="240" w:lineRule="auto" w:before="106"/>
              <w:ind w:right="100"/>
              <w:jc w:val="right"/>
              <w:rPr>
                <w:rFonts w:ascii="Times New Roman" w:hAnsi="Times New Roman" w:cs="Times New Roman" w:eastAsia="Times New Roman" w:hint="default"/>
                <w:sz w:val="18"/>
                <w:szCs w:val="18"/>
              </w:rPr>
            </w:pPr>
            <w:r>
              <w:rPr>
                <w:rFonts w:ascii="Times New Roman"/>
                <w:sz w:val="18"/>
              </w:rPr>
              <w:t>.39</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327,021,684</w:t>
            </w:r>
          </w:p>
          <w:p>
            <w:pPr>
              <w:pStyle w:val="TableParagraph"/>
              <w:spacing w:line="240" w:lineRule="auto" w:before="106"/>
              <w:ind w:right="100"/>
              <w:jc w:val="right"/>
              <w:rPr>
                <w:rFonts w:ascii="Times New Roman" w:hAnsi="Times New Roman" w:cs="Times New Roman" w:eastAsia="Times New Roman" w:hint="default"/>
                <w:sz w:val="18"/>
                <w:szCs w:val="18"/>
              </w:rPr>
            </w:pPr>
            <w:r>
              <w:rPr>
                <w:rFonts w:ascii="Times New Roman"/>
                <w:sz w:val="18"/>
              </w:rPr>
              <w:t>.36</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61" w:right="0"/>
              <w:jc w:val="left"/>
              <w:rPr>
                <w:rFonts w:ascii="Times New Roman" w:hAnsi="Times New Roman" w:cs="Times New Roman" w:eastAsia="Times New Roman" w:hint="default"/>
                <w:sz w:val="18"/>
                <w:szCs w:val="18"/>
              </w:rPr>
            </w:pPr>
            <w:r>
              <w:rPr>
                <w:rFonts w:ascii="Times New Roman"/>
                <w:sz w:val="18"/>
              </w:rPr>
              <w:t>472,676,7</w:t>
            </w:r>
          </w:p>
          <w:p>
            <w:pPr>
              <w:pStyle w:val="TableParagraph"/>
              <w:spacing w:line="240" w:lineRule="auto" w:before="106"/>
              <w:ind w:left="477" w:right="0"/>
              <w:jc w:val="left"/>
              <w:rPr>
                <w:rFonts w:ascii="Times New Roman" w:hAnsi="Times New Roman" w:cs="Times New Roman" w:eastAsia="Times New Roman" w:hint="default"/>
                <w:sz w:val="18"/>
                <w:szCs w:val="18"/>
              </w:rPr>
            </w:pPr>
            <w:r>
              <w:rPr>
                <w:rFonts w:ascii="Times New Roman"/>
                <w:sz w:val="18"/>
              </w:rPr>
              <w:t>38.86</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45,459,585</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.00</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41,684,836.9</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4</w:t>
            </w:r>
          </w:p>
        </w:tc>
      </w:tr>
      <w:tr>
        <w:trPr>
          <w:trHeight w:val="1650" w:hRule="exact"/>
        </w:trPr>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93"/>
              <w:jc w:val="both"/>
              <w:rPr>
                <w:rFonts w:ascii="宋体" w:hAnsi="宋体" w:cs="宋体" w:eastAsia="宋体" w:hint="default"/>
                <w:sz w:val="18"/>
                <w:szCs w:val="18"/>
              </w:rPr>
            </w:pPr>
            <w:r>
              <w:rPr>
                <w:rFonts w:ascii="宋体" w:hAnsi="宋体" w:cs="宋体" w:eastAsia="宋体" w:hint="default"/>
                <w:spacing w:val="8"/>
                <w:sz w:val="18"/>
                <w:szCs w:val="18"/>
              </w:rPr>
              <w:t>贵州省仁 怀市申仁 包装印务 有限责任 </w:t>
            </w:r>
            <w:r>
              <w:rPr>
                <w:rFonts w:ascii="宋体" w:hAnsi="宋体" w:cs="宋体" w:eastAsia="宋体" w:hint="default"/>
                <w:sz w:val="18"/>
                <w:szCs w:val="18"/>
              </w:rPr>
              <w:t>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参股公司</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103" w:right="60"/>
              <w:jc w:val="left"/>
              <w:rPr>
                <w:rFonts w:ascii="宋体" w:hAnsi="宋体" w:cs="宋体" w:eastAsia="宋体" w:hint="default"/>
                <w:sz w:val="18"/>
                <w:szCs w:val="18"/>
              </w:rPr>
            </w:pPr>
            <w:r>
              <w:rPr>
                <w:rFonts w:ascii="宋体" w:hAnsi="宋体" w:cs="宋体" w:eastAsia="宋体" w:hint="default"/>
                <w:spacing w:val="32"/>
                <w:sz w:val="18"/>
                <w:szCs w:val="18"/>
              </w:rPr>
              <w:t>包装装潢印</w:t>
            </w:r>
            <w:r>
              <w:rPr>
                <w:rFonts w:ascii="宋体" w:hAnsi="宋体" w:cs="宋体" w:eastAsia="宋体" w:hint="default"/>
                <w:spacing w:val="-50"/>
                <w:sz w:val="18"/>
                <w:szCs w:val="18"/>
              </w:rPr>
              <w:t> </w:t>
            </w:r>
            <w:r>
              <w:rPr>
                <w:rFonts w:ascii="宋体" w:hAnsi="宋体" w:cs="宋体" w:eastAsia="宋体" w:hint="default"/>
                <w:sz w:val="18"/>
                <w:szCs w:val="18"/>
              </w:rPr>
              <w:t>刷品印刷</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RMB11,330</w:t>
            </w:r>
          </w:p>
          <w:p>
            <w:pPr>
              <w:pStyle w:val="TableParagraph"/>
              <w:spacing w:line="240" w:lineRule="auto" w:before="66"/>
              <w:ind w:left="103"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444,776,700</w:t>
            </w:r>
          </w:p>
          <w:p>
            <w:pPr>
              <w:pStyle w:val="TableParagraph"/>
              <w:spacing w:line="240" w:lineRule="auto" w:before="106"/>
              <w:ind w:right="100"/>
              <w:jc w:val="right"/>
              <w:rPr>
                <w:rFonts w:ascii="Times New Roman" w:hAnsi="Times New Roman" w:cs="Times New Roman" w:eastAsia="Times New Roman" w:hint="default"/>
                <w:sz w:val="18"/>
                <w:szCs w:val="18"/>
              </w:rPr>
            </w:pPr>
            <w:r>
              <w:rPr>
                <w:rFonts w:ascii="Times New Roman"/>
                <w:sz w:val="18"/>
              </w:rPr>
              <w:t>.95</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374,221,415</w:t>
            </w:r>
          </w:p>
          <w:p>
            <w:pPr>
              <w:pStyle w:val="TableParagraph"/>
              <w:spacing w:line="240" w:lineRule="auto" w:before="106"/>
              <w:ind w:right="100"/>
              <w:jc w:val="right"/>
              <w:rPr>
                <w:rFonts w:ascii="Times New Roman" w:hAnsi="Times New Roman" w:cs="Times New Roman" w:eastAsia="Times New Roman" w:hint="default"/>
                <w:sz w:val="18"/>
                <w:szCs w:val="18"/>
              </w:rPr>
            </w:pPr>
            <w:r>
              <w:rPr>
                <w:rFonts w:ascii="Times New Roman"/>
                <w:sz w:val="18"/>
              </w:rPr>
              <w:t>.76</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61" w:right="0"/>
              <w:jc w:val="left"/>
              <w:rPr>
                <w:rFonts w:ascii="Times New Roman" w:hAnsi="Times New Roman" w:cs="Times New Roman" w:eastAsia="Times New Roman" w:hint="default"/>
                <w:sz w:val="18"/>
                <w:szCs w:val="18"/>
              </w:rPr>
            </w:pPr>
            <w:r>
              <w:rPr>
                <w:rFonts w:ascii="Times New Roman"/>
                <w:sz w:val="18"/>
              </w:rPr>
              <w:t>259,950,9</w:t>
            </w:r>
          </w:p>
          <w:p>
            <w:pPr>
              <w:pStyle w:val="TableParagraph"/>
              <w:spacing w:line="240" w:lineRule="auto" w:before="106"/>
              <w:ind w:left="477" w:right="0"/>
              <w:jc w:val="left"/>
              <w:rPr>
                <w:rFonts w:ascii="Times New Roman" w:hAnsi="Times New Roman" w:cs="Times New Roman" w:eastAsia="Times New Roman" w:hint="default"/>
                <w:sz w:val="18"/>
                <w:szCs w:val="18"/>
              </w:rPr>
            </w:pPr>
            <w:r>
              <w:rPr>
                <w:rFonts w:ascii="Times New Roman"/>
                <w:sz w:val="18"/>
              </w:rPr>
              <w:t>22.09</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44,808,398</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.06</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33,709,855.3</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7</w:t>
            </w:r>
          </w:p>
        </w:tc>
      </w:tr>
      <w:tr>
        <w:trPr>
          <w:trHeight w:val="1026" w:hRule="exact"/>
        </w:trPr>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93"/>
              <w:jc w:val="both"/>
              <w:rPr>
                <w:rFonts w:ascii="宋体" w:hAnsi="宋体" w:cs="宋体" w:eastAsia="宋体" w:hint="default"/>
                <w:sz w:val="18"/>
                <w:szCs w:val="18"/>
              </w:rPr>
            </w:pPr>
            <w:r>
              <w:rPr>
                <w:rFonts w:ascii="宋体" w:hAnsi="宋体" w:cs="宋体" w:eastAsia="宋体" w:hint="default"/>
                <w:spacing w:val="8"/>
                <w:sz w:val="18"/>
                <w:szCs w:val="18"/>
              </w:rPr>
              <w:t>上海仁彩 印务有限 </w:t>
            </w:r>
            <w:r>
              <w:rPr>
                <w:rFonts w:ascii="宋体" w:hAnsi="宋体" w:cs="宋体" w:eastAsia="宋体" w:hint="default"/>
                <w:sz w:val="18"/>
                <w:szCs w:val="18"/>
              </w:rPr>
              <w:t>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参股公司</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103" w:right="60"/>
              <w:jc w:val="left"/>
              <w:rPr>
                <w:rFonts w:ascii="宋体" w:hAnsi="宋体" w:cs="宋体" w:eastAsia="宋体" w:hint="default"/>
                <w:sz w:val="18"/>
                <w:szCs w:val="18"/>
              </w:rPr>
            </w:pPr>
            <w:r>
              <w:rPr>
                <w:rFonts w:ascii="宋体" w:hAnsi="宋体" w:cs="宋体" w:eastAsia="宋体" w:hint="default"/>
                <w:spacing w:val="32"/>
                <w:sz w:val="18"/>
                <w:szCs w:val="18"/>
              </w:rPr>
              <w:t>包装装潢印</w:t>
            </w:r>
            <w:r>
              <w:rPr>
                <w:rFonts w:ascii="宋体" w:hAnsi="宋体" w:cs="宋体" w:eastAsia="宋体" w:hint="default"/>
                <w:spacing w:val="-50"/>
                <w:sz w:val="18"/>
                <w:szCs w:val="18"/>
              </w:rPr>
              <w:t> </w:t>
            </w:r>
            <w:r>
              <w:rPr>
                <w:rFonts w:ascii="宋体" w:hAnsi="宋体" w:cs="宋体" w:eastAsia="宋体" w:hint="default"/>
                <w:sz w:val="18"/>
                <w:szCs w:val="18"/>
              </w:rPr>
              <w:t>刷制品</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USD400 </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万</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441,790,273</w:t>
            </w:r>
          </w:p>
          <w:p>
            <w:pPr>
              <w:pStyle w:val="TableParagraph"/>
              <w:spacing w:line="240" w:lineRule="auto" w:before="106"/>
              <w:ind w:right="100"/>
              <w:jc w:val="right"/>
              <w:rPr>
                <w:rFonts w:ascii="Times New Roman" w:hAnsi="Times New Roman" w:cs="Times New Roman" w:eastAsia="Times New Roman" w:hint="default"/>
                <w:sz w:val="18"/>
                <w:szCs w:val="18"/>
              </w:rPr>
            </w:pPr>
            <w:r>
              <w:rPr>
                <w:rFonts w:ascii="Times New Roman"/>
                <w:sz w:val="18"/>
              </w:rPr>
              <w:t>.04</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370,351,083</w:t>
            </w:r>
          </w:p>
          <w:p>
            <w:pPr>
              <w:pStyle w:val="TableParagraph"/>
              <w:spacing w:line="240" w:lineRule="auto" w:before="106"/>
              <w:ind w:right="100"/>
              <w:jc w:val="right"/>
              <w:rPr>
                <w:rFonts w:ascii="Times New Roman" w:hAnsi="Times New Roman" w:cs="Times New Roman" w:eastAsia="Times New Roman" w:hint="default"/>
                <w:sz w:val="18"/>
                <w:szCs w:val="18"/>
              </w:rPr>
            </w:pPr>
            <w:r>
              <w:rPr>
                <w:rFonts w:ascii="Times New Roman"/>
                <w:sz w:val="18"/>
              </w:rPr>
              <w:t>.27</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61" w:right="0"/>
              <w:jc w:val="left"/>
              <w:rPr>
                <w:rFonts w:ascii="Times New Roman" w:hAnsi="Times New Roman" w:cs="Times New Roman" w:eastAsia="Times New Roman" w:hint="default"/>
                <w:sz w:val="18"/>
                <w:szCs w:val="18"/>
              </w:rPr>
            </w:pPr>
            <w:r>
              <w:rPr>
                <w:rFonts w:ascii="Times New Roman"/>
                <w:sz w:val="18"/>
              </w:rPr>
              <w:t>209,541,4</w:t>
            </w:r>
          </w:p>
          <w:p>
            <w:pPr>
              <w:pStyle w:val="TableParagraph"/>
              <w:spacing w:line="240" w:lineRule="auto" w:before="106"/>
              <w:ind w:left="477" w:right="0"/>
              <w:jc w:val="left"/>
              <w:rPr>
                <w:rFonts w:ascii="Times New Roman" w:hAnsi="Times New Roman" w:cs="Times New Roman" w:eastAsia="Times New Roman" w:hint="default"/>
                <w:sz w:val="18"/>
                <w:szCs w:val="18"/>
              </w:rPr>
            </w:pPr>
            <w:r>
              <w:rPr>
                <w:rFonts w:ascii="Times New Roman"/>
                <w:sz w:val="18"/>
              </w:rPr>
              <w:t>70.76</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35,823,706</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.90</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28,018,808.7</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3</w:t>
            </w:r>
          </w:p>
        </w:tc>
      </w:tr>
    </w:tbl>
    <w:p>
      <w:pPr>
        <w:pStyle w:val="BodyText"/>
        <w:spacing w:line="240" w:lineRule="auto" w:before="51"/>
        <w:ind w:left="214" w:right="1032"/>
        <w:jc w:val="left"/>
      </w:pPr>
      <w:r>
        <w:rPr/>
        <w:t>报告期内取得和处置子公司的情况</w:t>
      </w:r>
    </w:p>
    <w:p>
      <w:pPr>
        <w:pStyle w:val="BodyText"/>
        <w:spacing w:line="240" w:lineRule="auto" w:before="117"/>
        <w:ind w:left="214" w:right="103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7"/>
          <w:szCs w:val="7"/>
        </w:rPr>
      </w:pPr>
    </w:p>
    <w:tbl>
      <w:tblPr>
        <w:tblW w:w="0" w:type="auto"/>
        <w:jc w:val="left"/>
        <w:tblInd w:w="209" w:type="dxa"/>
        <w:tblLayout w:type="fixed"/>
        <w:tblCellMar>
          <w:top w:w="0" w:type="dxa"/>
          <w:left w:w="0" w:type="dxa"/>
          <w:bottom w:w="0" w:type="dxa"/>
          <w:right w:w="0" w:type="dxa"/>
        </w:tblCellMar>
        <w:tblLook w:val="01E0"/>
      </w:tblPr>
      <w:tblGrid>
        <w:gridCol w:w="3189"/>
        <w:gridCol w:w="3190"/>
        <w:gridCol w:w="3191"/>
      </w:tblGrid>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30" w:right="0"/>
              <w:jc w:val="left"/>
              <w:rPr>
                <w:rFonts w:ascii="宋体" w:hAnsi="宋体" w:cs="宋体" w:eastAsia="宋体" w:hint="default"/>
                <w:sz w:val="18"/>
                <w:szCs w:val="18"/>
              </w:rPr>
            </w:pPr>
            <w:r>
              <w:rPr>
                <w:rFonts w:ascii="宋体" w:hAnsi="宋体" w:cs="宋体" w:eastAsia="宋体" w:hint="default"/>
                <w:sz w:val="18"/>
                <w:szCs w:val="18"/>
              </w:rPr>
              <w:t>报告期内取得和处置子公司方式</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19" w:right="0"/>
              <w:jc w:val="left"/>
              <w:rPr>
                <w:rFonts w:ascii="宋体" w:hAnsi="宋体" w:cs="宋体" w:eastAsia="宋体" w:hint="default"/>
                <w:sz w:val="18"/>
                <w:szCs w:val="18"/>
              </w:rPr>
            </w:pPr>
            <w:r>
              <w:rPr>
                <w:rFonts w:ascii="宋体" w:hAnsi="宋体" w:cs="宋体" w:eastAsia="宋体" w:hint="default"/>
                <w:sz w:val="18"/>
                <w:szCs w:val="18"/>
              </w:rPr>
              <w:t>对整体生产经营和业绩的影响</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上海丽兴绿色包装有限公司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收购</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预计对未来业绩产生积极影响</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深圳嘉星健康科技有限公司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预计对未来业绩产生积极影响</w:t>
            </w:r>
          </w:p>
        </w:tc>
      </w:tr>
    </w:tbl>
    <w:p>
      <w:pPr>
        <w:spacing w:after="0" w:line="240" w:lineRule="auto"/>
        <w:jc w:val="left"/>
        <w:rPr>
          <w:rFonts w:ascii="宋体" w:hAnsi="宋体" w:cs="宋体" w:eastAsia="宋体" w:hint="default"/>
          <w:sz w:val="18"/>
          <w:szCs w:val="18"/>
        </w:rPr>
        <w:sectPr>
          <w:pgSz w:w="11910" w:h="16840"/>
          <w:pgMar w:header="747" w:footer="979" w:top="1060" w:bottom="1160" w:left="92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1"/>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深圳劲嘉盒知科技有限公司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预计对未来业绩产生积极影响</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深圳嘉玉科技有限公司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预计对未来业绩产生积极影响</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深圳因味科技有限公司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预计对未来业绩产生积极影响</w:t>
            </w:r>
          </w:p>
        </w:tc>
      </w:tr>
    </w:tbl>
    <w:p>
      <w:pPr>
        <w:pStyle w:val="BodyText"/>
        <w:spacing w:line="360" w:lineRule="auto" w:before="51"/>
        <w:ind w:right="3752"/>
        <w:jc w:val="left"/>
      </w:pPr>
      <w:r>
        <w:rPr/>
        <w:t>主要控股参股公司情况说明 报告期内取得和处置子公司的具体情况，详见本报告第十一节之八、</w:t>
      </w:r>
      <w:r>
        <w:rPr>
          <w:rFonts w:ascii="Times New Roman" w:hAnsi="Times New Roman" w:cs="Times New Roman" w:eastAsia="Times New Roman" w:hint="default"/>
        </w:rPr>
        <w:t>“</w:t>
      </w:r>
      <w:r>
        <w:rPr/>
        <w:t>合并范围的变更</w:t>
      </w:r>
      <w:r>
        <w:rPr>
          <w:rFonts w:ascii="Times New Roman" w:hAnsi="Times New Roman" w:cs="Times New Roman" w:eastAsia="Times New Roman" w:hint="default"/>
        </w:rPr>
        <w:t>”</w:t>
      </w:r>
      <w:r>
        <w:rPr/>
        <w:t>。</w:t>
      </w:r>
    </w:p>
    <w:p>
      <w:pPr>
        <w:spacing w:line="240" w:lineRule="auto" w:before="4"/>
        <w:rPr>
          <w:rFonts w:ascii="宋体" w:hAnsi="宋体" w:cs="宋体" w:eastAsia="宋体" w:hint="default"/>
          <w:sz w:val="16"/>
          <w:szCs w:val="16"/>
        </w:rPr>
      </w:pPr>
    </w:p>
    <w:p>
      <w:pPr>
        <w:pStyle w:val="Heading2"/>
        <w:spacing w:line="240" w:lineRule="auto"/>
        <w:ind w:right="0"/>
        <w:jc w:val="both"/>
        <w:rPr>
          <w:b w:val="0"/>
          <w:bCs w:val="0"/>
        </w:rPr>
      </w:pPr>
      <w:bookmarkStart w:name="八、公司控制的结构化主体情况" w:id="57"/>
      <w:bookmarkEnd w:id="57"/>
      <w:r>
        <w:rPr>
          <w:b w:val="0"/>
          <w:bCs w:val="0"/>
        </w:rPr>
      </w:r>
      <w:r>
        <w:rPr/>
        <w:t>八、公司控制的结构化主体情况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both"/>
        <w:rPr>
          <w:b w:val="0"/>
          <w:bCs w:val="0"/>
        </w:rPr>
      </w:pPr>
      <w:bookmarkStart w:name="九、公司未来发展的展望" w:id="58"/>
      <w:bookmarkEnd w:id="58"/>
      <w:r>
        <w:rPr>
          <w:b w:val="0"/>
          <w:bCs w:val="0"/>
        </w:rPr>
      </w:r>
      <w:r>
        <w:rPr/>
        <w:t>九、公司未来发展的展望</w:t>
      </w:r>
      <w:r>
        <w:rPr>
          <w:b w:val="0"/>
          <w:bCs w:val="0"/>
        </w:rPr>
      </w:r>
    </w:p>
    <w:p>
      <w:pPr>
        <w:spacing w:line="240" w:lineRule="auto" w:before="7"/>
        <w:rPr>
          <w:rFonts w:ascii="宋体" w:hAnsi="宋体" w:cs="宋体" w:eastAsia="宋体" w:hint="default"/>
          <w:b/>
          <w:bCs/>
          <w:sz w:val="26"/>
          <w:szCs w:val="26"/>
        </w:rPr>
      </w:pPr>
    </w:p>
    <w:p>
      <w:pPr>
        <w:pStyle w:val="Heading4"/>
        <w:spacing w:line="240" w:lineRule="auto"/>
        <w:ind w:right="0"/>
        <w:jc w:val="left"/>
        <w:rPr>
          <w:b w:val="0"/>
          <w:bCs w:val="0"/>
        </w:rPr>
      </w:pPr>
      <w:r>
        <w:rPr/>
        <w:t>（一）行业发展趋势及公司发展机遇</w:t>
      </w:r>
      <w:r>
        <w:rPr>
          <w:b w:val="0"/>
          <w:bCs w:val="0"/>
        </w:rPr>
      </w:r>
    </w:p>
    <w:p>
      <w:pPr>
        <w:pStyle w:val="Heading4"/>
        <w:spacing w:line="240" w:lineRule="auto" w:before="76"/>
        <w:ind w:right="0"/>
        <w:jc w:val="left"/>
        <w:rPr>
          <w:b w:val="0"/>
          <w:bCs w:val="0"/>
        </w:rPr>
      </w:pPr>
      <w:r>
        <w:rPr>
          <w:rFonts w:ascii="Times New Roman" w:hAnsi="Times New Roman" w:cs="Times New Roman" w:eastAsia="Times New Roman" w:hint="default"/>
        </w:rPr>
        <w:t>1</w:t>
      </w:r>
      <w:r>
        <w:rPr/>
        <w:t>、烟草行业稳中向好，抓住机遇夯实业绩</w:t>
      </w:r>
      <w:r>
        <w:rPr>
          <w:b w:val="0"/>
          <w:bCs w:val="0"/>
        </w:rPr>
      </w:r>
    </w:p>
    <w:p>
      <w:pPr>
        <w:pStyle w:val="BodyText"/>
        <w:spacing w:line="307" w:lineRule="auto" w:before="63"/>
        <w:ind w:right="1130" w:firstLine="361"/>
        <w:jc w:val="both"/>
      </w:pPr>
      <w:r>
        <w:rPr>
          <w:rFonts w:ascii="Times New Roman" w:hAnsi="Times New Roman" w:cs="Times New Roman" w:eastAsia="Times New Roman" w:hint="default"/>
          <w:spacing w:val="-2"/>
        </w:rPr>
        <w:t>2018</w:t>
      </w:r>
      <w:r>
        <w:rPr>
          <w:spacing w:val="-2"/>
        </w:rPr>
        <w:t>年，烟草行业把党的政治建设摆在首位，坚持党建工作与中心工作一起谋划、一起部署、一起落实、一起考核，着</w:t>
      </w:r>
      <w:r>
        <w:rPr/>
        <w:t> </w:t>
      </w:r>
      <w:r>
        <w:rPr>
          <w:spacing w:val="-2"/>
        </w:rPr>
        <w:t>力抓好各项举措落实，经济运行总体平稳、稳中向好，市场状态持续好转，品牌培育实现新突破，结构优化取得新进展，行</w:t>
      </w:r>
      <w:r>
        <w:rPr>
          <w:spacing w:val="-67"/>
        </w:rPr>
        <w:t> </w:t>
      </w:r>
      <w:r>
        <w:rPr>
          <w:spacing w:val="-67"/>
        </w:rPr>
      </w:r>
      <w:r>
        <w:rPr>
          <w:spacing w:val="2"/>
        </w:rPr>
        <w:t>业改革发展取得新的成效。全年实现税利总额</w:t>
      </w:r>
      <w:r>
        <w:rPr>
          <w:rFonts w:ascii="Times New Roman" w:hAnsi="Times New Roman" w:cs="Times New Roman" w:eastAsia="Times New Roman" w:hint="default"/>
          <w:spacing w:val="2"/>
        </w:rPr>
        <w:t>11,556.2</w:t>
      </w:r>
      <w:r>
        <w:rPr>
          <w:spacing w:val="2"/>
        </w:rPr>
        <w:t>亿元，同比增长</w:t>
      </w:r>
      <w:r>
        <w:rPr>
          <w:rFonts w:ascii="Times New Roman" w:hAnsi="Times New Roman" w:cs="Times New Roman" w:eastAsia="Times New Roman" w:hint="default"/>
          <w:spacing w:val="2"/>
        </w:rPr>
        <w:t>3.69%</w:t>
      </w:r>
      <w:r>
        <w:rPr>
          <w:spacing w:val="2"/>
        </w:rPr>
        <w:t>；上缴国家财政总额</w:t>
      </w:r>
      <w:r>
        <w:rPr>
          <w:rFonts w:ascii="Times New Roman" w:hAnsi="Times New Roman" w:cs="Times New Roman" w:eastAsia="Times New Roman" w:hint="default"/>
          <w:spacing w:val="2"/>
        </w:rPr>
        <w:t>10,000.8</w:t>
      </w:r>
      <w:r>
        <w:rPr>
          <w:spacing w:val="2"/>
        </w:rPr>
        <w:t>亿元，同比增长</w:t>
      </w:r>
      <w:r>
        <w:rPr>
          <w:spacing w:val="-70"/>
        </w:rPr>
        <w:t> </w:t>
      </w:r>
      <w:r>
        <w:rPr>
          <w:spacing w:val="-70"/>
        </w:rPr>
      </w:r>
      <w:r>
        <w:rPr>
          <w:rFonts w:ascii="Times New Roman" w:hAnsi="Times New Roman" w:cs="Times New Roman" w:eastAsia="Times New Roman" w:hint="default"/>
        </w:rPr>
        <w:t>3.37%</w:t>
      </w:r>
      <w:r>
        <w:rPr/>
        <w:t>。</w:t>
      </w:r>
    </w:p>
    <w:p>
      <w:pPr>
        <w:pStyle w:val="BodyText"/>
        <w:spacing w:line="309" w:lineRule="auto" w:before="7"/>
        <w:ind w:right="1050" w:firstLine="361"/>
        <w:jc w:val="both"/>
      </w:pPr>
      <w:r>
        <w:rPr>
          <w:spacing w:val="-2"/>
        </w:rPr>
        <w:t>国家烟草专卖局党组书记、局长，中国烟草总公司总经理张建民在</w:t>
      </w:r>
      <w:r>
        <w:rPr>
          <w:rFonts w:ascii="Times New Roman" w:hAnsi="Times New Roman" w:cs="Times New Roman" w:eastAsia="Times New Roman" w:hint="default"/>
          <w:spacing w:val="-2"/>
        </w:rPr>
        <w:t>2019</w:t>
      </w:r>
      <w:r>
        <w:rPr>
          <w:spacing w:val="-2"/>
        </w:rPr>
        <w:t>年全国烟草工作会议上对</w:t>
      </w:r>
      <w:r>
        <w:rPr>
          <w:rFonts w:ascii="Times New Roman" w:hAnsi="Times New Roman" w:cs="Times New Roman" w:eastAsia="Times New Roman" w:hint="default"/>
          <w:spacing w:val="-2"/>
        </w:rPr>
        <w:t>2019</w:t>
      </w:r>
      <w:r>
        <w:rPr>
          <w:spacing w:val="-2"/>
        </w:rPr>
        <w:t>年行业重点工作进</w:t>
      </w:r>
      <w:r>
        <w:rPr/>
        <w:t> </w:t>
      </w:r>
      <w:r>
        <w:rPr>
          <w:spacing w:val="-2"/>
        </w:rPr>
        <w:t>行了安排部署：一要坚定不移推进全面从严治党；二要深入推进供给侧结构性改革；三要积极推动烟叶生产提质增效；四要</w:t>
      </w:r>
      <w:r>
        <w:rPr>
          <w:spacing w:val="-66"/>
        </w:rPr>
        <w:t> </w:t>
      </w:r>
      <w:r>
        <w:rPr>
          <w:spacing w:val="-66"/>
        </w:rPr>
      </w:r>
      <w:r>
        <w:rPr/>
        <w:t>持续提升烟草市场监管水平；五要全面推进行业改革创新；六要助力打好三大攻坚战。（以上资料来源：国家烟草专卖局）</w:t>
      </w:r>
    </w:p>
    <w:p>
      <w:pPr>
        <w:pStyle w:val="BodyText"/>
        <w:spacing w:line="316" w:lineRule="auto" w:before="24"/>
        <w:ind w:right="1131" w:firstLine="361"/>
        <w:jc w:val="both"/>
      </w:pPr>
      <w:r>
        <w:rPr>
          <w:spacing w:val="-2"/>
        </w:rPr>
        <w:t>公司紧紧把握烟草行业稳中向好、卷烟品牌结构性升级的机遇，围绕客户的需求不断加大设计与研发能力，加大镭射纸</w:t>
      </w:r>
      <w:r>
        <w:rPr/>
        <w:t> </w:t>
      </w:r>
      <w:r>
        <w:rPr>
          <w:spacing w:val="-2"/>
        </w:rPr>
        <w:t>膜等原材料的自供比例，持续改进生产工艺，继续优化公司产品结构，大力拓展新市场及新产品，在报告期内实现良好的销</w:t>
      </w:r>
      <w:r>
        <w:rPr>
          <w:spacing w:val="-66"/>
        </w:rPr>
        <w:t> </w:t>
      </w:r>
      <w:r>
        <w:rPr>
          <w:spacing w:val="-66"/>
        </w:rPr>
      </w:r>
      <w:r>
        <w:rPr/>
        <w:t>售业绩。</w:t>
      </w:r>
    </w:p>
    <w:p>
      <w:pPr>
        <w:pStyle w:val="BodyText"/>
        <w:spacing w:line="300" w:lineRule="auto" w:before="19"/>
        <w:ind w:right="1042" w:firstLine="361"/>
        <w:jc w:val="both"/>
      </w:pPr>
      <w:r>
        <w:rPr/>
        <w:t>国家对卷烟品牌实行</w:t>
      </w:r>
      <w:r>
        <w:rPr>
          <w:rFonts w:ascii="Times New Roman" w:hAnsi="Times New Roman" w:cs="Times New Roman" w:eastAsia="Times New Roman" w:hint="default"/>
        </w:rPr>
        <w:t>“</w:t>
      </w:r>
      <w:r>
        <w:rPr/>
        <w:t>卷烟上水平战略</w:t>
      </w:r>
      <w:r>
        <w:rPr>
          <w:rFonts w:ascii="Times New Roman" w:hAnsi="Times New Roman" w:cs="Times New Roman" w:eastAsia="Times New Roman" w:hint="default"/>
        </w:rPr>
        <w:t>”</w:t>
      </w:r>
      <w:r>
        <w:rPr/>
        <w:t>，卷烟产品的品牌呈现集中化、中高端化，烟标行业的集中度有望进一步提高。 </w:t>
      </w:r>
      <w:r>
        <w:rPr>
          <w:spacing w:val="-4"/>
        </w:rPr>
        <w:t>公司在烟标领域耕耘逾</w:t>
      </w:r>
      <w:r>
        <w:rPr>
          <w:rFonts w:ascii="Times New Roman" w:hAnsi="Times New Roman" w:cs="Times New Roman" w:eastAsia="Times New Roman" w:hint="default"/>
          <w:spacing w:val="-4"/>
        </w:rPr>
        <w:t>20</w:t>
      </w:r>
      <w:r>
        <w:rPr>
          <w:spacing w:val="-4"/>
        </w:rPr>
        <w:t>年，积攒良好的口碑，已成为烟标行业的领先者，公司将充分发挥竞争优势，争取更大的市场份额。</w:t>
      </w:r>
    </w:p>
    <w:p>
      <w:pPr>
        <w:spacing w:line="300" w:lineRule="auto" w:before="13"/>
        <w:ind w:left="515" w:right="0"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、消费带动强劲需求，大包装业务持续升级</w:t>
      </w:r>
      <w:r>
        <w:rPr>
          <w:rFonts w:ascii="宋体" w:hAnsi="宋体" w:cs="宋体" w:eastAsia="宋体" w:hint="default"/>
          <w:b/>
          <w:bCs/>
          <w:w w:val="99"/>
          <w:sz w:val="18"/>
          <w:szCs w:val="18"/>
        </w:rPr>
        <w:t> </w:t>
      </w:r>
      <w:r>
        <w:rPr>
          <w:rFonts w:ascii="宋体" w:hAnsi="宋体" w:cs="宋体" w:eastAsia="宋体" w:hint="default"/>
          <w:spacing w:val="-2"/>
          <w:sz w:val="18"/>
          <w:szCs w:val="18"/>
        </w:rPr>
        <w:t>随着国民生活水平的提高，消费需求不断升级，对于品质生活的需求不断提升，从而带动高端包装的需求，精品纸质包</w:t>
      </w:r>
    </w:p>
    <w:p>
      <w:pPr>
        <w:pStyle w:val="BodyText"/>
        <w:spacing w:line="316" w:lineRule="auto" w:before="31"/>
        <w:ind w:left="515" w:right="0" w:hanging="362"/>
        <w:jc w:val="left"/>
      </w:pPr>
      <w:r>
        <w:rPr/>
        <w:t>装的增长具有巨大的潜力。 </w:t>
      </w:r>
      <w:r>
        <w:rPr>
          <w:spacing w:val="-2"/>
        </w:rPr>
        <w:t>工信部发布的《</w:t>
      </w:r>
      <w:r>
        <w:rPr>
          <w:rFonts w:ascii="Times New Roman" w:hAnsi="Times New Roman" w:cs="Times New Roman" w:eastAsia="Times New Roman" w:hint="default"/>
          <w:spacing w:val="-2"/>
        </w:rPr>
        <w:t>2018</w:t>
      </w:r>
      <w:r>
        <w:rPr>
          <w:spacing w:val="-2"/>
        </w:rPr>
        <w:t>年电子信息制造业运行情况》数据显示，</w:t>
      </w:r>
      <w:r>
        <w:rPr>
          <w:rFonts w:ascii="Times New Roman" w:hAnsi="Times New Roman" w:cs="Times New Roman" w:eastAsia="Times New Roman" w:hint="default"/>
          <w:spacing w:val="-2"/>
        </w:rPr>
        <w:t>2018</w:t>
      </w:r>
      <w:r>
        <w:rPr>
          <w:spacing w:val="-2"/>
        </w:rPr>
        <w:t>年，规模以上电子信息制造业增加值同比增长</w:t>
      </w:r>
      <w:r>
        <w:rPr>
          <w:rFonts w:ascii="Times New Roman" w:hAnsi="Times New Roman" w:cs="Times New Roman" w:eastAsia="Times New Roman" w:hint="default"/>
          <w:spacing w:val="-2"/>
        </w:rPr>
        <w:t>13.1%</w:t>
      </w:r>
      <w:r>
        <w:rPr>
          <w:spacing w:val="-2"/>
        </w:rPr>
        <w:t>；</w:t>
      </w:r>
    </w:p>
    <w:p>
      <w:pPr>
        <w:pStyle w:val="BodyText"/>
        <w:spacing w:line="300" w:lineRule="auto"/>
        <w:ind w:left="515" w:right="1132" w:hanging="362"/>
        <w:jc w:val="left"/>
      </w:pPr>
      <w:r>
        <w:rPr/>
        <w:t>国家统计局公布的数据显示，</w:t>
      </w:r>
      <w:r>
        <w:rPr>
          <w:rFonts w:ascii="Times New Roman" w:hAnsi="Times New Roman" w:cs="Times New Roman" w:eastAsia="Times New Roman" w:hint="default"/>
        </w:rPr>
        <w:t>2018</w:t>
      </w:r>
      <w:r>
        <w:rPr/>
        <w:t>年全年，社会消费品零售总额</w:t>
      </w:r>
      <w:r>
        <w:rPr>
          <w:rFonts w:ascii="Times New Roman" w:hAnsi="Times New Roman" w:cs="Times New Roman" w:eastAsia="Times New Roman" w:hint="default"/>
        </w:rPr>
        <w:t>380,987</w:t>
      </w:r>
      <w:r>
        <w:rPr/>
        <w:t>亿元，比上年增长</w:t>
      </w:r>
      <w:r>
        <w:rPr>
          <w:rFonts w:ascii="Times New Roman" w:hAnsi="Times New Roman" w:cs="Times New Roman" w:eastAsia="Times New Roman" w:hint="default"/>
        </w:rPr>
        <w:t>9.0%</w:t>
      </w:r>
      <w:r>
        <w:rPr/>
        <w:t>。 国家统计局发布的</w:t>
      </w:r>
      <w:r>
        <w:rPr>
          <w:rFonts w:ascii="Times New Roman" w:hAnsi="Times New Roman" w:cs="Times New Roman" w:eastAsia="Times New Roman" w:hint="default"/>
        </w:rPr>
        <w:t>2018</w:t>
      </w:r>
      <w:r>
        <w:rPr/>
        <w:t>年全国酒类行业生产经营显示，</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1-12</w:t>
      </w:r>
      <w:r>
        <w:rPr/>
        <w:t>月，中国规模以上白酒企业累计产量</w:t>
      </w:r>
      <w:r>
        <w:rPr>
          <w:rFonts w:ascii="Times New Roman" w:hAnsi="Times New Roman" w:cs="Times New Roman" w:eastAsia="Times New Roman" w:hint="default"/>
        </w:rPr>
        <w:t>871.2</w:t>
      </w:r>
      <w:r>
        <w:rPr/>
        <w:t>万千升，</w:t>
      </w:r>
    </w:p>
    <w:p>
      <w:pPr>
        <w:pStyle w:val="BodyText"/>
        <w:spacing w:line="300" w:lineRule="auto" w:before="13"/>
        <w:ind w:left="515" w:right="0" w:hanging="362"/>
        <w:jc w:val="left"/>
      </w:pPr>
      <w:r>
        <w:rPr/>
        <w:t>同比增长</w:t>
      </w:r>
      <w:r>
        <w:rPr>
          <w:rFonts w:ascii="Times New Roman" w:hAnsi="Times New Roman" w:cs="Times New Roman" w:eastAsia="Times New Roman" w:hint="default"/>
        </w:rPr>
        <w:t>3.1%</w:t>
      </w:r>
      <w:r>
        <w:rPr/>
        <w:t>；根据中国轻工业网公布的数据显示，</w:t>
      </w:r>
      <w:r>
        <w:rPr>
          <w:rFonts w:ascii="Times New Roman" w:hAnsi="Times New Roman" w:cs="Times New Roman" w:eastAsia="Times New Roman" w:hint="default"/>
        </w:rPr>
        <w:t>2018</w:t>
      </w:r>
      <w:r>
        <w:rPr/>
        <w:t>年白酒制造业利润总额</w:t>
      </w:r>
      <w:r>
        <w:rPr>
          <w:rFonts w:ascii="Times New Roman" w:hAnsi="Times New Roman" w:cs="Times New Roman" w:eastAsia="Times New Roman" w:hint="default"/>
        </w:rPr>
        <w:t>1,250.5</w:t>
      </w:r>
      <w:r>
        <w:rPr/>
        <w:t>亿元，同比增加</w:t>
      </w:r>
      <w:r>
        <w:rPr>
          <w:rFonts w:ascii="Times New Roman" w:hAnsi="Times New Roman" w:cs="Times New Roman" w:eastAsia="Times New Roman" w:hint="default"/>
        </w:rPr>
        <w:t>29.98%</w:t>
      </w:r>
      <w:r>
        <w:rPr/>
        <w:t>。 </w:t>
      </w:r>
      <w:r>
        <w:rPr>
          <w:spacing w:val="-2"/>
        </w:rPr>
        <w:t>公司通过不断研发创新，提升智能化制造及市场开拓能力，密切关注并深入研究精品烟酒、消费电子产品等产业的发展</w:t>
      </w:r>
    </w:p>
    <w:p>
      <w:pPr>
        <w:pStyle w:val="BodyText"/>
        <w:spacing w:line="316" w:lineRule="auto" w:before="31"/>
        <w:ind w:right="1131"/>
        <w:jc w:val="both"/>
      </w:pPr>
      <w:r>
        <w:rPr>
          <w:spacing w:val="-2"/>
        </w:rPr>
        <w:t>趋势，紧抓核心客户的需求，在提升原有精品彩盒业务份额和质量的同时，围绕重点领域持续开发新产品，不断拓展精品彩</w:t>
      </w:r>
      <w:r>
        <w:rPr>
          <w:spacing w:val="-66"/>
        </w:rPr>
        <w:t> </w:t>
      </w:r>
      <w:r>
        <w:rPr>
          <w:spacing w:val="-66"/>
        </w:rPr>
      </w:r>
      <w:r>
        <w:rPr>
          <w:spacing w:val="-2"/>
        </w:rPr>
        <w:t>盒产品的品类，提升市场份额，为消费品企业及消费者用户提供从包装产品创意设计、材料研发到产品制成、创新应用的智</w:t>
      </w:r>
      <w:r>
        <w:rPr>
          <w:spacing w:val="-66"/>
        </w:rPr>
        <w:t> </w:t>
      </w:r>
      <w:r>
        <w:rPr>
          <w:spacing w:val="-66"/>
        </w:rPr>
      </w:r>
      <w:r>
        <w:rPr/>
        <w:t>能化解决方案。</w:t>
      </w:r>
    </w:p>
    <w:p>
      <w:pPr>
        <w:spacing w:line="300" w:lineRule="auto" w:before="19"/>
        <w:ind w:left="515" w:right="1121"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3</w:t>
      </w:r>
      <w:r>
        <w:rPr>
          <w:rFonts w:ascii="宋体" w:hAnsi="宋体" w:cs="宋体" w:eastAsia="宋体" w:hint="default"/>
          <w:b/>
          <w:bCs/>
          <w:sz w:val="18"/>
          <w:szCs w:val="18"/>
        </w:rPr>
        <w:t>、新型烟草发展迅猛，积极探索打造增长亮点</w:t>
      </w:r>
      <w:r>
        <w:rPr>
          <w:rFonts w:ascii="宋体" w:hAnsi="宋体" w:cs="宋体" w:eastAsia="宋体" w:hint="default"/>
          <w:b/>
          <w:bCs/>
          <w:w w:val="99"/>
          <w:sz w:val="18"/>
          <w:szCs w:val="18"/>
        </w:rPr>
        <w:t> </w:t>
      </w:r>
      <w:r>
        <w:rPr>
          <w:rFonts w:ascii="宋体" w:hAnsi="宋体" w:cs="宋体" w:eastAsia="宋体" w:hint="default"/>
          <w:sz w:val="18"/>
          <w:szCs w:val="18"/>
        </w:rPr>
        <w:t>据欧睿国际估计，</w:t>
      </w:r>
      <w:r>
        <w:rPr>
          <w:rFonts w:ascii="Times New Roman" w:hAnsi="Times New Roman" w:cs="Times New Roman" w:eastAsia="Times New Roman" w:hint="default"/>
          <w:sz w:val="18"/>
          <w:szCs w:val="18"/>
        </w:rPr>
        <w:t>2018</w:t>
      </w:r>
      <w:r>
        <w:rPr>
          <w:rFonts w:ascii="宋体" w:hAnsi="宋体" w:cs="宋体" w:eastAsia="宋体" w:hint="default"/>
          <w:sz w:val="18"/>
          <w:szCs w:val="18"/>
        </w:rPr>
        <w:t>年新型烟草制品的消费者超过</w:t>
      </w:r>
      <w:r>
        <w:rPr>
          <w:rFonts w:ascii="Times New Roman" w:hAnsi="Times New Roman" w:cs="Times New Roman" w:eastAsia="Times New Roman" w:hint="default"/>
          <w:sz w:val="18"/>
          <w:szCs w:val="18"/>
        </w:rPr>
        <w:t>4,000</w:t>
      </w:r>
      <w:r>
        <w:rPr>
          <w:rFonts w:ascii="宋体" w:hAnsi="宋体" w:cs="宋体" w:eastAsia="宋体" w:hint="default"/>
          <w:sz w:val="18"/>
          <w:szCs w:val="18"/>
        </w:rPr>
        <w:t>万人，至</w:t>
      </w:r>
      <w:r>
        <w:rPr>
          <w:rFonts w:ascii="Times New Roman" w:hAnsi="Times New Roman" w:cs="Times New Roman" w:eastAsia="Times New Roman" w:hint="default"/>
          <w:sz w:val="18"/>
          <w:szCs w:val="18"/>
        </w:rPr>
        <w:t>2022</w:t>
      </w:r>
      <w:r>
        <w:rPr>
          <w:rFonts w:ascii="宋体" w:hAnsi="宋体" w:cs="宋体" w:eastAsia="宋体" w:hint="default"/>
          <w:sz w:val="18"/>
          <w:szCs w:val="18"/>
        </w:rPr>
        <w:t>年有望增长到</w:t>
      </w:r>
      <w:r>
        <w:rPr>
          <w:rFonts w:ascii="Times New Roman" w:hAnsi="Times New Roman" w:cs="Times New Roman" w:eastAsia="Times New Roman" w:hint="default"/>
          <w:sz w:val="18"/>
          <w:szCs w:val="18"/>
        </w:rPr>
        <w:t>6,400</w:t>
      </w:r>
      <w:r>
        <w:rPr>
          <w:rFonts w:ascii="宋体" w:hAnsi="宋体" w:cs="宋体" w:eastAsia="宋体" w:hint="default"/>
          <w:sz w:val="18"/>
          <w:szCs w:val="18"/>
        </w:rPr>
        <w:t>万人；</w:t>
      </w:r>
      <w:r>
        <w:rPr>
          <w:rFonts w:ascii="Times New Roman" w:hAnsi="Times New Roman" w:cs="Times New Roman" w:eastAsia="Times New Roman" w:hint="default"/>
          <w:sz w:val="18"/>
          <w:szCs w:val="18"/>
        </w:rPr>
        <w:t>2018</w:t>
      </w:r>
      <w:r>
        <w:rPr>
          <w:rFonts w:ascii="宋体" w:hAnsi="宋体" w:cs="宋体" w:eastAsia="宋体" w:hint="default"/>
          <w:sz w:val="18"/>
          <w:szCs w:val="18"/>
        </w:rPr>
        <w:t>年新型烟草制品</w:t>
      </w:r>
    </w:p>
    <w:p>
      <w:pPr>
        <w:pStyle w:val="BodyText"/>
        <w:spacing w:line="300" w:lineRule="auto" w:before="13"/>
        <w:ind w:right="1131"/>
        <w:jc w:val="both"/>
      </w:pPr>
      <w:r>
        <w:rPr>
          <w:spacing w:val="-1"/>
        </w:rPr>
        <w:t>销售额</w:t>
      </w:r>
      <w:r>
        <w:rPr>
          <w:rFonts w:ascii="Times New Roman" w:hAnsi="Times New Roman" w:cs="Times New Roman" w:eastAsia="Times New Roman" w:hint="default"/>
          <w:spacing w:val="-1"/>
        </w:rPr>
        <w:t>247</w:t>
      </w:r>
      <w:r>
        <w:rPr>
          <w:spacing w:val="-1"/>
        </w:rPr>
        <w:t>亿美元，同比增长</w:t>
      </w:r>
      <w:r>
        <w:rPr>
          <w:rFonts w:ascii="Times New Roman" w:hAnsi="Times New Roman" w:cs="Times New Roman" w:eastAsia="Times New Roman" w:hint="default"/>
          <w:spacing w:val="-1"/>
        </w:rPr>
        <w:t>45.8%</w:t>
      </w:r>
      <w:r>
        <w:rPr>
          <w:spacing w:val="-1"/>
        </w:rPr>
        <w:t>，规模相当于排名第</w:t>
      </w:r>
      <w:r>
        <w:rPr>
          <w:rFonts w:ascii="Times New Roman" w:hAnsi="Times New Roman" w:cs="Times New Roman" w:eastAsia="Times New Roman" w:hint="default"/>
          <w:spacing w:val="-1"/>
        </w:rPr>
        <w:t>9</w:t>
      </w:r>
      <w:r>
        <w:rPr>
          <w:spacing w:val="-1"/>
        </w:rPr>
        <w:t>位的卷烟市场，接近烟丝、雪茄的年销售额；预计至</w:t>
      </w:r>
      <w:r>
        <w:rPr>
          <w:rFonts w:ascii="Times New Roman" w:hAnsi="Times New Roman" w:cs="Times New Roman" w:eastAsia="Times New Roman" w:hint="default"/>
          <w:spacing w:val="-1"/>
        </w:rPr>
        <w:t>2020</w:t>
      </w:r>
      <w:r>
        <w:rPr>
          <w:spacing w:val="-1"/>
        </w:rPr>
        <w:t>年，新型</w:t>
      </w:r>
      <w:r>
        <w:rPr>
          <w:spacing w:val="-44"/>
        </w:rPr>
        <w:t> </w:t>
      </w:r>
      <w:r>
        <w:rPr>
          <w:spacing w:val="-44"/>
        </w:rPr>
      </w:r>
      <w:r>
        <w:rPr/>
        <w:t>烟草制品会成为销售额仅次于卷烟的品类。其中，电子烟仍是销售额最大的品类，</w:t>
      </w:r>
      <w:r>
        <w:rPr>
          <w:rFonts w:ascii="Times New Roman" w:hAnsi="Times New Roman" w:cs="Times New Roman" w:eastAsia="Times New Roman" w:hint="default"/>
        </w:rPr>
        <w:t>2018</w:t>
      </w:r>
      <w:r>
        <w:rPr/>
        <w:t>年电子烟的销售额约</w:t>
      </w:r>
      <w:r>
        <w:rPr>
          <w:rFonts w:ascii="Times New Roman" w:hAnsi="Times New Roman" w:cs="Times New Roman" w:eastAsia="Times New Roman" w:hint="default"/>
        </w:rPr>
        <w:t>145.2</w:t>
      </w:r>
      <w:r>
        <w:rPr/>
        <w:t>亿美元，</w:t>
      </w:r>
      <w:r>
        <w:rPr>
          <w:spacing w:val="-44"/>
        </w:rPr>
        <w:t> </w:t>
      </w:r>
      <w:r>
        <w:rPr>
          <w:spacing w:val="-44"/>
        </w:rPr>
      </w:r>
      <w:r>
        <w:rPr/>
        <w:t>同比增长</w:t>
      </w:r>
      <w:r>
        <w:rPr>
          <w:rFonts w:ascii="Times New Roman" w:hAnsi="Times New Roman" w:cs="Times New Roman" w:eastAsia="Times New Roman" w:hint="default"/>
        </w:rPr>
        <w:t>27%</w:t>
      </w:r>
      <w:r>
        <w:rPr/>
        <w:t>；其次是以</w:t>
      </w:r>
      <w:r>
        <w:rPr>
          <w:rFonts w:ascii="Times New Roman" w:hAnsi="Times New Roman" w:cs="Times New Roman" w:eastAsia="Times New Roman" w:hint="default"/>
        </w:rPr>
        <w:t>iQOS</w:t>
      </w:r>
      <w:r>
        <w:rPr/>
        <w:t>为代表的加热烟草制品，</w:t>
      </w:r>
      <w:r>
        <w:rPr>
          <w:rFonts w:ascii="Times New Roman" w:hAnsi="Times New Roman" w:cs="Times New Roman" w:eastAsia="Times New Roman" w:hint="default"/>
        </w:rPr>
        <w:t>2018</w:t>
      </w:r>
      <w:r>
        <w:rPr/>
        <w:t>年销售额约</w:t>
      </w:r>
      <w:r>
        <w:rPr>
          <w:rFonts w:ascii="Times New Roman" w:hAnsi="Times New Roman" w:cs="Times New Roman" w:eastAsia="Times New Roman" w:hint="default"/>
        </w:rPr>
        <w:t>102</w:t>
      </w:r>
      <w:r>
        <w:rPr/>
        <w:t>亿美元，同比增长约</w:t>
      </w:r>
      <w:r>
        <w:rPr>
          <w:rFonts w:ascii="Times New Roman" w:hAnsi="Times New Roman" w:cs="Times New Roman" w:eastAsia="Times New Roman" w:hint="default"/>
        </w:rPr>
        <w:t>1</w:t>
      </w:r>
      <w:r>
        <w:rPr/>
        <w:t>倍，对销售额增幅的贡献</w:t>
      </w:r>
      <w:r>
        <w:rPr>
          <w:spacing w:val="-24"/>
        </w:rPr>
        <w:t> </w:t>
      </w:r>
      <w:r>
        <w:rPr>
          <w:spacing w:val="-24"/>
        </w:rPr>
      </w:r>
      <w:r>
        <w:rPr>
          <w:spacing w:val="-2"/>
        </w:rPr>
        <w:t>最大。在细分品类中，销售额增长最快的是封闭型电子烟，增速高于加热烟草制品，主要原因是美国市场电子烟品类结构的</w:t>
      </w:r>
    </w:p>
    <w:p>
      <w:pPr>
        <w:spacing w:after="0" w:line="300" w:lineRule="auto"/>
        <w:jc w:val="both"/>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240" w:lineRule="auto" w:before="44"/>
        <w:ind w:right="0"/>
        <w:jc w:val="left"/>
      </w:pPr>
      <w:r>
        <w:rPr/>
        <w:t>变化。</w:t>
      </w:r>
    </w:p>
    <w:p>
      <w:pPr>
        <w:pStyle w:val="BodyText"/>
        <w:spacing w:line="300" w:lineRule="auto" w:before="76"/>
        <w:ind w:right="1031" w:firstLine="361"/>
        <w:jc w:val="left"/>
      </w:pPr>
      <w:r>
        <w:rPr>
          <w:rFonts w:ascii="Times New Roman" w:hAnsi="Times New Roman" w:cs="Times New Roman" w:eastAsia="Times New Roman" w:hint="default"/>
        </w:rPr>
        <w:t>2018</w:t>
      </w:r>
      <w:r>
        <w:rPr/>
        <w:t>年全国烟草工作会议明确指出：密切关注烟草市场新动向，大力支持雪茄烟加快发展，积极研发电子烟、口含烟、 加热不燃烧烟草制品等新型产品。</w:t>
      </w:r>
    </w:p>
    <w:p>
      <w:pPr>
        <w:pStyle w:val="BodyText"/>
        <w:spacing w:line="319" w:lineRule="auto" w:before="31"/>
        <w:ind w:right="0" w:firstLine="361"/>
        <w:jc w:val="left"/>
      </w:pPr>
      <w:r>
        <w:rPr>
          <w:spacing w:val="-2"/>
        </w:rPr>
        <w:t>我国为新型烟草制品的出口大国，但目前国内消费市场较小，随着我国消费者对健康减害的需求逐步提升，以及各地中</w:t>
      </w:r>
      <w:r>
        <w:rPr/>
        <w:t> 烟对相关新型烟草制品发展的愈加重视，新型烟草制品的行业规模有望迎来进一步增长。</w:t>
      </w:r>
    </w:p>
    <w:p>
      <w:pPr>
        <w:pStyle w:val="BodyText"/>
        <w:spacing w:line="316" w:lineRule="auto" w:before="17"/>
        <w:ind w:right="1130" w:firstLine="361"/>
        <w:jc w:val="both"/>
      </w:pPr>
      <w:r>
        <w:rPr>
          <w:spacing w:val="-2"/>
        </w:rPr>
        <w:t>公司已在新型烟草制品领域储备了相关技术及资源，积极跟踪新型烟草全球的动态发展，持续跟进国内相关政策及标准</w:t>
      </w:r>
      <w:r>
        <w:rPr/>
        <w:t> </w:t>
      </w:r>
      <w:r>
        <w:rPr>
          <w:spacing w:val="-2"/>
        </w:rPr>
        <w:t>的进程，配合国内外合作方及重点客户，大力拓展加热不燃烧器具、电子烟等新型烟草的研发、生产、营销等工作，培育新</w:t>
      </w:r>
      <w:r>
        <w:rPr>
          <w:spacing w:val="-68"/>
        </w:rPr>
        <w:t> </w:t>
      </w:r>
      <w:r>
        <w:rPr>
          <w:spacing w:val="-68"/>
        </w:rPr>
      </w:r>
      <w:r>
        <w:rPr/>
        <w:t>的利润增长点。</w:t>
      </w:r>
    </w:p>
    <w:p>
      <w:pPr>
        <w:pStyle w:val="Heading4"/>
        <w:spacing w:line="240" w:lineRule="auto" w:before="19"/>
        <w:ind w:right="0"/>
        <w:jc w:val="left"/>
        <w:rPr>
          <w:b w:val="0"/>
          <w:bCs w:val="0"/>
        </w:rPr>
      </w:pPr>
      <w:r>
        <w:rPr/>
        <w:t>（二）公司发展战略</w:t>
      </w:r>
      <w:r>
        <w:rPr>
          <w:b w:val="0"/>
          <w:bCs w:val="0"/>
        </w:rPr>
      </w:r>
    </w:p>
    <w:p>
      <w:pPr>
        <w:pStyle w:val="BodyText"/>
        <w:spacing w:line="304" w:lineRule="auto" w:before="76"/>
        <w:ind w:right="1130" w:firstLine="361"/>
        <w:jc w:val="both"/>
      </w:pPr>
      <w:r>
        <w:rPr/>
        <w:t>《公司五年发展战略规划纲要（</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-2020</w:t>
      </w:r>
      <w:r>
        <w:rPr/>
        <w:t>年）》的发展战略为：确定未来五年，公司重点做大做强大包装和大健康 </w:t>
      </w:r>
      <w:r>
        <w:rPr>
          <w:spacing w:val="-2"/>
        </w:rPr>
        <w:t>两大支柱产业，到</w:t>
      </w:r>
      <w:r>
        <w:rPr>
          <w:rFonts w:ascii="Times New Roman" w:hAnsi="Times New Roman" w:cs="Times New Roman" w:eastAsia="Times New Roman" w:hint="default"/>
          <w:spacing w:val="-2"/>
        </w:rPr>
        <w:t>2020</w:t>
      </w:r>
      <w:r>
        <w:rPr>
          <w:spacing w:val="-2"/>
        </w:rPr>
        <w:t>年营业收入在</w:t>
      </w:r>
      <w:r>
        <w:rPr>
          <w:rFonts w:ascii="Times New Roman" w:hAnsi="Times New Roman" w:cs="Times New Roman" w:eastAsia="Times New Roman" w:hint="default"/>
          <w:spacing w:val="-2"/>
        </w:rPr>
        <w:t>2014</w:t>
      </w:r>
      <w:r>
        <w:rPr>
          <w:spacing w:val="-2"/>
        </w:rPr>
        <w:t>年基础上翻两番，达到</w:t>
      </w:r>
      <w:r>
        <w:rPr>
          <w:rFonts w:ascii="Times New Roman" w:hAnsi="Times New Roman" w:cs="Times New Roman" w:eastAsia="Times New Roman" w:hint="default"/>
          <w:spacing w:val="-2"/>
        </w:rPr>
        <w:t>90</w:t>
      </w:r>
      <w:r>
        <w:rPr>
          <w:spacing w:val="-2"/>
        </w:rPr>
        <w:t>亿元。继续坚持技术创新，提升包装印刷核心竞争力；坚</w:t>
      </w:r>
      <w:r>
        <w:rPr>
          <w:spacing w:val="-56"/>
        </w:rPr>
        <w:t> </w:t>
      </w:r>
      <w:r>
        <w:rPr>
          <w:spacing w:val="-56"/>
        </w:rPr>
      </w:r>
      <w:r>
        <w:rPr>
          <w:spacing w:val="-2"/>
        </w:rPr>
        <w:t>持结构调整，大力发展电子消费品、食品等产品包装；继续推进并购重组，扩大市场份额。同时拓展健康产业，发挥资本优</w:t>
      </w:r>
      <w:r>
        <w:rPr>
          <w:spacing w:val="-68"/>
        </w:rPr>
        <w:t> </w:t>
      </w:r>
      <w:r>
        <w:rPr>
          <w:spacing w:val="-68"/>
        </w:rPr>
      </w:r>
      <w:r>
        <w:rPr/>
        <w:t>势、资源优势，整合国内外著名医疗健康机构，在肿瘤防治、生物制药 、生物工程等方面取得显著成效，到</w:t>
      </w:r>
      <w:r>
        <w:rPr>
          <w:rFonts w:ascii="Times New Roman" w:hAnsi="Times New Roman" w:cs="Times New Roman" w:eastAsia="Times New Roman" w:hint="default"/>
        </w:rPr>
        <w:t>2020</w:t>
      </w:r>
      <w:r>
        <w:rPr/>
        <w:t>年大健康</w:t>
      </w:r>
      <w:r>
        <w:rPr>
          <w:spacing w:val="-86"/>
        </w:rPr>
        <w:t> </w:t>
      </w:r>
      <w:r>
        <w:rPr>
          <w:spacing w:val="-86"/>
        </w:rPr>
      </w:r>
      <w:r>
        <w:rPr/>
        <w:t>产业收入比例达到公司收入的</w:t>
      </w:r>
      <w:r>
        <w:rPr>
          <w:rFonts w:ascii="Times New Roman" w:hAnsi="Times New Roman" w:cs="Times New Roman" w:eastAsia="Times New Roman" w:hint="default"/>
        </w:rPr>
        <w:t>10%</w:t>
      </w:r>
      <w:r>
        <w:rPr/>
        <w:t>。</w:t>
      </w:r>
    </w:p>
    <w:p>
      <w:pPr>
        <w:pStyle w:val="BodyText"/>
        <w:spacing w:line="314" w:lineRule="auto" w:before="9"/>
        <w:ind w:right="0" w:firstLine="361"/>
        <w:jc w:val="left"/>
      </w:pPr>
      <w:r>
        <w:rPr/>
        <w:t>根据公司</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-2018</w:t>
      </w:r>
      <w:r>
        <w:rPr/>
        <w:t>年在大包装及大健康产业取得的成效，并深入分析公司目前所处的行业环境，经过分析评估，公 </w:t>
      </w:r>
      <w:r>
        <w:rPr>
          <w:spacing w:val="-2"/>
        </w:rPr>
        <w:t>司认为：大包装领域，随着烟草行业的回暖，白酒行业、电子消费品等的持续增长，结合公司的前期布局，在大包装产业公</w:t>
      </w:r>
      <w:r>
        <w:rPr>
          <w:spacing w:val="-68"/>
        </w:rPr>
        <w:t> </w:t>
      </w:r>
      <w:r>
        <w:rPr>
          <w:spacing w:val="-68"/>
        </w:rPr>
      </w:r>
      <w:r>
        <w:rPr>
          <w:spacing w:val="-2"/>
        </w:rPr>
        <w:t>司拥有突出的优势，公司应通过多种举措继续提升在大包装产业的综合竞争力；大健康领域，根据公司与专业人士及专业机</w:t>
      </w:r>
      <w:r>
        <w:rPr>
          <w:spacing w:val="-66"/>
        </w:rPr>
        <w:t> </w:t>
      </w:r>
      <w:r>
        <w:rPr>
          <w:spacing w:val="-66"/>
        </w:rPr>
      </w:r>
      <w:r>
        <w:rPr>
          <w:spacing w:val="-2"/>
        </w:rPr>
        <w:t>构在大健康领域的合作、探讨，对国家最新出台的相关法律法规的研究，对生物技术及医疗服务相关标的公司的考察、洽谈</w:t>
      </w:r>
      <w:r>
        <w:rPr>
          <w:spacing w:val="-66"/>
        </w:rPr>
        <w:t> </w:t>
      </w:r>
      <w:r>
        <w:rPr>
          <w:spacing w:val="-66"/>
        </w:rPr>
      </w:r>
      <w:r>
        <w:rPr>
          <w:spacing w:val="-4"/>
        </w:rPr>
        <w:t>结果，结合新型烟草在全球市场的快速发展以及公司在新型烟草的经验积攒，公司将在未来三年，在严格遵守相关法律法规、</w:t>
      </w:r>
      <w:r>
        <w:rPr>
          <w:spacing w:val="-43"/>
        </w:rPr>
        <w:t> </w:t>
      </w:r>
      <w:r>
        <w:rPr>
          <w:spacing w:val="-43"/>
        </w:rPr>
      </w:r>
      <w:r>
        <w:rPr/>
        <w:t>行业规范的前提下，聚焦于大力培育新型烟草产业。</w:t>
      </w:r>
    </w:p>
    <w:p>
      <w:pPr>
        <w:pStyle w:val="BodyText"/>
        <w:spacing w:line="300" w:lineRule="auto" w:before="20"/>
        <w:ind w:left="515" w:right="0"/>
        <w:jc w:val="left"/>
      </w:pPr>
      <w:r>
        <w:rPr>
          <w:spacing w:val="-2"/>
        </w:rPr>
        <w:t>因此，公司决定对公司发展战略规划做出调整，制定《三年发展战略规划纲要（</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-2021</w:t>
      </w:r>
      <w:r>
        <w:rPr>
          <w:spacing w:val="-2"/>
        </w:rPr>
        <w:t>年）》，主要发展战略为：</w:t>
      </w:r>
      <w:r>
        <w:rPr>
          <w:spacing w:val="-35"/>
        </w:rPr>
        <w:t> </w:t>
      </w:r>
      <w:r>
        <w:rPr>
          <w:spacing w:val="-35"/>
        </w:rPr>
      </w:r>
      <w:r>
        <w:rPr>
          <w:spacing w:val="-2"/>
        </w:rPr>
        <w:t>凝聚全力，高质量推进大包装产业发展，继续做大做强做优烟草包装，大力拓展酒包和其他精品包装、提升包装智能设</w:t>
      </w:r>
    </w:p>
    <w:p>
      <w:pPr>
        <w:pStyle w:val="BodyText"/>
        <w:spacing w:line="316" w:lineRule="auto" w:before="32"/>
        <w:ind w:left="515" w:right="5730" w:hanging="362"/>
        <w:jc w:val="left"/>
      </w:pPr>
      <w:r>
        <w:rPr/>
        <w:t>计技术水平，加快建成高新材料基地；积极培育新型烟草产业。 经过努力，</w:t>
      </w:r>
      <w:r>
        <w:rPr>
          <w:rFonts w:ascii="Times New Roman" w:hAnsi="Times New Roman" w:cs="Times New Roman" w:eastAsia="Times New Roman" w:hint="default"/>
        </w:rPr>
        <w:t>2019-2021</w:t>
      </w:r>
      <w:r>
        <w:rPr/>
        <w:t>年，力争达成：</w:t>
      </w:r>
    </w:p>
    <w:p>
      <w:pPr>
        <w:pStyle w:val="BodyText"/>
        <w:spacing w:line="248" w:lineRule="exact"/>
        <w:ind w:left="515" w:right="0"/>
        <w:jc w:val="left"/>
      </w:pPr>
      <w:r>
        <w:rPr>
          <w:rFonts w:ascii="Times New Roman" w:hAnsi="Times New Roman" w:cs="Times New Roman" w:eastAsia="Times New Roman" w:hint="default"/>
        </w:rPr>
        <w:t>1</w:t>
      </w:r>
      <w:r>
        <w:rPr/>
        <w:t>、继续保持公司在全国包装印刷行业龙头地位，实现利润排名、市场规模、股票市值、竞争实力等方面位居同行前列；</w:t>
      </w:r>
    </w:p>
    <w:p>
      <w:pPr>
        <w:pStyle w:val="BodyText"/>
        <w:spacing w:line="240" w:lineRule="auto" w:before="63"/>
        <w:ind w:left="515" w:right="0"/>
        <w:jc w:val="left"/>
      </w:pPr>
      <w:r>
        <w:rPr>
          <w:rFonts w:ascii="宋体" w:hAnsi="宋体" w:cs="宋体" w:eastAsia="宋体" w:hint="default"/>
        </w:rPr>
        <w:t>2</w:t>
      </w:r>
      <w:r>
        <w:rPr/>
        <w:t>、年净利润复合增长率保持两位数以上；</w:t>
      </w:r>
    </w:p>
    <w:p>
      <w:pPr>
        <w:pStyle w:val="BodyText"/>
        <w:spacing w:line="240" w:lineRule="auto" w:before="76"/>
        <w:ind w:left="515" w:right="0"/>
        <w:jc w:val="left"/>
      </w:pPr>
      <w:r>
        <w:rPr>
          <w:rFonts w:ascii="宋体" w:hAnsi="宋体" w:cs="宋体" w:eastAsia="宋体" w:hint="default"/>
        </w:rPr>
        <w:t>3</w:t>
      </w:r>
      <w:r>
        <w:rPr/>
        <w:t>、每年现金分红金额占分红年度经审计合并报表中归属于上市公司普通股股东的净利润的比例不低于</w:t>
      </w:r>
      <w:r>
        <w:rPr>
          <w:rFonts w:ascii="宋体" w:hAnsi="宋体" w:cs="宋体" w:eastAsia="宋体" w:hint="default"/>
        </w:rPr>
        <w:t>50%</w:t>
      </w:r>
      <w:r>
        <w:rPr/>
        <w:t>。</w:t>
      </w:r>
    </w:p>
    <w:p>
      <w:pPr>
        <w:pStyle w:val="Heading4"/>
        <w:spacing w:line="240" w:lineRule="auto" w:before="76"/>
        <w:ind w:right="0"/>
        <w:jc w:val="left"/>
        <w:rPr>
          <w:b w:val="0"/>
          <w:bCs w:val="0"/>
        </w:rPr>
      </w:pPr>
      <w:r>
        <w:rPr/>
        <w:t>（三）公司</w:t>
      </w:r>
      <w:r>
        <w:rPr>
          <w:rFonts w:ascii="Times New Roman" w:hAnsi="Times New Roman" w:cs="Times New Roman" w:eastAsia="Times New Roman" w:hint="default"/>
        </w:rPr>
        <w:t>2019</w:t>
      </w:r>
      <w:r>
        <w:rPr/>
        <w:t>年经营计划</w:t>
      </w:r>
      <w:r>
        <w:rPr>
          <w:b w:val="0"/>
          <w:bCs w:val="0"/>
        </w:rPr>
      </w:r>
    </w:p>
    <w:p>
      <w:pPr>
        <w:pStyle w:val="BodyText"/>
        <w:spacing w:line="309" w:lineRule="auto" w:before="63"/>
        <w:ind w:right="1032" w:firstLine="360"/>
        <w:jc w:val="left"/>
      </w:pPr>
      <w:r>
        <w:rPr>
          <w:rFonts w:ascii="Times New Roman" w:hAnsi="Times New Roman" w:cs="Times New Roman" w:eastAsia="Times New Roman" w:hint="default"/>
          <w:spacing w:val="-2"/>
        </w:rPr>
        <w:t>2019</w:t>
      </w:r>
      <w:r>
        <w:rPr>
          <w:spacing w:val="-2"/>
        </w:rPr>
        <w:t>年，公司以</w:t>
      </w:r>
      <w:r>
        <w:rPr>
          <w:rFonts w:ascii="Times New Roman" w:hAnsi="Times New Roman" w:cs="Times New Roman" w:eastAsia="Times New Roman" w:hint="default"/>
          <w:spacing w:val="-2"/>
        </w:rPr>
        <w:t>“</w:t>
      </w:r>
      <w:r>
        <w:rPr>
          <w:spacing w:val="-2"/>
        </w:rPr>
        <w:t>继续做大做强做优烟草包装主业、大力拓展以酒包装为主的其他精品包装</w:t>
      </w:r>
      <w:r>
        <w:rPr>
          <w:rFonts w:ascii="Times New Roman" w:hAnsi="Times New Roman" w:cs="Times New Roman" w:eastAsia="Times New Roman" w:hint="default"/>
          <w:spacing w:val="-2"/>
        </w:rPr>
        <w:t>”</w:t>
      </w:r>
      <w:r>
        <w:rPr>
          <w:spacing w:val="-2"/>
        </w:rPr>
        <w:t>为核心战略目标，持续整合</w:t>
      </w:r>
      <w:r>
        <w:rPr/>
        <w:t> </w:t>
      </w:r>
      <w:r>
        <w:rPr>
          <w:spacing w:val="-2"/>
        </w:rPr>
        <w:t>优质资源和充分挖掘自身潜能，聚焦经营烟标主业，进一步筑牢夯实烟标龙头地位；大力发展精品彩盒包装，重点培育、发</w:t>
      </w:r>
      <w:r>
        <w:rPr>
          <w:spacing w:val="-66"/>
        </w:rPr>
        <w:t> </w:t>
      </w:r>
      <w:r>
        <w:rPr>
          <w:spacing w:val="-66"/>
        </w:rPr>
      </w:r>
      <w:r>
        <w:rPr/>
        <w:t>展酒包装市场，不断加强物联网技术、</w:t>
      </w:r>
      <w:r>
        <w:rPr>
          <w:rFonts w:ascii="Times New Roman" w:hAnsi="Times New Roman" w:cs="Times New Roman" w:eastAsia="Times New Roman" w:hint="default"/>
        </w:rPr>
        <w:t>RFID</w:t>
      </w:r>
      <w:r>
        <w:rPr/>
        <w:t>等前沿技术在包装产品上的应用，推进彩盒产品成为大包装产业的重要支柱；</w:t>
      </w:r>
      <w:r>
        <w:rPr>
          <w:spacing w:val="-49"/>
        </w:rPr>
        <w:t> </w:t>
      </w:r>
      <w:r>
        <w:rPr>
          <w:spacing w:val="-49"/>
        </w:rPr>
      </w:r>
      <w:r>
        <w:rPr/>
        <w:t>大力支持新型包装材料发展，继续培育新型烟草制品等新兴产业发展；持续推进优质企业并购，努力提升公司的发展质量、 盈利能力和综合实力，实现可持续发展，为股东持续创造价值。公司重点经营计划主要有以下几方面内容：</w:t>
      </w:r>
    </w:p>
    <w:p>
      <w:pPr>
        <w:spacing w:line="300" w:lineRule="auto" w:before="24"/>
        <w:ind w:left="514" w:right="0"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、积极把握烟草行业向好趋势，持续巩固行业龙头地位</w:t>
      </w:r>
      <w:r>
        <w:rPr>
          <w:rFonts w:ascii="宋体" w:hAnsi="宋体" w:cs="宋体" w:eastAsia="宋体" w:hint="default"/>
          <w:b/>
          <w:bCs/>
          <w:w w:val="99"/>
          <w:sz w:val="18"/>
          <w:szCs w:val="18"/>
        </w:rPr>
        <w:t> </w:t>
      </w:r>
      <w:r>
        <w:rPr>
          <w:rFonts w:ascii="宋体" w:hAnsi="宋体" w:cs="宋体" w:eastAsia="宋体" w:hint="default"/>
          <w:spacing w:val="-2"/>
          <w:sz w:val="18"/>
          <w:szCs w:val="18"/>
        </w:rPr>
        <w:t>对烟草行业相关规划、发展动态及客户的需求等信息进行收集、整理、分析，围绕和立足烟标主营业务，持续加强设计</w:t>
      </w:r>
    </w:p>
    <w:p>
      <w:pPr>
        <w:pStyle w:val="BodyText"/>
        <w:spacing w:line="316" w:lineRule="auto" w:before="31"/>
        <w:ind w:right="0"/>
        <w:jc w:val="left"/>
      </w:pPr>
      <w:r>
        <w:rPr>
          <w:spacing w:val="-2"/>
        </w:rPr>
        <w:t>创意、工艺创新、新材料运用、产品开发等各方面的能力，不断挖掘增长潜力；积极把握烟草行业向好趋势，全面进行营销</w:t>
      </w:r>
      <w:r>
        <w:rPr>
          <w:spacing w:val="-68"/>
        </w:rPr>
        <w:t> </w:t>
      </w:r>
      <w:r>
        <w:rPr>
          <w:spacing w:val="-68"/>
        </w:rPr>
      </w:r>
      <w:r>
        <w:rPr>
          <w:spacing w:val="-4"/>
        </w:rPr>
        <w:t>机制改革，积极调整产品结构，积极参与招投标工作，加大新产品开发力度，为客户提供包装一体化解决方案、一站式服务，</w:t>
      </w:r>
      <w:r>
        <w:rPr>
          <w:spacing w:val="-44"/>
        </w:rPr>
        <w:t> </w:t>
      </w:r>
      <w:r>
        <w:rPr>
          <w:spacing w:val="-44"/>
        </w:rPr>
      </w:r>
      <w:r>
        <w:rPr/>
        <w:t>并通过自身的技术优势、资源优势、规模优势、市场优势、产业链优势对优质标的进行整合，持续巩固行业龙头地位。</w:t>
      </w:r>
    </w:p>
    <w:p>
      <w:pPr>
        <w:spacing w:line="300" w:lineRule="auto" w:before="19"/>
        <w:ind w:left="514" w:right="0" w:firstLine="78"/>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、紧跟市场和客户需求，大力拓展精品彩盒包装</w:t>
      </w:r>
      <w:r>
        <w:rPr>
          <w:rFonts w:ascii="宋体" w:hAnsi="宋体" w:cs="宋体" w:eastAsia="宋体" w:hint="default"/>
          <w:b/>
          <w:bCs/>
          <w:w w:val="99"/>
          <w:sz w:val="18"/>
          <w:szCs w:val="18"/>
        </w:rPr>
        <w:t> </w:t>
      </w:r>
      <w:r>
        <w:rPr>
          <w:rFonts w:ascii="宋体" w:hAnsi="宋体" w:cs="宋体" w:eastAsia="宋体" w:hint="default"/>
          <w:spacing w:val="-4"/>
          <w:sz w:val="18"/>
          <w:szCs w:val="18"/>
        </w:rPr>
        <w:t>在市场拓展、产品研发、设计创意、新材料供应、生产销售等方面实行统一领导和管理，进一步深化统筹生产管理资源；</w:t>
      </w:r>
    </w:p>
    <w:p>
      <w:pPr>
        <w:pStyle w:val="BodyText"/>
        <w:spacing w:line="312" w:lineRule="auto" w:before="32"/>
        <w:ind w:right="0"/>
        <w:jc w:val="left"/>
      </w:pPr>
      <w:r>
        <w:rPr/>
        <w:t>紧跟市场和客户需求，持续改进彩盒产品的自动化生产水平、提高生产工艺和产能效率，加大</w:t>
      </w:r>
      <w:r>
        <w:rPr>
          <w:rFonts w:ascii="Times New Roman" w:hAnsi="Times New Roman" w:cs="Times New Roman" w:eastAsia="Times New Roman" w:hint="default"/>
        </w:rPr>
        <w:t>RFID</w:t>
      </w:r>
      <w:r>
        <w:rPr/>
        <w:t>、物联网、大数据等前</w:t>
      </w:r>
      <w:r>
        <w:rPr>
          <w:spacing w:val="-46"/>
        </w:rPr>
        <w:t> </w:t>
      </w:r>
      <w:r>
        <w:rPr>
          <w:spacing w:val="-46"/>
        </w:rPr>
      </w:r>
      <w:r>
        <w:rPr>
          <w:spacing w:val="-4"/>
        </w:rPr>
        <w:t>沿技术在彩盒包装的深度应用，促进客户产品价值、品牌文化的延伸，促进市场销售的增长；紧密配合与茅台技开司的合作，</w:t>
      </w:r>
      <w:r>
        <w:rPr>
          <w:spacing w:val="-46"/>
        </w:rPr>
        <w:t> </w:t>
      </w:r>
      <w:r>
        <w:rPr>
          <w:spacing w:val="-46"/>
        </w:rPr>
      </w:r>
      <w:r>
        <w:rPr>
          <w:spacing w:val="-2"/>
        </w:rPr>
        <w:t>全方位支持和赋能申仁包装的发展，利用公司在大包装产业链上积累的设计研发、智能化生产、业务拓展等综合优势，进一</w:t>
      </w:r>
      <w:r>
        <w:rPr>
          <w:spacing w:val="-66"/>
        </w:rPr>
        <w:t> </w:t>
      </w:r>
      <w:r>
        <w:rPr>
          <w:spacing w:val="-66"/>
        </w:rPr>
      </w:r>
      <w:r>
        <w:rPr/>
        <w:t>步扩大服务对象，并通过项目并购、参股等合作方式，拓展彩盒包装的市场份额，提升公司整体盈利能力。</w:t>
      </w:r>
    </w:p>
    <w:p>
      <w:pPr>
        <w:spacing w:after="0" w:line="312"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spacing w:line="300" w:lineRule="auto" w:before="44"/>
        <w:ind w:left="514" w:right="0"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3</w:t>
      </w:r>
      <w:r>
        <w:rPr>
          <w:rFonts w:ascii="宋体" w:hAnsi="宋体" w:cs="宋体" w:eastAsia="宋体" w:hint="default"/>
          <w:b/>
          <w:bCs/>
          <w:sz w:val="18"/>
          <w:szCs w:val="18"/>
        </w:rPr>
        <w:t>、技术创新市场开发齐发力，做大做强新材料业务</w:t>
      </w:r>
      <w:r>
        <w:rPr>
          <w:rFonts w:ascii="宋体" w:hAnsi="宋体" w:cs="宋体" w:eastAsia="宋体" w:hint="default"/>
          <w:b/>
          <w:bCs/>
          <w:w w:val="99"/>
          <w:sz w:val="18"/>
          <w:szCs w:val="18"/>
        </w:rPr>
        <w:t> </w:t>
      </w:r>
      <w:r>
        <w:rPr>
          <w:rFonts w:ascii="宋体" w:hAnsi="宋体" w:cs="宋体" w:eastAsia="宋体" w:hint="default"/>
          <w:spacing w:val="-2"/>
          <w:sz w:val="18"/>
          <w:szCs w:val="18"/>
        </w:rPr>
        <w:t>充分发挥劲嘉包装研究院、光学材料研究所、包装物联网研发中心等科研机构的优势，加强对包装高新材料的研发和创</w:t>
      </w:r>
    </w:p>
    <w:p>
      <w:pPr>
        <w:pStyle w:val="BodyText"/>
        <w:spacing w:line="319" w:lineRule="auto" w:before="31"/>
        <w:ind w:right="1032"/>
        <w:jc w:val="left"/>
      </w:pPr>
      <w:r>
        <w:rPr>
          <w:spacing w:val="-2"/>
        </w:rPr>
        <w:t>新，立足新材料前沿技术，持续扩充及优化产能，加大上市公司体系新材料供应比例，满足集团对镭射纸膜等新型包装防伪</w:t>
      </w:r>
      <w:r>
        <w:rPr>
          <w:spacing w:val="-66"/>
        </w:rPr>
        <w:t> </w:t>
      </w:r>
      <w:r>
        <w:rPr>
          <w:spacing w:val="-66"/>
        </w:rPr>
      </w:r>
      <w:r>
        <w:rPr/>
        <w:t>材料的需求同时，积极开拓对外销售以及国际市场，拓宽市场销售区域，在稳固现有市场的情况下，拓展产品的应用领域， 利用高品质的产品以及全方面的服务等优势来进一步占领市场，促进镭射纸膜等包装材料的销售增长。</w:t>
      </w:r>
    </w:p>
    <w:p>
      <w:pPr>
        <w:spacing w:line="300" w:lineRule="auto" w:before="17"/>
        <w:ind w:left="514" w:right="0"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4</w:t>
      </w:r>
      <w:r>
        <w:rPr>
          <w:rFonts w:ascii="宋体" w:hAnsi="宋体" w:cs="宋体" w:eastAsia="宋体" w:hint="default"/>
          <w:b/>
          <w:bCs/>
          <w:sz w:val="18"/>
          <w:szCs w:val="18"/>
        </w:rPr>
        <w:t>、积极培育新型烟草产业，携手合作伙伴共同发展</w:t>
      </w:r>
      <w:r>
        <w:rPr>
          <w:rFonts w:ascii="宋体" w:hAnsi="宋体" w:cs="宋体" w:eastAsia="宋体" w:hint="default"/>
          <w:b/>
          <w:bCs/>
          <w:w w:val="99"/>
          <w:sz w:val="18"/>
          <w:szCs w:val="18"/>
        </w:rPr>
        <w:t> </w:t>
      </w:r>
      <w:r>
        <w:rPr>
          <w:rFonts w:ascii="宋体" w:hAnsi="宋体" w:cs="宋体" w:eastAsia="宋体" w:hint="default"/>
          <w:spacing w:val="-2"/>
          <w:sz w:val="18"/>
          <w:szCs w:val="18"/>
        </w:rPr>
        <w:t>公司将密切关注新型烟草相关政策、产业发展的最新动态，不断加大自主研发力度，推进研发管理体系有效运行，继续</w:t>
      </w:r>
    </w:p>
    <w:p>
      <w:pPr>
        <w:pStyle w:val="BodyText"/>
        <w:spacing w:line="316" w:lineRule="auto" w:before="31"/>
        <w:ind w:right="1133"/>
        <w:jc w:val="both"/>
      </w:pPr>
      <w:r>
        <w:rPr>
          <w:spacing w:val="-2"/>
        </w:rPr>
        <w:t>配合中烟公司等客户进行新型烟草制品的产品研发，做好相关技术预研与产品储备；进一步深化与云南中烟的战略合作，推</w:t>
      </w:r>
      <w:r>
        <w:rPr>
          <w:spacing w:val="-66"/>
        </w:rPr>
        <w:t> </w:t>
      </w:r>
      <w:r>
        <w:rPr>
          <w:spacing w:val="-66"/>
        </w:rPr>
      </w:r>
      <w:r>
        <w:rPr>
          <w:spacing w:val="-2"/>
        </w:rPr>
        <w:t>进双方品牌及联合品牌产品的生产及销售；积极协调资源，依靠因味科技各股东方的综合优势，在符合当地相关政策的前提</w:t>
      </w:r>
      <w:r>
        <w:rPr>
          <w:spacing w:val="-66"/>
        </w:rPr>
        <w:t> </w:t>
      </w:r>
      <w:r>
        <w:rPr>
          <w:spacing w:val="-66"/>
        </w:rPr>
      </w:r>
      <w:r>
        <w:rPr/>
        <w:t>下，争取推出具有市场影响力的新型烟草器具制品，并实现良好的销售。</w:t>
      </w:r>
    </w:p>
    <w:p>
      <w:pPr>
        <w:spacing w:line="300" w:lineRule="auto" w:before="19"/>
        <w:ind w:left="514" w:right="0"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5</w:t>
      </w:r>
      <w:r>
        <w:rPr>
          <w:rFonts w:ascii="宋体" w:hAnsi="宋体" w:cs="宋体" w:eastAsia="宋体" w:hint="default"/>
          <w:b/>
          <w:bCs/>
          <w:sz w:val="18"/>
          <w:szCs w:val="18"/>
        </w:rPr>
        <w:t>、积极推进外延并购，为公司持续注入发展动力</w:t>
      </w:r>
      <w:r>
        <w:rPr>
          <w:rFonts w:ascii="宋体" w:hAnsi="宋体" w:cs="宋体" w:eastAsia="宋体" w:hint="default"/>
          <w:b/>
          <w:bCs/>
          <w:w w:val="99"/>
          <w:sz w:val="18"/>
          <w:szCs w:val="18"/>
        </w:rPr>
        <w:t> </w:t>
      </w:r>
      <w:r>
        <w:rPr>
          <w:rFonts w:ascii="宋体" w:hAnsi="宋体" w:cs="宋体" w:eastAsia="宋体" w:hint="default"/>
          <w:spacing w:val="-2"/>
          <w:sz w:val="18"/>
          <w:szCs w:val="18"/>
        </w:rPr>
        <w:t>通过内生性增长以及外延性扩张多种方式进行横向规模扩张及纵向产业链延伸，加强投资并购统筹，围绕包装产业链以</w:t>
      </w:r>
    </w:p>
    <w:p>
      <w:pPr>
        <w:pStyle w:val="BodyText"/>
        <w:spacing w:line="316" w:lineRule="auto" w:before="31"/>
        <w:ind w:right="1131"/>
        <w:jc w:val="both"/>
      </w:pPr>
      <w:r>
        <w:rPr>
          <w:spacing w:val="-2"/>
        </w:rPr>
        <w:t>及新型烟草等新兴业务进行扩充，重点加大对有核心技术、有客户优势、和公司有协同效应的优质企业的投资并购力度；同</w:t>
      </w:r>
      <w:r>
        <w:rPr>
          <w:spacing w:val="-66"/>
        </w:rPr>
        <w:t> </w:t>
      </w:r>
      <w:r>
        <w:rPr>
          <w:spacing w:val="-66"/>
        </w:rPr>
      </w:r>
      <w:r>
        <w:rPr>
          <w:spacing w:val="-2"/>
        </w:rPr>
        <w:t>时加大对海外市场布局的推进速度，并借助复星集团专业的投资经验、风险控制经验等，通过采取产业并购等手段，整合优</w:t>
      </w:r>
      <w:r>
        <w:rPr>
          <w:spacing w:val="-66"/>
        </w:rPr>
        <w:t> </w:t>
      </w:r>
      <w:r>
        <w:rPr>
          <w:spacing w:val="-66"/>
        </w:rPr>
      </w:r>
      <w:r>
        <w:rPr/>
        <w:t>势资源，以实现公司产业升级和规模扩张的需求目标，为公司持续注入发展动力。</w:t>
      </w:r>
    </w:p>
    <w:p>
      <w:pPr>
        <w:pStyle w:val="Heading4"/>
        <w:spacing w:line="240" w:lineRule="auto" w:before="19"/>
        <w:ind w:left="514" w:right="0"/>
        <w:jc w:val="left"/>
        <w:rPr>
          <w:b w:val="0"/>
          <w:bCs w:val="0"/>
        </w:rPr>
      </w:pPr>
      <w:r>
        <w:rPr/>
        <w:t>（四）风险分析</w:t>
      </w:r>
      <w:r>
        <w:rPr>
          <w:b w:val="0"/>
          <w:bCs w:val="0"/>
        </w:rPr>
      </w:r>
    </w:p>
    <w:p>
      <w:pPr>
        <w:pStyle w:val="BodyText"/>
        <w:spacing w:line="300" w:lineRule="auto" w:before="76"/>
        <w:ind w:left="514" w:right="0"/>
        <w:jc w:val="left"/>
      </w:pPr>
      <w:r>
        <w:rPr>
          <w:rFonts w:ascii="Times New Roman" w:hAnsi="Times New Roman" w:cs="Times New Roman" w:eastAsia="Times New Roman" w:hint="default"/>
        </w:rPr>
        <w:t>1</w:t>
      </w:r>
      <w:r>
        <w:rPr/>
        <w:t>、产业政策风险 </w:t>
      </w:r>
      <w:r>
        <w:rPr>
          <w:spacing w:val="-2"/>
        </w:rPr>
        <w:t>公司的主营烟标业务依赖于烟草行业，国家对烟草行业税收的提高和禁烟场所的扩大，将有可能影响到香烟的销量，进</w:t>
      </w:r>
    </w:p>
    <w:p>
      <w:pPr>
        <w:pStyle w:val="BodyText"/>
        <w:spacing w:line="316" w:lineRule="auto" w:before="31"/>
        <w:ind w:left="514" w:right="0" w:hanging="360"/>
        <w:jc w:val="left"/>
      </w:pPr>
      <w:r>
        <w:rPr/>
        <w:t>而影响到烟标的销量和价格。 国内的新型烟草行业尚未出台明确的相关标准及监管体制，公司未获得烟草专卖品的生产、销售、进出口许可证。 </w:t>
      </w:r>
      <w:r>
        <w:rPr>
          <w:spacing w:val="-2"/>
        </w:rPr>
        <w:t>对策：在大包装产业方面，公司将继续推进产品和产业转型，拓展非烟标市场和大健康等新产业，在执行过程中，将科</w:t>
      </w:r>
    </w:p>
    <w:p>
      <w:pPr>
        <w:pStyle w:val="BodyText"/>
        <w:spacing w:line="319" w:lineRule="auto" w:before="19"/>
        <w:ind w:right="0"/>
        <w:jc w:val="left"/>
      </w:pPr>
      <w:r>
        <w:rPr>
          <w:spacing w:val="-2"/>
        </w:rPr>
        <w:t>学论证、充分调研、合理布局，积极应对烟标产业的政策风险；在新型烟草行业方面，公司将密切关注国内外对于新型烟草</w:t>
      </w:r>
      <w:r>
        <w:rPr>
          <w:spacing w:val="-66"/>
        </w:rPr>
        <w:t> </w:t>
      </w:r>
      <w:r>
        <w:rPr>
          <w:spacing w:val="-66"/>
        </w:rPr>
      </w:r>
      <w:r>
        <w:rPr/>
        <w:t>制品的相关政策、标准等，在合规的前提下开展业务。</w:t>
      </w:r>
    </w:p>
    <w:p>
      <w:pPr>
        <w:pStyle w:val="BodyText"/>
        <w:spacing w:line="309" w:lineRule="auto" w:before="17"/>
        <w:ind w:left="514" w:right="1118"/>
        <w:jc w:val="left"/>
      </w:pPr>
      <w:r>
        <w:rPr>
          <w:rFonts w:ascii="Times New Roman" w:hAnsi="Times New Roman" w:cs="Times New Roman" w:eastAsia="Times New Roman" w:hint="default"/>
        </w:rPr>
        <w:t>2</w:t>
      </w:r>
      <w:r>
        <w:rPr/>
        <w:t>、新产品市场开拓风险 公司在进行新产品转型过程中，将面对新产品市场的激烈竞争，市场开拓能否成功具有一定的风险。 </w:t>
      </w:r>
      <w:r>
        <w:rPr>
          <w:spacing w:val="-2"/>
        </w:rPr>
        <w:t>对策：公司将对新产品的市场进行充分调研和论证，结合各子公司实际的设备、产能、技术情况和新产品的区域市场情</w:t>
      </w:r>
    </w:p>
    <w:p>
      <w:pPr>
        <w:pStyle w:val="BodyText"/>
        <w:spacing w:line="240" w:lineRule="auto" w:before="24"/>
        <w:ind w:right="0"/>
        <w:jc w:val="left"/>
      </w:pPr>
      <w:r>
        <w:rPr/>
        <w:t>况，积极拓展、科学布局。此外，将通过技术创新，提升在新产品市场的竞争能力。</w:t>
      </w:r>
    </w:p>
    <w:p>
      <w:pPr>
        <w:pStyle w:val="BodyText"/>
        <w:spacing w:line="300" w:lineRule="auto" w:before="76"/>
        <w:ind w:left="514" w:right="0"/>
        <w:jc w:val="left"/>
      </w:pPr>
      <w:r>
        <w:rPr>
          <w:rFonts w:ascii="Times New Roman" w:hAnsi="Times New Roman" w:cs="Times New Roman" w:eastAsia="Times New Roman" w:hint="default"/>
        </w:rPr>
        <w:t>3</w:t>
      </w:r>
      <w:r>
        <w:rPr/>
        <w:t>、外延并购风险 </w:t>
      </w:r>
      <w:r>
        <w:rPr>
          <w:spacing w:val="-2"/>
        </w:rPr>
        <w:t>公司在进行外延并购过程中，将面临并购竞争和整合协同风险。并购项目能否成功，将受诸多因素的影响；成功的并购</w:t>
      </w:r>
    </w:p>
    <w:p>
      <w:pPr>
        <w:pStyle w:val="BodyText"/>
        <w:spacing w:line="316" w:lineRule="auto" w:before="31"/>
        <w:ind w:left="514" w:right="0" w:hanging="360"/>
        <w:jc w:val="left"/>
      </w:pPr>
      <w:r>
        <w:rPr/>
        <w:t>项目能否获得持续的并购价值，具有一定的风险。 </w:t>
      </w:r>
      <w:r>
        <w:rPr>
          <w:spacing w:val="-2"/>
        </w:rPr>
        <w:t>对策：对并购标的进行深入调研、精挑细选，在并购谈判中进行充分论证和科学决策，总结多年的并购整合经验，加强</w:t>
      </w:r>
    </w:p>
    <w:p>
      <w:pPr>
        <w:pStyle w:val="BodyText"/>
        <w:spacing w:line="240" w:lineRule="auto" w:before="19"/>
        <w:ind w:right="0"/>
        <w:jc w:val="left"/>
      </w:pPr>
      <w:r>
        <w:rPr/>
        <w:t>对并购项目的科学管控，防范并购风险。</w:t>
      </w:r>
    </w:p>
    <w:p>
      <w:pPr>
        <w:pStyle w:val="BodyText"/>
        <w:spacing w:line="300" w:lineRule="auto" w:before="76"/>
        <w:ind w:left="514" w:right="0"/>
        <w:jc w:val="left"/>
      </w:pPr>
      <w:r>
        <w:rPr>
          <w:rFonts w:ascii="Times New Roman" w:hAnsi="Times New Roman" w:cs="Times New Roman" w:eastAsia="Times New Roman" w:hint="default"/>
        </w:rPr>
        <w:t>4</w:t>
      </w:r>
      <w:r>
        <w:rPr/>
        <w:t>、原材料价格上升和烟标产品价格下降影响毛利率风险 </w:t>
      </w:r>
      <w:r>
        <w:rPr>
          <w:spacing w:val="-2"/>
        </w:rPr>
        <w:t>由于全球的经济波动和人民币汇率的变化，原材料价格有可能上升，同时由于烟草行业的新的竞争格局和烟标行业全国</w:t>
      </w:r>
    </w:p>
    <w:p>
      <w:pPr>
        <w:pStyle w:val="BodyText"/>
        <w:spacing w:line="316" w:lineRule="auto" w:before="31"/>
        <w:ind w:left="514" w:right="0" w:hanging="360"/>
        <w:jc w:val="left"/>
      </w:pPr>
      <w:r>
        <w:rPr/>
        <w:t>公开招标和对标的推行，将对烟标价格产生压力，影响公司的毛利率水平。 </w:t>
      </w:r>
      <w:r>
        <w:rPr>
          <w:spacing w:val="-2"/>
        </w:rPr>
        <w:t>对策：通过规模化生产、集中采购、提升管理水平和降低生产成本，将原材料产品的价格变化对毛利率的影响减少到最</w:t>
      </w:r>
    </w:p>
    <w:p>
      <w:pPr>
        <w:pStyle w:val="BodyText"/>
        <w:spacing w:line="240" w:lineRule="auto" w:before="19"/>
        <w:ind w:right="0"/>
        <w:jc w:val="left"/>
      </w:pPr>
      <w:r>
        <w:rPr/>
        <w:t>低程度。</w:t>
      </w:r>
    </w:p>
    <w:p>
      <w:pPr>
        <w:pStyle w:val="BodyText"/>
        <w:spacing w:line="300" w:lineRule="auto" w:before="76"/>
        <w:ind w:left="514" w:right="0"/>
        <w:jc w:val="left"/>
      </w:pPr>
      <w:r>
        <w:rPr>
          <w:rFonts w:ascii="Times New Roman" w:hAnsi="Times New Roman" w:cs="Times New Roman" w:eastAsia="Times New Roman" w:hint="default"/>
        </w:rPr>
        <w:t>5</w:t>
      </w:r>
      <w:r>
        <w:rPr/>
        <w:t>、管理风险和人力资源风险 </w:t>
      </w:r>
      <w:r>
        <w:rPr>
          <w:spacing w:val="-2"/>
        </w:rPr>
        <w:t>公司经过几年的快速发展，规模逐渐扩大，公司也需要更多、更优秀的管理人才，如果公司的管理能力和人力资源不能</w:t>
      </w:r>
    </w:p>
    <w:p>
      <w:pPr>
        <w:pStyle w:val="BodyText"/>
        <w:spacing w:line="319" w:lineRule="auto" w:before="31"/>
        <w:ind w:left="514" w:right="0" w:hanging="360"/>
        <w:jc w:val="left"/>
      </w:pPr>
      <w:r>
        <w:rPr/>
        <w:t>适应新的环境变化，将会给公司带来不利影响。 </w:t>
      </w:r>
      <w:r>
        <w:rPr>
          <w:spacing w:val="-4"/>
        </w:rPr>
        <w:t>对策：公司将积极引进专业人才，加快队伍建设，夯实企业发展基础，推行职业经理化，继续将完善人才约束激励机制，</w:t>
      </w:r>
    </w:p>
    <w:p>
      <w:pPr>
        <w:pStyle w:val="BodyText"/>
        <w:spacing w:line="240" w:lineRule="auto" w:before="17"/>
        <w:ind w:right="0"/>
        <w:jc w:val="left"/>
      </w:pPr>
      <w:r>
        <w:rPr/>
        <w:t>重视内部培训，优化组织结构，加强规范管理。</w:t>
      </w:r>
    </w:p>
    <w:p>
      <w:pPr>
        <w:pStyle w:val="BodyText"/>
        <w:spacing w:line="300" w:lineRule="auto" w:before="76"/>
        <w:ind w:left="514" w:right="0"/>
        <w:jc w:val="left"/>
      </w:pPr>
      <w:r>
        <w:rPr>
          <w:rFonts w:ascii="Times New Roman" w:hAnsi="Times New Roman" w:cs="Times New Roman" w:eastAsia="Times New Roman" w:hint="default"/>
        </w:rPr>
        <w:t>6</w:t>
      </w:r>
      <w:r>
        <w:rPr/>
        <w:t>、跨行业经营风险 </w:t>
      </w:r>
      <w:r>
        <w:rPr>
          <w:spacing w:val="-2"/>
        </w:rPr>
        <w:t>公司拓展新型烟草等新型产业，有利于利用公司的资源优势，延伸公司的业务和产业链条，但与公司目前主营业务存在</w:t>
      </w:r>
    </w:p>
    <w:p>
      <w:pPr>
        <w:spacing w:after="0" w:line="30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6" w:lineRule="auto" w:before="44"/>
        <w:ind w:left="514" w:right="0" w:hanging="360"/>
        <w:jc w:val="left"/>
      </w:pPr>
      <w:r>
        <w:rPr/>
        <w:t>较大差别，存在经营经验不足以及未来行业市场不确定等风险，公司面临跨行业经营风险。 </w:t>
      </w:r>
      <w:r>
        <w:rPr>
          <w:spacing w:val="-2"/>
        </w:rPr>
        <w:t>对策：公司将继续壮大专业团队队伍，整合优质资源，与更多国内外专业机构展开合作，推动新型烟草等新型产业的稳</w:t>
      </w:r>
    </w:p>
    <w:p>
      <w:pPr>
        <w:pStyle w:val="BodyText"/>
        <w:spacing w:line="240" w:lineRule="auto" w:before="19"/>
        <w:ind w:right="0"/>
        <w:jc w:val="left"/>
      </w:pPr>
      <w:r>
        <w:rPr/>
        <w:t>健发展。</w:t>
      </w:r>
    </w:p>
    <w:p>
      <w:pPr>
        <w:pStyle w:val="BodyText"/>
        <w:spacing w:line="300" w:lineRule="auto" w:before="76"/>
        <w:ind w:left="514" w:right="0"/>
        <w:jc w:val="left"/>
      </w:pPr>
      <w:r>
        <w:rPr>
          <w:rFonts w:ascii="Times New Roman" w:hAnsi="Times New Roman" w:cs="Times New Roman" w:eastAsia="Times New Roman" w:hint="default"/>
        </w:rPr>
        <w:t>7</w:t>
      </w:r>
      <w:r>
        <w:rPr/>
        <w:t>、商誉减值风险 </w:t>
      </w:r>
      <w:r>
        <w:rPr>
          <w:spacing w:val="-2"/>
        </w:rPr>
        <w:t>根据《企业会计准则》规定，上市公司收购属于非同一控制下企业合并的情形的，交易完成后，合并资产负债表中将形</w:t>
      </w:r>
    </w:p>
    <w:p>
      <w:pPr>
        <w:pStyle w:val="BodyText"/>
        <w:spacing w:line="316" w:lineRule="auto" w:before="31"/>
        <w:ind w:right="0"/>
        <w:jc w:val="left"/>
      </w:pPr>
      <w:r>
        <w:rPr>
          <w:spacing w:val="-2"/>
        </w:rPr>
        <w:t>成一定金额的商誉。根据《企业会计准则》规定，经确认的商誉在持有期间不需要做摊销处理，但需在未来每年年度终了进</w:t>
      </w:r>
      <w:r>
        <w:rPr>
          <w:spacing w:val="-66"/>
        </w:rPr>
        <w:t> </w:t>
      </w:r>
      <w:r>
        <w:rPr>
          <w:spacing w:val="-66"/>
        </w:rPr>
      </w:r>
      <w:r>
        <w:rPr/>
        <w:t>行减值测试。如果收购标的未来经营状况恶化，则存在商誉减值的风险，从而对公司当期损益造成不利影响。</w:t>
      </w:r>
    </w:p>
    <w:p>
      <w:pPr>
        <w:pStyle w:val="BodyText"/>
        <w:spacing w:line="240" w:lineRule="auto" w:before="19"/>
        <w:ind w:left="514" w:right="0"/>
        <w:jc w:val="left"/>
      </w:pPr>
      <w:r>
        <w:rPr/>
        <w:t>对策：公司将充分发挥多年的并购整合经验，加强对并购项目的科学管控，发挥并购协同效应，防范并购风险。</w:t>
      </w:r>
    </w:p>
    <w:p>
      <w:pPr>
        <w:spacing w:line="240" w:lineRule="auto" w:before="2"/>
        <w:rPr>
          <w:rFonts w:ascii="宋体" w:hAnsi="宋体" w:cs="宋体" w:eastAsia="宋体" w:hint="default"/>
          <w:sz w:val="25"/>
          <w:szCs w:val="25"/>
        </w:rPr>
      </w:pPr>
    </w:p>
    <w:p>
      <w:pPr>
        <w:pStyle w:val="Heading2"/>
        <w:spacing w:line="240" w:lineRule="auto"/>
        <w:ind w:right="0"/>
        <w:jc w:val="left"/>
        <w:rPr>
          <w:b w:val="0"/>
          <w:bCs w:val="0"/>
        </w:rPr>
      </w:pPr>
      <w:bookmarkStart w:name="十、接待调研、沟通、采访等活动" w:id="59"/>
      <w:bookmarkEnd w:id="59"/>
      <w:r>
        <w:rPr>
          <w:b w:val="0"/>
          <w:bCs w:val="0"/>
        </w:rPr>
      </w:r>
      <w:r>
        <w:rPr/>
        <w:t>十、接待调研、沟通、采访等活动</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报告期内接待调研、沟通、采访等活动登记表" w:id="60"/>
      <w:bookmarkEnd w:id="60"/>
      <w:r>
        <w:rPr>
          <w:b w:val="0"/>
          <w:bCs w:val="0"/>
        </w:rPr>
      </w:r>
      <w:r>
        <w:rPr>
          <w:rFonts w:ascii="Times New Roman" w:hAnsi="Times New Roman" w:cs="Times New Roman" w:eastAsia="Times New Roman" w:hint="default"/>
        </w:rPr>
        <w:t>1</w:t>
      </w:r>
      <w:r>
        <w:rPr/>
        <w:t>、报告期内接待调研、沟通、采访等活动登记表</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8"/>
          <w:szCs w:val="18"/>
        </w:rPr>
      </w:pPr>
    </w:p>
    <w:p>
      <w:pPr>
        <w:pStyle w:val="BodyText"/>
        <w:spacing w:line="240" w:lineRule="auto" w:before="44"/>
        <w:ind w:left="0" w:right="1139"/>
        <w:jc w:val="right"/>
      </w:pPr>
      <w:r>
        <w:rPr/>
        <w:pict>
          <v:shape style="position:absolute;margin-left:56.459999pt;margin-top:-282.298248pt;width:479.25pt;height:342.25pt;mso-position-horizontal-relative:page;mso-position-vertical-relative:paragraph;z-index:126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702"/>
                    <w:gridCol w:w="992"/>
                    <w:gridCol w:w="1702"/>
                    <w:gridCol w:w="5174"/>
                  </w:tblGrid>
                  <w:tr>
                    <w:trPr>
                      <w:trHeight w:val="401" w:hRule="exact"/>
                    </w:trPr>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85" w:right="0"/>
                          <w:jc w:val="left"/>
                          <w:rPr>
                            <w:rFonts w:ascii="宋体" w:hAnsi="宋体" w:cs="宋体" w:eastAsia="宋体" w:hint="default"/>
                            <w:sz w:val="18"/>
                            <w:szCs w:val="18"/>
                          </w:rPr>
                        </w:pPr>
                        <w:r>
                          <w:rPr>
                            <w:rFonts w:ascii="宋体" w:hAnsi="宋体" w:cs="宋体" w:eastAsia="宋体" w:hint="default"/>
                            <w:sz w:val="18"/>
                            <w:szCs w:val="18"/>
                          </w:rPr>
                          <w:t>接待时间</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30" w:right="0"/>
                          <w:jc w:val="left"/>
                          <w:rPr>
                            <w:rFonts w:ascii="宋体" w:hAnsi="宋体" w:cs="宋体" w:eastAsia="宋体" w:hint="default"/>
                            <w:sz w:val="18"/>
                            <w:szCs w:val="18"/>
                          </w:rPr>
                        </w:pPr>
                        <w:r>
                          <w:rPr>
                            <w:rFonts w:ascii="宋体" w:hAnsi="宋体" w:cs="宋体" w:eastAsia="宋体" w:hint="default"/>
                            <w:sz w:val="18"/>
                            <w:szCs w:val="18"/>
                          </w:rPr>
                          <w:t>接待方式</w:t>
                        </w: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04" w:right="0"/>
                          <w:jc w:val="left"/>
                          <w:rPr>
                            <w:rFonts w:ascii="宋体" w:hAnsi="宋体" w:cs="宋体" w:eastAsia="宋体" w:hint="default"/>
                            <w:sz w:val="18"/>
                            <w:szCs w:val="18"/>
                          </w:rPr>
                        </w:pPr>
                        <w:r>
                          <w:rPr>
                            <w:rFonts w:ascii="宋体" w:hAnsi="宋体" w:cs="宋体" w:eastAsia="宋体" w:hint="default"/>
                            <w:sz w:val="18"/>
                            <w:szCs w:val="18"/>
                          </w:rPr>
                          <w:t>接待对象类型</w:t>
                        </w:r>
                      </w:p>
                    </w:tc>
                    <w:tc>
                      <w:tcPr>
                        <w:tcW w:w="51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调研的基本情况索引</w:t>
                        </w:r>
                      </w:p>
                    </w:tc>
                  </w:tr>
                  <w:tr>
                    <w:trPr>
                      <w:trHeight w:val="402"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5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34"/>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日刊登于巨潮资讯网的《投资者关系活动记录表》</w:t>
                        </w:r>
                      </w:p>
                    </w:tc>
                  </w:tr>
                  <w:tr>
                    <w:trPr>
                      <w:trHeight w:val="402"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5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34"/>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 </w:t>
                        </w:r>
                        <w:r>
                          <w:rPr>
                            <w:rFonts w:ascii="宋体" w:hAnsi="宋体" w:cs="宋体" w:eastAsia="宋体" w:hint="default"/>
                            <w:sz w:val="18"/>
                            <w:szCs w:val="18"/>
                          </w:rPr>
                          <w:t>日刊登于巨潮资讯网的《投资者关系活动记录表》</w:t>
                        </w:r>
                      </w:p>
                    </w:tc>
                  </w:tr>
                  <w:tr>
                    <w:trPr>
                      <w:trHeight w:val="402"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5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34"/>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 </w:t>
                        </w:r>
                        <w:r>
                          <w:rPr>
                            <w:rFonts w:ascii="宋体" w:hAnsi="宋体" w:cs="宋体" w:eastAsia="宋体" w:hint="default"/>
                            <w:sz w:val="18"/>
                            <w:szCs w:val="18"/>
                          </w:rPr>
                          <w:t>日刊登于巨潮资讯网的《投资者关系活动记录表》</w:t>
                        </w:r>
                      </w:p>
                    </w:tc>
                  </w:tr>
                  <w:tr>
                    <w:trPr>
                      <w:trHeight w:val="402"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5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34"/>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 </w:t>
                        </w:r>
                        <w:r>
                          <w:rPr>
                            <w:rFonts w:ascii="宋体" w:hAnsi="宋体" w:cs="宋体" w:eastAsia="宋体" w:hint="default"/>
                            <w:sz w:val="18"/>
                            <w:szCs w:val="18"/>
                          </w:rPr>
                          <w:t>日刊登于巨潮资讯网的《投资者关系活动记录表》</w:t>
                        </w:r>
                      </w:p>
                    </w:tc>
                  </w:tr>
                  <w:tr>
                    <w:trPr>
                      <w:trHeight w:val="402"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5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3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日刊登于巨潮资讯网的《投资者关系活动记录表》</w:t>
                        </w:r>
                      </w:p>
                    </w:tc>
                  </w:tr>
                  <w:tr>
                    <w:trPr>
                      <w:trHeight w:val="402"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5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3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日刊登于巨潮资讯网的《投资者关系活动记录表》</w:t>
                        </w:r>
                      </w:p>
                    </w:tc>
                  </w:tr>
                  <w:tr>
                    <w:trPr>
                      <w:trHeight w:val="402"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5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34"/>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日刊登于巨潮资讯网的《投资者关系活动记录表》</w:t>
                        </w:r>
                      </w:p>
                    </w:tc>
                  </w:tr>
                  <w:tr>
                    <w:trPr>
                      <w:trHeight w:val="402"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5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34"/>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 </w:t>
                        </w:r>
                        <w:r>
                          <w:rPr>
                            <w:rFonts w:ascii="宋体" w:hAnsi="宋体" w:cs="宋体" w:eastAsia="宋体" w:hint="default"/>
                            <w:sz w:val="18"/>
                            <w:szCs w:val="18"/>
                          </w:rPr>
                          <w:t>日刊登于巨潮资讯网的《投资者关系活动记录表》</w:t>
                        </w:r>
                      </w:p>
                    </w:tc>
                  </w:tr>
                  <w:tr>
                    <w:trPr>
                      <w:trHeight w:val="402"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5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34"/>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日刊登于巨潮资讯网的《投资者关系活动记录表》</w:t>
                        </w:r>
                      </w:p>
                    </w:tc>
                  </w:tr>
                  <w:tr>
                    <w:trPr>
                      <w:trHeight w:val="402"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5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34"/>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日刊登于巨潮资讯网的《投资者关系活动记录表》</w:t>
                        </w:r>
                      </w:p>
                    </w:tc>
                  </w:tr>
                  <w:tr>
                    <w:trPr>
                      <w:trHeight w:val="402"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5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34"/>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日刊登于巨潮资讯网的《投资者关系活动记录表》</w:t>
                        </w:r>
                      </w:p>
                    </w:tc>
                  </w:tr>
                  <w:tr>
                    <w:trPr>
                      <w:trHeight w:val="402"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5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2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日刊登于巨潮资讯网的《投资者关系活动记录表》</w:t>
                        </w:r>
                      </w:p>
                    </w:tc>
                  </w:tr>
                  <w:tr>
                    <w:trPr>
                      <w:trHeight w:val="402"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5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2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日刊登于巨潮资讯网的《投资者关系活动记录表》</w:t>
                        </w:r>
                      </w:p>
                    </w:tc>
                  </w:tr>
                  <w:tr>
                    <w:trPr>
                      <w:trHeight w:val="402"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5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89"/>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日刊登于巨潮资讯网的《投资者关系活动记录表</w:t>
                        </w:r>
                      </w:p>
                    </w:tc>
                  </w:tr>
                  <w:tr>
                    <w:trPr>
                      <w:trHeight w:val="402"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5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89"/>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13 </w:t>
                        </w:r>
                        <w:r>
                          <w:rPr>
                            <w:rFonts w:ascii="宋体" w:hAnsi="宋体" w:cs="宋体" w:eastAsia="宋体" w:hint="default"/>
                            <w:spacing w:val="-3"/>
                            <w:sz w:val="18"/>
                            <w:szCs w:val="18"/>
                          </w:rPr>
                          <w:t>日刊登于巨潮资讯网的《投资者关系活动记录表</w:t>
                        </w:r>
                      </w:p>
                    </w:tc>
                  </w:tr>
                  <w:tr>
                    <w:trPr>
                      <w:trHeight w:val="403"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5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89"/>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 </w:t>
                        </w:r>
                        <w:r>
                          <w:rPr>
                            <w:rFonts w:ascii="宋体" w:hAnsi="宋体" w:cs="宋体" w:eastAsia="宋体" w:hint="default"/>
                            <w:spacing w:val="-3"/>
                            <w:sz w:val="18"/>
                            <w:szCs w:val="18"/>
                          </w:rPr>
                          <w:t>日刊登于巨潮资讯网的《投资者关系活动记录表</w:t>
                        </w:r>
                      </w:p>
                    </w:tc>
                  </w:tr>
                </w:tbl>
                <w:p>
                  <w:pPr/>
                </w:p>
              </w:txbxContent>
            </v:textbox>
            <w10:wrap type="none"/>
          </v:shape>
        </w:pict>
      </w:r>
      <w:r>
        <w:rPr/>
        <w:t>》</w:t>
      </w:r>
    </w:p>
    <w:p>
      <w:pPr>
        <w:spacing w:line="240" w:lineRule="auto" w:before="4"/>
        <w:rPr>
          <w:rFonts w:ascii="宋体" w:hAnsi="宋体" w:cs="宋体" w:eastAsia="宋体" w:hint="default"/>
          <w:sz w:val="9"/>
          <w:szCs w:val="9"/>
        </w:rPr>
      </w:pPr>
    </w:p>
    <w:p>
      <w:pPr>
        <w:pStyle w:val="BodyText"/>
        <w:spacing w:line="240" w:lineRule="auto" w:before="44"/>
        <w:ind w:left="0" w:right="1139"/>
        <w:jc w:val="right"/>
      </w:pPr>
      <w:r>
        <w:rPr/>
        <w:t>》</w:t>
      </w:r>
    </w:p>
    <w:p>
      <w:pPr>
        <w:spacing w:line="240" w:lineRule="auto" w:before="4"/>
        <w:rPr>
          <w:rFonts w:ascii="宋体" w:hAnsi="宋体" w:cs="宋体" w:eastAsia="宋体" w:hint="default"/>
          <w:sz w:val="9"/>
          <w:szCs w:val="9"/>
        </w:rPr>
      </w:pPr>
    </w:p>
    <w:p>
      <w:pPr>
        <w:pStyle w:val="BodyText"/>
        <w:spacing w:line="240" w:lineRule="auto" w:before="44"/>
        <w:ind w:left="0" w:right="1139"/>
        <w:jc w:val="right"/>
      </w:pPr>
      <w:r>
        <w:rPr/>
        <w:t>》</w:t>
      </w:r>
    </w:p>
    <w:p>
      <w:pPr>
        <w:spacing w:after="0" w:line="240" w:lineRule="auto"/>
        <w:jc w:val="righ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right="3763"/>
        <w:jc w:val="center"/>
        <w:rPr>
          <w:b w:val="0"/>
          <w:bCs w:val="0"/>
        </w:rPr>
      </w:pPr>
      <w:bookmarkStart w:name="第五节 重要事项" w:id="61"/>
      <w:bookmarkEnd w:id="61"/>
      <w:r>
        <w:rPr>
          <w:b w:val="0"/>
          <w:bCs w:val="0"/>
        </w:rPr>
      </w:r>
      <w:bookmarkStart w:name="_bookmark3" w:id="62"/>
      <w:bookmarkEnd w:id="62"/>
      <w:r>
        <w:rPr>
          <w:b w:val="0"/>
          <w:bCs w:val="0"/>
        </w:rPr>
      </w:r>
      <w:r>
        <w:rPr/>
        <w:t>第五节</w:t>
      </w:r>
      <w:r>
        <w:rPr>
          <w:spacing w:val="-5"/>
        </w:rPr>
        <w:t> </w:t>
      </w:r>
      <w:r>
        <w:rPr/>
        <w:t>重要事项</w:t>
      </w:r>
      <w:r>
        <w:rPr>
          <w:b w:val="0"/>
          <w:bCs w:val="0"/>
        </w:rPr>
      </w:r>
    </w:p>
    <w:p>
      <w:pPr>
        <w:spacing w:line="240" w:lineRule="auto" w:before="12"/>
        <w:rPr>
          <w:rFonts w:ascii="宋体" w:hAnsi="宋体" w:cs="宋体" w:eastAsia="宋体" w:hint="default"/>
          <w:b/>
          <w:bCs/>
          <w:sz w:val="38"/>
          <w:szCs w:val="38"/>
        </w:rPr>
      </w:pPr>
    </w:p>
    <w:p>
      <w:pPr>
        <w:pStyle w:val="Heading2"/>
        <w:spacing w:line="240" w:lineRule="auto"/>
        <w:ind w:right="0"/>
        <w:jc w:val="left"/>
        <w:rPr>
          <w:b w:val="0"/>
          <w:bCs w:val="0"/>
        </w:rPr>
      </w:pPr>
      <w:bookmarkStart w:name="一、公司普通股利润分配及资本公积金转增股本情况" w:id="63"/>
      <w:bookmarkEnd w:id="63"/>
      <w:r>
        <w:rPr>
          <w:b w:val="0"/>
          <w:bCs w:val="0"/>
        </w:rPr>
      </w:r>
      <w:r>
        <w:rPr/>
        <w:t>一、公司普通股利润分配及资本公积金转增股本情况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报告期内普通股利润分配政策，特别是现金分红政策的制定、执行或调整情况</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19" w:lineRule="auto" w:before="102"/>
        <w:ind w:right="1034"/>
        <w:jc w:val="left"/>
      </w:pPr>
      <w:r>
        <w:rPr/>
        <w:t>公司近</w:t>
      </w:r>
      <w:r>
        <w:rPr>
          <w:spacing w:val="-46"/>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spacing w:val="-3"/>
        </w:rPr>
        <w:t>年（包括本报告期）的普通股股利分配方案（预案）、资本公积金转增股本方案（预案）情况</w:t>
      </w:r>
      <w:r>
        <w:rPr>
          <w:spacing w:val="-58"/>
        </w:rPr>
        <w:t> </w:t>
      </w:r>
      <w:r>
        <w:rPr>
          <w:spacing w:val="-58"/>
        </w:rPr>
      </w:r>
      <w:r>
        <w:rPr>
          <w:spacing w:val="-4"/>
        </w:rPr>
        <w:t>公司</w:t>
      </w:r>
      <w:r>
        <w:rPr>
          <w:rFonts w:ascii="Times New Roman" w:hAnsi="Times New Roman" w:cs="Times New Roman" w:eastAsia="Times New Roman" w:hint="default"/>
          <w:spacing w:val="-4"/>
        </w:rPr>
        <w:t>2016</w:t>
      </w:r>
      <w:r>
        <w:rPr>
          <w:spacing w:val="-4"/>
        </w:rPr>
        <w:t>年年度实施了权益分派，方案为：以总股本</w:t>
      </w:r>
      <w:r>
        <w:rPr>
          <w:rFonts w:ascii="Times New Roman" w:hAnsi="Times New Roman" w:cs="Times New Roman" w:eastAsia="Times New Roman" w:hint="default"/>
          <w:spacing w:val="-4"/>
        </w:rPr>
        <w:t>1,306,047,200</w:t>
      </w:r>
      <w:r>
        <w:rPr>
          <w:spacing w:val="-4"/>
        </w:rPr>
        <w:t>股为基数，向全体股东每</w:t>
      </w:r>
      <w:r>
        <w:rPr>
          <w:rFonts w:ascii="Times New Roman" w:hAnsi="Times New Roman" w:cs="Times New Roman" w:eastAsia="Times New Roman" w:hint="default"/>
          <w:spacing w:val="-4"/>
        </w:rPr>
        <w:t>10</w:t>
      </w:r>
      <w:r>
        <w:rPr>
          <w:spacing w:val="-4"/>
        </w:rPr>
        <w:t>股派发现金红利</w:t>
      </w:r>
      <w:r>
        <w:rPr>
          <w:rFonts w:ascii="Times New Roman" w:hAnsi="Times New Roman" w:cs="Times New Roman" w:eastAsia="Times New Roman" w:hint="default"/>
          <w:spacing w:val="-4"/>
        </w:rPr>
        <w:t>2.50</w:t>
      </w:r>
      <w:r>
        <w:rPr>
          <w:spacing w:val="-4"/>
        </w:rPr>
        <w:t>元（含税），</w:t>
      </w:r>
      <w:r>
        <w:rPr>
          <w:spacing w:val="-85"/>
        </w:rPr>
        <w:t> </w:t>
      </w:r>
      <w:r>
        <w:rPr>
          <w:spacing w:val="-85"/>
        </w:rPr>
      </w:r>
      <w:r>
        <w:rPr/>
        <w:t>不送红股，不以公积金转增股本。</w:t>
      </w:r>
    </w:p>
    <w:p>
      <w:pPr>
        <w:pStyle w:val="BodyText"/>
        <w:spacing w:line="314" w:lineRule="auto" w:before="56"/>
        <w:ind w:right="1122"/>
        <w:jc w:val="left"/>
      </w:pPr>
      <w:r>
        <w:rPr>
          <w:spacing w:val="-1"/>
        </w:rPr>
        <w:t>公司</w:t>
      </w:r>
      <w:r>
        <w:rPr>
          <w:rFonts w:ascii="Times New Roman" w:hAnsi="Times New Roman" w:cs="Times New Roman" w:eastAsia="Times New Roman" w:hint="default"/>
          <w:spacing w:val="-1"/>
        </w:rPr>
        <w:t>2017</w:t>
      </w:r>
      <w:r>
        <w:rPr>
          <w:spacing w:val="-1"/>
        </w:rPr>
        <w:t>年年度实施了权益分派，方案为：以公司扣除回购专户上已回购股份后的总股本</w:t>
      </w:r>
      <w:r>
        <w:rPr>
          <w:rFonts w:ascii="Times New Roman" w:hAnsi="Times New Roman" w:cs="Times New Roman" w:eastAsia="Times New Roman" w:hint="default"/>
          <w:spacing w:val="-1"/>
        </w:rPr>
        <w:t>1,478,587,850</w:t>
      </w:r>
      <w:r>
        <w:rPr>
          <w:spacing w:val="-1"/>
        </w:rPr>
        <w:t>股为基数，向全体股</w:t>
      </w:r>
      <w:r>
        <w:rPr>
          <w:spacing w:val="-70"/>
        </w:rPr>
        <w:t> </w:t>
      </w:r>
      <w:r>
        <w:rPr>
          <w:spacing w:val="-70"/>
        </w:rPr>
      </w:r>
      <w:r>
        <w:rPr/>
        <w:t>东每</w:t>
      </w:r>
      <w:r>
        <w:rPr>
          <w:rFonts w:ascii="Times New Roman" w:hAnsi="Times New Roman" w:cs="Times New Roman" w:eastAsia="Times New Roman" w:hint="default"/>
        </w:rPr>
        <w:t>10</w:t>
      </w:r>
      <w:r>
        <w:rPr/>
        <w:t>股派发现金红利</w:t>
      </w:r>
      <w:r>
        <w:rPr>
          <w:rFonts w:ascii="Times New Roman" w:hAnsi="Times New Roman" w:cs="Times New Roman" w:eastAsia="Times New Roman" w:hint="default"/>
        </w:rPr>
        <w:t>3.016934</w:t>
      </w:r>
      <w:r>
        <w:rPr/>
        <w:t>元（含税），不送红股，不以公积金转增股本。 公司</w:t>
      </w:r>
      <w:r>
        <w:rPr>
          <w:rFonts w:ascii="Times New Roman" w:hAnsi="Times New Roman" w:cs="Times New Roman" w:eastAsia="Times New Roman" w:hint="default"/>
        </w:rPr>
        <w:t>2018</w:t>
      </w:r>
      <w:r>
        <w:rPr/>
        <w:t>年年度拟实施权益分派，预案为：以总股本</w:t>
      </w:r>
      <w:r>
        <w:rPr>
          <w:rFonts w:ascii="Times New Roman" w:hAnsi="Times New Roman" w:cs="Times New Roman" w:eastAsia="Times New Roman" w:hint="default"/>
        </w:rPr>
        <w:t>1,464,870,450</w:t>
      </w:r>
      <w:r>
        <w:rPr/>
        <w:t>股为基数，向全体股东按每</w:t>
      </w:r>
      <w:r>
        <w:rPr>
          <w:rFonts w:ascii="Times New Roman" w:hAnsi="Times New Roman" w:cs="Times New Roman" w:eastAsia="Times New Roman" w:hint="default"/>
        </w:rPr>
        <w:t>10</w:t>
      </w:r>
      <w:r>
        <w:rPr/>
        <w:t>股派发现金红利</w:t>
      </w:r>
      <w:r>
        <w:rPr>
          <w:rFonts w:ascii="Times New Roman" w:hAnsi="Times New Roman" w:cs="Times New Roman" w:eastAsia="Times New Roman" w:hint="default"/>
        </w:rPr>
        <w:t>3.00</w:t>
      </w:r>
      <w:r>
        <w:rPr/>
        <w:t>元（含 税），不送红股，不以资本公积金转增股本。</w:t>
      </w:r>
    </w:p>
    <w:p>
      <w:pPr>
        <w:spacing w:line="240" w:lineRule="auto" w:before="1"/>
        <w:rPr>
          <w:rFonts w:ascii="宋体" w:hAnsi="宋体" w:cs="宋体" w:eastAsia="宋体" w:hint="default"/>
          <w:sz w:val="28"/>
          <w:szCs w:val="28"/>
        </w:rPr>
      </w:pPr>
    </w:p>
    <w:p>
      <w:pPr>
        <w:pStyle w:val="BodyText"/>
        <w:spacing w:line="240" w:lineRule="auto" w:before="44"/>
        <w:ind w:right="0"/>
        <w:jc w:val="left"/>
      </w:pPr>
      <w:r>
        <w:rPr/>
        <w:t>公司近三年（包括本报告期）普通股现金分红情况表</w:t>
      </w:r>
    </w:p>
    <w:p>
      <w:pPr>
        <w:pStyle w:val="BodyText"/>
        <w:spacing w:line="240" w:lineRule="auto" w:before="117"/>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187"/>
        <w:gridCol w:w="1194"/>
        <w:gridCol w:w="1196"/>
        <w:gridCol w:w="1185"/>
        <w:gridCol w:w="1208"/>
        <w:gridCol w:w="1185"/>
        <w:gridCol w:w="1207"/>
        <w:gridCol w:w="1184"/>
      </w:tblGrid>
      <w:tr>
        <w:trPr>
          <w:trHeight w:val="162" w:hRule="exact"/>
        </w:trPr>
        <w:tc>
          <w:tcPr>
            <w:tcW w:w="1187" w:type="dxa"/>
            <w:vMerge w:val="restart"/>
            <w:tcBorders>
              <w:top w:val="single" w:sz="4" w:space="0" w:color="000000"/>
              <w:left w:val="single" w:sz="4" w:space="0" w:color="000000"/>
              <w:right w:val="single" w:sz="4" w:space="0" w:color="000000"/>
            </w:tcBorders>
            <w:shd w:val="clear" w:color="auto" w:fill="D2D2D2"/>
          </w:tcPr>
          <w:p>
            <w:pPr/>
          </w:p>
        </w:tc>
        <w:tc>
          <w:tcPr>
            <w:tcW w:w="1194" w:type="dxa"/>
            <w:vMerge w:val="restart"/>
            <w:tcBorders>
              <w:top w:val="single" w:sz="4" w:space="0" w:color="000000"/>
              <w:left w:val="single" w:sz="4" w:space="0" w:color="000000"/>
              <w:right w:val="single" w:sz="4" w:space="0" w:color="000000"/>
            </w:tcBorders>
            <w:shd w:val="clear" w:color="auto" w:fill="D2D2D2"/>
          </w:tcPr>
          <w:p>
            <w:pPr/>
          </w:p>
        </w:tc>
        <w:tc>
          <w:tcPr>
            <w:tcW w:w="1196" w:type="dxa"/>
            <w:vMerge w:val="restart"/>
            <w:tcBorders>
              <w:top w:val="single" w:sz="4" w:space="0" w:color="000000"/>
              <w:left w:val="single" w:sz="4" w:space="0" w:color="000000"/>
              <w:right w:val="single" w:sz="4" w:space="0" w:color="000000"/>
            </w:tcBorders>
            <w:shd w:val="clear" w:color="auto" w:fill="D2D2D2"/>
          </w:tcPr>
          <w:p>
            <w:pPr/>
          </w:p>
        </w:tc>
        <w:tc>
          <w:tcPr>
            <w:tcW w:w="1185" w:type="dxa"/>
            <w:tcBorders>
              <w:top w:val="single" w:sz="4" w:space="0" w:color="000000"/>
              <w:left w:val="single" w:sz="4" w:space="0" w:color="000000"/>
              <w:bottom w:val="nil" w:sz="6" w:space="0" w:color="auto"/>
              <w:right w:val="single" w:sz="4" w:space="0" w:color="000000"/>
            </w:tcBorders>
            <w:shd w:val="clear" w:color="auto" w:fill="D2D2D2"/>
          </w:tcPr>
          <w:p>
            <w:pPr/>
          </w:p>
        </w:tc>
        <w:tc>
          <w:tcPr>
            <w:tcW w:w="1208" w:type="dxa"/>
            <w:vMerge w:val="restart"/>
            <w:tcBorders>
              <w:top w:val="single" w:sz="4" w:space="0" w:color="000000"/>
              <w:left w:val="single" w:sz="4" w:space="0" w:color="000000"/>
              <w:right w:val="single" w:sz="4" w:space="0" w:color="000000"/>
            </w:tcBorders>
            <w:shd w:val="clear" w:color="auto" w:fill="D2D2D2"/>
          </w:tcPr>
          <w:p>
            <w:pPr/>
          </w:p>
        </w:tc>
        <w:tc>
          <w:tcPr>
            <w:tcW w:w="1185" w:type="dxa"/>
            <w:tcBorders>
              <w:top w:val="single" w:sz="4" w:space="0" w:color="000000"/>
              <w:left w:val="single" w:sz="4" w:space="0" w:color="000000"/>
              <w:bottom w:val="nil" w:sz="6" w:space="0" w:color="auto"/>
              <w:right w:val="single" w:sz="4" w:space="0" w:color="000000"/>
            </w:tcBorders>
            <w:shd w:val="clear" w:color="auto" w:fill="D2D2D2"/>
          </w:tcPr>
          <w:p>
            <w:pPr/>
          </w:p>
        </w:tc>
        <w:tc>
          <w:tcPr>
            <w:tcW w:w="1207" w:type="dxa"/>
            <w:vMerge w:val="restart"/>
            <w:tcBorders>
              <w:top w:val="single" w:sz="4" w:space="0" w:color="000000"/>
              <w:left w:val="single" w:sz="4" w:space="0" w:color="000000"/>
              <w:right w:val="single" w:sz="4" w:space="0" w:color="000000"/>
            </w:tcBorders>
            <w:shd w:val="clear" w:color="auto" w:fill="D2D2D2"/>
          </w:tcPr>
          <w:p>
            <w:pPr/>
          </w:p>
        </w:tc>
        <w:tc>
          <w:tcPr>
            <w:tcW w:w="11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现金分红总额</w:t>
            </w:r>
          </w:p>
          <w:p>
            <w:pPr>
              <w:pStyle w:val="TableParagraph"/>
              <w:spacing w:line="319" w:lineRule="auto" w:before="75"/>
              <w:ind w:left="53" w:right="39"/>
              <w:jc w:val="center"/>
              <w:rPr>
                <w:rFonts w:ascii="宋体" w:hAnsi="宋体" w:cs="宋体" w:eastAsia="宋体" w:hint="default"/>
                <w:sz w:val="18"/>
                <w:szCs w:val="18"/>
              </w:rPr>
            </w:pPr>
            <w:r>
              <w:rPr>
                <w:rFonts w:ascii="宋体" w:hAnsi="宋体" w:cs="宋体" w:eastAsia="宋体" w:hint="default"/>
                <w:sz w:val="18"/>
                <w:szCs w:val="18"/>
              </w:rPr>
              <w:t>（含其他方 式）占合并报 表中归属于上 市公司普通股 股东的净利润 的比率</w:t>
            </w:r>
          </w:p>
        </w:tc>
      </w:tr>
      <w:tr>
        <w:trPr>
          <w:trHeight w:val="156" w:hRule="exact"/>
        </w:trPr>
        <w:tc>
          <w:tcPr>
            <w:tcW w:w="1187" w:type="dxa"/>
            <w:vMerge/>
            <w:tcBorders>
              <w:left w:val="single" w:sz="4" w:space="0" w:color="000000"/>
              <w:right w:val="single" w:sz="4" w:space="0" w:color="000000"/>
            </w:tcBorders>
            <w:shd w:val="clear" w:color="auto" w:fill="D2D2D2"/>
          </w:tcPr>
          <w:p>
            <w:pPr/>
          </w:p>
        </w:tc>
        <w:tc>
          <w:tcPr>
            <w:tcW w:w="1194"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bottom w:val="nil" w:sz="6" w:space="0" w:color="auto"/>
              <w:right w:val="single" w:sz="4" w:space="0" w:color="000000"/>
            </w:tcBorders>
            <w:shd w:val="clear" w:color="auto" w:fill="D2D2D2"/>
          </w:tcPr>
          <w:p>
            <w:pPr/>
          </w:p>
        </w:tc>
        <w:tc>
          <w:tcPr>
            <w:tcW w:w="118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2" w:right="40"/>
              <w:jc w:val="center"/>
              <w:rPr>
                <w:rFonts w:ascii="宋体" w:hAnsi="宋体" w:cs="宋体" w:eastAsia="宋体" w:hint="default"/>
                <w:sz w:val="18"/>
                <w:szCs w:val="18"/>
              </w:rPr>
            </w:pPr>
            <w:r>
              <w:rPr>
                <w:rFonts w:ascii="宋体" w:hAnsi="宋体" w:cs="宋体" w:eastAsia="宋体" w:hint="default"/>
                <w:sz w:val="18"/>
                <w:szCs w:val="18"/>
              </w:rPr>
              <w:t>现金分红金额 占合并报表中 归属于上市公 司普通股股东 的净利润的比 率</w:t>
            </w:r>
          </w:p>
        </w:tc>
        <w:tc>
          <w:tcPr>
            <w:tcW w:w="1208" w:type="dxa"/>
            <w:vMerge/>
            <w:tcBorders>
              <w:left w:val="single" w:sz="4" w:space="0" w:color="000000"/>
              <w:right w:val="single" w:sz="4" w:space="0" w:color="000000"/>
            </w:tcBorders>
            <w:shd w:val="clear" w:color="auto" w:fill="D2D2D2"/>
          </w:tcPr>
          <w:p>
            <w:pPr/>
          </w:p>
        </w:tc>
        <w:tc>
          <w:tcPr>
            <w:tcW w:w="118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3" w:right="39"/>
              <w:jc w:val="both"/>
              <w:rPr>
                <w:rFonts w:ascii="宋体" w:hAnsi="宋体" w:cs="宋体" w:eastAsia="宋体" w:hint="default"/>
                <w:sz w:val="18"/>
                <w:szCs w:val="18"/>
              </w:rPr>
            </w:pPr>
            <w:r>
              <w:rPr>
                <w:rFonts w:ascii="宋体" w:hAnsi="宋体" w:cs="宋体" w:eastAsia="宋体" w:hint="default"/>
                <w:sz w:val="18"/>
                <w:szCs w:val="18"/>
              </w:rPr>
              <w:t>以其他方式现 金分红金额占 合并报表中归 属于上市公司 普通股股东的 净利润的比例</w:t>
            </w:r>
          </w:p>
        </w:tc>
        <w:tc>
          <w:tcPr>
            <w:tcW w:w="1207"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156" w:hRule="exact"/>
        </w:trPr>
        <w:tc>
          <w:tcPr>
            <w:tcW w:w="1187" w:type="dxa"/>
            <w:vMerge/>
            <w:tcBorders>
              <w:left w:val="single" w:sz="4" w:space="0" w:color="000000"/>
              <w:right w:val="single" w:sz="4" w:space="0" w:color="000000"/>
            </w:tcBorders>
            <w:shd w:val="clear" w:color="auto" w:fill="D2D2D2"/>
          </w:tcPr>
          <w:p>
            <w:pPr/>
          </w:p>
        </w:tc>
        <w:tc>
          <w:tcPr>
            <w:tcW w:w="1194" w:type="dxa"/>
            <w:vMerge/>
            <w:tcBorders>
              <w:left w:val="single" w:sz="4" w:space="0" w:color="000000"/>
              <w:right w:val="single" w:sz="4" w:space="0" w:color="000000"/>
            </w:tcBorders>
            <w:shd w:val="clear" w:color="auto" w:fill="D2D2D2"/>
          </w:tcPr>
          <w:p>
            <w:pPr/>
          </w:p>
        </w:tc>
        <w:tc>
          <w:tcPr>
            <w:tcW w:w="1196"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53" w:right="50"/>
              <w:jc w:val="center"/>
              <w:rPr>
                <w:rFonts w:ascii="宋体" w:hAnsi="宋体" w:cs="宋体" w:eastAsia="宋体" w:hint="default"/>
                <w:sz w:val="18"/>
                <w:szCs w:val="18"/>
              </w:rPr>
            </w:pPr>
            <w:r>
              <w:rPr>
                <w:rFonts w:ascii="宋体" w:hAnsi="宋体" w:cs="宋体" w:eastAsia="宋体" w:hint="default"/>
                <w:sz w:val="18"/>
                <w:szCs w:val="18"/>
              </w:rPr>
              <w:t>分红年度合并 报表中归属于 上市公司普通 股股东的净利 润</w:t>
            </w:r>
          </w:p>
        </w:tc>
        <w:tc>
          <w:tcPr>
            <w:tcW w:w="1185" w:type="dxa"/>
            <w:vMerge/>
            <w:tcBorders>
              <w:left w:val="single" w:sz="4" w:space="0" w:color="000000"/>
              <w:right w:val="single" w:sz="4" w:space="0" w:color="000000"/>
            </w:tcBorders>
            <w:shd w:val="clear" w:color="auto" w:fill="D2D2D2"/>
          </w:tcPr>
          <w:p>
            <w:pPr/>
          </w:p>
        </w:tc>
        <w:tc>
          <w:tcPr>
            <w:tcW w:w="1208" w:type="dxa"/>
            <w:vMerge/>
            <w:tcBorders>
              <w:left w:val="single" w:sz="4" w:space="0" w:color="000000"/>
              <w:bottom w:val="nil" w:sz="6" w:space="0" w:color="auto"/>
              <w:right w:val="single" w:sz="4" w:space="0" w:color="000000"/>
            </w:tcBorders>
            <w:shd w:val="clear" w:color="auto" w:fill="D2D2D2"/>
          </w:tcPr>
          <w:p>
            <w:pPr/>
          </w:p>
        </w:tc>
        <w:tc>
          <w:tcPr>
            <w:tcW w:w="1185" w:type="dxa"/>
            <w:vMerge/>
            <w:tcBorders>
              <w:left w:val="single" w:sz="4" w:space="0" w:color="000000"/>
              <w:right w:val="single" w:sz="4" w:space="0" w:color="000000"/>
            </w:tcBorders>
            <w:shd w:val="clear" w:color="auto" w:fill="D2D2D2"/>
          </w:tcPr>
          <w:p>
            <w:pPr/>
          </w:p>
        </w:tc>
        <w:tc>
          <w:tcPr>
            <w:tcW w:w="1207"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156" w:hRule="exact"/>
        </w:trPr>
        <w:tc>
          <w:tcPr>
            <w:tcW w:w="1187" w:type="dxa"/>
            <w:vMerge/>
            <w:tcBorders>
              <w:left w:val="single" w:sz="4" w:space="0" w:color="000000"/>
              <w:right w:val="single" w:sz="4" w:space="0" w:color="000000"/>
            </w:tcBorders>
            <w:shd w:val="clear" w:color="auto" w:fill="D2D2D2"/>
          </w:tcPr>
          <w:p>
            <w:pPr/>
          </w:p>
        </w:tc>
        <w:tc>
          <w:tcPr>
            <w:tcW w:w="1194"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85" w:type="dxa"/>
            <w:vMerge/>
            <w:tcBorders>
              <w:left w:val="single" w:sz="4" w:space="0" w:color="000000"/>
              <w:right w:val="single" w:sz="4" w:space="0" w:color="000000"/>
            </w:tcBorders>
            <w:shd w:val="clear" w:color="auto" w:fill="D2D2D2"/>
          </w:tcPr>
          <w:p>
            <w:pPr/>
          </w:p>
        </w:tc>
        <w:tc>
          <w:tcPr>
            <w:tcW w:w="120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以其他方式</w:t>
            </w:r>
          </w:p>
          <w:p>
            <w:pPr>
              <w:pStyle w:val="TableParagraph"/>
              <w:spacing w:line="319" w:lineRule="auto" w:before="75"/>
              <w:ind w:left="64" w:right="51"/>
              <w:jc w:val="center"/>
              <w:rPr>
                <w:rFonts w:ascii="宋体" w:hAnsi="宋体" w:cs="宋体" w:eastAsia="宋体" w:hint="default"/>
                <w:sz w:val="18"/>
                <w:szCs w:val="18"/>
              </w:rPr>
            </w:pPr>
            <w:r>
              <w:rPr>
                <w:rFonts w:ascii="宋体" w:hAnsi="宋体" w:cs="宋体" w:eastAsia="宋体" w:hint="default"/>
                <w:sz w:val="18"/>
                <w:szCs w:val="18"/>
              </w:rPr>
              <w:t>（如回购股 份）现金分红 的金额</w:t>
            </w:r>
          </w:p>
        </w:tc>
        <w:tc>
          <w:tcPr>
            <w:tcW w:w="1185" w:type="dxa"/>
            <w:vMerge/>
            <w:tcBorders>
              <w:left w:val="single" w:sz="4" w:space="0" w:color="000000"/>
              <w:right w:val="single" w:sz="4" w:space="0" w:color="000000"/>
            </w:tcBorders>
            <w:shd w:val="clear" w:color="auto" w:fill="D2D2D2"/>
          </w:tcPr>
          <w:p>
            <w:pPr/>
          </w:p>
        </w:tc>
        <w:tc>
          <w:tcPr>
            <w:tcW w:w="1207" w:type="dxa"/>
            <w:vMerge/>
            <w:tcBorders>
              <w:left w:val="single" w:sz="4" w:space="0" w:color="000000"/>
              <w:bottom w:val="nil" w:sz="6" w:space="0" w:color="auto"/>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156" w:hRule="exact"/>
        </w:trPr>
        <w:tc>
          <w:tcPr>
            <w:tcW w:w="1187" w:type="dxa"/>
            <w:vMerge/>
            <w:tcBorders>
              <w:left w:val="single" w:sz="4" w:space="0" w:color="000000"/>
              <w:right w:val="single" w:sz="4" w:space="0" w:color="000000"/>
            </w:tcBorders>
            <w:shd w:val="clear" w:color="auto" w:fill="D2D2D2"/>
          </w:tcPr>
          <w:p>
            <w:pPr/>
          </w:p>
        </w:tc>
        <w:tc>
          <w:tcPr>
            <w:tcW w:w="1194" w:type="dxa"/>
            <w:vMerge/>
            <w:tcBorders>
              <w:left w:val="single" w:sz="4" w:space="0" w:color="000000"/>
              <w:bottom w:val="nil" w:sz="6" w:space="0" w:color="auto"/>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85" w:type="dxa"/>
            <w:vMerge/>
            <w:tcBorders>
              <w:left w:val="single" w:sz="4" w:space="0" w:color="000000"/>
              <w:right w:val="single" w:sz="4" w:space="0" w:color="000000"/>
            </w:tcBorders>
            <w:shd w:val="clear" w:color="auto" w:fill="D2D2D2"/>
          </w:tcPr>
          <w:p>
            <w:pPr/>
          </w:p>
        </w:tc>
        <w:tc>
          <w:tcPr>
            <w:tcW w:w="1208" w:type="dxa"/>
            <w:vMerge/>
            <w:tcBorders>
              <w:left w:val="single" w:sz="4" w:space="0" w:color="000000"/>
              <w:right w:val="single" w:sz="4" w:space="0" w:color="000000"/>
            </w:tcBorders>
            <w:shd w:val="clear" w:color="auto" w:fill="D2D2D2"/>
          </w:tcPr>
          <w:p>
            <w:pPr/>
          </w:p>
        </w:tc>
        <w:tc>
          <w:tcPr>
            <w:tcW w:w="1185" w:type="dxa"/>
            <w:vMerge/>
            <w:tcBorders>
              <w:left w:val="single" w:sz="4" w:space="0" w:color="000000"/>
              <w:right w:val="single" w:sz="4" w:space="0" w:color="000000"/>
            </w:tcBorders>
            <w:shd w:val="clear" w:color="auto" w:fill="D2D2D2"/>
          </w:tcPr>
          <w:p>
            <w:pPr/>
          </w:p>
        </w:tc>
        <w:tc>
          <w:tcPr>
            <w:tcW w:w="120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64" w:right="0"/>
              <w:jc w:val="left"/>
              <w:rPr>
                <w:rFonts w:ascii="宋体" w:hAnsi="宋体" w:cs="宋体" w:eastAsia="宋体" w:hint="default"/>
                <w:sz w:val="18"/>
                <w:szCs w:val="18"/>
              </w:rPr>
            </w:pPr>
            <w:r>
              <w:rPr>
                <w:rFonts w:ascii="宋体" w:hAnsi="宋体" w:cs="宋体" w:eastAsia="宋体" w:hint="default"/>
                <w:sz w:val="18"/>
                <w:szCs w:val="18"/>
              </w:rPr>
              <w:t>现金分红总额</w:t>
            </w:r>
          </w:p>
          <w:p>
            <w:pPr>
              <w:pStyle w:val="TableParagraph"/>
              <w:spacing w:line="319" w:lineRule="auto" w:before="75"/>
              <w:ind w:left="424" w:right="141" w:hanging="270"/>
              <w:jc w:val="left"/>
              <w:rPr>
                <w:rFonts w:ascii="宋体" w:hAnsi="宋体" w:cs="宋体" w:eastAsia="宋体" w:hint="default"/>
                <w:sz w:val="18"/>
                <w:szCs w:val="18"/>
              </w:rPr>
            </w:pPr>
            <w:r>
              <w:rPr>
                <w:rFonts w:ascii="宋体" w:hAnsi="宋体" w:cs="宋体" w:eastAsia="宋体" w:hint="default"/>
                <w:sz w:val="18"/>
                <w:szCs w:val="18"/>
              </w:rPr>
              <w:t>（含其他方 式）</w:t>
            </w:r>
          </w:p>
        </w:tc>
        <w:tc>
          <w:tcPr>
            <w:tcW w:w="1184" w:type="dxa"/>
            <w:vMerge/>
            <w:tcBorders>
              <w:left w:val="single" w:sz="4" w:space="0" w:color="000000"/>
              <w:right w:val="single" w:sz="4" w:space="0" w:color="000000"/>
            </w:tcBorders>
            <w:shd w:val="clear" w:color="auto" w:fill="D2D2D2"/>
          </w:tcPr>
          <w:p>
            <w:pPr/>
          </w:p>
        </w:tc>
      </w:tr>
      <w:tr>
        <w:trPr>
          <w:trHeight w:val="156" w:hRule="exact"/>
        </w:trPr>
        <w:tc>
          <w:tcPr>
            <w:tcW w:w="1187" w:type="dxa"/>
            <w:vMerge/>
            <w:tcBorders>
              <w:left w:val="single" w:sz="4" w:space="0" w:color="000000"/>
              <w:bottom w:val="nil" w:sz="6" w:space="0" w:color="auto"/>
              <w:right w:val="single" w:sz="4" w:space="0" w:color="000000"/>
            </w:tcBorders>
            <w:shd w:val="clear" w:color="auto" w:fill="D2D2D2"/>
          </w:tcPr>
          <w:p>
            <w:pPr/>
          </w:p>
        </w:tc>
        <w:tc>
          <w:tcPr>
            <w:tcW w:w="119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现金分红金额</w:t>
            </w:r>
          </w:p>
          <w:p>
            <w:pPr>
              <w:pStyle w:val="TableParagraph"/>
              <w:spacing w:line="240" w:lineRule="auto" w:before="76"/>
              <w:ind w:right="1"/>
              <w:jc w:val="center"/>
              <w:rPr>
                <w:rFonts w:ascii="宋体" w:hAnsi="宋体" w:cs="宋体" w:eastAsia="宋体" w:hint="default"/>
                <w:sz w:val="18"/>
                <w:szCs w:val="18"/>
              </w:rPr>
            </w:pPr>
            <w:r>
              <w:rPr>
                <w:rFonts w:ascii="宋体" w:hAnsi="宋体" w:cs="宋体" w:eastAsia="宋体" w:hint="default"/>
                <w:sz w:val="18"/>
                <w:szCs w:val="18"/>
              </w:rPr>
              <w:t>（含税）</w:t>
            </w:r>
          </w:p>
        </w:tc>
        <w:tc>
          <w:tcPr>
            <w:tcW w:w="1196" w:type="dxa"/>
            <w:vMerge/>
            <w:tcBorders>
              <w:left w:val="single" w:sz="4" w:space="0" w:color="000000"/>
              <w:right w:val="single" w:sz="4" w:space="0" w:color="000000"/>
            </w:tcBorders>
            <w:shd w:val="clear" w:color="auto" w:fill="D2D2D2"/>
          </w:tcPr>
          <w:p>
            <w:pPr/>
          </w:p>
        </w:tc>
        <w:tc>
          <w:tcPr>
            <w:tcW w:w="1185" w:type="dxa"/>
            <w:vMerge/>
            <w:tcBorders>
              <w:left w:val="single" w:sz="4" w:space="0" w:color="000000"/>
              <w:right w:val="single" w:sz="4" w:space="0" w:color="000000"/>
            </w:tcBorders>
            <w:shd w:val="clear" w:color="auto" w:fill="D2D2D2"/>
          </w:tcPr>
          <w:p>
            <w:pPr/>
          </w:p>
        </w:tc>
        <w:tc>
          <w:tcPr>
            <w:tcW w:w="1208" w:type="dxa"/>
            <w:vMerge/>
            <w:tcBorders>
              <w:left w:val="single" w:sz="4" w:space="0" w:color="000000"/>
              <w:right w:val="single" w:sz="4" w:space="0" w:color="000000"/>
            </w:tcBorders>
            <w:shd w:val="clear" w:color="auto" w:fill="D2D2D2"/>
          </w:tcPr>
          <w:p>
            <w:pPr/>
          </w:p>
        </w:tc>
        <w:tc>
          <w:tcPr>
            <w:tcW w:w="1185" w:type="dxa"/>
            <w:vMerge/>
            <w:tcBorders>
              <w:left w:val="single" w:sz="4" w:space="0" w:color="000000"/>
              <w:right w:val="single" w:sz="4" w:space="0" w:color="000000"/>
            </w:tcBorders>
            <w:shd w:val="clear" w:color="auto" w:fill="D2D2D2"/>
          </w:tcPr>
          <w:p>
            <w:pPr/>
          </w:p>
        </w:tc>
        <w:tc>
          <w:tcPr>
            <w:tcW w:w="1207"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391" w:hRule="exact"/>
        </w:trPr>
        <w:tc>
          <w:tcPr>
            <w:tcW w:w="118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1" w:right="0"/>
              <w:jc w:val="left"/>
              <w:rPr>
                <w:rFonts w:ascii="宋体" w:hAnsi="宋体" w:cs="宋体" w:eastAsia="宋体" w:hint="default"/>
                <w:sz w:val="18"/>
                <w:szCs w:val="18"/>
              </w:rPr>
            </w:pPr>
            <w:r>
              <w:rPr>
                <w:rFonts w:ascii="宋体" w:hAnsi="宋体" w:cs="宋体" w:eastAsia="宋体" w:hint="default"/>
                <w:sz w:val="18"/>
                <w:szCs w:val="18"/>
              </w:rPr>
              <w:t>分红年度</w:t>
            </w:r>
          </w:p>
        </w:tc>
        <w:tc>
          <w:tcPr>
            <w:tcW w:w="1194"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85" w:type="dxa"/>
            <w:vMerge/>
            <w:tcBorders>
              <w:left w:val="single" w:sz="4" w:space="0" w:color="000000"/>
              <w:right w:val="single" w:sz="4" w:space="0" w:color="000000"/>
            </w:tcBorders>
            <w:shd w:val="clear" w:color="auto" w:fill="D2D2D2"/>
          </w:tcPr>
          <w:p>
            <w:pPr/>
          </w:p>
        </w:tc>
        <w:tc>
          <w:tcPr>
            <w:tcW w:w="1208" w:type="dxa"/>
            <w:vMerge/>
            <w:tcBorders>
              <w:left w:val="single" w:sz="4" w:space="0" w:color="000000"/>
              <w:right w:val="single" w:sz="4" w:space="0" w:color="000000"/>
            </w:tcBorders>
            <w:shd w:val="clear" w:color="auto" w:fill="D2D2D2"/>
          </w:tcPr>
          <w:p>
            <w:pPr/>
          </w:p>
        </w:tc>
        <w:tc>
          <w:tcPr>
            <w:tcW w:w="1185" w:type="dxa"/>
            <w:vMerge/>
            <w:tcBorders>
              <w:left w:val="single" w:sz="4" w:space="0" w:color="000000"/>
              <w:right w:val="single" w:sz="4" w:space="0" w:color="000000"/>
            </w:tcBorders>
            <w:shd w:val="clear" w:color="auto" w:fill="D2D2D2"/>
          </w:tcPr>
          <w:p>
            <w:pPr/>
          </w:p>
        </w:tc>
        <w:tc>
          <w:tcPr>
            <w:tcW w:w="1207"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156" w:hRule="exact"/>
        </w:trPr>
        <w:tc>
          <w:tcPr>
            <w:tcW w:w="1187" w:type="dxa"/>
            <w:vMerge w:val="restart"/>
            <w:tcBorders>
              <w:top w:val="nil" w:sz="6" w:space="0" w:color="auto"/>
              <w:left w:val="single" w:sz="4" w:space="0" w:color="000000"/>
              <w:right w:val="single" w:sz="4" w:space="0" w:color="000000"/>
            </w:tcBorders>
            <w:shd w:val="clear" w:color="auto" w:fill="D2D2D2"/>
          </w:tcPr>
          <w:p>
            <w:pPr/>
          </w:p>
        </w:tc>
        <w:tc>
          <w:tcPr>
            <w:tcW w:w="1194" w:type="dxa"/>
            <w:vMerge/>
            <w:tcBorders>
              <w:left w:val="single" w:sz="4" w:space="0" w:color="000000"/>
              <w:bottom w:val="nil" w:sz="6" w:space="0" w:color="auto"/>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85" w:type="dxa"/>
            <w:vMerge/>
            <w:tcBorders>
              <w:left w:val="single" w:sz="4" w:space="0" w:color="000000"/>
              <w:right w:val="single" w:sz="4" w:space="0" w:color="000000"/>
            </w:tcBorders>
            <w:shd w:val="clear" w:color="auto" w:fill="D2D2D2"/>
          </w:tcPr>
          <w:p>
            <w:pPr/>
          </w:p>
        </w:tc>
        <w:tc>
          <w:tcPr>
            <w:tcW w:w="1208" w:type="dxa"/>
            <w:vMerge/>
            <w:tcBorders>
              <w:left w:val="single" w:sz="4" w:space="0" w:color="000000"/>
              <w:right w:val="single" w:sz="4" w:space="0" w:color="000000"/>
            </w:tcBorders>
            <w:shd w:val="clear" w:color="auto" w:fill="D2D2D2"/>
          </w:tcPr>
          <w:p>
            <w:pPr/>
          </w:p>
        </w:tc>
        <w:tc>
          <w:tcPr>
            <w:tcW w:w="1185" w:type="dxa"/>
            <w:vMerge/>
            <w:tcBorders>
              <w:left w:val="single" w:sz="4" w:space="0" w:color="000000"/>
              <w:right w:val="single" w:sz="4" w:space="0" w:color="000000"/>
            </w:tcBorders>
            <w:shd w:val="clear" w:color="auto" w:fill="D2D2D2"/>
          </w:tcPr>
          <w:p>
            <w:pPr/>
          </w:p>
        </w:tc>
        <w:tc>
          <w:tcPr>
            <w:tcW w:w="1207"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156" w:hRule="exact"/>
        </w:trPr>
        <w:tc>
          <w:tcPr>
            <w:tcW w:w="1187" w:type="dxa"/>
            <w:vMerge/>
            <w:tcBorders>
              <w:left w:val="single" w:sz="4" w:space="0" w:color="000000"/>
              <w:right w:val="single" w:sz="4" w:space="0" w:color="000000"/>
            </w:tcBorders>
            <w:shd w:val="clear" w:color="auto" w:fill="D2D2D2"/>
          </w:tcPr>
          <w:p>
            <w:pPr/>
          </w:p>
        </w:tc>
        <w:tc>
          <w:tcPr>
            <w:tcW w:w="1194" w:type="dxa"/>
            <w:vMerge w:val="restart"/>
            <w:tcBorders>
              <w:top w:val="nil" w:sz="6" w:space="0" w:color="auto"/>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85" w:type="dxa"/>
            <w:vMerge/>
            <w:tcBorders>
              <w:left w:val="single" w:sz="4" w:space="0" w:color="000000"/>
              <w:right w:val="single" w:sz="4" w:space="0" w:color="000000"/>
            </w:tcBorders>
            <w:shd w:val="clear" w:color="auto" w:fill="D2D2D2"/>
          </w:tcPr>
          <w:p>
            <w:pPr/>
          </w:p>
        </w:tc>
        <w:tc>
          <w:tcPr>
            <w:tcW w:w="1208" w:type="dxa"/>
            <w:vMerge/>
            <w:tcBorders>
              <w:left w:val="single" w:sz="4" w:space="0" w:color="000000"/>
              <w:right w:val="single" w:sz="4" w:space="0" w:color="000000"/>
            </w:tcBorders>
            <w:shd w:val="clear" w:color="auto" w:fill="D2D2D2"/>
          </w:tcPr>
          <w:p>
            <w:pPr/>
          </w:p>
        </w:tc>
        <w:tc>
          <w:tcPr>
            <w:tcW w:w="1185" w:type="dxa"/>
            <w:vMerge/>
            <w:tcBorders>
              <w:left w:val="single" w:sz="4" w:space="0" w:color="000000"/>
              <w:right w:val="single" w:sz="4" w:space="0" w:color="000000"/>
            </w:tcBorders>
            <w:shd w:val="clear" w:color="auto" w:fill="D2D2D2"/>
          </w:tcPr>
          <w:p>
            <w:pPr/>
          </w:p>
        </w:tc>
        <w:tc>
          <w:tcPr>
            <w:tcW w:w="1207" w:type="dxa"/>
            <w:vMerge/>
            <w:tcBorders>
              <w:left w:val="single" w:sz="4" w:space="0" w:color="000000"/>
              <w:bottom w:val="nil" w:sz="6" w:space="0" w:color="auto"/>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156" w:hRule="exact"/>
        </w:trPr>
        <w:tc>
          <w:tcPr>
            <w:tcW w:w="1187" w:type="dxa"/>
            <w:vMerge/>
            <w:tcBorders>
              <w:left w:val="single" w:sz="4" w:space="0" w:color="000000"/>
              <w:right w:val="single" w:sz="4" w:space="0" w:color="000000"/>
            </w:tcBorders>
            <w:shd w:val="clear" w:color="auto" w:fill="D2D2D2"/>
          </w:tcPr>
          <w:p>
            <w:pPr/>
          </w:p>
        </w:tc>
        <w:tc>
          <w:tcPr>
            <w:tcW w:w="1194"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85" w:type="dxa"/>
            <w:vMerge/>
            <w:tcBorders>
              <w:left w:val="single" w:sz="4" w:space="0" w:color="000000"/>
              <w:right w:val="single" w:sz="4" w:space="0" w:color="000000"/>
            </w:tcBorders>
            <w:shd w:val="clear" w:color="auto" w:fill="D2D2D2"/>
          </w:tcPr>
          <w:p>
            <w:pPr/>
          </w:p>
        </w:tc>
        <w:tc>
          <w:tcPr>
            <w:tcW w:w="1208" w:type="dxa"/>
            <w:vMerge/>
            <w:tcBorders>
              <w:left w:val="single" w:sz="4" w:space="0" w:color="000000"/>
              <w:bottom w:val="nil" w:sz="6" w:space="0" w:color="auto"/>
              <w:right w:val="single" w:sz="4" w:space="0" w:color="000000"/>
            </w:tcBorders>
            <w:shd w:val="clear" w:color="auto" w:fill="D2D2D2"/>
          </w:tcPr>
          <w:p>
            <w:pPr/>
          </w:p>
        </w:tc>
        <w:tc>
          <w:tcPr>
            <w:tcW w:w="1185" w:type="dxa"/>
            <w:vMerge/>
            <w:tcBorders>
              <w:left w:val="single" w:sz="4" w:space="0" w:color="000000"/>
              <w:right w:val="single" w:sz="4" w:space="0" w:color="000000"/>
            </w:tcBorders>
            <w:shd w:val="clear" w:color="auto" w:fill="D2D2D2"/>
          </w:tcPr>
          <w:p>
            <w:pPr/>
          </w:p>
        </w:tc>
        <w:tc>
          <w:tcPr>
            <w:tcW w:w="1207" w:type="dxa"/>
            <w:vMerge w:val="restart"/>
            <w:tcBorders>
              <w:top w:val="nil" w:sz="6" w:space="0" w:color="auto"/>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156" w:hRule="exact"/>
        </w:trPr>
        <w:tc>
          <w:tcPr>
            <w:tcW w:w="1187" w:type="dxa"/>
            <w:vMerge/>
            <w:tcBorders>
              <w:left w:val="single" w:sz="4" w:space="0" w:color="000000"/>
              <w:right w:val="single" w:sz="4" w:space="0" w:color="000000"/>
            </w:tcBorders>
            <w:shd w:val="clear" w:color="auto" w:fill="D2D2D2"/>
          </w:tcPr>
          <w:p>
            <w:pPr/>
          </w:p>
        </w:tc>
        <w:tc>
          <w:tcPr>
            <w:tcW w:w="1194"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bottom w:val="nil" w:sz="6" w:space="0" w:color="auto"/>
              <w:right w:val="single" w:sz="4" w:space="0" w:color="000000"/>
            </w:tcBorders>
            <w:shd w:val="clear" w:color="auto" w:fill="D2D2D2"/>
          </w:tcPr>
          <w:p>
            <w:pPr/>
          </w:p>
        </w:tc>
        <w:tc>
          <w:tcPr>
            <w:tcW w:w="1185" w:type="dxa"/>
            <w:vMerge/>
            <w:tcBorders>
              <w:left w:val="single" w:sz="4" w:space="0" w:color="000000"/>
              <w:right w:val="single" w:sz="4" w:space="0" w:color="000000"/>
            </w:tcBorders>
            <w:shd w:val="clear" w:color="auto" w:fill="D2D2D2"/>
          </w:tcPr>
          <w:p>
            <w:pPr/>
          </w:p>
        </w:tc>
        <w:tc>
          <w:tcPr>
            <w:tcW w:w="1208" w:type="dxa"/>
            <w:vMerge w:val="restart"/>
            <w:tcBorders>
              <w:top w:val="nil" w:sz="6" w:space="0" w:color="auto"/>
              <w:left w:val="single" w:sz="4" w:space="0" w:color="000000"/>
              <w:right w:val="single" w:sz="4" w:space="0" w:color="000000"/>
            </w:tcBorders>
            <w:shd w:val="clear" w:color="auto" w:fill="D2D2D2"/>
          </w:tcPr>
          <w:p>
            <w:pPr/>
          </w:p>
        </w:tc>
        <w:tc>
          <w:tcPr>
            <w:tcW w:w="1185" w:type="dxa"/>
            <w:vMerge/>
            <w:tcBorders>
              <w:left w:val="single" w:sz="4" w:space="0" w:color="000000"/>
              <w:right w:val="single" w:sz="4" w:space="0" w:color="000000"/>
            </w:tcBorders>
            <w:shd w:val="clear" w:color="auto" w:fill="D2D2D2"/>
          </w:tcPr>
          <w:p>
            <w:pPr/>
          </w:p>
        </w:tc>
        <w:tc>
          <w:tcPr>
            <w:tcW w:w="1207"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156" w:hRule="exact"/>
        </w:trPr>
        <w:tc>
          <w:tcPr>
            <w:tcW w:w="1187" w:type="dxa"/>
            <w:vMerge/>
            <w:tcBorders>
              <w:left w:val="single" w:sz="4" w:space="0" w:color="000000"/>
              <w:right w:val="single" w:sz="4" w:space="0" w:color="000000"/>
            </w:tcBorders>
            <w:shd w:val="clear" w:color="auto" w:fill="D2D2D2"/>
          </w:tcPr>
          <w:p>
            <w:pPr/>
          </w:p>
        </w:tc>
        <w:tc>
          <w:tcPr>
            <w:tcW w:w="1194" w:type="dxa"/>
            <w:vMerge/>
            <w:tcBorders>
              <w:left w:val="single" w:sz="4" w:space="0" w:color="000000"/>
              <w:right w:val="single" w:sz="4" w:space="0" w:color="000000"/>
            </w:tcBorders>
            <w:shd w:val="clear" w:color="auto" w:fill="D2D2D2"/>
          </w:tcPr>
          <w:p>
            <w:pPr/>
          </w:p>
        </w:tc>
        <w:tc>
          <w:tcPr>
            <w:tcW w:w="1196" w:type="dxa"/>
            <w:vMerge w:val="restart"/>
            <w:tcBorders>
              <w:top w:val="nil" w:sz="6" w:space="0" w:color="auto"/>
              <w:left w:val="single" w:sz="4" w:space="0" w:color="000000"/>
              <w:right w:val="single" w:sz="4" w:space="0" w:color="000000"/>
            </w:tcBorders>
            <w:shd w:val="clear" w:color="auto" w:fill="D2D2D2"/>
          </w:tcPr>
          <w:p>
            <w:pPr/>
          </w:p>
        </w:tc>
        <w:tc>
          <w:tcPr>
            <w:tcW w:w="1185" w:type="dxa"/>
            <w:vMerge/>
            <w:tcBorders>
              <w:left w:val="single" w:sz="4" w:space="0" w:color="000000"/>
              <w:bottom w:val="nil" w:sz="6" w:space="0" w:color="auto"/>
              <w:right w:val="single" w:sz="4" w:space="0" w:color="000000"/>
            </w:tcBorders>
            <w:shd w:val="clear" w:color="auto" w:fill="D2D2D2"/>
          </w:tcPr>
          <w:p>
            <w:pPr/>
          </w:p>
        </w:tc>
        <w:tc>
          <w:tcPr>
            <w:tcW w:w="1208" w:type="dxa"/>
            <w:vMerge/>
            <w:tcBorders>
              <w:left w:val="single" w:sz="4" w:space="0" w:color="000000"/>
              <w:right w:val="single" w:sz="4" w:space="0" w:color="000000"/>
            </w:tcBorders>
            <w:shd w:val="clear" w:color="auto" w:fill="D2D2D2"/>
          </w:tcPr>
          <w:p>
            <w:pPr/>
          </w:p>
        </w:tc>
        <w:tc>
          <w:tcPr>
            <w:tcW w:w="1185" w:type="dxa"/>
            <w:vMerge/>
            <w:tcBorders>
              <w:left w:val="single" w:sz="4" w:space="0" w:color="000000"/>
              <w:bottom w:val="nil" w:sz="6" w:space="0" w:color="auto"/>
              <w:right w:val="single" w:sz="4" w:space="0" w:color="000000"/>
            </w:tcBorders>
            <w:shd w:val="clear" w:color="auto" w:fill="D2D2D2"/>
          </w:tcPr>
          <w:p>
            <w:pPr/>
          </w:p>
        </w:tc>
        <w:tc>
          <w:tcPr>
            <w:tcW w:w="1207"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161" w:hRule="exact"/>
        </w:trPr>
        <w:tc>
          <w:tcPr>
            <w:tcW w:w="1187" w:type="dxa"/>
            <w:vMerge/>
            <w:tcBorders>
              <w:left w:val="single" w:sz="4" w:space="0" w:color="000000"/>
              <w:bottom w:val="single" w:sz="4" w:space="0" w:color="000000"/>
              <w:right w:val="single" w:sz="4" w:space="0" w:color="000000"/>
            </w:tcBorders>
            <w:shd w:val="clear" w:color="auto" w:fill="D2D2D2"/>
          </w:tcPr>
          <w:p>
            <w:pPr/>
          </w:p>
        </w:tc>
        <w:tc>
          <w:tcPr>
            <w:tcW w:w="1194"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85" w:type="dxa"/>
            <w:tcBorders>
              <w:top w:val="nil" w:sz="6" w:space="0" w:color="auto"/>
              <w:left w:val="single" w:sz="4" w:space="0" w:color="000000"/>
              <w:bottom w:val="single" w:sz="4" w:space="0" w:color="000000"/>
              <w:right w:val="single" w:sz="4" w:space="0" w:color="000000"/>
            </w:tcBorders>
            <w:shd w:val="clear" w:color="auto" w:fill="D2D2D2"/>
          </w:tcPr>
          <w:p>
            <w:pPr/>
          </w:p>
        </w:tc>
        <w:tc>
          <w:tcPr>
            <w:tcW w:w="1208" w:type="dxa"/>
            <w:vMerge/>
            <w:tcBorders>
              <w:left w:val="single" w:sz="4" w:space="0" w:color="000000"/>
              <w:bottom w:val="single" w:sz="4" w:space="0" w:color="000000"/>
              <w:right w:val="single" w:sz="4" w:space="0" w:color="000000"/>
            </w:tcBorders>
            <w:shd w:val="clear" w:color="auto" w:fill="D2D2D2"/>
          </w:tcPr>
          <w:p>
            <w:pPr/>
          </w:p>
        </w:tc>
        <w:tc>
          <w:tcPr>
            <w:tcW w:w="1185" w:type="dxa"/>
            <w:tcBorders>
              <w:top w:val="nil" w:sz="6" w:space="0" w:color="auto"/>
              <w:left w:val="single" w:sz="4" w:space="0" w:color="000000"/>
              <w:bottom w:val="single" w:sz="4" w:space="0" w:color="000000"/>
              <w:right w:val="single" w:sz="4" w:space="0" w:color="000000"/>
            </w:tcBorders>
            <w:shd w:val="clear" w:color="auto" w:fill="D2D2D2"/>
          </w:tcPr>
          <w:p>
            <w:pPr/>
          </w:p>
        </w:tc>
        <w:tc>
          <w:tcPr>
            <w:tcW w:w="1207" w:type="dxa"/>
            <w:vMerge/>
            <w:tcBorders>
              <w:left w:val="single" w:sz="4" w:space="0" w:color="000000"/>
              <w:bottom w:val="single" w:sz="4" w:space="0" w:color="000000"/>
              <w:right w:val="single" w:sz="4" w:space="0" w:color="000000"/>
            </w:tcBorders>
            <w:shd w:val="clear" w:color="auto" w:fill="D2D2D2"/>
          </w:tcPr>
          <w:p>
            <w:pPr/>
          </w:p>
        </w:tc>
        <w:tc>
          <w:tcPr>
            <w:tcW w:w="118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439,461,135.00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725,308,104.74</w:t>
            </w:r>
          </w:p>
        </w:tc>
        <w:tc>
          <w:tcPr>
            <w:tcW w:w="1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
              <w:jc w:val="right"/>
              <w:rPr>
                <w:rFonts w:ascii="Times New Roman" w:hAnsi="Times New Roman" w:cs="Times New Roman" w:eastAsia="Times New Roman" w:hint="default"/>
                <w:sz w:val="18"/>
                <w:szCs w:val="18"/>
              </w:rPr>
            </w:pPr>
            <w:r>
              <w:rPr>
                <w:rFonts w:ascii="Times New Roman"/>
                <w:sz w:val="18"/>
              </w:rPr>
              <w:t>60.59%</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230,222,172.45</w:t>
            </w:r>
          </w:p>
        </w:tc>
        <w:tc>
          <w:tcPr>
            <w:tcW w:w="1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8"/>
              <w:jc w:val="right"/>
              <w:rPr>
                <w:rFonts w:ascii="Times New Roman" w:hAnsi="Times New Roman" w:cs="Times New Roman" w:eastAsia="Times New Roman" w:hint="default"/>
                <w:sz w:val="18"/>
                <w:szCs w:val="18"/>
              </w:rPr>
            </w:pPr>
            <w:r>
              <w:rPr>
                <w:rFonts w:ascii="Times New Roman"/>
                <w:sz w:val="18"/>
              </w:rPr>
              <w:t>31.71%</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9" w:right="0"/>
              <w:jc w:val="left"/>
              <w:rPr>
                <w:rFonts w:ascii="Times New Roman" w:hAnsi="Times New Roman" w:cs="Times New Roman" w:eastAsia="Times New Roman" w:hint="default"/>
                <w:sz w:val="18"/>
                <w:szCs w:val="18"/>
              </w:rPr>
            </w:pPr>
            <w:r>
              <w:rPr>
                <w:rFonts w:ascii="Times New Roman"/>
                <w:sz w:val="18"/>
              </w:rPr>
              <w:t>669,683,307.45</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8"/>
              <w:jc w:val="right"/>
              <w:rPr>
                <w:rFonts w:ascii="Times New Roman" w:hAnsi="Times New Roman" w:cs="Times New Roman" w:eastAsia="Times New Roman" w:hint="default"/>
                <w:sz w:val="18"/>
                <w:szCs w:val="18"/>
              </w:rPr>
            </w:pPr>
            <w:r>
              <w:rPr>
                <w:rFonts w:ascii="Times New Roman"/>
                <w:sz w:val="18"/>
              </w:rPr>
              <w:t>92.25%</w:t>
            </w:r>
          </w:p>
        </w:tc>
      </w:tr>
      <w:tr>
        <w:trPr>
          <w:trHeight w:val="402" w:hRule="exact"/>
        </w:trPr>
        <w:tc>
          <w:tcPr>
            <w:tcW w:w="1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446,080,314.60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574,411,233.05</w:t>
            </w:r>
          </w:p>
        </w:tc>
        <w:tc>
          <w:tcPr>
            <w:tcW w:w="1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
              <w:jc w:val="right"/>
              <w:rPr>
                <w:rFonts w:ascii="Times New Roman" w:hAnsi="Times New Roman" w:cs="Times New Roman" w:eastAsia="Times New Roman" w:hint="default"/>
                <w:sz w:val="18"/>
                <w:szCs w:val="18"/>
              </w:rPr>
            </w:pPr>
            <w:r>
              <w:rPr>
                <w:rFonts w:ascii="Times New Roman"/>
                <w:sz w:val="18"/>
              </w:rPr>
              <w:t>77.66%</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0.00</w:t>
            </w:r>
          </w:p>
        </w:tc>
        <w:tc>
          <w:tcPr>
            <w:tcW w:w="1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8"/>
              <w:jc w:val="right"/>
              <w:rPr>
                <w:rFonts w:ascii="Times New Roman" w:hAnsi="Times New Roman" w:cs="Times New Roman" w:eastAsia="Times New Roman" w:hint="default"/>
                <w:sz w:val="18"/>
                <w:szCs w:val="18"/>
              </w:rPr>
            </w:pPr>
            <w:r>
              <w:rPr>
                <w:rFonts w:ascii="Times New Roman"/>
                <w:sz w:val="18"/>
              </w:rPr>
              <w:t>0.00%</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9" w:right="0"/>
              <w:jc w:val="left"/>
              <w:rPr>
                <w:rFonts w:ascii="Times New Roman" w:hAnsi="Times New Roman" w:cs="Times New Roman" w:eastAsia="Times New Roman" w:hint="default"/>
                <w:sz w:val="18"/>
                <w:szCs w:val="18"/>
              </w:rPr>
            </w:pPr>
            <w:r>
              <w:rPr>
                <w:rFonts w:ascii="Times New Roman"/>
                <w:sz w:val="18"/>
              </w:rPr>
              <w:t>446,080,314.60</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8"/>
              <w:jc w:val="right"/>
              <w:rPr>
                <w:rFonts w:ascii="Times New Roman" w:hAnsi="Times New Roman" w:cs="Times New Roman" w:eastAsia="Times New Roman" w:hint="default"/>
                <w:sz w:val="18"/>
                <w:szCs w:val="18"/>
              </w:rPr>
            </w:pPr>
            <w:r>
              <w:rPr>
                <w:rFonts w:ascii="Times New Roman"/>
                <w:sz w:val="18"/>
              </w:rPr>
              <w:t>77.66%</w:t>
            </w:r>
          </w:p>
        </w:tc>
      </w:tr>
      <w:tr>
        <w:trPr>
          <w:trHeight w:val="403" w:hRule="exact"/>
        </w:trPr>
        <w:tc>
          <w:tcPr>
            <w:tcW w:w="1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326,511,800.00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570,721,416.87</w:t>
            </w:r>
          </w:p>
        </w:tc>
        <w:tc>
          <w:tcPr>
            <w:tcW w:w="1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
              <w:jc w:val="right"/>
              <w:rPr>
                <w:rFonts w:ascii="Times New Roman" w:hAnsi="Times New Roman" w:cs="Times New Roman" w:eastAsia="Times New Roman" w:hint="default"/>
                <w:sz w:val="18"/>
                <w:szCs w:val="18"/>
              </w:rPr>
            </w:pPr>
            <w:r>
              <w:rPr>
                <w:rFonts w:ascii="Times New Roman"/>
                <w:sz w:val="18"/>
              </w:rPr>
              <w:t>57.21%</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0.00</w:t>
            </w:r>
          </w:p>
        </w:tc>
        <w:tc>
          <w:tcPr>
            <w:tcW w:w="1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8"/>
              <w:jc w:val="right"/>
              <w:rPr>
                <w:rFonts w:ascii="Times New Roman" w:hAnsi="Times New Roman" w:cs="Times New Roman" w:eastAsia="Times New Roman" w:hint="default"/>
                <w:sz w:val="18"/>
                <w:szCs w:val="18"/>
              </w:rPr>
            </w:pPr>
            <w:r>
              <w:rPr>
                <w:rFonts w:ascii="Times New Roman"/>
                <w:sz w:val="18"/>
              </w:rPr>
              <w:t>0.00%</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5" w:right="0"/>
              <w:jc w:val="left"/>
              <w:rPr>
                <w:rFonts w:ascii="Times New Roman" w:hAnsi="Times New Roman" w:cs="Times New Roman" w:eastAsia="Times New Roman" w:hint="default"/>
                <w:sz w:val="18"/>
                <w:szCs w:val="18"/>
              </w:rPr>
            </w:pPr>
            <w:r>
              <w:rPr>
                <w:rFonts w:ascii="Times New Roman"/>
                <w:sz w:val="18"/>
              </w:rPr>
              <w:t>326,511,800.00</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8"/>
              <w:jc w:val="right"/>
              <w:rPr>
                <w:rFonts w:ascii="Times New Roman" w:hAnsi="Times New Roman" w:cs="Times New Roman" w:eastAsia="Times New Roman" w:hint="default"/>
                <w:sz w:val="18"/>
                <w:szCs w:val="18"/>
              </w:rPr>
            </w:pPr>
            <w:r>
              <w:rPr>
                <w:rFonts w:ascii="Times New Roman"/>
                <w:sz w:val="18"/>
              </w:rPr>
              <w:t>57.21%</w:t>
            </w:r>
          </w:p>
        </w:tc>
      </w:tr>
    </w:tbl>
    <w:p>
      <w:pPr>
        <w:pStyle w:val="BodyText"/>
        <w:spacing w:line="240" w:lineRule="auto" w:before="51"/>
        <w:ind w:right="0"/>
        <w:jc w:val="left"/>
      </w:pPr>
      <w:r>
        <w:rPr/>
        <w:t>公司报告期内盈利且母公司可供普通股股东分配利润为正但未提出普通股现金红利分配预案</w:t>
      </w:r>
    </w:p>
    <w:p>
      <w:pPr>
        <w:pStyle w:val="BodyText"/>
        <w:spacing w:line="240" w:lineRule="auto" w:before="116"/>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bookmarkStart w:name="二、本报告期利润分配及资本公积金转增股本预案" w:id="64"/>
      <w:bookmarkEnd w:id="64"/>
      <w:r>
        <w:rPr>
          <w:b w:val="0"/>
          <w:bCs w:val="0"/>
        </w:rPr>
      </w:r>
      <w:r>
        <w:rPr/>
        <w:t>二、本报告期利润分配及资本公积金转增股本预案</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784"/>
        <w:gridCol w:w="5784"/>
      </w:tblGrid>
      <w:tr>
        <w:trPr>
          <w:trHeight w:val="402" w:hRule="exact"/>
        </w:trPr>
        <w:tc>
          <w:tcPr>
            <w:tcW w:w="3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股送红股数（股）</w:t>
            </w:r>
          </w:p>
        </w:tc>
        <w:tc>
          <w:tcPr>
            <w:tcW w:w="578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股派息</w:t>
            </w:r>
            <w:r>
              <w:rPr>
                <w:rFonts w:ascii="宋体" w:hAnsi="宋体" w:cs="宋体" w:eastAsia="宋体" w:hint="default"/>
                <w:spacing w:val="1"/>
                <w:sz w:val="18"/>
                <w:szCs w:val="18"/>
              </w:rPr>
              <w:t>数</w:t>
            </w:r>
            <w:r>
              <w:rPr>
                <w:rFonts w:ascii="宋体" w:hAnsi="宋体" w:cs="宋体" w:eastAsia="宋体" w:hint="default"/>
                <w:sz w:val="18"/>
                <w:szCs w:val="18"/>
              </w:rPr>
              <w:t>（元</w:t>
            </w:r>
            <w:r>
              <w:rPr>
                <w:rFonts w:ascii="宋体" w:hAnsi="宋体" w:cs="宋体" w:eastAsia="宋体" w:hint="default"/>
                <w:spacing w:val="-90"/>
                <w:sz w:val="18"/>
                <w:szCs w:val="18"/>
              </w:rPr>
              <w:t>）</w:t>
            </w:r>
            <w:r>
              <w:rPr>
                <w:rFonts w:ascii="宋体" w:hAnsi="宋体" w:cs="宋体" w:eastAsia="宋体" w:hint="default"/>
                <w:sz w:val="18"/>
                <w:szCs w:val="18"/>
              </w:rPr>
              <w:t>（含税）</w:t>
            </w:r>
          </w:p>
        </w:tc>
        <w:tc>
          <w:tcPr>
            <w:tcW w:w="578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3.00</w:t>
            </w:r>
          </w:p>
        </w:tc>
      </w:tr>
      <w:tr>
        <w:trPr>
          <w:trHeight w:val="402" w:hRule="exact"/>
        </w:trPr>
        <w:tc>
          <w:tcPr>
            <w:tcW w:w="3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股转增数（股）</w:t>
            </w:r>
          </w:p>
        </w:tc>
        <w:tc>
          <w:tcPr>
            <w:tcW w:w="578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分配预案的股本基数（股）</w:t>
            </w:r>
          </w:p>
        </w:tc>
        <w:tc>
          <w:tcPr>
            <w:tcW w:w="578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1,464,870,450</w:t>
            </w:r>
          </w:p>
        </w:tc>
      </w:tr>
      <w:tr>
        <w:trPr>
          <w:trHeight w:val="402" w:hRule="exact"/>
        </w:trPr>
        <w:tc>
          <w:tcPr>
            <w:tcW w:w="3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现金分红金额（元</w:t>
            </w:r>
            <w:r>
              <w:rPr>
                <w:rFonts w:ascii="宋体" w:hAnsi="宋体" w:cs="宋体" w:eastAsia="宋体" w:hint="default"/>
                <w:spacing w:val="-90"/>
                <w:sz w:val="18"/>
                <w:szCs w:val="18"/>
              </w:rPr>
              <w:t>）</w:t>
            </w:r>
            <w:r>
              <w:rPr>
                <w:rFonts w:ascii="宋体" w:hAnsi="宋体" w:cs="宋体" w:eastAsia="宋体" w:hint="default"/>
                <w:sz w:val="18"/>
                <w:szCs w:val="18"/>
              </w:rPr>
              <w:t>（含税）</w:t>
            </w:r>
          </w:p>
        </w:tc>
        <w:tc>
          <w:tcPr>
            <w:tcW w:w="578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439,461,135.00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r>
        <w:rPr/>
        <w:pict>
          <v:shape style="position:absolute;margin-left:366.196991pt;margin-top:548.619995pt;width:123.35pt;height:31.2pt;mso-position-horizontal-relative:page;mso-position-vertical-relative:page;z-index:-1231648" type="#_x0000_t202" filled="false" stroked="false">
            <v:textbox inset="0,0,0,0">
              <w:txbxContent>
                <w:p>
                  <w:pPr>
                    <w:pStyle w:val="BodyText"/>
                    <w:spacing w:line="240" w:lineRule="auto" w:before="51"/>
                    <w:ind w:left="0" w:right="0"/>
                    <w:jc w:val="left"/>
                  </w:pPr>
                  <w:r>
                    <w:rPr/>
                    <w:t>太和印刷实业有限公司、</w:t>
                  </w:r>
                </w:p>
              </w:txbxContent>
            </v:textbox>
            <w10:wrap type="none"/>
          </v:shape>
        </w:pict>
      </w:r>
      <w:r>
        <w:rPr/>
        <w:pict>
          <v:shape style="position:absolute;margin-left:303.196991pt;margin-top:646.23999pt;width:186.35pt;height:31.2pt;mso-position-horizontal-relative:page;mso-position-vertical-relative:page;z-index:-1231624" type="#_x0000_t202" filled="false" stroked="false">
            <v:textbox inset="0,0,0,0">
              <w:txbxContent>
                <w:p>
                  <w:pPr>
                    <w:spacing w:line="240" w:lineRule="auto" w:before="9"/>
                    <w:rPr>
                      <w:rFonts w:ascii="宋体" w:hAnsi="宋体" w:cs="宋体" w:eastAsia="宋体" w:hint="default"/>
                      <w:sz w:val="21"/>
                      <w:szCs w:val="21"/>
                    </w:rPr>
                  </w:pPr>
                </w:p>
                <w:p>
                  <w:pPr>
                    <w:pStyle w:val="BodyText"/>
                    <w:spacing w:line="240" w:lineRule="auto"/>
                    <w:ind w:left="0" w:right="0"/>
                    <w:jc w:val="left"/>
                  </w:pPr>
                  <w:r>
                    <w:rPr/>
                    <w:t>本公司将承担由此引发的一切法律责任。</w:t>
                  </w:r>
                </w:p>
              </w:txbxContent>
            </v:textbox>
            <w10:wrap type="none"/>
          </v:shape>
        </w:pict>
      </w:r>
      <w:r>
        <w:rPr/>
        <w:pict>
          <v:group style="position:absolute;margin-left:201.380005pt;margin-top:613.059998pt;width:38.950pt;height:31.2pt;mso-position-horizontal-relative:page;mso-position-vertical-relative:page;z-index:-1231600" coordorigin="4028,12261" coordsize="779,624">
            <v:group style="position:absolute;left:4028;top:12261;width:779;height:312" coordorigin="4028,12261" coordsize="779,312">
              <v:shape style="position:absolute;left:4028;top:12261;width:779;height:312" coordorigin="4028,12261" coordsize="779,312" path="m4028,12573l4806,12573,4806,12261,4028,12261,4028,12573xe" filled="true" fillcolor="#ffffff" stroked="false">
                <v:path arrowok="t"/>
                <v:fill type="solid"/>
              </v:shape>
            </v:group>
            <v:group style="position:absolute;left:4028;top:12573;width:779;height:312" coordorigin="4028,12573" coordsize="779,312">
              <v:shape style="position:absolute;left:4028;top:12573;width:779;height:312" coordorigin="4028,12573" coordsize="779,312" path="m4028,12885l4806,12885,4806,12573,4028,12573,4028,12885xe" filled="true" fillcolor="#ffffff" stroked="false">
                <v:path arrowok="t"/>
                <v:fill type="solid"/>
              </v:shape>
            </v:group>
            <w10:wrap type="none"/>
          </v:group>
        </w:pict>
      </w:r>
      <w:r>
        <w:rPr/>
        <w:pict>
          <v:group style="position:absolute;margin-left:462.359985pt;margin-top:646.23999pt;width:27.2pt;height:31.2pt;mso-position-horizontal-relative:page;mso-position-vertical-relative:page;z-index:-1231576" coordorigin="9247,12925" coordsize="544,624">
            <v:shape style="position:absolute;left:9247;top:12925;width:544;height:624" coordorigin="9247,12925" coordsize="544,624" path="m9247,13549l9791,13549,9791,12925,9247,12925,9247,13549xe" filled="true" fillcolor="#ffffff" stroked="false">
              <v:path arrowok="t"/>
              <v:fill type="solid"/>
            </v:shape>
            <w10:wrap type="none"/>
          </v:group>
        </w:pict>
      </w:r>
    </w:p>
    <w:tbl>
      <w:tblPr>
        <w:tblW w:w="0" w:type="auto"/>
        <w:jc w:val="left"/>
        <w:tblInd w:w="160" w:type="dxa"/>
        <w:tblLayout w:type="fixed"/>
        <w:tblCellMar>
          <w:top w:w="0" w:type="dxa"/>
          <w:left w:w="0" w:type="dxa"/>
          <w:bottom w:w="0" w:type="dxa"/>
          <w:right w:w="0" w:type="dxa"/>
        </w:tblCellMar>
        <w:tblLook w:val="01E0"/>
      </w:tblPr>
      <w:tblGrid>
        <w:gridCol w:w="3773"/>
        <w:gridCol w:w="5784"/>
      </w:tblGrid>
      <w:tr>
        <w:trPr>
          <w:trHeight w:val="402" w:hRule="exact"/>
        </w:trPr>
        <w:tc>
          <w:tcPr>
            <w:tcW w:w="3773"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51"/>
              <w:ind w:left="11" w:right="-40"/>
              <w:jc w:val="left"/>
              <w:rPr>
                <w:rFonts w:ascii="宋体" w:hAnsi="宋体" w:cs="宋体" w:eastAsia="宋体" w:hint="default"/>
                <w:sz w:val="18"/>
                <w:szCs w:val="18"/>
              </w:rPr>
            </w:pPr>
            <w:r>
              <w:rPr>
                <w:rFonts w:ascii="宋体" w:hAnsi="宋体" w:cs="宋体" w:eastAsia="宋体" w:hint="default"/>
                <w:sz w:val="18"/>
                <w:szCs w:val="18"/>
              </w:rPr>
              <w:t>以其他方式（如回购股份）现金分红金额（元）</w:t>
            </w:r>
          </w:p>
        </w:tc>
        <w:tc>
          <w:tcPr>
            <w:tcW w:w="5784" w:type="dxa"/>
            <w:tcBorders>
              <w:top w:val="single" w:sz="4" w:space="0" w:color="000000"/>
              <w:left w:val="single" w:sz="9" w:space="0" w:color="FFFFFF"/>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230,222,172.45</w:t>
            </w:r>
          </w:p>
        </w:tc>
      </w:tr>
      <w:tr>
        <w:trPr>
          <w:trHeight w:val="402" w:hRule="exact"/>
        </w:trPr>
        <w:tc>
          <w:tcPr>
            <w:tcW w:w="37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现金分红总额（含其他方式</w:t>
            </w:r>
            <w:r>
              <w:rPr>
                <w:rFonts w:ascii="宋体" w:hAnsi="宋体" w:cs="宋体" w:eastAsia="宋体" w:hint="default"/>
                <w:spacing w:val="-90"/>
                <w:sz w:val="18"/>
                <w:szCs w:val="18"/>
              </w:rPr>
              <w:t>）</w:t>
            </w:r>
            <w:r>
              <w:rPr>
                <w:rFonts w:ascii="宋体" w:hAnsi="宋体" w:cs="宋体" w:eastAsia="宋体" w:hint="default"/>
                <w:sz w:val="18"/>
                <w:szCs w:val="18"/>
              </w:rPr>
              <w:t>（元）</w:t>
            </w:r>
          </w:p>
        </w:tc>
        <w:tc>
          <w:tcPr>
            <w:tcW w:w="578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669,683,307.45</w:t>
            </w:r>
          </w:p>
        </w:tc>
      </w:tr>
      <w:tr>
        <w:trPr>
          <w:trHeight w:val="402" w:hRule="exact"/>
        </w:trPr>
        <w:tc>
          <w:tcPr>
            <w:tcW w:w="37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可分配利润（元）</w:t>
            </w:r>
          </w:p>
        </w:tc>
        <w:tc>
          <w:tcPr>
            <w:tcW w:w="578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1,680,358,507.76</w:t>
            </w:r>
          </w:p>
        </w:tc>
      </w:tr>
      <w:tr>
        <w:trPr>
          <w:trHeight w:val="714" w:hRule="exact"/>
        </w:trPr>
        <w:tc>
          <w:tcPr>
            <w:tcW w:w="37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0"/>
              <w:jc w:val="left"/>
              <w:rPr>
                <w:rFonts w:ascii="宋体" w:hAnsi="宋体" w:cs="宋体" w:eastAsia="宋体" w:hint="default"/>
                <w:sz w:val="18"/>
                <w:szCs w:val="18"/>
              </w:rPr>
            </w:pPr>
            <w:r>
              <w:rPr>
                <w:rFonts w:ascii="宋体" w:hAnsi="宋体" w:cs="宋体" w:eastAsia="宋体" w:hint="default"/>
                <w:spacing w:val="-2"/>
                <w:sz w:val="18"/>
                <w:szCs w:val="18"/>
              </w:rPr>
              <w:t>现金分红总额（含其他方式）占利润分配总额的</w:t>
            </w:r>
            <w:r>
              <w:rPr>
                <w:rFonts w:ascii="宋体" w:hAnsi="宋体" w:cs="宋体" w:eastAsia="宋体" w:hint="default"/>
                <w:sz w:val="18"/>
                <w:szCs w:val="18"/>
              </w:rPr>
              <w:t> 比例</w:t>
            </w:r>
          </w:p>
        </w:tc>
        <w:tc>
          <w:tcPr>
            <w:tcW w:w="578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r>
      <w:tr>
        <w:trPr>
          <w:trHeight w:val="402"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0"/>
              <w:jc w:val="center"/>
              <w:rPr>
                <w:rFonts w:ascii="宋体" w:hAnsi="宋体" w:cs="宋体" w:eastAsia="宋体" w:hint="default"/>
                <w:sz w:val="18"/>
                <w:szCs w:val="18"/>
              </w:rPr>
            </w:pPr>
            <w:r>
              <w:rPr>
                <w:rFonts w:ascii="宋体" w:hAnsi="宋体" w:cs="宋体" w:eastAsia="宋体" w:hint="default"/>
                <w:sz w:val="18"/>
                <w:szCs w:val="18"/>
              </w:rPr>
              <w:t>本次现金分红情况</w:t>
            </w:r>
          </w:p>
        </w:tc>
      </w:tr>
      <w:tr>
        <w:trPr>
          <w:trHeight w:val="402" w:hRule="exact"/>
        </w:trPr>
        <w:tc>
          <w:tcPr>
            <w:tcW w:w="955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2"/>
                <w:sz w:val="18"/>
                <w:szCs w:val="18"/>
              </w:rPr>
              <w:t>公司发展阶段属成长期且有重大资金支出安排的，进行利润分配时，现金分红在本次利润分配中所占比例最低应达到</w:t>
            </w:r>
            <w:r>
              <w:rPr>
                <w:rFonts w:ascii="宋体" w:hAnsi="宋体" w:cs="宋体" w:eastAsia="宋体" w:hint="default"/>
                <w:spacing w:val="-15"/>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w:t>
            </w:r>
          </w:p>
        </w:tc>
      </w:tr>
      <w:tr>
        <w:trPr>
          <w:trHeight w:val="402"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77" w:right="0"/>
              <w:jc w:val="left"/>
              <w:rPr>
                <w:rFonts w:ascii="宋体" w:hAnsi="宋体" w:cs="宋体" w:eastAsia="宋体" w:hint="default"/>
                <w:sz w:val="18"/>
                <w:szCs w:val="18"/>
              </w:rPr>
            </w:pPr>
            <w:r>
              <w:rPr>
                <w:rFonts w:ascii="宋体" w:hAnsi="宋体" w:cs="宋体" w:eastAsia="宋体" w:hint="default"/>
                <w:sz w:val="18"/>
                <w:szCs w:val="18"/>
              </w:rPr>
              <w:t>利润分配或资本公积金转增预案的详细情况说明</w:t>
            </w:r>
          </w:p>
        </w:tc>
      </w:tr>
      <w:tr>
        <w:trPr>
          <w:trHeight w:val="714" w:hRule="exact"/>
        </w:trPr>
        <w:tc>
          <w:tcPr>
            <w:tcW w:w="955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年年度拟实施权益分派，预案为：以总股本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1,464,870,450 </w:t>
            </w:r>
            <w:r>
              <w:rPr>
                <w:rFonts w:ascii="宋体" w:hAnsi="宋体" w:cs="宋体" w:eastAsia="宋体" w:hint="default"/>
                <w:sz w:val="18"/>
                <w:szCs w:val="18"/>
              </w:rPr>
              <w:t>股为基数，向全体股东按每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股派发现金红利</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3.00</w:t>
            </w:r>
          </w:p>
          <w:p>
            <w:pPr>
              <w:pStyle w:val="TableParagraph"/>
              <w:spacing w:line="240" w:lineRule="auto" w:before="64"/>
              <w:ind w:left="11" w:right="0"/>
              <w:jc w:val="left"/>
              <w:rPr>
                <w:rFonts w:ascii="宋体" w:hAnsi="宋体" w:cs="宋体" w:eastAsia="宋体" w:hint="default"/>
                <w:sz w:val="18"/>
                <w:szCs w:val="18"/>
              </w:rPr>
            </w:pPr>
            <w:r>
              <w:rPr>
                <w:rFonts w:ascii="宋体" w:hAnsi="宋体" w:cs="宋体" w:eastAsia="宋体" w:hint="default"/>
                <w:sz w:val="18"/>
                <w:szCs w:val="18"/>
              </w:rPr>
              <w:t>元（含税</w:t>
            </w:r>
            <w:r>
              <w:rPr>
                <w:rFonts w:ascii="宋体" w:hAnsi="宋体" w:cs="宋体" w:eastAsia="宋体" w:hint="default"/>
                <w:spacing w:val="-90"/>
                <w:sz w:val="18"/>
                <w:szCs w:val="18"/>
              </w:rPr>
              <w:t>）</w:t>
            </w:r>
            <w:r>
              <w:rPr>
                <w:rFonts w:ascii="宋体" w:hAnsi="宋体" w:cs="宋体" w:eastAsia="宋体" w:hint="default"/>
                <w:sz w:val="18"/>
                <w:szCs w:val="18"/>
              </w:rPr>
              <w:t>，不送红股，不以资本公积金转增股本。</w:t>
            </w:r>
          </w:p>
        </w:tc>
      </w:tr>
    </w:tbl>
    <w:p>
      <w:pPr>
        <w:spacing w:line="240" w:lineRule="auto" w:before="2"/>
        <w:rPr>
          <w:rFonts w:ascii="宋体" w:hAnsi="宋体" w:cs="宋体" w:eastAsia="宋体" w:hint="default"/>
          <w:sz w:val="18"/>
          <w:szCs w:val="18"/>
        </w:rPr>
      </w:pPr>
    </w:p>
    <w:p>
      <w:pPr>
        <w:pStyle w:val="Heading2"/>
        <w:spacing w:line="240" w:lineRule="auto" w:before="26"/>
        <w:ind w:right="0"/>
        <w:jc w:val="left"/>
        <w:rPr>
          <w:b w:val="0"/>
          <w:bCs w:val="0"/>
        </w:rPr>
      </w:pPr>
      <w:bookmarkStart w:name="三、承诺事项履行情况" w:id="65"/>
      <w:bookmarkEnd w:id="65"/>
      <w:r>
        <w:rPr>
          <w:b w:val="0"/>
          <w:bCs w:val="0"/>
        </w:rPr>
      </w:r>
      <w:r>
        <w:rPr/>
        <w:t>三、承诺事项履行情况</w:t>
      </w:r>
      <w:r>
        <w:rPr>
          <w:b w:val="0"/>
          <w:bCs w:val="0"/>
        </w:rPr>
      </w:r>
    </w:p>
    <w:p>
      <w:pPr>
        <w:spacing w:line="240" w:lineRule="auto" w:before="8"/>
        <w:rPr>
          <w:rFonts w:ascii="宋体" w:hAnsi="宋体" w:cs="宋体" w:eastAsia="宋体" w:hint="default"/>
          <w:b/>
          <w:bCs/>
          <w:sz w:val="24"/>
          <w:szCs w:val="24"/>
        </w:rPr>
      </w:pPr>
    </w:p>
    <w:p>
      <w:pPr>
        <w:pStyle w:val="Heading3"/>
        <w:spacing w:line="259" w:lineRule="auto"/>
        <w:ind w:right="0"/>
        <w:jc w:val="left"/>
        <w:rPr>
          <w:b w:val="0"/>
          <w:bCs w:val="0"/>
        </w:rPr>
      </w:pPr>
      <w:bookmarkStart w:name="1、公司实际控制人、股东、关联方、收购人以及公司等承诺相关方在报告期内履行完毕及" w:id="66"/>
      <w:bookmarkEnd w:id="66"/>
      <w:r>
        <w:rPr>
          <w:b w:val="0"/>
          <w:bCs w:val="0"/>
        </w:rPr>
      </w:r>
      <w:r>
        <w:rPr>
          <w:rFonts w:ascii="Times New Roman" w:hAnsi="Times New Roman" w:cs="Times New Roman" w:eastAsia="Times New Roman" w:hint="default"/>
        </w:rPr>
        <w:t>1</w:t>
      </w:r>
      <w:r>
        <w:rPr/>
        <w:t>、公司实际控制人、股东、关联方、收购人以及公司等承诺相关方在报告期内履行完毕及截至报告期末</w:t>
      </w:r>
      <w:r>
        <w:rPr>
          <w:spacing w:val="-74"/>
        </w:rPr>
        <w:t> </w:t>
      </w:r>
      <w:r>
        <w:rPr>
          <w:spacing w:val="-74"/>
        </w:rPr>
      </w:r>
      <w:r>
        <w:rPr/>
        <w:t>尚未履行完毕的承诺事项</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1178"/>
        <w:gridCol w:w="1676"/>
        <w:gridCol w:w="834"/>
        <w:gridCol w:w="4408"/>
        <w:gridCol w:w="554"/>
        <w:gridCol w:w="702"/>
        <w:gridCol w:w="302"/>
      </w:tblGrid>
      <w:tr>
        <w:trPr>
          <w:trHeight w:val="317" w:hRule="exact"/>
        </w:trPr>
        <w:tc>
          <w:tcPr>
            <w:tcW w:w="1178" w:type="dxa"/>
            <w:vMerge w:val="restart"/>
            <w:tcBorders>
              <w:top w:val="single" w:sz="4" w:space="0" w:color="000000"/>
              <w:left w:val="single" w:sz="4" w:space="0" w:color="000000"/>
              <w:right w:val="single" w:sz="4" w:space="0" w:color="000000"/>
            </w:tcBorders>
            <w:shd w:val="clear" w:color="auto" w:fill="D2D2D2"/>
          </w:tcPr>
          <w:p>
            <w:pPr/>
          </w:p>
        </w:tc>
        <w:tc>
          <w:tcPr>
            <w:tcW w:w="1676" w:type="dxa"/>
            <w:vMerge w:val="restart"/>
            <w:tcBorders>
              <w:top w:val="single" w:sz="4" w:space="0" w:color="000000"/>
              <w:left w:val="single" w:sz="4" w:space="0" w:color="000000"/>
              <w:right w:val="single" w:sz="4" w:space="0" w:color="000000"/>
            </w:tcBorders>
            <w:shd w:val="clear" w:color="auto" w:fill="D2D2D2"/>
          </w:tcPr>
          <w:p>
            <w:pPr/>
          </w:p>
        </w:tc>
        <w:tc>
          <w:tcPr>
            <w:tcW w:w="834" w:type="dxa"/>
            <w:vMerge w:val="restart"/>
            <w:tcBorders>
              <w:top w:val="single" w:sz="4" w:space="0" w:color="000000"/>
              <w:left w:val="single" w:sz="4" w:space="0" w:color="000000"/>
              <w:right w:val="single" w:sz="4" w:space="0" w:color="000000"/>
            </w:tcBorders>
            <w:shd w:val="clear" w:color="auto" w:fill="D2D2D2"/>
          </w:tcPr>
          <w:p>
            <w:pPr/>
          </w:p>
        </w:tc>
        <w:tc>
          <w:tcPr>
            <w:tcW w:w="4408" w:type="dxa"/>
            <w:vMerge w:val="restart"/>
            <w:tcBorders>
              <w:top w:val="single" w:sz="4" w:space="0" w:color="000000"/>
              <w:left w:val="single" w:sz="4" w:space="0" w:color="000000"/>
              <w:right w:val="single" w:sz="4" w:space="0" w:color="000000"/>
            </w:tcBorders>
            <w:shd w:val="clear" w:color="auto" w:fill="D2D2D2"/>
          </w:tcPr>
          <w:p>
            <w:pPr/>
          </w:p>
        </w:tc>
        <w:tc>
          <w:tcPr>
            <w:tcW w:w="5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02" w:type="dxa"/>
            <w:tcBorders>
              <w:top w:val="single" w:sz="4" w:space="0" w:color="000000"/>
              <w:left w:val="single" w:sz="4" w:space="0" w:color="000000"/>
              <w:bottom w:val="nil" w:sz="6" w:space="0" w:color="auto"/>
              <w:right w:val="single" w:sz="4" w:space="0" w:color="000000"/>
            </w:tcBorders>
            <w:shd w:val="clear" w:color="auto" w:fill="D2D2D2"/>
          </w:tcPr>
          <w:p>
            <w:pPr/>
          </w:p>
        </w:tc>
        <w:tc>
          <w:tcPr>
            <w:tcW w:w="30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56" w:right="54"/>
              <w:jc w:val="both"/>
              <w:rPr>
                <w:rFonts w:ascii="宋体" w:hAnsi="宋体" w:cs="宋体" w:eastAsia="宋体" w:hint="default"/>
                <w:sz w:val="18"/>
                <w:szCs w:val="18"/>
              </w:rPr>
            </w:pPr>
            <w:r>
              <w:rPr>
                <w:rFonts w:ascii="宋体" w:hAnsi="宋体" w:cs="宋体" w:eastAsia="宋体" w:hint="default"/>
                <w:sz w:val="18"/>
                <w:szCs w:val="18"/>
              </w:rPr>
              <w:t>履 行 情 况</w:t>
            </w:r>
          </w:p>
        </w:tc>
      </w:tr>
      <w:tr>
        <w:trPr>
          <w:trHeight w:val="156" w:hRule="exact"/>
        </w:trPr>
        <w:tc>
          <w:tcPr>
            <w:tcW w:w="1178" w:type="dxa"/>
            <w:vMerge/>
            <w:tcBorders>
              <w:left w:val="single" w:sz="4" w:space="0" w:color="000000"/>
              <w:bottom w:val="nil" w:sz="6" w:space="0" w:color="auto"/>
              <w:right w:val="single" w:sz="4" w:space="0" w:color="000000"/>
            </w:tcBorders>
            <w:shd w:val="clear" w:color="auto" w:fill="D2D2D2"/>
          </w:tcPr>
          <w:p>
            <w:pPr/>
          </w:p>
        </w:tc>
        <w:tc>
          <w:tcPr>
            <w:tcW w:w="1676" w:type="dxa"/>
            <w:vMerge/>
            <w:tcBorders>
              <w:left w:val="single" w:sz="4" w:space="0" w:color="000000"/>
              <w:bottom w:val="nil" w:sz="6" w:space="0" w:color="auto"/>
              <w:right w:val="single" w:sz="4" w:space="0" w:color="000000"/>
            </w:tcBorders>
            <w:shd w:val="clear" w:color="auto" w:fill="D2D2D2"/>
          </w:tcPr>
          <w:p>
            <w:pPr/>
          </w:p>
        </w:tc>
        <w:tc>
          <w:tcPr>
            <w:tcW w:w="834" w:type="dxa"/>
            <w:vMerge/>
            <w:tcBorders>
              <w:left w:val="single" w:sz="4" w:space="0" w:color="000000"/>
              <w:bottom w:val="nil" w:sz="6" w:space="0" w:color="auto"/>
              <w:right w:val="single" w:sz="4" w:space="0" w:color="000000"/>
            </w:tcBorders>
            <w:shd w:val="clear" w:color="auto" w:fill="D2D2D2"/>
          </w:tcPr>
          <w:p>
            <w:pPr/>
          </w:p>
        </w:tc>
        <w:tc>
          <w:tcPr>
            <w:tcW w:w="4408" w:type="dxa"/>
            <w:vMerge/>
            <w:tcBorders>
              <w:left w:val="single" w:sz="4" w:space="0" w:color="000000"/>
              <w:bottom w:val="nil" w:sz="6" w:space="0" w:color="auto"/>
              <w:right w:val="single" w:sz="4" w:space="0" w:color="000000"/>
            </w:tcBorders>
            <w:shd w:val="clear" w:color="auto" w:fill="D2D2D2"/>
          </w:tcPr>
          <w:p>
            <w:pPr/>
          </w:p>
        </w:tc>
        <w:tc>
          <w:tcPr>
            <w:tcW w:w="554"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91" w:right="91"/>
              <w:jc w:val="left"/>
              <w:rPr>
                <w:rFonts w:ascii="宋体" w:hAnsi="宋体" w:cs="宋体" w:eastAsia="宋体" w:hint="default"/>
                <w:sz w:val="18"/>
                <w:szCs w:val="18"/>
              </w:rPr>
            </w:pPr>
            <w:r>
              <w:rPr>
                <w:rFonts w:ascii="宋体" w:hAnsi="宋体" w:cs="宋体" w:eastAsia="宋体" w:hint="default"/>
                <w:sz w:val="18"/>
                <w:szCs w:val="18"/>
              </w:rPr>
              <w:t>承诺 时间</w:t>
            </w:r>
          </w:p>
        </w:tc>
        <w:tc>
          <w:tcPr>
            <w:tcW w:w="702"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255" w:right="74" w:hanging="180"/>
              <w:jc w:val="left"/>
              <w:rPr>
                <w:rFonts w:ascii="宋体" w:hAnsi="宋体" w:cs="宋体" w:eastAsia="宋体" w:hint="default"/>
                <w:sz w:val="18"/>
                <w:szCs w:val="18"/>
              </w:rPr>
            </w:pPr>
            <w:r>
              <w:rPr>
                <w:rFonts w:ascii="宋体" w:hAnsi="宋体" w:cs="宋体" w:eastAsia="宋体" w:hint="default"/>
                <w:sz w:val="18"/>
                <w:szCs w:val="18"/>
              </w:rPr>
              <w:t>承诺期 限</w:t>
            </w:r>
          </w:p>
        </w:tc>
        <w:tc>
          <w:tcPr>
            <w:tcW w:w="302" w:type="dxa"/>
            <w:vMerge/>
            <w:tcBorders>
              <w:left w:val="single" w:sz="4" w:space="0" w:color="000000"/>
              <w:right w:val="single" w:sz="4" w:space="0" w:color="000000"/>
            </w:tcBorders>
            <w:shd w:val="clear" w:color="auto" w:fill="D2D2D2"/>
          </w:tcPr>
          <w:p>
            <w:pPr/>
          </w:p>
        </w:tc>
      </w:tr>
      <w:tr>
        <w:trPr>
          <w:trHeight w:val="392" w:hRule="exact"/>
        </w:trPr>
        <w:tc>
          <w:tcPr>
            <w:tcW w:w="117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17" w:right="0"/>
              <w:jc w:val="left"/>
              <w:rPr>
                <w:rFonts w:ascii="宋体" w:hAnsi="宋体" w:cs="宋体" w:eastAsia="宋体" w:hint="default"/>
                <w:sz w:val="18"/>
                <w:szCs w:val="18"/>
              </w:rPr>
            </w:pPr>
            <w:r>
              <w:rPr>
                <w:rFonts w:ascii="宋体" w:hAnsi="宋体" w:cs="宋体" w:eastAsia="宋体" w:hint="default"/>
                <w:sz w:val="18"/>
                <w:szCs w:val="18"/>
              </w:rPr>
              <w:t>承诺事由</w:t>
            </w:r>
          </w:p>
        </w:tc>
        <w:tc>
          <w:tcPr>
            <w:tcW w:w="167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承诺方</w:t>
            </w:r>
          </w:p>
        </w:tc>
        <w:tc>
          <w:tcPr>
            <w:tcW w:w="83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51" w:right="0"/>
              <w:jc w:val="left"/>
              <w:rPr>
                <w:rFonts w:ascii="宋体" w:hAnsi="宋体" w:cs="宋体" w:eastAsia="宋体" w:hint="default"/>
                <w:sz w:val="18"/>
                <w:szCs w:val="18"/>
              </w:rPr>
            </w:pPr>
            <w:r>
              <w:rPr>
                <w:rFonts w:ascii="宋体" w:hAnsi="宋体" w:cs="宋体" w:eastAsia="宋体" w:hint="default"/>
                <w:sz w:val="18"/>
                <w:szCs w:val="18"/>
              </w:rPr>
              <w:t>承诺类型</w:t>
            </w:r>
          </w:p>
        </w:tc>
        <w:tc>
          <w:tcPr>
            <w:tcW w:w="440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承诺内容</w:t>
            </w:r>
          </w:p>
        </w:tc>
        <w:tc>
          <w:tcPr>
            <w:tcW w:w="554" w:type="dxa"/>
            <w:vMerge/>
            <w:tcBorders>
              <w:left w:val="single" w:sz="4" w:space="0" w:color="000000"/>
              <w:right w:val="single" w:sz="4" w:space="0" w:color="000000"/>
            </w:tcBorders>
            <w:shd w:val="clear" w:color="auto" w:fill="D2D2D2"/>
          </w:tcPr>
          <w:p>
            <w:pPr/>
          </w:p>
        </w:tc>
        <w:tc>
          <w:tcPr>
            <w:tcW w:w="702" w:type="dxa"/>
            <w:vMerge/>
            <w:tcBorders>
              <w:left w:val="single" w:sz="4" w:space="0" w:color="000000"/>
              <w:right w:val="single" w:sz="4" w:space="0" w:color="000000"/>
            </w:tcBorders>
            <w:shd w:val="clear" w:color="auto" w:fill="D2D2D2"/>
          </w:tcPr>
          <w:p>
            <w:pPr/>
          </w:p>
        </w:tc>
        <w:tc>
          <w:tcPr>
            <w:tcW w:w="302" w:type="dxa"/>
            <w:vMerge/>
            <w:tcBorders>
              <w:left w:val="single" w:sz="4" w:space="0" w:color="000000"/>
              <w:right w:val="single" w:sz="4" w:space="0" w:color="000000"/>
            </w:tcBorders>
            <w:shd w:val="clear" w:color="auto" w:fill="D2D2D2"/>
          </w:tcPr>
          <w:p>
            <w:pPr/>
          </w:p>
        </w:tc>
      </w:tr>
      <w:tr>
        <w:trPr>
          <w:trHeight w:val="156" w:hRule="exact"/>
        </w:trPr>
        <w:tc>
          <w:tcPr>
            <w:tcW w:w="1178" w:type="dxa"/>
            <w:vMerge w:val="restart"/>
            <w:tcBorders>
              <w:top w:val="nil" w:sz="6" w:space="0" w:color="auto"/>
              <w:left w:val="single" w:sz="4" w:space="0" w:color="000000"/>
              <w:right w:val="single" w:sz="4" w:space="0" w:color="000000"/>
            </w:tcBorders>
            <w:shd w:val="clear" w:color="auto" w:fill="D2D2D2"/>
          </w:tcPr>
          <w:p>
            <w:pPr/>
          </w:p>
        </w:tc>
        <w:tc>
          <w:tcPr>
            <w:tcW w:w="1676" w:type="dxa"/>
            <w:vMerge w:val="restart"/>
            <w:tcBorders>
              <w:top w:val="nil" w:sz="6" w:space="0" w:color="auto"/>
              <w:left w:val="single" w:sz="4" w:space="0" w:color="000000"/>
              <w:right w:val="single" w:sz="4" w:space="0" w:color="000000"/>
            </w:tcBorders>
            <w:shd w:val="clear" w:color="auto" w:fill="D2D2D2"/>
          </w:tcPr>
          <w:p>
            <w:pPr/>
          </w:p>
        </w:tc>
        <w:tc>
          <w:tcPr>
            <w:tcW w:w="834" w:type="dxa"/>
            <w:vMerge w:val="restart"/>
            <w:tcBorders>
              <w:top w:val="nil" w:sz="6" w:space="0" w:color="auto"/>
              <w:left w:val="single" w:sz="4" w:space="0" w:color="000000"/>
              <w:right w:val="single" w:sz="4" w:space="0" w:color="000000"/>
            </w:tcBorders>
            <w:shd w:val="clear" w:color="auto" w:fill="D2D2D2"/>
          </w:tcPr>
          <w:p>
            <w:pPr/>
          </w:p>
        </w:tc>
        <w:tc>
          <w:tcPr>
            <w:tcW w:w="4408" w:type="dxa"/>
            <w:vMerge w:val="restart"/>
            <w:tcBorders>
              <w:top w:val="nil" w:sz="6" w:space="0" w:color="auto"/>
              <w:left w:val="single" w:sz="4" w:space="0" w:color="000000"/>
              <w:right w:val="single" w:sz="4" w:space="0" w:color="000000"/>
            </w:tcBorders>
            <w:shd w:val="clear" w:color="auto" w:fill="D2D2D2"/>
          </w:tcPr>
          <w:p>
            <w:pPr/>
          </w:p>
        </w:tc>
        <w:tc>
          <w:tcPr>
            <w:tcW w:w="554" w:type="dxa"/>
            <w:vMerge/>
            <w:tcBorders>
              <w:left w:val="single" w:sz="4" w:space="0" w:color="000000"/>
              <w:bottom w:val="nil" w:sz="6" w:space="0" w:color="auto"/>
              <w:right w:val="single" w:sz="4" w:space="0" w:color="000000"/>
            </w:tcBorders>
            <w:shd w:val="clear" w:color="auto" w:fill="D2D2D2"/>
          </w:tcPr>
          <w:p>
            <w:pPr/>
          </w:p>
        </w:tc>
        <w:tc>
          <w:tcPr>
            <w:tcW w:w="702" w:type="dxa"/>
            <w:vMerge/>
            <w:tcBorders>
              <w:left w:val="single" w:sz="4" w:space="0" w:color="000000"/>
              <w:bottom w:val="nil" w:sz="6" w:space="0" w:color="auto"/>
              <w:right w:val="single" w:sz="4" w:space="0" w:color="000000"/>
            </w:tcBorders>
            <w:shd w:val="clear" w:color="auto" w:fill="D2D2D2"/>
          </w:tcPr>
          <w:p>
            <w:pPr/>
          </w:p>
        </w:tc>
        <w:tc>
          <w:tcPr>
            <w:tcW w:w="302" w:type="dxa"/>
            <w:vMerge/>
            <w:tcBorders>
              <w:left w:val="single" w:sz="4" w:space="0" w:color="000000"/>
              <w:right w:val="single" w:sz="4" w:space="0" w:color="000000"/>
            </w:tcBorders>
            <w:shd w:val="clear" w:color="auto" w:fill="D2D2D2"/>
          </w:tcPr>
          <w:p>
            <w:pPr/>
          </w:p>
        </w:tc>
      </w:tr>
      <w:tr>
        <w:trPr>
          <w:trHeight w:val="317" w:hRule="exact"/>
        </w:trPr>
        <w:tc>
          <w:tcPr>
            <w:tcW w:w="1178" w:type="dxa"/>
            <w:vMerge/>
            <w:tcBorders>
              <w:left w:val="single" w:sz="4" w:space="0" w:color="000000"/>
              <w:bottom w:val="single" w:sz="4" w:space="0" w:color="000000"/>
              <w:right w:val="single" w:sz="4" w:space="0" w:color="000000"/>
            </w:tcBorders>
            <w:shd w:val="clear" w:color="auto" w:fill="D2D2D2"/>
          </w:tcPr>
          <w:p>
            <w:pPr/>
          </w:p>
        </w:tc>
        <w:tc>
          <w:tcPr>
            <w:tcW w:w="1676" w:type="dxa"/>
            <w:vMerge/>
            <w:tcBorders>
              <w:left w:val="single" w:sz="4" w:space="0" w:color="000000"/>
              <w:bottom w:val="single" w:sz="4" w:space="0" w:color="000000"/>
              <w:right w:val="single" w:sz="4" w:space="0" w:color="000000"/>
            </w:tcBorders>
            <w:shd w:val="clear" w:color="auto" w:fill="D2D2D2"/>
          </w:tcPr>
          <w:p>
            <w:pPr/>
          </w:p>
        </w:tc>
        <w:tc>
          <w:tcPr>
            <w:tcW w:w="834" w:type="dxa"/>
            <w:vMerge/>
            <w:tcBorders>
              <w:left w:val="single" w:sz="4" w:space="0" w:color="000000"/>
              <w:bottom w:val="single" w:sz="4" w:space="0" w:color="000000"/>
              <w:right w:val="single" w:sz="4" w:space="0" w:color="000000"/>
            </w:tcBorders>
            <w:shd w:val="clear" w:color="auto" w:fill="D2D2D2"/>
          </w:tcPr>
          <w:p>
            <w:pPr/>
          </w:p>
        </w:tc>
        <w:tc>
          <w:tcPr>
            <w:tcW w:w="4408" w:type="dxa"/>
            <w:vMerge/>
            <w:tcBorders>
              <w:left w:val="single" w:sz="4" w:space="0" w:color="000000"/>
              <w:bottom w:val="single" w:sz="4" w:space="0" w:color="000000"/>
              <w:right w:val="single" w:sz="4" w:space="0" w:color="000000"/>
            </w:tcBorders>
            <w:shd w:val="clear" w:color="auto" w:fill="D2D2D2"/>
          </w:tcPr>
          <w:p>
            <w:pPr/>
          </w:p>
        </w:tc>
        <w:tc>
          <w:tcPr>
            <w:tcW w:w="5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02" w:type="dxa"/>
            <w:tcBorders>
              <w:top w:val="nil" w:sz="6" w:space="0" w:color="auto"/>
              <w:left w:val="single" w:sz="4" w:space="0" w:color="000000"/>
              <w:bottom w:val="single" w:sz="4" w:space="0" w:color="000000"/>
              <w:right w:val="single" w:sz="4" w:space="0" w:color="000000"/>
            </w:tcBorders>
            <w:shd w:val="clear" w:color="auto" w:fill="D2D2D2"/>
          </w:tcPr>
          <w:p>
            <w:pPr/>
          </w:p>
        </w:tc>
        <w:tc>
          <w:tcPr>
            <w:tcW w:w="302"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股改承诺</w:t>
            </w:r>
          </w:p>
        </w:tc>
        <w:tc>
          <w:tcPr>
            <w:tcW w:w="1676" w:type="dxa"/>
            <w:tcBorders>
              <w:top w:val="single" w:sz="4" w:space="0" w:color="000000"/>
              <w:left w:val="single" w:sz="13" w:space="0" w:color="D2D2D2"/>
              <w:bottom w:val="single" w:sz="4" w:space="0" w:color="000000"/>
              <w:right w:val="single" w:sz="4" w:space="0" w:color="000000"/>
            </w:tcBorders>
          </w:tcPr>
          <w:p>
            <w:pPr/>
          </w:p>
        </w:tc>
        <w:tc>
          <w:tcPr>
            <w:tcW w:w="834" w:type="dxa"/>
            <w:tcBorders>
              <w:top w:val="single" w:sz="4" w:space="0" w:color="000000"/>
              <w:left w:val="single" w:sz="4" w:space="0" w:color="000000"/>
              <w:bottom w:val="single" w:sz="4" w:space="0" w:color="000000"/>
              <w:right w:val="single" w:sz="4" w:space="0" w:color="000000"/>
            </w:tcBorders>
          </w:tcPr>
          <w:p>
            <w:pPr/>
          </w:p>
        </w:tc>
        <w:tc>
          <w:tcPr>
            <w:tcW w:w="4408" w:type="dxa"/>
            <w:tcBorders>
              <w:top w:val="single" w:sz="4" w:space="0" w:color="000000"/>
              <w:left w:val="single" w:sz="4" w:space="0" w:color="000000"/>
              <w:bottom w:val="single" w:sz="4" w:space="0" w:color="000000"/>
              <w:right w:val="single" w:sz="4" w:space="0" w:color="000000"/>
            </w:tcBorders>
          </w:tcPr>
          <w:p>
            <w:pPr/>
          </w:p>
        </w:tc>
        <w:tc>
          <w:tcPr>
            <w:tcW w:w="554" w:type="dxa"/>
            <w:tcBorders>
              <w:top w:val="single" w:sz="4" w:space="0" w:color="000000"/>
              <w:left w:val="single" w:sz="4" w:space="0" w:color="000000"/>
              <w:bottom w:val="single" w:sz="4" w:space="0" w:color="000000"/>
              <w:right w:val="single" w:sz="4" w:space="0" w:color="000000"/>
            </w:tcBorders>
          </w:tcPr>
          <w:p>
            <w:pPr/>
          </w:p>
        </w:tc>
        <w:tc>
          <w:tcPr>
            <w:tcW w:w="702" w:type="dxa"/>
            <w:tcBorders>
              <w:top w:val="single" w:sz="4" w:space="0" w:color="000000"/>
              <w:left w:val="single" w:sz="4" w:space="0" w:color="000000"/>
              <w:bottom w:val="single" w:sz="4" w:space="0" w:color="000000"/>
              <w:right w:val="single" w:sz="4" w:space="0" w:color="000000"/>
            </w:tcBorders>
          </w:tcPr>
          <w:p>
            <w:pPr/>
          </w:p>
        </w:tc>
        <w:tc>
          <w:tcPr>
            <w:tcW w:w="302"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75"/>
              <w:jc w:val="both"/>
              <w:rPr>
                <w:rFonts w:ascii="宋体" w:hAnsi="宋体" w:cs="宋体" w:eastAsia="宋体" w:hint="default"/>
                <w:sz w:val="18"/>
                <w:szCs w:val="18"/>
              </w:rPr>
            </w:pPr>
            <w:r>
              <w:rPr>
                <w:rFonts w:ascii="宋体" w:hAnsi="宋体" w:cs="宋体" w:eastAsia="宋体" w:hint="default"/>
                <w:sz w:val="18"/>
                <w:szCs w:val="18"/>
              </w:rPr>
              <w:t>收购报告书或 权益变动报告 书中所作承诺</w:t>
            </w:r>
          </w:p>
        </w:tc>
        <w:tc>
          <w:tcPr>
            <w:tcW w:w="1676" w:type="dxa"/>
            <w:tcBorders>
              <w:top w:val="single" w:sz="4" w:space="0" w:color="000000"/>
              <w:left w:val="single" w:sz="13" w:space="0" w:color="D2D2D2"/>
              <w:bottom w:val="single" w:sz="4" w:space="0" w:color="000000"/>
              <w:right w:val="single" w:sz="4" w:space="0" w:color="000000"/>
            </w:tcBorders>
          </w:tcPr>
          <w:p>
            <w:pPr/>
          </w:p>
        </w:tc>
        <w:tc>
          <w:tcPr>
            <w:tcW w:w="834" w:type="dxa"/>
            <w:tcBorders>
              <w:top w:val="single" w:sz="4" w:space="0" w:color="000000"/>
              <w:left w:val="single" w:sz="4" w:space="0" w:color="000000"/>
              <w:bottom w:val="single" w:sz="4" w:space="0" w:color="000000"/>
              <w:right w:val="single" w:sz="4" w:space="0" w:color="000000"/>
            </w:tcBorders>
          </w:tcPr>
          <w:p>
            <w:pPr/>
          </w:p>
        </w:tc>
        <w:tc>
          <w:tcPr>
            <w:tcW w:w="4408" w:type="dxa"/>
            <w:tcBorders>
              <w:top w:val="single" w:sz="4" w:space="0" w:color="000000"/>
              <w:left w:val="single" w:sz="4" w:space="0" w:color="000000"/>
              <w:bottom w:val="single" w:sz="4" w:space="0" w:color="000000"/>
              <w:right w:val="single" w:sz="4" w:space="0" w:color="000000"/>
            </w:tcBorders>
          </w:tcPr>
          <w:p>
            <w:pPr/>
          </w:p>
        </w:tc>
        <w:tc>
          <w:tcPr>
            <w:tcW w:w="554" w:type="dxa"/>
            <w:tcBorders>
              <w:top w:val="single" w:sz="4" w:space="0" w:color="000000"/>
              <w:left w:val="single" w:sz="4" w:space="0" w:color="000000"/>
              <w:bottom w:val="single" w:sz="4" w:space="0" w:color="000000"/>
              <w:right w:val="single" w:sz="4" w:space="0" w:color="000000"/>
            </w:tcBorders>
          </w:tcPr>
          <w:p>
            <w:pPr/>
          </w:p>
        </w:tc>
        <w:tc>
          <w:tcPr>
            <w:tcW w:w="702" w:type="dxa"/>
            <w:tcBorders>
              <w:top w:val="single" w:sz="4" w:space="0" w:color="000000"/>
              <w:left w:val="single" w:sz="4" w:space="0" w:color="000000"/>
              <w:bottom w:val="single" w:sz="4" w:space="0" w:color="000000"/>
              <w:right w:val="single" w:sz="4" w:space="0" w:color="000000"/>
            </w:tcBorders>
          </w:tcPr>
          <w:p>
            <w:pPr/>
          </w:p>
        </w:tc>
        <w:tc>
          <w:tcPr>
            <w:tcW w:w="30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75"/>
              <w:jc w:val="left"/>
              <w:rPr>
                <w:rFonts w:ascii="宋体" w:hAnsi="宋体" w:cs="宋体" w:eastAsia="宋体" w:hint="default"/>
                <w:sz w:val="18"/>
                <w:szCs w:val="18"/>
              </w:rPr>
            </w:pPr>
            <w:r>
              <w:rPr>
                <w:rFonts w:ascii="宋体" w:hAnsi="宋体" w:cs="宋体" w:eastAsia="宋体" w:hint="default"/>
                <w:sz w:val="18"/>
                <w:szCs w:val="18"/>
              </w:rPr>
              <w:t>资产重组时所 作承诺</w:t>
            </w:r>
          </w:p>
        </w:tc>
        <w:tc>
          <w:tcPr>
            <w:tcW w:w="1676" w:type="dxa"/>
            <w:tcBorders>
              <w:top w:val="single" w:sz="4" w:space="0" w:color="000000"/>
              <w:left w:val="single" w:sz="13" w:space="0" w:color="D2D2D2"/>
              <w:bottom w:val="single" w:sz="4" w:space="0" w:color="000000"/>
              <w:right w:val="single" w:sz="4" w:space="0" w:color="000000"/>
            </w:tcBorders>
          </w:tcPr>
          <w:p>
            <w:pPr/>
          </w:p>
        </w:tc>
        <w:tc>
          <w:tcPr>
            <w:tcW w:w="834" w:type="dxa"/>
            <w:tcBorders>
              <w:top w:val="single" w:sz="4" w:space="0" w:color="000000"/>
              <w:left w:val="single" w:sz="4" w:space="0" w:color="000000"/>
              <w:bottom w:val="single" w:sz="4" w:space="0" w:color="000000"/>
              <w:right w:val="single" w:sz="4" w:space="0" w:color="000000"/>
            </w:tcBorders>
          </w:tcPr>
          <w:p>
            <w:pPr/>
          </w:p>
        </w:tc>
        <w:tc>
          <w:tcPr>
            <w:tcW w:w="4408" w:type="dxa"/>
            <w:tcBorders>
              <w:top w:val="single" w:sz="4" w:space="0" w:color="000000"/>
              <w:left w:val="single" w:sz="4" w:space="0" w:color="000000"/>
              <w:bottom w:val="single" w:sz="4" w:space="0" w:color="000000"/>
              <w:right w:val="single" w:sz="4" w:space="0" w:color="000000"/>
            </w:tcBorders>
          </w:tcPr>
          <w:p>
            <w:pPr/>
          </w:p>
        </w:tc>
        <w:tc>
          <w:tcPr>
            <w:tcW w:w="554" w:type="dxa"/>
            <w:tcBorders>
              <w:top w:val="single" w:sz="4" w:space="0" w:color="000000"/>
              <w:left w:val="single" w:sz="4" w:space="0" w:color="000000"/>
              <w:bottom w:val="single" w:sz="4" w:space="0" w:color="000000"/>
              <w:right w:val="single" w:sz="4" w:space="0" w:color="000000"/>
            </w:tcBorders>
          </w:tcPr>
          <w:p>
            <w:pPr/>
          </w:p>
        </w:tc>
        <w:tc>
          <w:tcPr>
            <w:tcW w:w="702" w:type="dxa"/>
            <w:tcBorders>
              <w:top w:val="single" w:sz="4" w:space="0" w:color="000000"/>
              <w:left w:val="single" w:sz="4" w:space="0" w:color="000000"/>
              <w:bottom w:val="single" w:sz="4" w:space="0" w:color="000000"/>
              <w:right w:val="single" w:sz="4" w:space="0" w:color="000000"/>
            </w:tcBorders>
          </w:tcPr>
          <w:p>
            <w:pPr/>
          </w:p>
        </w:tc>
        <w:tc>
          <w:tcPr>
            <w:tcW w:w="302" w:type="dxa"/>
            <w:tcBorders>
              <w:top w:val="single" w:sz="4" w:space="0" w:color="000000"/>
              <w:left w:val="single" w:sz="4" w:space="0" w:color="000000"/>
              <w:bottom w:val="single" w:sz="4" w:space="0" w:color="000000"/>
              <w:right w:val="single" w:sz="4" w:space="0" w:color="000000"/>
            </w:tcBorders>
          </w:tcPr>
          <w:p>
            <w:pPr/>
          </w:p>
        </w:tc>
      </w:tr>
      <w:tr>
        <w:trPr>
          <w:trHeight w:val="1590" w:hRule="exact"/>
        </w:trPr>
        <w:tc>
          <w:tcPr>
            <w:tcW w:w="1178" w:type="dxa"/>
            <w:tcBorders>
              <w:top w:val="single" w:sz="4" w:space="0" w:color="000000"/>
              <w:left w:val="single" w:sz="4" w:space="0" w:color="000000"/>
              <w:bottom w:val="nil" w:sz="6" w:space="0" w:color="auto"/>
              <w:right w:val="single" w:sz="4" w:space="0" w:color="000000"/>
            </w:tcBorders>
            <w:shd w:val="clear" w:color="auto" w:fill="D2D2D2"/>
          </w:tcPr>
          <w:p>
            <w:pPr/>
          </w:p>
        </w:tc>
        <w:tc>
          <w:tcPr>
            <w:tcW w:w="1676" w:type="dxa"/>
            <w:vMerge w:val="restart"/>
            <w:tcBorders>
              <w:top w:val="single" w:sz="4" w:space="0" w:color="000000"/>
              <w:left w:val="single" w:sz="10" w:space="0" w:color="D2D2D2"/>
              <w:right w:val="single" w:sz="9" w:space="0" w:color="FFFFFF"/>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15" w:right="15"/>
              <w:jc w:val="left"/>
              <w:rPr>
                <w:rFonts w:ascii="宋体" w:hAnsi="宋体" w:cs="宋体" w:eastAsia="宋体" w:hint="default"/>
                <w:sz w:val="18"/>
                <w:szCs w:val="18"/>
              </w:rPr>
            </w:pPr>
            <w:r>
              <w:rPr>
                <w:rFonts w:ascii="宋体" w:hAnsi="宋体" w:cs="宋体" w:eastAsia="宋体" w:hint="default"/>
                <w:sz w:val="18"/>
                <w:szCs w:val="18"/>
              </w:rPr>
              <w:t>深圳市劲嘉创业投资 有限公司、太和印刷 实业有限公司、新疆 世纪运通股权投资合 </w:t>
            </w:r>
            <w:r>
              <w:rPr>
                <w:rFonts w:ascii="宋体" w:hAnsi="宋体" w:cs="宋体" w:eastAsia="宋体" w:hint="default"/>
                <w:spacing w:val="-10"/>
                <w:sz w:val="18"/>
                <w:szCs w:val="18"/>
              </w:rPr>
              <w:t>伙企业（有限合伙）</w:t>
            </w:r>
            <w:r>
              <w:rPr>
                <w:rFonts w:ascii="宋体" w:hAnsi="宋体" w:cs="宋体" w:eastAsia="宋体" w:hint="default"/>
                <w:spacing w:val="-90"/>
                <w:sz w:val="18"/>
                <w:szCs w:val="18"/>
              </w:rPr>
              <w:t> </w:t>
            </w:r>
            <w:r>
              <w:rPr>
                <w:rFonts w:ascii="宋体" w:hAnsi="宋体" w:cs="宋体" w:eastAsia="宋体" w:hint="default"/>
                <w:sz w:val="18"/>
                <w:szCs w:val="18"/>
              </w:rPr>
              <w:t>公司实际控制人乔鲁</w:t>
            </w:r>
            <w:r>
              <w:rPr>
                <w:rFonts w:ascii="宋体" w:hAnsi="宋体" w:cs="宋体" w:eastAsia="宋体" w:hint="default"/>
                <w:sz w:val="18"/>
                <w:szCs w:val="18"/>
              </w:rPr>
              <w:t> 予</w:t>
            </w:r>
          </w:p>
        </w:tc>
        <w:tc>
          <w:tcPr>
            <w:tcW w:w="834" w:type="dxa"/>
            <w:vMerge w:val="restart"/>
            <w:tcBorders>
              <w:top w:val="single" w:sz="4" w:space="0" w:color="000000"/>
              <w:left w:val="single" w:sz="9" w:space="0" w:color="FFFFFF"/>
              <w:right w:val="single" w:sz="4"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310" w:lineRule="atLeast"/>
              <w:ind w:left="16" w:right="79"/>
              <w:jc w:val="both"/>
              <w:rPr>
                <w:rFonts w:ascii="宋体" w:hAnsi="宋体" w:cs="宋体" w:eastAsia="宋体" w:hint="default"/>
                <w:sz w:val="18"/>
                <w:szCs w:val="18"/>
              </w:rPr>
            </w:pPr>
            <w:r>
              <w:rPr>
                <w:rFonts w:ascii="宋体" w:hAnsi="宋体" w:cs="宋体" w:eastAsia="宋体" w:hint="default"/>
                <w:sz w:val="18"/>
                <w:szCs w:val="18"/>
              </w:rPr>
              <w:t>关于同业 竞争、关 联交易、 资金占用</w:t>
            </w:r>
          </w:p>
          <w:p>
            <w:pPr>
              <w:pStyle w:val="TableParagraph"/>
              <w:spacing w:line="116" w:lineRule="exact"/>
              <w:ind w:left="-131"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96" w:lineRule="exact"/>
              <w:ind w:left="16" w:right="0"/>
              <w:jc w:val="both"/>
              <w:rPr>
                <w:rFonts w:ascii="宋体" w:hAnsi="宋体" w:cs="宋体" w:eastAsia="宋体" w:hint="default"/>
                <w:sz w:val="18"/>
                <w:szCs w:val="18"/>
              </w:rPr>
            </w:pPr>
            <w:r>
              <w:rPr>
                <w:rFonts w:ascii="宋体" w:hAnsi="宋体" w:cs="宋体" w:eastAsia="宋体" w:hint="default"/>
                <w:sz w:val="18"/>
                <w:szCs w:val="18"/>
              </w:rPr>
              <w:t>方面的承</w:t>
            </w:r>
          </w:p>
          <w:p>
            <w:pPr>
              <w:pStyle w:val="TableParagraph"/>
              <w:spacing w:line="240" w:lineRule="auto" w:before="77"/>
              <w:ind w:left="16" w:right="0"/>
              <w:jc w:val="both"/>
              <w:rPr>
                <w:rFonts w:ascii="宋体" w:hAnsi="宋体" w:cs="宋体" w:eastAsia="宋体" w:hint="default"/>
                <w:sz w:val="18"/>
                <w:szCs w:val="18"/>
              </w:rPr>
            </w:pPr>
            <w:r>
              <w:rPr>
                <w:rFonts w:ascii="宋体" w:hAnsi="宋体" w:cs="宋体" w:eastAsia="宋体" w:hint="default"/>
                <w:sz w:val="18"/>
                <w:szCs w:val="18"/>
              </w:rPr>
              <w:t>诺</w:t>
            </w:r>
          </w:p>
        </w:tc>
        <w:tc>
          <w:tcPr>
            <w:tcW w:w="4408" w:type="dxa"/>
            <w:vMerge w:val="restart"/>
            <w:tcBorders>
              <w:top w:val="single" w:sz="4" w:space="0" w:color="000000"/>
              <w:left w:val="single" w:sz="4" w:space="0" w:color="000000"/>
              <w:right w:val="single" w:sz="4" w:space="0" w:color="000000"/>
            </w:tcBorders>
          </w:tcPr>
          <w:p>
            <w:pPr>
              <w:pStyle w:val="TableParagraph"/>
              <w:spacing w:line="312" w:lineRule="auto" w:before="51"/>
              <w:ind w:left="23" w:right="20"/>
              <w:jc w:val="left"/>
              <w:rPr>
                <w:rFonts w:ascii="宋体" w:hAnsi="宋体" w:cs="宋体" w:eastAsia="宋体" w:hint="default"/>
                <w:sz w:val="18"/>
                <w:szCs w:val="18"/>
              </w:rPr>
            </w:pPr>
            <w:r>
              <w:rPr>
                <w:rFonts w:ascii="宋体" w:hAnsi="宋体" w:cs="宋体" w:eastAsia="宋体" w:hint="default"/>
                <w:sz w:val="18"/>
                <w:szCs w:val="18"/>
              </w:rPr>
              <w:t>深圳市劲嘉创业投资有限公司、 </w:t>
            </w:r>
            <w:r>
              <w:rPr>
                <w:rFonts w:ascii="宋体" w:hAnsi="宋体" w:cs="宋体" w:eastAsia="宋体" w:hint="default"/>
                <w:spacing w:val="-7"/>
                <w:sz w:val="18"/>
                <w:szCs w:val="18"/>
              </w:rPr>
              <w:t>新疆世纪运通股权投资合伙企业（有限合伙）、公司实际</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pacing w:val="-1"/>
                <w:sz w:val="18"/>
                <w:szCs w:val="18"/>
              </w:rPr>
              <w:t>控制人避免同业竞争承诺：一、公司</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本人目前不存在自</w:t>
            </w:r>
            <w:r>
              <w:rPr>
                <w:rFonts w:ascii="宋体" w:hAnsi="宋体" w:cs="宋体" w:eastAsia="宋体" w:hint="default"/>
                <w:spacing w:val="-85"/>
                <w:sz w:val="18"/>
                <w:szCs w:val="18"/>
              </w:rPr>
              <w:t> </w:t>
            </w:r>
            <w:r>
              <w:rPr>
                <w:rFonts w:ascii="宋体" w:hAnsi="宋体" w:cs="宋体" w:eastAsia="宋体" w:hint="default"/>
                <w:sz w:val="18"/>
                <w:szCs w:val="18"/>
              </w:rPr>
              <w:t>营或者为他人经营与发行人相同的业务，也不会以任何 方式直接或间接从事与发行人现在和将来主营业务相 </w:t>
            </w:r>
            <w:r>
              <w:rPr>
                <w:rFonts w:ascii="宋体" w:hAnsi="宋体" w:cs="宋体" w:eastAsia="宋体" w:hint="default"/>
                <w:spacing w:val="-1"/>
                <w:sz w:val="18"/>
                <w:szCs w:val="18"/>
              </w:rPr>
              <w:t>同、相似或构成实质竞争的业务；二、公司</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本人将忠实</w:t>
            </w:r>
            <w:r>
              <w:rPr>
                <w:rFonts w:ascii="宋体" w:hAnsi="宋体" w:cs="宋体" w:eastAsia="宋体" w:hint="default"/>
                <w:spacing w:val="-85"/>
                <w:sz w:val="18"/>
                <w:szCs w:val="18"/>
              </w:rPr>
              <w:t> </w:t>
            </w:r>
            <w:r>
              <w:rPr>
                <w:rFonts w:ascii="宋体" w:hAnsi="宋体" w:cs="宋体" w:eastAsia="宋体" w:hint="default"/>
                <w:sz w:val="18"/>
                <w:szCs w:val="18"/>
              </w:rPr>
              <w:t>履行承诺和保证确认的真实性，如果违反上述承诺或确 认事项不真实，</w:t>
            </w:r>
          </w:p>
        </w:tc>
        <w:tc>
          <w:tcPr>
            <w:tcW w:w="554" w:type="dxa"/>
            <w:vMerge w:val="restart"/>
            <w:tcBorders>
              <w:top w:val="single" w:sz="4" w:space="0" w:color="000000"/>
              <w:left w:val="single" w:sz="4" w:space="0" w:color="000000"/>
              <w:right w:val="single" w:sz="4" w:space="0" w:color="000000"/>
            </w:tcBorders>
          </w:tcPr>
          <w:p>
            <w:pPr>
              <w:pStyle w:val="TableParagraph"/>
              <w:spacing w:line="624" w:lineRule="exact"/>
              <w:ind w:right="-50"/>
              <w:jc w:val="left"/>
              <w:rPr>
                <w:rFonts w:ascii="宋体" w:hAnsi="宋体" w:cs="宋体" w:eastAsia="宋体" w:hint="default"/>
                <w:sz w:val="20"/>
                <w:szCs w:val="20"/>
              </w:rPr>
            </w:pPr>
            <w:r>
              <w:rPr>
                <w:rFonts w:ascii="宋体" w:hAnsi="宋体" w:cs="宋体" w:eastAsia="宋体" w:hint="default"/>
                <w:position w:val="-11"/>
                <w:sz w:val="20"/>
                <w:szCs w:val="20"/>
              </w:rPr>
              <w:pict>
                <v:group style="width:27.2pt;height:31.2pt;mso-position-horizontal-relative:char;mso-position-vertical-relative:line" coordorigin="0,0" coordsize="544,624">
                  <v:group style="position:absolute;left:0;top:0;width:544;height:624" coordorigin="0,0" coordsize="544,624">
                    <v:shape style="position:absolute;left:0;top:0;width:544;height:624" coordorigin="0,0" coordsize="544,624" path="m0,624l544,624,544,0,0,0,0,624xe" filled="true" fillcolor="#ffffff" stroked="false">
                      <v:path arrowok="t"/>
                      <v:fill type="solid"/>
                    </v:shape>
                  </v:group>
                </v:group>
              </w:pict>
            </w:r>
            <w:r>
              <w:rPr>
                <w:rFonts w:ascii="宋体" w:hAnsi="宋体" w:cs="宋体" w:eastAsia="宋体" w:hint="default"/>
                <w:position w:val="-11"/>
                <w:sz w:val="20"/>
                <w:szCs w:val="20"/>
              </w:rPr>
            </w:r>
          </w:p>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2007</w:t>
            </w:r>
          </w:p>
          <w:p>
            <w:pPr>
              <w:pStyle w:val="TableParagraph"/>
              <w:spacing w:line="240" w:lineRule="auto" w:before="6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0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319" w:lineRule="auto"/>
              <w:ind w:left="22" w:right="127"/>
              <w:jc w:val="left"/>
              <w:rPr>
                <w:rFonts w:ascii="宋体" w:hAnsi="宋体" w:cs="宋体" w:eastAsia="宋体" w:hint="default"/>
                <w:sz w:val="18"/>
                <w:szCs w:val="18"/>
              </w:rPr>
            </w:pPr>
            <w:r>
              <w:rPr>
                <w:rFonts w:ascii="宋体" w:hAnsi="宋体" w:cs="宋体" w:eastAsia="宋体" w:hint="default"/>
                <w:sz w:val="18"/>
                <w:szCs w:val="18"/>
              </w:rPr>
              <w:t>长期有 效</w:t>
            </w:r>
          </w:p>
        </w:tc>
        <w:tc>
          <w:tcPr>
            <w:tcW w:w="30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9" w:lineRule="auto"/>
              <w:ind w:left="24" w:right="86"/>
              <w:jc w:val="both"/>
              <w:rPr>
                <w:rFonts w:ascii="宋体" w:hAnsi="宋体" w:cs="宋体" w:eastAsia="宋体" w:hint="default"/>
                <w:sz w:val="18"/>
                <w:szCs w:val="18"/>
              </w:rPr>
            </w:pPr>
            <w:r>
              <w:rPr>
                <w:rFonts w:ascii="宋体" w:hAnsi="宋体" w:cs="宋体" w:eastAsia="宋体" w:hint="default"/>
                <w:sz w:val="18"/>
                <w:szCs w:val="18"/>
              </w:rPr>
              <w:t>严 格 履 行</w:t>
            </w:r>
          </w:p>
        </w:tc>
      </w:tr>
      <w:tr>
        <w:trPr>
          <w:trHeight w:val="996" w:hRule="exact"/>
        </w:trPr>
        <w:tc>
          <w:tcPr>
            <w:tcW w:w="117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51"/>
              <w:ind w:left="11" w:right="75"/>
              <w:jc w:val="both"/>
              <w:rPr>
                <w:rFonts w:ascii="宋体" w:hAnsi="宋体" w:cs="宋体" w:eastAsia="宋体" w:hint="default"/>
                <w:sz w:val="18"/>
                <w:szCs w:val="18"/>
              </w:rPr>
            </w:pPr>
            <w:r>
              <w:rPr>
                <w:rFonts w:ascii="宋体" w:hAnsi="宋体" w:cs="宋体" w:eastAsia="宋体" w:hint="default"/>
                <w:sz w:val="18"/>
                <w:szCs w:val="18"/>
              </w:rPr>
              <w:t>首次公开发行 或再融资时所 作承诺</w:t>
            </w:r>
          </w:p>
        </w:tc>
        <w:tc>
          <w:tcPr>
            <w:tcW w:w="1676" w:type="dxa"/>
            <w:vMerge/>
            <w:tcBorders>
              <w:left w:val="single" w:sz="10" w:space="0" w:color="D2D2D2"/>
              <w:bottom w:val="single" w:sz="4" w:space="0" w:color="000000"/>
              <w:right w:val="single" w:sz="9" w:space="0" w:color="FFFFFF"/>
            </w:tcBorders>
          </w:tcPr>
          <w:p>
            <w:pPr/>
          </w:p>
        </w:tc>
        <w:tc>
          <w:tcPr>
            <w:tcW w:w="834" w:type="dxa"/>
            <w:vMerge/>
            <w:tcBorders>
              <w:left w:val="single" w:sz="9" w:space="0" w:color="FFFFFF"/>
              <w:bottom w:val="single" w:sz="4" w:space="0" w:color="000000"/>
              <w:right w:val="single" w:sz="4" w:space="0" w:color="000000"/>
            </w:tcBorders>
          </w:tcPr>
          <w:p>
            <w:pPr/>
          </w:p>
        </w:tc>
        <w:tc>
          <w:tcPr>
            <w:tcW w:w="4408" w:type="dxa"/>
            <w:vMerge/>
            <w:tcBorders>
              <w:left w:val="single" w:sz="4" w:space="0" w:color="000000"/>
              <w:bottom w:val="single" w:sz="4" w:space="0" w:color="000000"/>
              <w:right w:val="single" w:sz="4" w:space="0" w:color="000000"/>
            </w:tcBorders>
          </w:tcPr>
          <w:p>
            <w:pPr/>
          </w:p>
        </w:tc>
        <w:tc>
          <w:tcPr>
            <w:tcW w:w="554" w:type="dxa"/>
            <w:vMerge/>
            <w:tcBorders>
              <w:left w:val="single" w:sz="4" w:space="0" w:color="000000"/>
              <w:bottom w:val="single" w:sz="4" w:space="0" w:color="000000"/>
              <w:right w:val="single" w:sz="4" w:space="0" w:color="000000"/>
            </w:tcBorders>
          </w:tcPr>
          <w:p>
            <w:pPr/>
          </w:p>
        </w:tc>
        <w:tc>
          <w:tcPr>
            <w:tcW w:w="702" w:type="dxa"/>
            <w:vMerge/>
            <w:tcBorders>
              <w:left w:val="single" w:sz="4" w:space="0" w:color="000000"/>
              <w:bottom w:val="single" w:sz="4" w:space="0" w:color="000000"/>
              <w:right w:val="single" w:sz="4" w:space="0" w:color="000000"/>
            </w:tcBorders>
          </w:tcPr>
          <w:p>
            <w:pPr/>
          </w:p>
        </w:tc>
        <w:tc>
          <w:tcPr>
            <w:tcW w:w="302" w:type="dxa"/>
            <w:vMerge/>
            <w:tcBorders>
              <w:left w:val="single" w:sz="4" w:space="0" w:color="000000"/>
              <w:bottom w:val="single" w:sz="4" w:space="0" w:color="000000"/>
              <w:right w:val="single" w:sz="4" w:space="0" w:color="000000"/>
            </w:tcBorders>
          </w:tcPr>
          <w:p>
            <w:pPr/>
          </w:p>
        </w:tc>
      </w:tr>
      <w:tr>
        <w:trPr>
          <w:trHeight w:val="1611" w:hRule="exact"/>
        </w:trPr>
        <w:tc>
          <w:tcPr>
            <w:tcW w:w="1178" w:type="dxa"/>
            <w:tcBorders>
              <w:top w:val="nil" w:sz="6" w:space="0" w:color="auto"/>
              <w:left w:val="single" w:sz="4" w:space="0" w:color="000000"/>
              <w:bottom w:val="single" w:sz="4" w:space="0" w:color="000000"/>
              <w:right w:val="single" w:sz="4" w:space="0" w:color="000000"/>
            </w:tcBorders>
            <w:shd w:val="clear" w:color="auto" w:fill="D2D2D2"/>
          </w:tcPr>
          <w:p>
            <w:pP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0"/>
                <w:szCs w:val="20"/>
              </w:rPr>
            </w:pPr>
          </w:p>
          <w:p>
            <w:pPr>
              <w:pStyle w:val="TableParagraph"/>
              <w:spacing w:line="319" w:lineRule="auto"/>
              <w:ind w:left="22" w:right="23"/>
              <w:jc w:val="left"/>
              <w:rPr>
                <w:rFonts w:ascii="宋体" w:hAnsi="宋体" w:cs="宋体" w:eastAsia="宋体" w:hint="default"/>
                <w:sz w:val="18"/>
                <w:szCs w:val="18"/>
              </w:rPr>
            </w:pPr>
            <w:r>
              <w:rPr>
                <w:rFonts w:ascii="宋体" w:hAnsi="宋体" w:cs="宋体" w:eastAsia="宋体" w:hint="default"/>
                <w:sz w:val="18"/>
                <w:szCs w:val="18"/>
              </w:rPr>
              <w:t>乔鲁予、侯旭东、李 德华</w:t>
            </w:r>
          </w:p>
        </w:tc>
        <w:tc>
          <w:tcPr>
            <w:tcW w:w="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0"/>
                <w:szCs w:val="20"/>
              </w:rPr>
            </w:pPr>
          </w:p>
          <w:p>
            <w:pPr>
              <w:pStyle w:val="TableParagraph"/>
              <w:spacing w:line="319" w:lineRule="auto"/>
              <w:ind w:left="22" w:right="79"/>
              <w:jc w:val="left"/>
              <w:rPr>
                <w:rFonts w:ascii="宋体" w:hAnsi="宋体" w:cs="宋体" w:eastAsia="宋体" w:hint="default"/>
                <w:sz w:val="18"/>
                <w:szCs w:val="18"/>
              </w:rPr>
            </w:pPr>
            <w:r>
              <w:rPr>
                <w:rFonts w:ascii="宋体" w:hAnsi="宋体" w:cs="宋体" w:eastAsia="宋体" w:hint="default"/>
                <w:sz w:val="18"/>
                <w:szCs w:val="18"/>
              </w:rPr>
              <w:t>股份限售 承诺</w:t>
            </w:r>
          </w:p>
        </w:tc>
        <w:tc>
          <w:tcPr>
            <w:tcW w:w="440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52"/>
              <w:jc w:val="left"/>
              <w:rPr>
                <w:rFonts w:ascii="宋体" w:hAnsi="宋体" w:cs="宋体" w:eastAsia="宋体" w:hint="default"/>
                <w:sz w:val="18"/>
                <w:szCs w:val="18"/>
              </w:rPr>
            </w:pPr>
            <w:r>
              <w:rPr>
                <w:rFonts w:ascii="宋体" w:hAnsi="宋体" w:cs="宋体" w:eastAsia="宋体" w:hint="default"/>
                <w:sz w:val="18"/>
                <w:szCs w:val="18"/>
              </w:rPr>
              <w:t>乔鲁予、侯旭东、李德华承诺：间接持有本公司股份相 关的持股锁定及持股变动申报需遵守公司法第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142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条、</w:t>
            </w:r>
          </w:p>
          <w:p>
            <w:pPr>
              <w:pStyle w:val="TableParagraph"/>
              <w:spacing w:line="248" w:lineRule="exact"/>
              <w:ind w:left="23" w:right="0"/>
              <w:jc w:val="left"/>
              <w:rPr>
                <w:rFonts w:ascii="宋体" w:hAnsi="宋体" w:cs="宋体" w:eastAsia="宋体" w:hint="default"/>
                <w:sz w:val="18"/>
                <w:szCs w:val="18"/>
              </w:rPr>
            </w:pPr>
            <w:r>
              <w:rPr>
                <w:rFonts w:ascii="宋体" w:hAnsi="宋体" w:cs="宋体" w:eastAsia="宋体" w:hint="default"/>
                <w:sz w:val="18"/>
                <w:szCs w:val="18"/>
              </w:rPr>
              <w:t>《公司章程》第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条和第</w:t>
            </w:r>
            <w:r>
              <w:rPr>
                <w:rFonts w:ascii="宋体" w:hAnsi="宋体" w:cs="宋体" w:eastAsia="宋体" w:hint="default"/>
                <w:spacing w:val="-46"/>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条</w:t>
            </w:r>
            <w:r>
              <w:rPr>
                <w:rFonts w:ascii="宋体" w:hAnsi="宋体" w:cs="宋体" w:eastAsia="宋体" w:hint="default"/>
                <w:spacing w:val="-90"/>
                <w:sz w:val="18"/>
                <w:szCs w:val="18"/>
              </w:rPr>
              <w:t>、</w:t>
            </w:r>
            <w:r>
              <w:rPr>
                <w:rFonts w:ascii="宋体" w:hAnsi="宋体" w:cs="宋体" w:eastAsia="宋体" w:hint="default"/>
                <w:sz w:val="18"/>
                <w:szCs w:val="18"/>
              </w:rPr>
              <w:t>《证券法》第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条、</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《深圳证券交易所股票上市规</w:t>
            </w:r>
            <w:r>
              <w:rPr>
                <w:rFonts w:ascii="宋体" w:hAnsi="宋体" w:cs="宋体" w:eastAsia="宋体" w:hint="default"/>
                <w:spacing w:val="-75"/>
                <w:sz w:val="18"/>
                <w:szCs w:val="18"/>
              </w:rPr>
              <w:t>则</w:t>
            </w:r>
            <w:r>
              <w:rPr>
                <w:rFonts w:ascii="宋体" w:hAnsi="宋体" w:cs="宋体" w:eastAsia="宋体" w:hint="default"/>
                <w:sz w:val="18"/>
                <w:szCs w:val="18"/>
              </w:rPr>
              <w:t>（</w:t>
            </w: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年修订</w:t>
            </w:r>
            <w:r>
              <w:rPr>
                <w:rFonts w:ascii="宋体" w:hAnsi="宋体" w:cs="宋体" w:eastAsia="宋体" w:hint="default"/>
                <w:spacing w:val="-90"/>
                <w:sz w:val="18"/>
                <w:szCs w:val="18"/>
              </w:rPr>
              <w:t>）</w:t>
            </w:r>
            <w:r>
              <w:rPr>
                <w:rFonts w:ascii="宋体" w:hAnsi="宋体" w:cs="宋体" w:eastAsia="宋体" w:hint="default"/>
                <w:spacing w:val="-75"/>
                <w:sz w:val="18"/>
                <w:szCs w:val="18"/>
              </w:rPr>
              <w:t>》</w:t>
            </w:r>
            <w:r>
              <w:rPr>
                <w:rFonts w:ascii="宋体" w:hAnsi="宋体" w:cs="宋体" w:eastAsia="宋体" w:hint="default"/>
                <w:sz w:val="18"/>
                <w:szCs w:val="18"/>
              </w:rPr>
              <w:t>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条的相关规定及要求，并承诺其所持有的公司股份自公</w:t>
            </w:r>
          </w:p>
        </w:tc>
        <w:tc>
          <w:tcPr>
            <w:tcW w:w="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2007</w:t>
            </w:r>
          </w:p>
          <w:p>
            <w:pPr>
              <w:pStyle w:val="TableParagraph"/>
              <w:spacing w:line="240" w:lineRule="auto" w:before="6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0"/>
                <w:szCs w:val="20"/>
              </w:rPr>
            </w:pPr>
          </w:p>
          <w:p>
            <w:pPr>
              <w:pStyle w:val="TableParagraph"/>
              <w:spacing w:line="319" w:lineRule="auto"/>
              <w:ind w:left="22" w:right="127"/>
              <w:jc w:val="left"/>
              <w:rPr>
                <w:rFonts w:ascii="宋体" w:hAnsi="宋体" w:cs="宋体" w:eastAsia="宋体" w:hint="default"/>
                <w:sz w:val="18"/>
                <w:szCs w:val="18"/>
              </w:rPr>
            </w:pPr>
            <w:r>
              <w:rPr>
                <w:rFonts w:ascii="宋体" w:hAnsi="宋体" w:cs="宋体" w:eastAsia="宋体" w:hint="default"/>
                <w:sz w:val="18"/>
                <w:szCs w:val="18"/>
              </w:rPr>
              <w:t>长期有 效</w:t>
            </w:r>
          </w:p>
        </w:tc>
        <w:tc>
          <w:tcPr>
            <w:tcW w:w="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319" w:lineRule="auto"/>
              <w:ind w:left="24" w:right="86"/>
              <w:jc w:val="both"/>
              <w:rPr>
                <w:rFonts w:ascii="宋体" w:hAnsi="宋体" w:cs="宋体" w:eastAsia="宋体" w:hint="default"/>
                <w:sz w:val="18"/>
                <w:szCs w:val="18"/>
              </w:rPr>
            </w:pPr>
            <w:r>
              <w:rPr>
                <w:rFonts w:ascii="宋体" w:hAnsi="宋体" w:cs="宋体" w:eastAsia="宋体" w:hint="default"/>
                <w:sz w:val="18"/>
                <w:szCs w:val="18"/>
              </w:rPr>
              <w:t>严 格 履 行</w:t>
            </w:r>
          </w:p>
        </w:tc>
      </w:tr>
    </w:tbl>
    <w:p>
      <w:pPr>
        <w:spacing w:after="0" w:line="319" w:lineRule="auto"/>
        <w:jc w:val="both"/>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456.23999pt;margin-top:329.119995pt;width:33.3pt;height:93.65pt;mso-position-horizontal-relative:page;mso-position-vertical-relative:page;z-index:-1231528"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pStyle w:val="BodyText"/>
                    <w:spacing w:line="240" w:lineRule="auto" w:before="158"/>
                    <w:ind w:left="0" w:right="0"/>
                    <w:jc w:val="left"/>
                  </w:pPr>
                  <w:r>
                    <w:rPr/>
                    <w:t>、</w:t>
                  </w:r>
                </w:p>
              </w:txbxContent>
            </v:textbox>
            <w10:wrap type="none"/>
          </v:shape>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190"/>
        <w:gridCol w:w="1676"/>
        <w:gridCol w:w="834"/>
        <w:gridCol w:w="4408"/>
        <w:gridCol w:w="554"/>
        <w:gridCol w:w="702"/>
        <w:gridCol w:w="302"/>
      </w:tblGrid>
      <w:tr>
        <w:trPr>
          <w:trHeight w:val="1611" w:hRule="exact"/>
        </w:trPr>
        <w:tc>
          <w:tcPr>
            <w:tcW w:w="1190" w:type="dxa"/>
            <w:vMerge w:val="restart"/>
            <w:tcBorders>
              <w:top w:val="single" w:sz="4" w:space="0" w:color="000000"/>
              <w:left w:val="single" w:sz="4" w:space="0" w:color="000000"/>
              <w:right w:val="single" w:sz="4" w:space="0" w:color="000000"/>
            </w:tcBorders>
            <w:shd w:val="clear" w:color="auto" w:fill="D2D2D2"/>
          </w:tcPr>
          <w:p>
            <w:pPr/>
          </w:p>
        </w:tc>
        <w:tc>
          <w:tcPr>
            <w:tcW w:w="1676" w:type="dxa"/>
            <w:tcBorders>
              <w:top w:val="single" w:sz="4" w:space="0" w:color="000000"/>
              <w:left w:val="single" w:sz="4" w:space="0" w:color="000000"/>
              <w:bottom w:val="single" w:sz="4" w:space="0" w:color="000000"/>
              <w:right w:val="single" w:sz="4" w:space="0" w:color="000000"/>
            </w:tcBorders>
          </w:tcPr>
          <w:p>
            <w:pPr/>
          </w:p>
        </w:tc>
        <w:tc>
          <w:tcPr>
            <w:tcW w:w="834" w:type="dxa"/>
            <w:tcBorders>
              <w:top w:val="single" w:sz="4" w:space="0" w:color="000000"/>
              <w:left w:val="single" w:sz="4" w:space="0" w:color="000000"/>
              <w:bottom w:val="single" w:sz="4" w:space="0" w:color="000000"/>
              <w:right w:val="single" w:sz="4" w:space="0" w:color="000000"/>
            </w:tcBorders>
          </w:tcPr>
          <w:p>
            <w:pPr/>
          </w:p>
        </w:tc>
        <w:tc>
          <w:tcPr>
            <w:tcW w:w="4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both"/>
              <w:rPr>
                <w:rFonts w:ascii="宋体" w:hAnsi="宋体" w:cs="宋体" w:eastAsia="宋体" w:hint="default"/>
                <w:sz w:val="18"/>
                <w:szCs w:val="18"/>
              </w:rPr>
            </w:pPr>
            <w:r>
              <w:rPr>
                <w:rFonts w:ascii="宋体" w:hAnsi="宋体" w:cs="宋体" w:eastAsia="宋体" w:hint="default"/>
                <w:sz w:val="18"/>
                <w:szCs w:val="18"/>
              </w:rPr>
              <w:t>司股票上市交易之日起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年内不得转让，包括（但不限</w:t>
            </w:r>
          </w:p>
          <w:p>
            <w:pPr>
              <w:pStyle w:val="TableParagraph"/>
              <w:spacing w:line="307" w:lineRule="auto" w:before="63"/>
              <w:ind w:left="23" w:right="39"/>
              <w:jc w:val="both"/>
              <w:rPr>
                <w:rFonts w:ascii="宋体" w:hAnsi="宋体" w:cs="宋体" w:eastAsia="宋体" w:hint="default"/>
                <w:sz w:val="18"/>
                <w:szCs w:val="18"/>
              </w:rPr>
            </w:pPr>
            <w:r>
              <w:rPr>
                <w:rFonts w:ascii="宋体" w:hAnsi="宋体" w:cs="宋体" w:eastAsia="宋体" w:hint="default"/>
                <w:sz w:val="18"/>
                <w:szCs w:val="18"/>
              </w:rPr>
              <w:t>于）任何形式的委托他人管理。超过上述</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年的期限， 在公司任职期间，每年转让的公司股份不得超过其所持 有的公司股份总数的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；离职后半年内，不转让所持 有的公司股份。</w:t>
            </w:r>
          </w:p>
        </w:tc>
        <w:tc>
          <w:tcPr>
            <w:tcW w:w="554" w:type="dxa"/>
            <w:tcBorders>
              <w:top w:val="single" w:sz="4" w:space="0" w:color="000000"/>
              <w:left w:val="single" w:sz="4" w:space="0" w:color="000000"/>
              <w:bottom w:val="single" w:sz="4" w:space="0" w:color="000000"/>
              <w:right w:val="single" w:sz="4" w:space="0" w:color="000000"/>
            </w:tcBorders>
          </w:tcPr>
          <w:p>
            <w:pPr/>
          </w:p>
        </w:tc>
        <w:tc>
          <w:tcPr>
            <w:tcW w:w="702" w:type="dxa"/>
            <w:tcBorders>
              <w:top w:val="single" w:sz="4" w:space="0" w:color="000000"/>
              <w:left w:val="single" w:sz="4" w:space="0" w:color="000000"/>
              <w:bottom w:val="single" w:sz="4" w:space="0" w:color="000000"/>
              <w:right w:val="single" w:sz="4" w:space="0" w:color="000000"/>
            </w:tcBorders>
          </w:tcPr>
          <w:p>
            <w:pPr/>
          </w:p>
        </w:tc>
        <w:tc>
          <w:tcPr>
            <w:tcW w:w="302" w:type="dxa"/>
            <w:tcBorders>
              <w:top w:val="single" w:sz="4" w:space="0" w:color="000000"/>
              <w:left w:val="single" w:sz="4" w:space="0" w:color="000000"/>
              <w:bottom w:val="single" w:sz="4" w:space="0" w:color="000000"/>
              <w:right w:val="single" w:sz="4" w:space="0" w:color="000000"/>
            </w:tcBorders>
          </w:tcPr>
          <w:p>
            <w:pPr/>
          </w:p>
        </w:tc>
      </w:tr>
      <w:tr>
        <w:trPr>
          <w:trHeight w:val="3522" w:hRule="exact"/>
        </w:trPr>
        <w:tc>
          <w:tcPr>
            <w:tcW w:w="1190" w:type="dxa"/>
            <w:vMerge/>
            <w:tcBorders>
              <w:left w:val="single" w:sz="4" w:space="0" w:color="000000"/>
              <w:right w:val="single" w:sz="4" w:space="0" w:color="000000"/>
            </w:tcBorders>
            <w:shd w:val="clear" w:color="auto" w:fill="D2D2D2"/>
          </w:tcPr>
          <w:p>
            <w:pP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316" w:lineRule="auto"/>
              <w:ind w:left="22" w:right="23"/>
              <w:jc w:val="both"/>
              <w:rPr>
                <w:rFonts w:ascii="宋体" w:hAnsi="宋体" w:cs="宋体" w:eastAsia="宋体" w:hint="default"/>
                <w:sz w:val="18"/>
                <w:szCs w:val="18"/>
              </w:rPr>
            </w:pPr>
            <w:r>
              <w:rPr>
                <w:rFonts w:ascii="宋体" w:hAnsi="宋体" w:cs="宋体" w:eastAsia="宋体" w:hint="default"/>
                <w:sz w:val="18"/>
                <w:szCs w:val="18"/>
              </w:rPr>
              <w:t>深圳市劲嘉创业投资 有限公司、公司实际 控制人乔鲁予</w:t>
            </w:r>
          </w:p>
        </w:tc>
        <w:tc>
          <w:tcPr>
            <w:tcW w:w="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316" w:lineRule="auto"/>
              <w:ind w:left="22" w:right="79"/>
              <w:jc w:val="left"/>
              <w:rPr>
                <w:rFonts w:ascii="宋体" w:hAnsi="宋体" w:cs="宋体" w:eastAsia="宋体" w:hint="default"/>
                <w:sz w:val="18"/>
                <w:szCs w:val="18"/>
              </w:rPr>
            </w:pPr>
            <w:r>
              <w:rPr>
                <w:rFonts w:ascii="宋体" w:hAnsi="宋体" w:cs="宋体" w:eastAsia="宋体" w:hint="default"/>
                <w:sz w:val="18"/>
                <w:szCs w:val="18"/>
              </w:rPr>
              <w:t>再融资相 关承诺</w:t>
            </w:r>
          </w:p>
        </w:tc>
        <w:tc>
          <w:tcPr>
            <w:tcW w:w="4408"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51"/>
              <w:ind w:left="23" w:right="2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本人不越权干预公司的经营管理活动，不侵 </w:t>
            </w:r>
            <w:r>
              <w:rPr>
                <w:rFonts w:ascii="宋体" w:hAnsi="宋体" w:cs="宋体" w:eastAsia="宋体" w:hint="default"/>
                <w:spacing w:val="-3"/>
                <w:sz w:val="18"/>
                <w:szCs w:val="18"/>
              </w:rPr>
              <w:t>占公司的利益；</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、本承诺出具日后至公司本次非公开发</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行实施完毕前，若中国证监会作出关于填补回报措施及 其承诺的其他新的监管规定的，且本承诺相关内容不能 </w:t>
            </w:r>
            <w:r>
              <w:rPr>
                <w:rFonts w:ascii="宋体" w:hAnsi="宋体" w:cs="宋体" w:eastAsia="宋体" w:hint="default"/>
                <w:spacing w:val="-1"/>
                <w:sz w:val="18"/>
                <w:szCs w:val="18"/>
              </w:rPr>
              <w:t>满足中国证监会该等规定时，本公司</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本人承诺届时将按</w:t>
            </w:r>
            <w:r>
              <w:rPr>
                <w:rFonts w:ascii="宋体" w:hAnsi="宋体" w:cs="宋体" w:eastAsia="宋体" w:hint="default"/>
                <w:spacing w:val="-85"/>
                <w:sz w:val="18"/>
                <w:szCs w:val="18"/>
              </w:rPr>
              <w:t> </w:t>
            </w:r>
            <w:r>
              <w:rPr>
                <w:rFonts w:ascii="宋体" w:hAnsi="宋体" w:cs="宋体" w:eastAsia="宋体" w:hint="default"/>
                <w:sz w:val="18"/>
                <w:szCs w:val="18"/>
              </w:rPr>
              <w:t>照中国证监会的最新规定出具补充承诺；</w:t>
            </w:r>
            <w:r>
              <w:rPr>
                <w:rFonts w:ascii="Times New Roman" w:hAnsi="Times New Roman" w:cs="Times New Roman" w:eastAsia="Times New Roman" w:hint="default"/>
                <w:sz w:val="18"/>
                <w:szCs w:val="18"/>
              </w:rPr>
              <w:t>3</w:t>
            </w:r>
            <w:r>
              <w:rPr>
                <w:rFonts w:ascii="宋体" w:hAnsi="宋体" w:cs="宋体" w:eastAsia="宋体" w:hint="default"/>
                <w:sz w:val="18"/>
                <w:szCs w:val="18"/>
              </w:rPr>
              <w:t>、本公司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本 人承诺切实履行公司制定的有关填补回报措施以及本公 </w:t>
            </w:r>
            <w:r>
              <w:rPr>
                <w:rFonts w:ascii="宋体" w:hAnsi="宋体" w:cs="宋体" w:eastAsia="宋体" w:hint="default"/>
                <w:spacing w:val="-1"/>
                <w:sz w:val="18"/>
                <w:szCs w:val="18"/>
              </w:rPr>
              <w:t>司</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本人对此作出的任何有关填补回报措施的承诺，若本</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本人违反该等承诺并给公司或者投资者造成损失 </w:t>
            </w:r>
            <w:r>
              <w:rPr>
                <w:rFonts w:ascii="宋体" w:hAnsi="宋体" w:cs="宋体" w:eastAsia="宋体" w:hint="default"/>
                <w:spacing w:val="-1"/>
                <w:sz w:val="18"/>
                <w:szCs w:val="18"/>
              </w:rPr>
              <w:t>的，本公司</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本人愿意依法承担对公司或者投资者的补偿</w:t>
            </w:r>
            <w:r>
              <w:rPr>
                <w:rFonts w:ascii="宋体" w:hAnsi="宋体" w:cs="宋体" w:eastAsia="宋体" w:hint="default"/>
                <w:spacing w:val="-85"/>
                <w:sz w:val="18"/>
                <w:szCs w:val="18"/>
              </w:rPr>
              <w:t> </w:t>
            </w:r>
            <w:r>
              <w:rPr>
                <w:rFonts w:ascii="宋体" w:hAnsi="宋体" w:cs="宋体" w:eastAsia="宋体" w:hint="default"/>
                <w:sz w:val="18"/>
                <w:szCs w:val="18"/>
              </w:rPr>
              <w:t>责任。</w:t>
            </w:r>
          </w:p>
        </w:tc>
        <w:tc>
          <w:tcPr>
            <w:tcW w:w="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left="22" w:right="0"/>
              <w:jc w:val="left"/>
              <w:rPr>
                <w:rFonts w:ascii="Times New Roman" w:hAnsi="Times New Roman" w:cs="Times New Roman" w:eastAsia="Times New Roman" w:hint="default"/>
                <w:sz w:val="18"/>
                <w:szCs w:val="18"/>
              </w:rPr>
            </w:pPr>
            <w:r>
              <w:rPr>
                <w:rFonts w:ascii="Times New Roman"/>
                <w:sz w:val="18"/>
              </w:rPr>
              <w:t>2016</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9"/>
              <w:ind w:left="22" w:right="127"/>
              <w:jc w:val="both"/>
              <w:rPr>
                <w:rFonts w:ascii="宋体" w:hAnsi="宋体" w:cs="宋体" w:eastAsia="宋体" w:hint="default"/>
                <w:sz w:val="18"/>
                <w:szCs w:val="18"/>
              </w:rPr>
            </w:pPr>
            <w:r>
              <w:rPr>
                <w:rFonts w:ascii="宋体" w:hAnsi="宋体" w:cs="宋体" w:eastAsia="宋体" w:hint="default"/>
                <w:sz w:val="18"/>
                <w:szCs w:val="18"/>
              </w:rPr>
              <w:t>公司本 次非公 开发行 实施完 毕前</w:t>
            </w:r>
          </w:p>
        </w:tc>
        <w:tc>
          <w:tcPr>
            <w:tcW w:w="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8"/>
              <w:ind w:left="24" w:right="86"/>
              <w:jc w:val="both"/>
              <w:rPr>
                <w:rFonts w:ascii="宋体" w:hAnsi="宋体" w:cs="宋体" w:eastAsia="宋体" w:hint="default"/>
                <w:sz w:val="18"/>
                <w:szCs w:val="18"/>
              </w:rPr>
            </w:pPr>
            <w:r>
              <w:rPr>
                <w:rFonts w:ascii="宋体" w:hAnsi="宋体" w:cs="宋体" w:eastAsia="宋体" w:hint="default"/>
                <w:sz w:val="18"/>
                <w:szCs w:val="18"/>
              </w:rPr>
              <w:t>严 格 履 行</w:t>
            </w:r>
          </w:p>
        </w:tc>
      </w:tr>
      <w:tr>
        <w:trPr>
          <w:trHeight w:val="5082" w:hRule="exact"/>
        </w:trPr>
        <w:tc>
          <w:tcPr>
            <w:tcW w:w="1190" w:type="dxa"/>
            <w:vMerge/>
            <w:tcBorders>
              <w:left w:val="single" w:sz="4" w:space="0" w:color="000000"/>
              <w:right w:val="single" w:sz="4" w:space="0" w:color="000000"/>
            </w:tcBorders>
            <w:shd w:val="clear" w:color="auto" w:fill="D2D2D2"/>
          </w:tcPr>
          <w:p>
            <w:pP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6" w:lineRule="auto"/>
              <w:ind w:left="22" w:right="23"/>
              <w:jc w:val="left"/>
              <w:rPr>
                <w:rFonts w:ascii="宋体" w:hAnsi="宋体" w:cs="宋体" w:eastAsia="宋体" w:hint="default"/>
                <w:sz w:val="18"/>
                <w:szCs w:val="18"/>
              </w:rPr>
            </w:pPr>
            <w:r>
              <w:rPr>
                <w:rFonts w:ascii="宋体" w:hAnsi="宋体" w:cs="宋体" w:eastAsia="宋体" w:hint="default"/>
                <w:sz w:val="18"/>
                <w:szCs w:val="18"/>
              </w:rPr>
              <w:t>公司全体董事及高级 管理人员</w:t>
            </w:r>
          </w:p>
        </w:tc>
        <w:tc>
          <w:tcPr>
            <w:tcW w:w="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6" w:lineRule="auto"/>
              <w:ind w:left="22" w:right="79"/>
              <w:jc w:val="left"/>
              <w:rPr>
                <w:rFonts w:ascii="宋体" w:hAnsi="宋体" w:cs="宋体" w:eastAsia="宋体" w:hint="default"/>
                <w:sz w:val="18"/>
                <w:szCs w:val="18"/>
              </w:rPr>
            </w:pPr>
            <w:r>
              <w:rPr>
                <w:rFonts w:ascii="宋体" w:hAnsi="宋体" w:cs="宋体" w:eastAsia="宋体" w:hint="default"/>
                <w:sz w:val="18"/>
                <w:szCs w:val="18"/>
              </w:rPr>
              <w:t>再融资相 关承诺</w:t>
            </w:r>
          </w:p>
        </w:tc>
        <w:tc>
          <w:tcPr>
            <w:tcW w:w="4408"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3" w:right="19"/>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、本人承诺不无偿或以不公平条件向其他单位或者个人</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3"/>
                <w:sz w:val="18"/>
                <w:szCs w:val="18"/>
              </w:rPr>
              <w:t>输送利益，也不采用其他方式损害公司利益；</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、本人承</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3"/>
                <w:sz w:val="18"/>
                <w:szCs w:val="18"/>
              </w:rPr>
              <w:t>诺对本人的职务消费行为进行约束；</w:t>
            </w: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、本人承诺不动用</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6"/>
                <w:sz w:val="18"/>
                <w:szCs w:val="18"/>
              </w:rPr>
              <w:t>公司资产从事与本人履行职责无关的投资、消费活动；</w:t>
            </w:r>
            <w:r>
              <w:rPr>
                <w:rFonts w:ascii="Times New Roman" w:hAnsi="Times New Roman" w:cs="Times New Roman" w:eastAsia="Times New Roman" w:hint="default"/>
                <w:spacing w:val="-6"/>
                <w:sz w:val="18"/>
                <w:szCs w:val="18"/>
              </w:rPr>
              <w:t>4</w:t>
            </w:r>
            <w:r>
              <w:rPr>
                <w:rFonts w:ascii="Times New Roman" w:hAnsi="Times New Roman" w:cs="Times New Roman" w:eastAsia="Times New Roman" w:hint="default"/>
                <w:sz w:val="18"/>
                <w:szCs w:val="18"/>
              </w:rPr>
              <w:t> </w:t>
            </w:r>
            <w:r>
              <w:rPr>
                <w:rFonts w:ascii="宋体" w:hAnsi="宋体" w:cs="宋体" w:eastAsia="宋体" w:hint="default"/>
                <w:sz w:val="18"/>
                <w:szCs w:val="18"/>
              </w:rPr>
              <w:t>本人承诺由董事会或薪酬与考核委员会制定的薪酬制度 </w:t>
            </w:r>
            <w:r>
              <w:rPr>
                <w:rFonts w:ascii="宋体" w:hAnsi="宋体" w:cs="宋体" w:eastAsia="宋体" w:hint="default"/>
                <w:spacing w:val="-3"/>
                <w:sz w:val="18"/>
                <w:szCs w:val="18"/>
              </w:rPr>
              <w:t>与公司填补回报措施的执行情况相挂钩；</w:t>
            </w:r>
            <w:r>
              <w:rPr>
                <w:rFonts w:ascii="Times New Roman" w:hAnsi="Times New Roman" w:cs="Times New Roman" w:eastAsia="Times New Roman" w:hint="default"/>
                <w:spacing w:val="-3"/>
                <w:sz w:val="18"/>
                <w:szCs w:val="18"/>
              </w:rPr>
              <w:t>5</w:t>
            </w:r>
            <w:r>
              <w:rPr>
                <w:rFonts w:ascii="宋体" w:hAnsi="宋体" w:cs="宋体" w:eastAsia="宋体" w:hint="default"/>
                <w:spacing w:val="-3"/>
                <w:sz w:val="18"/>
                <w:szCs w:val="18"/>
              </w:rPr>
              <w:t>、未来公司如</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实施股权激励，本人承诺股权激励的行权条件与公司填 </w:t>
            </w:r>
            <w:r>
              <w:rPr>
                <w:rFonts w:ascii="宋体" w:hAnsi="宋体" w:cs="宋体" w:eastAsia="宋体" w:hint="default"/>
                <w:spacing w:val="-3"/>
                <w:sz w:val="18"/>
                <w:szCs w:val="18"/>
              </w:rPr>
              <w:t>补回报措施的执行情况相挂钩；</w:t>
            </w:r>
            <w:r>
              <w:rPr>
                <w:rFonts w:ascii="Times New Roman" w:hAnsi="Times New Roman" w:cs="Times New Roman" w:eastAsia="Times New Roman" w:hint="default"/>
                <w:spacing w:val="-3"/>
                <w:sz w:val="18"/>
                <w:szCs w:val="18"/>
              </w:rPr>
              <w:t>6</w:t>
            </w:r>
            <w:r>
              <w:rPr>
                <w:rFonts w:ascii="宋体" w:hAnsi="宋体" w:cs="宋体" w:eastAsia="宋体" w:hint="default"/>
                <w:spacing w:val="-3"/>
                <w:sz w:val="18"/>
                <w:szCs w:val="18"/>
              </w:rPr>
              <w:t>、自本承诺出具日至公</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司本次非公开发行实施完毕前，若中国证监会作出关于 填补回报措施及其承诺的其他新的监管规定的，且上述 承诺不能满足中国证监会该等规定时，本人承诺届时将 </w:t>
            </w:r>
            <w:r>
              <w:rPr>
                <w:rFonts w:ascii="宋体" w:hAnsi="宋体" w:cs="宋体" w:eastAsia="宋体" w:hint="default"/>
                <w:spacing w:val="-3"/>
                <w:sz w:val="18"/>
                <w:szCs w:val="18"/>
              </w:rPr>
              <w:t>按照中国证监会的最新规定出具补充承诺；</w:t>
            </w:r>
            <w:r>
              <w:rPr>
                <w:rFonts w:ascii="Times New Roman" w:hAnsi="Times New Roman" w:cs="Times New Roman" w:eastAsia="Times New Roman" w:hint="default"/>
                <w:spacing w:val="-3"/>
                <w:sz w:val="18"/>
                <w:szCs w:val="18"/>
              </w:rPr>
              <w:t>7</w:t>
            </w:r>
            <w:r>
              <w:rPr>
                <w:rFonts w:ascii="宋体" w:hAnsi="宋体" w:cs="宋体" w:eastAsia="宋体" w:hint="default"/>
                <w:spacing w:val="-3"/>
                <w:sz w:val="18"/>
                <w:szCs w:val="18"/>
              </w:rPr>
              <w:t>、本人承诺</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切实履行公司制定的有关填补回报措施以及本人对此作 出的任何有关填补回报措施的承诺，若本人违反该等承 诺并给公司或者投资者造成损失的，本人愿意依法承担 对公司或者投资者的补偿责任。</w:t>
            </w:r>
          </w:p>
        </w:tc>
        <w:tc>
          <w:tcPr>
            <w:tcW w:w="554" w:type="dxa"/>
            <w:tcBorders>
              <w:top w:val="single" w:sz="4" w:space="0" w:color="000000"/>
              <w:left w:val="single" w:sz="4" w:space="0" w:color="000000"/>
              <w:bottom w:val="single" w:sz="4" w:space="0" w:color="000000"/>
              <w:right w:val="single" w:sz="4" w:space="0" w:color="000000"/>
            </w:tcBorders>
          </w:tcPr>
          <w:p>
            <w:pPr>
              <w:pStyle w:val="TableParagraph"/>
              <w:spacing w:line="1872" w:lineRule="exact"/>
              <w:ind w:right="-5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36"/>
                <w:sz w:val="20"/>
                <w:szCs w:val="20"/>
              </w:rPr>
              <w:pict>
                <v:group style="width:27.2pt;height:93.65pt;mso-position-horizontal-relative:char;mso-position-vertical-relative:line" coordorigin="0,0" coordsize="544,1873">
                  <v:group style="position:absolute;left:0;top:0;width:544;height:1873" coordorigin="0,0" coordsize="544,1873">
                    <v:shape style="position:absolute;left:0;top:0;width:544;height:1873" coordorigin="0,0" coordsize="544,1873" path="m0,1872l544,1872,544,0,0,0,0,1872xe" filled="true" fillcolor="#ffffff" stroked="false">
                      <v:path arrowok="t"/>
                      <v:fill type="solid"/>
                    </v:shape>
                  </v:group>
                </v:group>
              </w:pict>
            </w:r>
            <w:r>
              <w:rPr>
                <w:rFonts w:ascii="Times New Roman" w:hAnsi="Times New Roman" w:cs="Times New Roman" w:eastAsia="Times New Roman" w:hint="default"/>
                <w:position w:val="-36"/>
                <w:sz w:val="20"/>
                <w:szCs w:val="20"/>
              </w:rPr>
            </w:r>
          </w:p>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2016</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1"/>
                <w:szCs w:val="21"/>
              </w:rPr>
            </w:pPr>
          </w:p>
        </w:tc>
        <w:tc>
          <w:tcPr>
            <w:tcW w:w="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2"/>
              <w:ind w:left="22" w:right="127"/>
              <w:jc w:val="both"/>
              <w:rPr>
                <w:rFonts w:ascii="宋体" w:hAnsi="宋体" w:cs="宋体" w:eastAsia="宋体" w:hint="default"/>
                <w:sz w:val="18"/>
                <w:szCs w:val="18"/>
              </w:rPr>
            </w:pPr>
            <w:r>
              <w:rPr>
                <w:rFonts w:ascii="宋体" w:hAnsi="宋体" w:cs="宋体" w:eastAsia="宋体" w:hint="default"/>
                <w:sz w:val="18"/>
                <w:szCs w:val="18"/>
              </w:rPr>
              <w:t>公司本 次非公 开发行 实施完 毕前</w:t>
            </w:r>
          </w:p>
        </w:tc>
        <w:tc>
          <w:tcPr>
            <w:tcW w:w="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316" w:lineRule="auto"/>
              <w:ind w:left="24" w:right="86"/>
              <w:jc w:val="both"/>
              <w:rPr>
                <w:rFonts w:ascii="宋体" w:hAnsi="宋体" w:cs="宋体" w:eastAsia="宋体" w:hint="default"/>
                <w:sz w:val="18"/>
                <w:szCs w:val="18"/>
              </w:rPr>
            </w:pPr>
            <w:r>
              <w:rPr>
                <w:rFonts w:ascii="宋体" w:hAnsi="宋体" w:cs="宋体" w:eastAsia="宋体" w:hint="default"/>
                <w:sz w:val="18"/>
                <w:szCs w:val="18"/>
              </w:rPr>
              <w:t>严 格 履 行</w:t>
            </w:r>
          </w:p>
        </w:tc>
      </w:tr>
      <w:tr>
        <w:trPr>
          <w:trHeight w:val="1962" w:hRule="exact"/>
        </w:trPr>
        <w:tc>
          <w:tcPr>
            <w:tcW w:w="1190" w:type="dxa"/>
            <w:vMerge/>
            <w:tcBorders>
              <w:left w:val="single" w:sz="4" w:space="0" w:color="000000"/>
              <w:bottom w:val="single" w:sz="4" w:space="0" w:color="000000"/>
              <w:right w:val="single" w:sz="4" w:space="0" w:color="000000"/>
            </w:tcBorders>
            <w:shd w:val="clear" w:color="auto" w:fill="D2D2D2"/>
          </w:tcPr>
          <w:p>
            <w:pP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09" w:lineRule="auto"/>
              <w:ind w:left="22" w:right="23"/>
              <w:jc w:val="left"/>
              <w:rPr>
                <w:rFonts w:ascii="宋体" w:hAnsi="宋体" w:cs="宋体" w:eastAsia="宋体" w:hint="default"/>
                <w:sz w:val="18"/>
                <w:szCs w:val="18"/>
              </w:rPr>
            </w:pPr>
            <w:r>
              <w:rPr>
                <w:rFonts w:ascii="宋体" w:hAnsi="宋体" w:cs="宋体" w:eastAsia="宋体" w:hint="default"/>
                <w:sz w:val="18"/>
                <w:szCs w:val="18"/>
              </w:rPr>
              <w:t>侯旭东</w:t>
            </w:r>
            <w:r>
              <w:rPr>
                <w:rFonts w:ascii="Times New Roman" w:hAnsi="Times New Roman" w:cs="Times New Roman" w:eastAsia="Times New Roman" w:hint="default"/>
                <w:sz w:val="18"/>
                <w:szCs w:val="18"/>
              </w:rPr>
              <w:t>;</w:t>
            </w:r>
            <w:r>
              <w:rPr>
                <w:rFonts w:ascii="宋体" w:hAnsi="宋体" w:cs="宋体" w:eastAsia="宋体" w:hint="default"/>
                <w:sz w:val="18"/>
                <w:szCs w:val="18"/>
              </w:rPr>
              <w:t>黄华</w:t>
            </w:r>
            <w:r>
              <w:rPr>
                <w:rFonts w:ascii="Times New Roman" w:hAnsi="Times New Roman" w:cs="Times New Roman" w:eastAsia="Times New Roman" w:hint="default"/>
                <w:sz w:val="18"/>
                <w:szCs w:val="18"/>
              </w:rPr>
              <w:t>;</w:t>
            </w:r>
            <w:r>
              <w:rPr>
                <w:rFonts w:ascii="宋体" w:hAnsi="宋体" w:cs="宋体" w:eastAsia="宋体" w:hint="default"/>
                <w:sz w:val="18"/>
                <w:szCs w:val="18"/>
              </w:rPr>
              <w:t>李德华</w:t>
            </w:r>
            <w:r>
              <w:rPr>
                <w:rFonts w:ascii="Times New Roman" w:hAnsi="Times New Roman" w:cs="Times New Roman" w:eastAsia="Times New Roman" w:hint="default"/>
                <w:sz w:val="18"/>
                <w:szCs w:val="18"/>
              </w:rPr>
              <w:t>; </w:t>
            </w:r>
            <w:r>
              <w:rPr>
                <w:rFonts w:ascii="宋体" w:hAnsi="宋体" w:cs="宋体" w:eastAsia="宋体" w:hint="default"/>
                <w:sz w:val="18"/>
                <w:szCs w:val="18"/>
              </w:rPr>
              <w:t>深圳市劲嘉创业投资 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亚东复星 瑞哲安泰发展有限公 司</w:t>
            </w:r>
            <w:r>
              <w:rPr>
                <w:rFonts w:ascii="Times New Roman" w:hAnsi="Times New Roman" w:cs="Times New Roman" w:eastAsia="Times New Roman" w:hint="default"/>
                <w:sz w:val="18"/>
                <w:szCs w:val="18"/>
              </w:rPr>
              <w:t>;</w:t>
            </w:r>
            <w:r>
              <w:rPr>
                <w:rFonts w:ascii="宋体" w:hAnsi="宋体" w:cs="宋体" w:eastAsia="宋体" w:hint="default"/>
                <w:sz w:val="18"/>
                <w:szCs w:val="18"/>
              </w:rPr>
              <w:t>张明义</w:t>
            </w:r>
          </w:p>
        </w:tc>
        <w:tc>
          <w:tcPr>
            <w:tcW w:w="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6" w:lineRule="auto"/>
              <w:ind w:left="22" w:right="79"/>
              <w:jc w:val="left"/>
              <w:rPr>
                <w:rFonts w:ascii="宋体" w:hAnsi="宋体" w:cs="宋体" w:eastAsia="宋体" w:hint="default"/>
                <w:sz w:val="18"/>
                <w:szCs w:val="18"/>
              </w:rPr>
            </w:pPr>
            <w:r>
              <w:rPr>
                <w:rFonts w:ascii="宋体" w:hAnsi="宋体" w:cs="宋体" w:eastAsia="宋体" w:hint="default"/>
                <w:sz w:val="18"/>
                <w:szCs w:val="18"/>
              </w:rPr>
              <w:t>再融资相 关承诺</w:t>
            </w:r>
          </w:p>
        </w:tc>
        <w:tc>
          <w:tcPr>
            <w:tcW w:w="4408"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1"/>
              <w:ind w:left="23" w:right="21"/>
              <w:jc w:val="left"/>
              <w:rPr>
                <w:rFonts w:ascii="宋体" w:hAnsi="宋体" w:cs="宋体" w:eastAsia="宋体" w:hint="default"/>
                <w:sz w:val="18"/>
                <w:szCs w:val="18"/>
              </w:rPr>
            </w:pPr>
            <w:r>
              <w:rPr>
                <w:rFonts w:ascii="宋体" w:hAnsi="宋体" w:cs="宋体" w:eastAsia="宋体" w:hint="default"/>
                <w:spacing w:val="-1"/>
                <w:sz w:val="18"/>
                <w:szCs w:val="18"/>
              </w:rPr>
              <w:t>本公司</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本人同意自劲嘉股份本次发行结束之日（指本次</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发行的股份上市之日）起，三十六个月内不转让本次认 购的股份，并委托劲嘉股份董事会向中国证券登记结算 有限责任公司深圳分公司申请对本公司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本人上述认购 </w:t>
            </w:r>
            <w:r>
              <w:rPr>
                <w:rFonts w:ascii="宋体" w:hAnsi="宋体" w:cs="宋体" w:eastAsia="宋体" w:hint="default"/>
                <w:spacing w:val="-1"/>
                <w:sz w:val="18"/>
                <w:szCs w:val="18"/>
              </w:rPr>
              <w:t>股份办理锁定手续，以保证本公司</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本人持有的上述股份</w:t>
            </w:r>
            <w:r>
              <w:rPr>
                <w:rFonts w:ascii="宋体" w:hAnsi="宋体" w:cs="宋体" w:eastAsia="宋体" w:hint="default"/>
                <w:spacing w:val="-85"/>
                <w:sz w:val="18"/>
                <w:szCs w:val="18"/>
              </w:rPr>
              <w:t> </w:t>
            </w:r>
            <w:r>
              <w:rPr>
                <w:rFonts w:ascii="宋体" w:hAnsi="宋体" w:cs="宋体" w:eastAsia="宋体" w:hint="default"/>
                <w:sz w:val="18"/>
                <w:szCs w:val="18"/>
              </w:rPr>
              <w:t>自本次发行结束之日起，三十六个月内不转让。</w:t>
            </w:r>
          </w:p>
        </w:tc>
        <w:tc>
          <w:tcPr>
            <w:tcW w:w="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4" w:right="86"/>
              <w:jc w:val="both"/>
              <w:rPr>
                <w:rFonts w:ascii="宋体" w:hAnsi="宋体" w:cs="宋体" w:eastAsia="宋体" w:hint="default"/>
                <w:sz w:val="18"/>
                <w:szCs w:val="18"/>
              </w:rPr>
            </w:pPr>
            <w:r>
              <w:rPr>
                <w:rFonts w:ascii="宋体" w:hAnsi="宋体" w:cs="宋体" w:eastAsia="宋体" w:hint="default"/>
                <w:sz w:val="18"/>
                <w:szCs w:val="18"/>
              </w:rPr>
              <w:t>严 格 履 行</w:t>
            </w:r>
          </w:p>
        </w:tc>
      </w:tr>
      <w:tr>
        <w:trPr>
          <w:trHeight w:val="1650" w:hRule="exact"/>
        </w:trPr>
        <w:tc>
          <w:tcPr>
            <w:tcW w:w="1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股权激励承诺</w:t>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6"/>
              <w:ind w:left="22" w:right="79"/>
              <w:jc w:val="left"/>
              <w:rPr>
                <w:rFonts w:ascii="宋体" w:hAnsi="宋体" w:cs="宋体" w:eastAsia="宋体" w:hint="default"/>
                <w:sz w:val="18"/>
                <w:szCs w:val="18"/>
              </w:rPr>
            </w:pPr>
            <w:r>
              <w:rPr>
                <w:rFonts w:ascii="宋体" w:hAnsi="宋体" w:cs="宋体" w:eastAsia="宋体" w:hint="default"/>
                <w:sz w:val="18"/>
                <w:szCs w:val="18"/>
              </w:rPr>
              <w:t>股权激励 相关承诺</w:t>
            </w:r>
          </w:p>
        </w:tc>
        <w:tc>
          <w:tcPr>
            <w:tcW w:w="4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3" w:right="52"/>
              <w:jc w:val="both"/>
              <w:rPr>
                <w:rFonts w:ascii="宋体" w:hAnsi="宋体" w:cs="宋体" w:eastAsia="宋体" w:hint="default"/>
                <w:sz w:val="18"/>
                <w:szCs w:val="18"/>
              </w:rPr>
            </w:pPr>
            <w:r>
              <w:rPr>
                <w:rFonts w:ascii="宋体" w:hAnsi="宋体" w:cs="宋体" w:eastAsia="宋体" w:hint="default"/>
                <w:sz w:val="18"/>
                <w:szCs w:val="18"/>
              </w:rPr>
              <w:t>公司未来不为激励对象依股权激励计划获取有关权益提 供贷款以及其他任何形式的财务资助，包括为其贷款提 供担保。</w:t>
            </w:r>
          </w:p>
        </w:tc>
        <w:tc>
          <w:tcPr>
            <w:tcW w:w="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2014</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0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7"/>
              <w:jc w:val="both"/>
              <w:rPr>
                <w:rFonts w:ascii="宋体" w:hAnsi="宋体" w:cs="宋体" w:eastAsia="宋体" w:hint="default"/>
                <w:sz w:val="18"/>
                <w:szCs w:val="18"/>
              </w:rPr>
            </w:pPr>
            <w:r>
              <w:rPr>
                <w:rFonts w:ascii="宋体" w:hAnsi="宋体" w:cs="宋体" w:eastAsia="宋体" w:hint="default"/>
                <w:sz w:val="18"/>
                <w:szCs w:val="18"/>
              </w:rPr>
              <w:t>本次限 制性股 票激励 计划有 效期内</w:t>
            </w:r>
          </w:p>
        </w:tc>
        <w:tc>
          <w:tcPr>
            <w:tcW w:w="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6" w:lineRule="auto"/>
              <w:ind w:left="24" w:right="86"/>
              <w:jc w:val="both"/>
              <w:rPr>
                <w:rFonts w:ascii="宋体" w:hAnsi="宋体" w:cs="宋体" w:eastAsia="宋体" w:hint="default"/>
                <w:sz w:val="18"/>
                <w:szCs w:val="18"/>
              </w:rPr>
            </w:pPr>
            <w:r>
              <w:rPr>
                <w:rFonts w:ascii="宋体" w:hAnsi="宋体" w:cs="宋体" w:eastAsia="宋体" w:hint="default"/>
                <w:sz w:val="18"/>
                <w:szCs w:val="18"/>
              </w:rPr>
              <w:t>严 格 履 行</w:t>
            </w:r>
          </w:p>
        </w:tc>
      </w:tr>
    </w:tbl>
    <w:p>
      <w:pPr>
        <w:spacing w:after="0" w:line="316" w:lineRule="auto"/>
        <w:jc w:val="both"/>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190"/>
        <w:gridCol w:w="1676"/>
        <w:gridCol w:w="834"/>
        <w:gridCol w:w="4408"/>
        <w:gridCol w:w="554"/>
        <w:gridCol w:w="702"/>
        <w:gridCol w:w="302"/>
      </w:tblGrid>
      <w:tr>
        <w:trPr>
          <w:trHeight w:val="3834" w:hRule="exact"/>
        </w:trPr>
        <w:tc>
          <w:tcPr>
            <w:tcW w:w="11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319" w:lineRule="auto"/>
              <w:ind w:left="22" w:right="23"/>
              <w:jc w:val="left"/>
              <w:rPr>
                <w:rFonts w:ascii="宋体" w:hAnsi="宋体" w:cs="宋体" w:eastAsia="宋体" w:hint="default"/>
                <w:sz w:val="18"/>
                <w:szCs w:val="18"/>
              </w:rPr>
            </w:pPr>
            <w:r>
              <w:rPr>
                <w:rFonts w:ascii="宋体" w:hAnsi="宋体" w:cs="宋体" w:eastAsia="宋体" w:hint="default"/>
                <w:sz w:val="18"/>
                <w:szCs w:val="18"/>
              </w:rPr>
              <w:t>股权激励计划激励对 象</w:t>
            </w:r>
          </w:p>
        </w:tc>
        <w:tc>
          <w:tcPr>
            <w:tcW w:w="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319" w:lineRule="auto"/>
              <w:ind w:left="22" w:right="79"/>
              <w:jc w:val="left"/>
              <w:rPr>
                <w:rFonts w:ascii="宋体" w:hAnsi="宋体" w:cs="宋体" w:eastAsia="宋体" w:hint="default"/>
                <w:sz w:val="18"/>
                <w:szCs w:val="18"/>
              </w:rPr>
            </w:pPr>
            <w:r>
              <w:rPr>
                <w:rFonts w:ascii="宋体" w:hAnsi="宋体" w:cs="宋体" w:eastAsia="宋体" w:hint="default"/>
                <w:sz w:val="18"/>
                <w:szCs w:val="18"/>
              </w:rPr>
              <w:t>股权激励 相关承诺</w:t>
            </w:r>
          </w:p>
        </w:tc>
        <w:tc>
          <w:tcPr>
            <w:tcW w:w="4408"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1"/>
              <w:ind w:left="23" w:right="21"/>
              <w:jc w:val="both"/>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、激励对象为公司董事和高级管理人员的，其在任职期</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间每年转让的股份不得超过其所持有本公司股份总数的 </w:t>
            </w:r>
            <w:r>
              <w:rPr>
                <w:rFonts w:ascii="Times New Roman" w:hAnsi="Times New Roman" w:cs="Times New Roman" w:eastAsia="Times New Roman" w:hint="default"/>
                <w:spacing w:val="-2"/>
                <w:sz w:val="18"/>
                <w:szCs w:val="18"/>
              </w:rPr>
              <w:t>25%</w:t>
            </w: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、激励对象为公司董事和高级管理人员的，将其</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持有的本公司股票在买入后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个月内卖出，或者在卖出</w:t>
            </w:r>
          </w:p>
          <w:p>
            <w:pPr>
              <w:pStyle w:val="TableParagraph"/>
              <w:spacing w:line="312" w:lineRule="auto" w:before="7"/>
              <w:ind w:left="23" w:right="20"/>
              <w:jc w:val="left"/>
              <w:rPr>
                <w:rFonts w:ascii="宋体" w:hAnsi="宋体" w:cs="宋体" w:eastAsia="宋体" w:hint="default"/>
                <w:sz w:val="18"/>
                <w:szCs w:val="18"/>
              </w:rPr>
            </w:pPr>
            <w:r>
              <w:rPr>
                <w:rFonts w:ascii="宋体" w:hAnsi="宋体" w:cs="宋体" w:eastAsia="宋体" w:hint="default"/>
                <w:sz w:val="18"/>
                <w:szCs w:val="18"/>
              </w:rPr>
              <w:t>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个月内又买入，由此所得收益归本公司所有，本公 </w:t>
            </w:r>
            <w:r>
              <w:rPr>
                <w:rFonts w:ascii="宋体" w:hAnsi="宋体" w:cs="宋体" w:eastAsia="宋体" w:hint="default"/>
                <w:spacing w:val="-3"/>
                <w:sz w:val="18"/>
                <w:szCs w:val="18"/>
              </w:rPr>
              <w:t>司董事会将收回其所得收益。</w:t>
            </w: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、在本计划有效期内，如</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pacing w:val="-8"/>
                <w:sz w:val="18"/>
                <w:szCs w:val="18"/>
              </w:rPr>
              <w:t>果《公司法》、《证券法》等相关法律、法规、规范性文</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件和《公司章程》中对公司董事和高级管理人员持有股 份转让的有关规定发生了变化，则这部分激励对象转让 其持有的公司股票应当在转让时符合修改后的《公司 </w:t>
            </w:r>
            <w:r>
              <w:rPr>
                <w:rFonts w:ascii="宋体" w:hAnsi="宋体" w:cs="宋体" w:eastAsia="宋体" w:hint="default"/>
                <w:spacing w:val="-8"/>
                <w:sz w:val="18"/>
                <w:szCs w:val="18"/>
              </w:rPr>
              <w:t>法》、《证券法》等相关法律、法规、规范性文件和《公</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司章程》的规定。</w:t>
            </w:r>
          </w:p>
        </w:tc>
        <w:tc>
          <w:tcPr>
            <w:tcW w:w="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2014</w:t>
            </w:r>
          </w:p>
          <w:p>
            <w:pPr>
              <w:pStyle w:val="TableParagraph"/>
              <w:spacing w:line="240" w:lineRule="auto" w:before="6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8"/>
              <w:ind w:left="22" w:right="127"/>
              <w:jc w:val="both"/>
              <w:rPr>
                <w:rFonts w:ascii="宋体" w:hAnsi="宋体" w:cs="宋体" w:eastAsia="宋体" w:hint="default"/>
                <w:sz w:val="18"/>
                <w:szCs w:val="18"/>
              </w:rPr>
            </w:pPr>
            <w:r>
              <w:rPr>
                <w:rFonts w:ascii="宋体" w:hAnsi="宋体" w:cs="宋体" w:eastAsia="宋体" w:hint="default"/>
                <w:sz w:val="18"/>
                <w:szCs w:val="18"/>
              </w:rPr>
              <w:t>本次限 制性股 票激励 计划有 效期内</w:t>
            </w:r>
          </w:p>
        </w:tc>
        <w:tc>
          <w:tcPr>
            <w:tcW w:w="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3"/>
                <w:szCs w:val="23"/>
              </w:rPr>
            </w:pPr>
          </w:p>
          <w:p>
            <w:pPr>
              <w:pStyle w:val="TableParagraph"/>
              <w:spacing w:line="319" w:lineRule="auto"/>
              <w:ind w:left="24" w:right="86"/>
              <w:jc w:val="both"/>
              <w:rPr>
                <w:rFonts w:ascii="宋体" w:hAnsi="宋体" w:cs="宋体" w:eastAsia="宋体" w:hint="default"/>
                <w:sz w:val="18"/>
                <w:szCs w:val="18"/>
              </w:rPr>
            </w:pPr>
            <w:r>
              <w:rPr>
                <w:rFonts w:ascii="宋体" w:hAnsi="宋体" w:cs="宋体" w:eastAsia="宋体" w:hint="default"/>
                <w:sz w:val="18"/>
                <w:szCs w:val="18"/>
              </w:rPr>
              <w:t>严 格 履 行</w:t>
            </w:r>
          </w:p>
        </w:tc>
      </w:tr>
      <w:tr>
        <w:trPr>
          <w:trHeight w:val="1338" w:hRule="exact"/>
        </w:trPr>
        <w:tc>
          <w:tcPr>
            <w:tcW w:w="1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75"/>
              <w:jc w:val="both"/>
              <w:rPr>
                <w:rFonts w:ascii="宋体" w:hAnsi="宋体" w:cs="宋体" w:eastAsia="宋体" w:hint="default"/>
                <w:sz w:val="18"/>
                <w:szCs w:val="18"/>
              </w:rPr>
            </w:pPr>
            <w:r>
              <w:rPr>
                <w:rFonts w:ascii="宋体" w:hAnsi="宋体" w:cs="宋体" w:eastAsia="宋体" w:hint="default"/>
                <w:sz w:val="18"/>
                <w:szCs w:val="18"/>
              </w:rPr>
              <w:t>其他对公司中 小股东所作承 诺</w:t>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22" w:right="79"/>
              <w:jc w:val="left"/>
              <w:rPr>
                <w:rFonts w:ascii="宋体" w:hAnsi="宋体" w:cs="宋体" w:eastAsia="宋体" w:hint="default"/>
                <w:sz w:val="18"/>
                <w:szCs w:val="18"/>
              </w:rPr>
            </w:pPr>
            <w:r>
              <w:rPr>
                <w:rFonts w:ascii="宋体" w:hAnsi="宋体" w:cs="宋体" w:eastAsia="宋体" w:hint="default"/>
                <w:sz w:val="18"/>
                <w:szCs w:val="18"/>
              </w:rPr>
              <w:t>回购股份 相关承诺</w:t>
            </w:r>
          </w:p>
        </w:tc>
        <w:tc>
          <w:tcPr>
            <w:tcW w:w="4408" w:type="dxa"/>
            <w:tcBorders>
              <w:top w:val="single" w:sz="4" w:space="0" w:color="000000"/>
              <w:left w:val="single" w:sz="4" w:space="0" w:color="000000"/>
              <w:bottom w:val="single" w:sz="4" w:space="0" w:color="000000"/>
              <w:right w:val="single" w:sz="13" w:space="0" w:color="FFFFFF"/>
            </w:tcBorders>
          </w:tcPr>
          <w:p>
            <w:pPr>
              <w:pStyle w:val="TableParagraph"/>
              <w:spacing w:line="316" w:lineRule="auto" w:before="51"/>
              <w:ind w:left="23" w:right="-44"/>
              <w:jc w:val="left"/>
              <w:rPr>
                <w:rFonts w:ascii="宋体" w:hAnsi="宋体" w:cs="宋体" w:eastAsia="宋体" w:hint="default"/>
                <w:sz w:val="18"/>
                <w:szCs w:val="18"/>
              </w:rPr>
            </w:pPr>
            <w:r>
              <w:rPr>
                <w:rFonts w:ascii="宋体" w:hAnsi="宋体" w:cs="宋体" w:eastAsia="宋体" w:hint="default"/>
                <w:sz w:val="18"/>
                <w:szCs w:val="18"/>
              </w:rPr>
              <w:t>公司将根据回购方案实施期间股份市场价格的变化情 </w:t>
            </w:r>
            <w:r>
              <w:rPr>
                <w:rFonts w:ascii="宋体" w:hAnsi="宋体" w:cs="宋体" w:eastAsia="宋体" w:hint="default"/>
                <w:spacing w:val="-3"/>
                <w:sz w:val="18"/>
                <w:szCs w:val="18"/>
              </w:rPr>
              <w:t>况，结合公司财务及经营状况，在不低于人民币</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pacing w:val="-11"/>
                <w:sz w:val="18"/>
                <w:szCs w:val="18"/>
              </w:rPr>
              <w:t>亿元，</w:t>
            </w:r>
            <w:r>
              <w:rPr>
                <w:rFonts w:ascii="宋体" w:hAnsi="宋体" w:cs="宋体" w:eastAsia="宋体" w:hint="default"/>
                <w:sz w:val="18"/>
                <w:szCs w:val="18"/>
              </w:rPr>
            </w:r>
          </w:p>
          <w:p>
            <w:pPr>
              <w:pStyle w:val="TableParagraph"/>
              <w:spacing w:line="248" w:lineRule="exact"/>
              <w:ind w:left="23" w:right="0"/>
              <w:jc w:val="left"/>
              <w:rPr>
                <w:rFonts w:ascii="宋体" w:hAnsi="宋体" w:cs="宋体" w:eastAsia="宋体" w:hint="default"/>
                <w:sz w:val="18"/>
                <w:szCs w:val="18"/>
              </w:rPr>
            </w:pPr>
            <w:r>
              <w:rPr>
                <w:rFonts w:ascii="宋体" w:hAnsi="宋体" w:cs="宋体" w:eastAsia="宋体" w:hint="default"/>
                <w:sz w:val="18"/>
                <w:szCs w:val="18"/>
              </w:rPr>
              <w:t>不高于人民币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亿元的资金总额内，回购股份价格不超</w:t>
            </w:r>
          </w:p>
          <w:p>
            <w:pPr>
              <w:pStyle w:val="TableParagraph"/>
              <w:spacing w:line="240" w:lineRule="auto" w:before="64"/>
              <w:ind w:left="23" w:right="-44"/>
              <w:jc w:val="left"/>
              <w:rPr>
                <w:rFonts w:ascii="宋体" w:hAnsi="宋体" w:cs="宋体" w:eastAsia="宋体" w:hint="default"/>
                <w:sz w:val="18"/>
                <w:szCs w:val="18"/>
              </w:rPr>
            </w:pPr>
            <w:r>
              <w:rPr>
                <w:rFonts w:ascii="宋体" w:hAnsi="宋体" w:cs="宋体" w:eastAsia="宋体" w:hint="default"/>
                <w:sz w:val="18"/>
                <w:szCs w:val="18"/>
              </w:rPr>
              <w:t>过人民币</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9.30</w:t>
            </w:r>
            <w:r>
              <w:rPr>
                <w:rFonts w:ascii="Times New Roman" w:hAnsi="Times New Roman" w:cs="Times New Roman" w:eastAsia="Times New Roman" w:hint="default"/>
                <w:spacing w:val="1"/>
                <w:sz w:val="18"/>
                <w:szCs w:val="18"/>
              </w:rPr>
              <w:t> </w:t>
            </w:r>
            <w:r>
              <w:rPr>
                <w:rFonts w:ascii="宋体" w:hAnsi="宋体" w:cs="宋体" w:eastAsia="宋体" w:hint="default"/>
                <w:spacing w:val="-7"/>
                <w:sz w:val="18"/>
                <w:szCs w:val="18"/>
              </w:rPr>
              <w:t>元</w:t>
            </w:r>
            <w:r>
              <w:rPr>
                <w:rFonts w:ascii="Times New Roman" w:hAnsi="Times New Roman" w:cs="Times New Roman" w:eastAsia="Times New Roman" w:hint="default"/>
                <w:spacing w:val="-7"/>
                <w:sz w:val="18"/>
                <w:szCs w:val="18"/>
              </w:rPr>
              <w:t>/</w:t>
            </w:r>
            <w:r>
              <w:rPr>
                <w:rFonts w:ascii="宋体" w:hAnsi="宋体" w:cs="宋体" w:eastAsia="宋体" w:hint="default"/>
                <w:spacing w:val="-7"/>
                <w:sz w:val="18"/>
                <w:szCs w:val="18"/>
              </w:rPr>
              <w:t>股（含</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9.30</w:t>
            </w:r>
            <w:r>
              <w:rPr>
                <w:rFonts w:ascii="Times New Roman" w:hAnsi="Times New Roman" w:cs="Times New Roman" w:eastAsia="Times New Roman" w:hint="default"/>
                <w:spacing w:val="1"/>
                <w:sz w:val="18"/>
                <w:szCs w:val="18"/>
              </w:rPr>
              <w:t> </w:t>
            </w:r>
            <w:r>
              <w:rPr>
                <w:rFonts w:ascii="宋体" w:hAnsi="宋体" w:cs="宋体" w:eastAsia="宋体" w:hint="default"/>
                <w:spacing w:val="-6"/>
                <w:sz w:val="18"/>
                <w:szCs w:val="18"/>
              </w:rPr>
              <w:t>元</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股）的条件下进行回购。</w:t>
            </w:r>
            <w:r>
              <w:rPr>
                <w:rFonts w:ascii="宋体" w:hAnsi="宋体" w:cs="宋体" w:eastAsia="宋体" w:hint="default"/>
                <w:sz w:val="18"/>
                <w:szCs w:val="18"/>
              </w:rPr>
            </w:r>
          </w:p>
        </w:tc>
        <w:tc>
          <w:tcPr>
            <w:tcW w:w="554"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5"/>
              <w:ind w:left="1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1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p>
          <w:p>
            <w:pPr>
              <w:pStyle w:val="TableParagraph"/>
              <w:spacing w:line="240" w:lineRule="auto" w:before="64"/>
              <w:ind w:left="11" w:right="0"/>
              <w:jc w:val="left"/>
              <w:rPr>
                <w:rFonts w:ascii="宋体" w:hAnsi="宋体" w:cs="宋体" w:eastAsia="宋体" w:hint="default"/>
                <w:sz w:val="18"/>
                <w:szCs w:val="18"/>
              </w:rPr>
            </w:pPr>
            <w:r>
              <w:rPr>
                <w:rFonts w:ascii="宋体" w:hAnsi="宋体" w:cs="宋体" w:eastAsia="宋体" w:hint="default"/>
                <w:sz w:val="18"/>
                <w:szCs w:val="18"/>
              </w:rPr>
              <w:t>日</w:t>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10"/>
                <w:szCs w:val="10"/>
              </w:rPr>
            </w:pPr>
          </w:p>
          <w:p>
            <w:pPr>
              <w:pStyle w:val="TableParagraph"/>
              <w:spacing w:line="312" w:lineRule="exact"/>
              <w:ind w:left="11" w:right="-26"/>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5"/>
                <w:sz w:val="20"/>
                <w:szCs w:val="20"/>
              </w:rPr>
              <w:pict>
                <v:group style="width:24.9pt;height:15.6pt;mso-position-horizontal-relative:char;mso-position-vertical-relative:line" coordorigin="0,0" coordsize="498,312">
                  <v:group style="position:absolute;left:0;top:0;width:498;height:312" coordorigin="0,0" coordsize="498,312">
                    <v:shape style="position:absolute;left:0;top:0;width:498;height:312" coordorigin="0,0" coordsize="498,312" path="m0,312l498,312,498,0,0,0,0,312xe" filled="true" fillcolor="#ffffff" stroked="false">
                      <v:path arrowok="t"/>
                      <v:fill type="solid"/>
                    </v:shape>
                  </v:group>
                </v:group>
              </w:pict>
            </w:r>
            <w:r>
              <w:rPr>
                <w:rFonts w:ascii="Times New Roman" w:hAnsi="Times New Roman" w:cs="Times New Roman" w:eastAsia="Times New Roman" w:hint="default"/>
                <w:position w:val="-5"/>
                <w:sz w:val="20"/>
                <w:szCs w:val="20"/>
              </w:rPr>
            </w:r>
          </w:p>
          <w:p>
            <w:pPr>
              <w:pStyle w:val="TableParagraph"/>
              <w:spacing w:line="240" w:lineRule="auto" w:before="2"/>
              <w:ind w:right="0"/>
              <w:jc w:val="left"/>
              <w:rPr>
                <w:rFonts w:ascii="Times New Roman" w:hAnsi="Times New Roman" w:cs="Times New Roman" w:eastAsia="Times New Roman" w:hint="default"/>
                <w:sz w:val="27"/>
                <w:szCs w:val="27"/>
              </w:rPr>
            </w:pPr>
          </w:p>
          <w:p>
            <w:pPr>
              <w:pStyle w:val="TableParagraph"/>
              <w:spacing w:line="351" w:lineRule="exact"/>
              <w:ind w:left="11" w:right="-26"/>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6"/>
                <w:sz w:val="20"/>
                <w:szCs w:val="20"/>
              </w:rPr>
              <w:pict>
                <v:group style="width:24.9pt;height:17.6pt;mso-position-horizontal-relative:char;mso-position-vertical-relative:line" coordorigin="0,0" coordsize="498,352">
                  <v:group style="position:absolute;left:0;top:0;width:498;height:352" coordorigin="0,0" coordsize="498,352">
                    <v:shape style="position:absolute;left:0;top:0;width:498;height:352" coordorigin="0,0" coordsize="498,352" path="m0,352l498,352,498,0,0,0,0,352xe" filled="true" fillcolor="#ffffff" stroked="false">
                      <v:path arrowok="t"/>
                      <v:fill type="solid"/>
                    </v:shape>
                  </v:group>
                </v:group>
              </w:pict>
            </w:r>
            <w:r>
              <w:rPr>
                <w:rFonts w:ascii="Times New Roman" w:hAnsi="Times New Roman" w:cs="Times New Roman" w:eastAsia="Times New Roman" w:hint="default"/>
                <w:position w:val="-6"/>
                <w:sz w:val="20"/>
                <w:szCs w:val="20"/>
              </w:rPr>
            </w:r>
          </w:p>
        </w:tc>
        <w:tc>
          <w:tcPr>
            <w:tcW w:w="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30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4" w:right="86"/>
              <w:jc w:val="both"/>
              <w:rPr>
                <w:rFonts w:ascii="宋体" w:hAnsi="宋体" w:cs="宋体" w:eastAsia="宋体" w:hint="default"/>
                <w:sz w:val="18"/>
                <w:szCs w:val="18"/>
              </w:rPr>
            </w:pPr>
            <w:r>
              <w:rPr>
                <w:rFonts w:ascii="宋体" w:hAnsi="宋体" w:cs="宋体" w:eastAsia="宋体" w:hint="default"/>
                <w:sz w:val="18"/>
                <w:szCs w:val="18"/>
              </w:rPr>
              <w:t>严 格 履 行</w:t>
            </w:r>
          </w:p>
        </w:tc>
      </w:tr>
      <w:tr>
        <w:trPr>
          <w:trHeight w:val="714" w:hRule="exact"/>
        </w:trPr>
        <w:tc>
          <w:tcPr>
            <w:tcW w:w="1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75"/>
              <w:jc w:val="left"/>
              <w:rPr>
                <w:rFonts w:ascii="宋体" w:hAnsi="宋体" w:cs="宋体" w:eastAsia="宋体" w:hint="default"/>
                <w:sz w:val="18"/>
                <w:szCs w:val="18"/>
              </w:rPr>
            </w:pPr>
            <w:r>
              <w:rPr>
                <w:rFonts w:ascii="宋体" w:hAnsi="宋体" w:cs="宋体" w:eastAsia="宋体" w:hint="default"/>
                <w:sz w:val="18"/>
                <w:szCs w:val="18"/>
              </w:rPr>
              <w:t>承诺是否按时 履行</w:t>
            </w:r>
          </w:p>
        </w:tc>
        <w:tc>
          <w:tcPr>
            <w:tcW w:w="8478"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2274" w:hRule="exact"/>
        </w:trPr>
        <w:tc>
          <w:tcPr>
            <w:tcW w:w="1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75"/>
              <w:jc w:val="both"/>
              <w:rPr>
                <w:rFonts w:ascii="宋体" w:hAnsi="宋体" w:cs="宋体" w:eastAsia="宋体" w:hint="default"/>
                <w:sz w:val="18"/>
                <w:szCs w:val="18"/>
              </w:rPr>
            </w:pPr>
            <w:r>
              <w:rPr>
                <w:rFonts w:ascii="宋体" w:hAnsi="宋体" w:cs="宋体" w:eastAsia="宋体" w:hint="default"/>
                <w:sz w:val="18"/>
                <w:szCs w:val="18"/>
              </w:rPr>
              <w:t>如承诺超期未 履行完毕的， 应当详细说明 未完成履行的 具体原因及下 一步的工作计 划</w:t>
            </w:r>
          </w:p>
        </w:tc>
        <w:tc>
          <w:tcPr>
            <w:tcW w:w="8478"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10"/>
        <w:rPr>
          <w:rFonts w:ascii="Times New Roman" w:hAnsi="Times New Roman" w:cs="Times New Roman" w:eastAsia="Times New Roman" w:hint="default"/>
          <w:sz w:val="21"/>
          <w:szCs w:val="21"/>
        </w:rPr>
      </w:pPr>
    </w:p>
    <w:p>
      <w:pPr>
        <w:pStyle w:val="Heading3"/>
        <w:spacing w:line="259" w:lineRule="auto" w:before="35"/>
        <w:ind w:right="0"/>
        <w:jc w:val="left"/>
        <w:rPr>
          <w:b w:val="0"/>
          <w:bCs w:val="0"/>
        </w:rPr>
      </w:pPr>
      <w:bookmarkStart w:name="2、公司资产或项目存在盈利预测，且报告期仍处在盈利预测期间，公司就资产或项目达到" w:id="67"/>
      <w:bookmarkEnd w:id="67"/>
      <w:r>
        <w:rPr>
          <w:b w:val="0"/>
          <w:bCs w:val="0"/>
        </w:rPr>
      </w:r>
      <w:r>
        <w:rPr>
          <w:rFonts w:ascii="Times New Roman" w:hAnsi="Times New Roman" w:cs="Times New Roman" w:eastAsia="Times New Roman" w:hint="default"/>
        </w:rPr>
        <w:t>2</w:t>
      </w:r>
      <w:r>
        <w:rPr/>
        <w:t>、公司资产或项目存在盈利预测，且报告期仍处在盈利预测期间，公司就资产或项目达到原盈利预测及</w:t>
      </w:r>
      <w:r>
        <w:rPr>
          <w:spacing w:val="-74"/>
        </w:rPr>
        <w:t> </w:t>
      </w:r>
      <w:r>
        <w:rPr>
          <w:spacing w:val="-74"/>
        </w:rPr>
      </w:r>
      <w:r>
        <w:rPr/>
        <w:t>其原因做出说明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p>
      <w:pPr>
        <w:pStyle w:val="BodyText"/>
        <w:spacing w:line="240" w:lineRule="auto"/>
        <w:ind w:left="0" w:right="1055"/>
        <w:jc w:val="right"/>
      </w:pPr>
      <w:r>
        <w:rPr/>
        <w:pict>
          <v:shape style="position:absolute;margin-left:56.459999pt;margin-top:-69.948265pt;width:484.1pt;height:134.3pt;mso-position-horizontal-relative:page;mso-position-vertical-relative:paragraph;z-index:150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726"/>
                    <w:gridCol w:w="695"/>
                    <w:gridCol w:w="695"/>
                    <w:gridCol w:w="808"/>
                    <w:gridCol w:w="976"/>
                    <w:gridCol w:w="863"/>
                    <w:gridCol w:w="695"/>
                    <w:gridCol w:w="4210"/>
                  </w:tblGrid>
                  <w:tr>
                    <w:trPr>
                      <w:trHeight w:val="1338" w:hRule="exact"/>
                    </w:trPr>
                    <w:tc>
                      <w:tcPr>
                        <w:tcW w:w="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87" w:right="87"/>
                          <w:jc w:val="both"/>
                          <w:rPr>
                            <w:rFonts w:ascii="宋体" w:hAnsi="宋体" w:cs="宋体" w:eastAsia="宋体" w:hint="default"/>
                            <w:sz w:val="18"/>
                            <w:szCs w:val="18"/>
                          </w:rPr>
                        </w:pPr>
                        <w:r>
                          <w:rPr>
                            <w:rFonts w:ascii="宋体" w:hAnsi="宋体" w:cs="宋体" w:eastAsia="宋体" w:hint="default"/>
                            <w:sz w:val="18"/>
                            <w:szCs w:val="18"/>
                          </w:rPr>
                          <w:t>盈利预 测资产 或项目 名称</w:t>
                        </w:r>
                      </w:p>
                    </w:tc>
                    <w:tc>
                      <w:tcPr>
                        <w:tcW w:w="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71" w:right="71"/>
                          <w:jc w:val="left"/>
                          <w:rPr>
                            <w:rFonts w:ascii="宋体" w:hAnsi="宋体" w:cs="宋体" w:eastAsia="宋体" w:hint="default"/>
                            <w:sz w:val="18"/>
                            <w:szCs w:val="18"/>
                          </w:rPr>
                        </w:pPr>
                        <w:r>
                          <w:rPr>
                            <w:rFonts w:ascii="宋体" w:hAnsi="宋体" w:cs="宋体" w:eastAsia="宋体" w:hint="default"/>
                            <w:sz w:val="18"/>
                            <w:szCs w:val="18"/>
                          </w:rPr>
                          <w:t>预测起 始时间</w:t>
                        </w:r>
                      </w:p>
                    </w:tc>
                    <w:tc>
                      <w:tcPr>
                        <w:tcW w:w="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71" w:right="71"/>
                          <w:jc w:val="left"/>
                          <w:rPr>
                            <w:rFonts w:ascii="宋体" w:hAnsi="宋体" w:cs="宋体" w:eastAsia="宋体" w:hint="default"/>
                            <w:sz w:val="18"/>
                            <w:szCs w:val="18"/>
                          </w:rPr>
                        </w:pPr>
                        <w:r>
                          <w:rPr>
                            <w:rFonts w:ascii="宋体" w:hAnsi="宋体" w:cs="宋体" w:eastAsia="宋体" w:hint="default"/>
                            <w:sz w:val="18"/>
                            <w:szCs w:val="18"/>
                          </w:rPr>
                          <w:t>预测终 止时间</w:t>
                        </w:r>
                      </w:p>
                    </w:tc>
                    <w:tc>
                      <w:tcPr>
                        <w:tcW w:w="8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39" w:right="36"/>
                          <w:jc w:val="center"/>
                          <w:rPr>
                            <w:rFonts w:ascii="宋体" w:hAnsi="宋体" w:cs="宋体" w:eastAsia="宋体" w:hint="default"/>
                            <w:sz w:val="18"/>
                            <w:szCs w:val="18"/>
                          </w:rPr>
                        </w:pPr>
                        <w:r>
                          <w:rPr>
                            <w:rFonts w:ascii="宋体" w:hAnsi="宋体" w:cs="宋体" w:eastAsia="宋体" w:hint="default"/>
                            <w:sz w:val="18"/>
                            <w:szCs w:val="18"/>
                          </w:rPr>
                          <w:t>当期预测 业绩（万 元）</w:t>
                        </w:r>
                      </w:p>
                    </w:tc>
                    <w:tc>
                      <w:tcPr>
                        <w:tcW w:w="9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32" w:right="33"/>
                          <w:jc w:val="left"/>
                          <w:rPr>
                            <w:rFonts w:ascii="宋体" w:hAnsi="宋体" w:cs="宋体" w:eastAsia="宋体" w:hint="default"/>
                            <w:sz w:val="18"/>
                            <w:szCs w:val="18"/>
                          </w:rPr>
                        </w:pPr>
                        <w:r>
                          <w:rPr>
                            <w:rFonts w:ascii="宋体" w:hAnsi="宋体" w:cs="宋体" w:eastAsia="宋体" w:hint="default"/>
                            <w:sz w:val="18"/>
                            <w:szCs w:val="18"/>
                          </w:rPr>
                          <w:t>当期实际业 绩（万元）</w:t>
                        </w:r>
                      </w:p>
                    </w:tc>
                    <w:tc>
                      <w:tcPr>
                        <w:tcW w:w="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55" w:right="65" w:hanging="90"/>
                          <w:jc w:val="left"/>
                          <w:rPr>
                            <w:rFonts w:ascii="宋体" w:hAnsi="宋体" w:cs="宋体" w:eastAsia="宋体" w:hint="default"/>
                            <w:sz w:val="18"/>
                            <w:szCs w:val="18"/>
                          </w:rPr>
                        </w:pPr>
                        <w:r>
                          <w:rPr>
                            <w:rFonts w:ascii="宋体" w:hAnsi="宋体" w:cs="宋体" w:eastAsia="宋体" w:hint="default"/>
                            <w:sz w:val="18"/>
                            <w:szCs w:val="18"/>
                          </w:rPr>
                          <w:t>未达预测 的原因</w:t>
                        </w:r>
                      </w:p>
                      <w:p>
                        <w:pPr>
                          <w:pStyle w:val="TableParagraph"/>
                          <w:spacing w:line="319" w:lineRule="auto" w:before="19"/>
                          <w:ind w:left="245" w:right="155" w:hanging="90"/>
                          <w:jc w:val="left"/>
                          <w:rPr>
                            <w:rFonts w:ascii="宋体" w:hAnsi="宋体" w:cs="宋体" w:eastAsia="宋体" w:hint="default"/>
                            <w:sz w:val="18"/>
                            <w:szCs w:val="18"/>
                          </w:rPr>
                        </w:pPr>
                        <w:r>
                          <w:rPr>
                            <w:rFonts w:ascii="宋体" w:hAnsi="宋体" w:cs="宋体" w:eastAsia="宋体" w:hint="default"/>
                            <w:sz w:val="18"/>
                            <w:szCs w:val="18"/>
                          </w:rPr>
                          <w:t>（如适 用）</w:t>
                        </w:r>
                      </w:p>
                    </w:tc>
                    <w:tc>
                      <w:tcPr>
                        <w:tcW w:w="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71" w:right="71"/>
                          <w:jc w:val="center"/>
                          <w:rPr>
                            <w:rFonts w:ascii="宋体" w:hAnsi="宋体" w:cs="宋体" w:eastAsia="宋体" w:hint="default"/>
                            <w:sz w:val="18"/>
                            <w:szCs w:val="18"/>
                          </w:rPr>
                        </w:pPr>
                        <w:r>
                          <w:rPr>
                            <w:rFonts w:ascii="宋体" w:hAnsi="宋体" w:cs="宋体" w:eastAsia="宋体" w:hint="default"/>
                            <w:sz w:val="18"/>
                            <w:szCs w:val="18"/>
                          </w:rPr>
                          <w:t>原预测 披露日 期</w:t>
                        </w:r>
                      </w:p>
                    </w:tc>
                    <w:tc>
                      <w:tcPr>
                        <w:tcW w:w="42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原预测披露索引</w:t>
                        </w:r>
                      </w:p>
                    </w:tc>
                  </w:tr>
                  <w:tr>
                    <w:trPr>
                      <w:trHeight w:val="1338" w:hRule="exact"/>
                    </w:trPr>
                    <w:tc>
                      <w:tcPr>
                        <w:tcW w:w="7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3"/>
                          <w:jc w:val="both"/>
                          <w:rPr>
                            <w:rFonts w:ascii="宋体" w:hAnsi="宋体" w:cs="宋体" w:eastAsia="宋体" w:hint="default"/>
                            <w:sz w:val="18"/>
                            <w:szCs w:val="18"/>
                          </w:rPr>
                        </w:pPr>
                        <w:r>
                          <w:rPr>
                            <w:rFonts w:ascii="宋体" w:hAnsi="宋体" w:cs="宋体" w:eastAsia="宋体" w:hint="default"/>
                            <w:sz w:val="18"/>
                            <w:szCs w:val="18"/>
                          </w:rPr>
                          <w:t>长春吉 星印务 有限责 任公司</w:t>
                        </w:r>
                      </w:p>
                    </w:tc>
                    <w:tc>
                      <w:tcPr>
                        <w:tcW w:w="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370" w:right="0"/>
                          <w:jc w:val="left"/>
                          <w:rPr>
                            <w:rFonts w:ascii="Times New Roman" w:hAnsi="Times New Roman" w:cs="Times New Roman" w:eastAsia="Times New Roman" w:hint="default"/>
                            <w:sz w:val="18"/>
                            <w:szCs w:val="18"/>
                          </w:rPr>
                        </w:pPr>
                        <w:r>
                          <w:rPr>
                            <w:rFonts w:ascii="Times New Roman"/>
                            <w:sz w:val="18"/>
                          </w:rPr>
                          <w:t>4,600</w:t>
                        </w:r>
                      </w:p>
                    </w:tc>
                    <w:tc>
                      <w:tcPr>
                        <w:tcW w:w="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313" w:right="0"/>
                          <w:jc w:val="left"/>
                          <w:rPr>
                            <w:rFonts w:ascii="Times New Roman" w:hAnsi="Times New Roman" w:cs="Times New Roman" w:eastAsia="Times New Roman" w:hint="default"/>
                            <w:sz w:val="18"/>
                            <w:szCs w:val="18"/>
                          </w:rPr>
                        </w:pPr>
                        <w:r>
                          <w:rPr>
                            <w:rFonts w:ascii="Times New Roman"/>
                            <w:sz w:val="18"/>
                          </w:rPr>
                          <w:t>3,987.91</w:t>
                        </w:r>
                      </w:p>
                    </w:tc>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both"/>
                          <w:rPr>
                            <w:rFonts w:ascii="宋体" w:hAnsi="宋体" w:cs="宋体" w:eastAsia="宋体" w:hint="default"/>
                            <w:sz w:val="18"/>
                            <w:szCs w:val="18"/>
                          </w:rPr>
                        </w:pPr>
                        <w:r>
                          <w:rPr>
                            <w:rFonts w:ascii="宋体" w:hAnsi="宋体" w:cs="宋体" w:eastAsia="宋体" w:hint="default"/>
                            <w:sz w:val="18"/>
                            <w:szCs w:val="18"/>
                          </w:rPr>
                          <w:t>刊登于《中国证券报</w:t>
                        </w:r>
                        <w:r>
                          <w:rPr>
                            <w:rFonts w:ascii="宋体" w:hAnsi="宋体" w:cs="宋体" w:eastAsia="宋体" w:hint="default"/>
                            <w:spacing w:val="-90"/>
                            <w:sz w:val="18"/>
                            <w:szCs w:val="18"/>
                          </w:rPr>
                          <w:t>》、</w:t>
                        </w:r>
                        <w:r>
                          <w:rPr>
                            <w:rFonts w:ascii="宋体" w:hAnsi="宋体" w:cs="宋体" w:eastAsia="宋体" w:hint="default"/>
                            <w:sz w:val="18"/>
                            <w:szCs w:val="18"/>
                          </w:rPr>
                          <w:t>《证券时报</w:t>
                        </w:r>
                        <w:r>
                          <w:rPr>
                            <w:rFonts w:ascii="宋体" w:hAnsi="宋体" w:cs="宋体" w:eastAsia="宋体" w:hint="default"/>
                            <w:spacing w:val="-90"/>
                            <w:sz w:val="18"/>
                            <w:szCs w:val="18"/>
                          </w:rPr>
                          <w:t>》、</w:t>
                        </w:r>
                        <w:r>
                          <w:rPr>
                            <w:rFonts w:ascii="宋体" w:hAnsi="宋体" w:cs="宋体" w:eastAsia="宋体" w:hint="default"/>
                            <w:sz w:val="18"/>
                            <w:szCs w:val="18"/>
                          </w:rPr>
                          <w:t>《上海证券报</w:t>
                        </w:r>
                        <w:r>
                          <w:rPr>
                            <w:rFonts w:ascii="宋体" w:hAnsi="宋体" w:cs="宋体" w:eastAsia="宋体" w:hint="default"/>
                            <w:spacing w:val="-90"/>
                            <w:sz w:val="18"/>
                            <w:szCs w:val="18"/>
                          </w:rPr>
                          <w:t>》</w:t>
                        </w:r>
                        <w:r>
                          <w:rPr>
                            <w:rFonts w:ascii="宋体" w:hAnsi="宋体" w:cs="宋体" w:eastAsia="宋体" w:hint="default"/>
                            <w:sz w:val="18"/>
                            <w:szCs w:val="18"/>
                          </w:rPr>
                        </w:r>
                      </w:p>
                      <w:p>
                        <w:pPr>
                          <w:pStyle w:val="TableParagraph"/>
                          <w:spacing w:line="300" w:lineRule="auto" w:before="75"/>
                          <w:ind w:left="22" w:right="20"/>
                          <w:jc w:val="both"/>
                          <w:rPr>
                            <w:rFonts w:ascii="宋体" w:hAnsi="宋体" w:cs="宋体" w:eastAsia="宋体" w:hint="default"/>
                            <w:sz w:val="18"/>
                            <w:szCs w:val="18"/>
                          </w:rPr>
                        </w:pPr>
                        <w:r>
                          <w:rPr>
                            <w:rFonts w:ascii="宋体" w:hAnsi="宋体" w:cs="宋体" w:eastAsia="宋体" w:hint="default"/>
                            <w:spacing w:val="-5"/>
                            <w:sz w:val="18"/>
                            <w:szCs w:val="18"/>
                          </w:rPr>
                          <w:t>《证券日报》及巨潮资讯网的（</w:t>
                        </w:r>
                        <w:r>
                          <w:rPr>
                            <w:rFonts w:ascii="Times New Roman" w:hAnsi="Times New Roman" w:cs="Times New Roman" w:eastAsia="Times New Roman" w:hint="default"/>
                            <w:spacing w:val="-5"/>
                            <w:sz w:val="18"/>
                            <w:szCs w:val="18"/>
                          </w:rPr>
                          <w:t>2016-038</w:t>
                        </w:r>
                        <w:r>
                          <w:rPr>
                            <w:rFonts w:ascii="宋体" w:hAnsi="宋体" w:cs="宋体" w:eastAsia="宋体" w:hint="default"/>
                            <w:spacing w:val="-5"/>
                            <w:sz w:val="18"/>
                            <w:szCs w:val="18"/>
                          </w:rPr>
                          <w:t>）《关于签订</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收购长春吉星印务有限责任公司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70%</w:t>
                        </w:r>
                        <w:r>
                          <w:rPr>
                            <w:rFonts w:ascii="宋体" w:hAnsi="宋体" w:cs="宋体" w:eastAsia="宋体" w:hint="default"/>
                            <w:sz w:val="18"/>
                            <w:szCs w:val="18"/>
                          </w:rPr>
                          <w:t>股权之股权转让 协议的公告》</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0"/>
          <w:szCs w:val="20"/>
        </w:rPr>
      </w:pPr>
    </w:p>
    <w:p>
      <w:pPr>
        <w:pStyle w:val="BodyText"/>
        <w:spacing w:line="240" w:lineRule="auto" w:before="44"/>
        <w:ind w:right="0"/>
        <w:jc w:val="left"/>
      </w:pPr>
      <w:r>
        <w:rPr/>
        <w:t>公司股东、交易对手方在报告年度经营业绩做出的承诺情况</w:t>
      </w:r>
    </w:p>
    <w:p>
      <w:pPr>
        <w:pStyle w:val="BodyText"/>
        <w:spacing w:line="319"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w:t>
      </w:r>
      <w:r>
        <w:rPr>
          <w:rFonts w:ascii="Times New Roman" w:hAnsi="Times New Roman" w:cs="Times New Roman" w:eastAsia="Times New Roman" w:hint="default"/>
          <w:spacing w:val="-3"/>
        </w:rPr>
        <w:t>1</w:t>
      </w:r>
      <w:r>
        <w:rPr>
          <w:spacing w:val="-3"/>
        </w:rPr>
        <w:t>、</w:t>
      </w:r>
      <w:r>
        <w:rPr>
          <w:rFonts w:ascii="Times New Roman" w:hAnsi="Times New Roman" w:cs="Times New Roman" w:eastAsia="Times New Roman" w:hint="default"/>
          <w:spacing w:val="-3"/>
        </w:rPr>
        <w:t>2016</w:t>
      </w:r>
      <w:r>
        <w:rPr>
          <w:spacing w:val="-3"/>
        </w:rPr>
        <w:t>年</w:t>
      </w:r>
      <w:r>
        <w:rPr>
          <w:rFonts w:ascii="Times New Roman" w:hAnsi="Times New Roman" w:cs="Times New Roman" w:eastAsia="Times New Roman" w:hint="default"/>
          <w:spacing w:val="-3"/>
        </w:rPr>
        <w:t>4</w:t>
      </w:r>
      <w:r>
        <w:rPr>
          <w:spacing w:val="-3"/>
        </w:rPr>
        <w:t>月</w:t>
      </w:r>
      <w:r>
        <w:rPr>
          <w:rFonts w:ascii="Times New Roman" w:hAnsi="Times New Roman" w:cs="Times New Roman" w:eastAsia="Times New Roman" w:hint="default"/>
          <w:spacing w:val="-3"/>
        </w:rPr>
        <w:t>22</w:t>
      </w:r>
      <w:r>
        <w:rPr>
          <w:spacing w:val="-3"/>
        </w:rPr>
        <w:t>日，公司与上海中昂实业有限公司（以下简称</w:t>
      </w:r>
      <w:r>
        <w:rPr>
          <w:rFonts w:ascii="Times New Roman" w:hAnsi="Times New Roman" w:cs="Times New Roman" w:eastAsia="Times New Roman" w:hint="default"/>
          <w:spacing w:val="-3"/>
        </w:rPr>
        <w:t>“</w:t>
      </w:r>
      <w:r>
        <w:rPr>
          <w:spacing w:val="-3"/>
        </w:rPr>
        <w:t>中昂实业</w:t>
      </w:r>
      <w:r>
        <w:rPr>
          <w:rFonts w:ascii="Times New Roman" w:hAnsi="Times New Roman" w:cs="Times New Roman" w:eastAsia="Times New Roman" w:hint="default"/>
          <w:spacing w:val="-3"/>
        </w:rPr>
        <w:t>”</w:t>
      </w:r>
      <w:r>
        <w:rPr>
          <w:spacing w:val="-3"/>
        </w:rPr>
        <w:t>）、上海伟岩投资咨询管理有限公司（以下简称</w:t>
      </w:r>
      <w:r>
        <w:rPr>
          <w:rFonts w:ascii="Times New Roman" w:hAnsi="Times New Roman" w:cs="Times New Roman" w:eastAsia="Times New Roman" w:hint="default"/>
          <w:spacing w:val="-3"/>
        </w:rPr>
        <w:t>“</w:t>
      </w:r>
      <w:r>
        <w:rPr>
          <w:spacing w:val="-3"/>
        </w:rPr>
        <w:t>伟</w:t>
      </w:r>
      <w:r>
        <w:rPr>
          <w:spacing w:val="-55"/>
        </w:rPr>
        <w:t> </w:t>
      </w:r>
      <w:r>
        <w:rPr/>
        <w:t>岩投资</w:t>
      </w:r>
      <w:r>
        <w:rPr>
          <w:rFonts w:ascii="Times New Roman" w:hAnsi="Times New Roman" w:cs="Times New Roman" w:eastAsia="Times New Roman" w:hint="default"/>
        </w:rPr>
        <w:t>”</w:t>
      </w:r>
      <w:r>
        <w:rPr/>
        <w:t>）签署了《关于长春吉星印务有限责任公司的股权转让协议》，就公司以人民币</w:t>
      </w:r>
      <w:r>
        <w:rPr>
          <w:rFonts w:ascii="Times New Roman" w:hAnsi="Times New Roman" w:cs="Times New Roman" w:eastAsia="Times New Roman" w:hint="default"/>
        </w:rPr>
        <w:t>19,200</w:t>
      </w:r>
      <w:r>
        <w:rPr/>
        <w:t>万元收购中昂实业持有长春</w:t>
      </w:r>
    </w:p>
    <w:p>
      <w:pPr>
        <w:spacing w:after="0" w:line="319"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00" w:lineRule="auto" w:before="44"/>
        <w:ind w:right="0"/>
        <w:jc w:val="left"/>
      </w:pPr>
      <w:r>
        <w:rPr>
          <w:spacing w:val="-2"/>
        </w:rPr>
        <w:t>吉星</w:t>
      </w:r>
      <w:r>
        <w:rPr>
          <w:rFonts w:ascii="Times New Roman" w:hAnsi="Times New Roman" w:cs="Times New Roman" w:eastAsia="Times New Roman" w:hint="default"/>
          <w:spacing w:val="-2"/>
        </w:rPr>
        <w:t>60%</w:t>
      </w:r>
      <w:r>
        <w:rPr>
          <w:spacing w:val="-2"/>
        </w:rPr>
        <w:t>股权、以人民币</w:t>
      </w:r>
      <w:r>
        <w:rPr>
          <w:rFonts w:ascii="Times New Roman" w:hAnsi="Times New Roman" w:cs="Times New Roman" w:eastAsia="Times New Roman" w:hint="default"/>
          <w:spacing w:val="-2"/>
        </w:rPr>
        <w:t>3,200</w:t>
      </w:r>
      <w:r>
        <w:rPr>
          <w:spacing w:val="-2"/>
        </w:rPr>
        <w:t>万元收购伟岩投资持有长春吉星</w:t>
      </w:r>
      <w:r>
        <w:rPr>
          <w:rFonts w:ascii="Times New Roman" w:hAnsi="Times New Roman" w:cs="Times New Roman" w:eastAsia="Times New Roman" w:hint="default"/>
          <w:spacing w:val="-2"/>
        </w:rPr>
        <w:t>10%</w:t>
      </w:r>
      <w:r>
        <w:rPr>
          <w:spacing w:val="-2"/>
        </w:rPr>
        <w:t>股权达成一致意见，并做出业绩承诺，约定长春吉星</w:t>
      </w:r>
      <w:r>
        <w:rPr>
          <w:rFonts w:ascii="Times New Roman" w:hAnsi="Times New Roman" w:cs="Times New Roman" w:eastAsia="Times New Roman" w:hint="default"/>
          <w:spacing w:val="-2"/>
        </w:rPr>
        <w:t>2016</w:t>
      </w:r>
      <w:r>
        <w:rPr>
          <w:rFonts w:ascii="Times New Roman" w:hAnsi="Times New Roman" w:cs="Times New Roman" w:eastAsia="Times New Roman" w:hint="default"/>
          <w:spacing w:val="8"/>
        </w:rPr>
        <w:t> </w:t>
      </w:r>
      <w:r>
        <w:rPr>
          <w:rFonts w:ascii="Times New Roman" w:hAnsi="Times New Roman" w:cs="Times New Roman" w:eastAsia="Times New Roman" w:hint="default"/>
          <w:spacing w:val="8"/>
        </w:rPr>
      </w:r>
      <w:r>
        <w:rPr/>
        <w:t>年至</w:t>
      </w:r>
      <w:r>
        <w:rPr>
          <w:rFonts w:ascii="Times New Roman" w:hAnsi="Times New Roman" w:cs="Times New Roman" w:eastAsia="Times New Roman" w:hint="default"/>
        </w:rPr>
        <w:t>2018</w:t>
      </w:r>
      <w:r>
        <w:rPr/>
        <w:t>年的净利润</w:t>
      </w:r>
      <w:r>
        <w:rPr>
          <w:rFonts w:ascii="Times New Roman" w:hAnsi="Times New Roman" w:cs="Times New Roman" w:eastAsia="Times New Roman" w:hint="default"/>
        </w:rPr>
        <w:t>(</w:t>
      </w:r>
      <w:r>
        <w:rPr/>
        <w:t>扣除非经常性损益后</w:t>
      </w:r>
      <w:r>
        <w:rPr>
          <w:rFonts w:ascii="Times New Roman" w:hAnsi="Times New Roman" w:cs="Times New Roman" w:eastAsia="Times New Roman" w:hint="default"/>
        </w:rPr>
        <w:t>)</w:t>
      </w:r>
      <w:r>
        <w:rPr/>
        <w:t>不低于</w:t>
      </w:r>
      <w:r>
        <w:rPr>
          <w:rFonts w:ascii="Times New Roman" w:hAnsi="Times New Roman" w:cs="Times New Roman" w:eastAsia="Times New Roman" w:hint="default"/>
        </w:rPr>
        <w:t>15%</w:t>
      </w:r>
      <w:r>
        <w:rPr/>
        <w:t>：</w:t>
      </w:r>
      <w:r>
        <w:rPr>
          <w:rFonts w:ascii="Times New Roman" w:hAnsi="Times New Roman" w:cs="Times New Roman" w:eastAsia="Times New Roman" w:hint="default"/>
        </w:rPr>
        <w:t>2016</w:t>
      </w:r>
      <w:r>
        <w:rPr/>
        <w:t>年净利润额目标业绩</w:t>
      </w:r>
      <w:r>
        <w:rPr>
          <w:rFonts w:ascii="Times New Roman" w:hAnsi="Times New Roman" w:cs="Times New Roman" w:eastAsia="Times New Roman" w:hint="default"/>
        </w:rPr>
        <w:t>=4,000</w:t>
      </w:r>
      <w:r>
        <w:rPr/>
        <w:t>万元；</w:t>
      </w:r>
      <w:r>
        <w:rPr>
          <w:rFonts w:ascii="Times New Roman" w:hAnsi="Times New Roman" w:cs="Times New Roman" w:eastAsia="Times New Roman" w:hint="default"/>
        </w:rPr>
        <w:t>2017</w:t>
      </w:r>
      <w:r>
        <w:rPr/>
        <w:t>年净利润额目标业绩</w:t>
      </w:r>
    </w:p>
    <w:p>
      <w:pPr>
        <w:pStyle w:val="BodyText"/>
        <w:spacing w:line="302" w:lineRule="auto" w:before="13"/>
        <w:ind w:right="0"/>
        <w:jc w:val="left"/>
      </w:pPr>
      <w:r>
        <w:rPr>
          <w:rFonts w:ascii="Times New Roman" w:hAnsi="Times New Roman" w:cs="Times New Roman" w:eastAsia="Times New Roman" w:hint="default"/>
          <w:spacing w:val="-1"/>
        </w:rPr>
        <w:t>=4,000+4,000×15%=4,600</w:t>
      </w:r>
      <w:r>
        <w:rPr>
          <w:spacing w:val="-1"/>
        </w:rPr>
        <w:t>万元；</w:t>
      </w:r>
      <w:r>
        <w:rPr>
          <w:rFonts w:ascii="Times New Roman" w:hAnsi="Times New Roman" w:cs="Times New Roman" w:eastAsia="Times New Roman" w:hint="default"/>
          <w:spacing w:val="-1"/>
        </w:rPr>
        <w:t>2018</w:t>
      </w:r>
      <w:r>
        <w:rPr>
          <w:spacing w:val="-1"/>
        </w:rPr>
        <w:t>年净利润额目标业绩</w:t>
      </w:r>
      <w:r>
        <w:rPr>
          <w:rFonts w:ascii="Times New Roman" w:hAnsi="Times New Roman" w:cs="Times New Roman" w:eastAsia="Times New Roman" w:hint="default"/>
          <w:spacing w:val="-1"/>
        </w:rPr>
        <w:t>=4,600+4,600×15%=5,290</w:t>
      </w:r>
      <w:r>
        <w:rPr>
          <w:spacing w:val="-1"/>
        </w:rPr>
        <w:t>万元。公司与中昂实业约定，长春吉星业</w:t>
      </w:r>
      <w:r>
        <w:rPr>
          <w:spacing w:val="-48"/>
        </w:rPr>
        <w:t> </w:t>
      </w:r>
      <w:r>
        <w:rPr>
          <w:spacing w:val="-48"/>
        </w:rPr>
      </w:r>
      <w:r>
        <w:rPr/>
        <w:t>绩累计完成率大于累计承诺业绩</w:t>
      </w:r>
      <w:r>
        <w:rPr>
          <w:rFonts w:ascii="Times New Roman" w:hAnsi="Times New Roman" w:cs="Times New Roman" w:eastAsia="Times New Roman" w:hint="default"/>
        </w:rPr>
        <w:t>90%</w:t>
      </w:r>
      <w:r>
        <w:rPr/>
        <w:t>且小于或等于</w:t>
      </w:r>
      <w:r>
        <w:rPr>
          <w:rFonts w:ascii="Times New Roman" w:hAnsi="Times New Roman" w:cs="Times New Roman" w:eastAsia="Times New Roman" w:hint="default"/>
        </w:rPr>
        <w:t>110%</w:t>
      </w:r>
      <w:r>
        <w:rPr/>
        <w:t>，公司将该年剩余比例股权转让款项支付给中昂实业。</w:t>
      </w:r>
    </w:p>
    <w:p>
      <w:pPr>
        <w:pStyle w:val="BodyText"/>
        <w:spacing w:line="300" w:lineRule="auto" w:before="50"/>
        <w:ind w:right="0"/>
        <w:jc w:val="left"/>
      </w:pPr>
      <w:r>
        <w:rPr>
          <w:rFonts w:ascii="Times New Roman" w:hAnsi="Times New Roman" w:cs="Times New Roman" w:eastAsia="Times New Roman" w:hint="default"/>
          <w:spacing w:val="-2"/>
        </w:rPr>
        <w:t>2</w:t>
      </w:r>
      <w:r>
        <w:rPr>
          <w:spacing w:val="-2"/>
        </w:rPr>
        <w:t>、</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3</w:t>
      </w:r>
      <w:r>
        <w:rPr>
          <w:spacing w:val="-2"/>
        </w:rPr>
        <w:t>月</w:t>
      </w:r>
      <w:r>
        <w:rPr>
          <w:rFonts w:ascii="Times New Roman" w:hAnsi="Times New Roman" w:cs="Times New Roman" w:eastAsia="Times New Roman" w:hint="default"/>
          <w:spacing w:val="-2"/>
        </w:rPr>
        <w:t>11</w:t>
      </w:r>
      <w:r>
        <w:rPr>
          <w:spacing w:val="-2"/>
        </w:rPr>
        <w:t>日，公司召开的第五届董事会</w:t>
      </w:r>
      <w:r>
        <w:rPr>
          <w:rFonts w:ascii="Times New Roman" w:hAnsi="Times New Roman" w:cs="Times New Roman" w:eastAsia="Times New Roman" w:hint="default"/>
          <w:spacing w:val="-2"/>
        </w:rPr>
        <w:t>2018</w:t>
      </w:r>
      <w:r>
        <w:rPr>
          <w:spacing w:val="-2"/>
        </w:rPr>
        <w:t>年第三次会议审议通过了《关于签署长春吉星印务有限责任公司股权转让</w:t>
      </w:r>
      <w:r>
        <w:rPr>
          <w:spacing w:val="-55"/>
        </w:rPr>
        <w:t> </w:t>
      </w:r>
      <w:r>
        <w:rPr>
          <w:spacing w:val="-55"/>
        </w:rPr>
      </w:r>
      <w:r>
        <w:rPr>
          <w:spacing w:val="-2"/>
        </w:rPr>
        <w:t>补充协议的议案》，同意公司与中昂实业签署《关于长春吉星印务有限责任公司股权转让的补充协议》，同意长春吉星</w:t>
      </w:r>
      <w:r>
        <w:rPr>
          <w:rFonts w:ascii="Times New Roman" w:hAnsi="Times New Roman" w:cs="Times New Roman" w:eastAsia="Times New Roman" w:hint="default"/>
          <w:spacing w:val="-2"/>
        </w:rPr>
        <w:t>2017</w:t>
      </w:r>
      <w:r>
        <w:rPr>
          <w:rFonts w:ascii="Times New Roman" w:hAnsi="Times New Roman" w:cs="Times New Roman" w:eastAsia="Times New Roman" w:hint="default"/>
          <w:spacing w:val="-15"/>
        </w:rPr>
        <w:t> </w:t>
      </w:r>
      <w:r>
        <w:rPr>
          <w:spacing w:val="-1"/>
        </w:rPr>
        <w:t>年实现的业绩不作为考核的年份，业绩承诺期限改为</w:t>
      </w:r>
      <w:r>
        <w:rPr>
          <w:rFonts w:ascii="Times New Roman" w:hAnsi="Times New Roman" w:cs="Times New Roman" w:eastAsia="Times New Roman" w:hint="default"/>
          <w:spacing w:val="-1"/>
        </w:rPr>
        <w:t>2016</w:t>
      </w:r>
      <w:r>
        <w:rPr>
          <w:spacing w:val="-1"/>
        </w:rPr>
        <w:t>年、</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2019</w:t>
      </w:r>
      <w:r>
        <w:rPr>
          <w:spacing w:val="-1"/>
        </w:rPr>
        <w:t>年；即：</w:t>
      </w:r>
      <w:r>
        <w:rPr>
          <w:rFonts w:ascii="Times New Roman" w:hAnsi="Times New Roman" w:cs="Times New Roman" w:eastAsia="Times New Roman" w:hint="default"/>
          <w:spacing w:val="-1"/>
        </w:rPr>
        <w:t>2016</w:t>
      </w:r>
      <w:r>
        <w:rPr>
          <w:spacing w:val="-1"/>
        </w:rPr>
        <w:t>年净利润额目标业绩为</w:t>
      </w:r>
      <w:r>
        <w:rPr>
          <w:rFonts w:ascii="Times New Roman" w:hAnsi="Times New Roman" w:cs="Times New Roman" w:eastAsia="Times New Roman" w:hint="default"/>
          <w:spacing w:val="-1"/>
        </w:rPr>
        <w:t>4,000</w:t>
      </w:r>
      <w:r>
        <w:rPr>
          <w:spacing w:val="-1"/>
        </w:rPr>
        <w:t>万元；</w:t>
      </w:r>
      <w:r>
        <w:rPr>
          <w:spacing w:val="-67"/>
        </w:rPr>
        <w:t> </w:t>
      </w:r>
      <w:r>
        <w:rPr>
          <w:rFonts w:ascii="Times New Roman" w:hAnsi="Times New Roman" w:cs="Times New Roman" w:eastAsia="Times New Roman" w:hint="default"/>
        </w:rPr>
        <w:t>2018</w:t>
      </w:r>
      <w:r>
        <w:rPr/>
        <w:t>年净利润额目标业绩为</w:t>
      </w:r>
      <w:r>
        <w:rPr>
          <w:rFonts w:ascii="Times New Roman" w:hAnsi="Times New Roman" w:cs="Times New Roman" w:eastAsia="Times New Roman" w:hint="default"/>
        </w:rPr>
        <w:t>4,600</w:t>
      </w:r>
      <w:r>
        <w:rPr/>
        <w:t>万元；</w:t>
      </w:r>
      <w:r>
        <w:rPr>
          <w:rFonts w:ascii="Times New Roman" w:hAnsi="Times New Roman" w:cs="Times New Roman" w:eastAsia="Times New Roman" w:hint="default"/>
        </w:rPr>
        <w:t>2019</w:t>
      </w:r>
      <w:r>
        <w:rPr/>
        <w:t>年净利润额目标业绩为</w:t>
      </w:r>
      <w:r>
        <w:rPr>
          <w:rFonts w:ascii="Times New Roman" w:hAnsi="Times New Roman" w:cs="Times New Roman" w:eastAsia="Times New Roman" w:hint="default"/>
        </w:rPr>
        <w:t>5,290</w:t>
      </w:r>
      <w:r>
        <w:rPr/>
        <w:t>万元。</w:t>
      </w:r>
    </w:p>
    <w:p>
      <w:pPr>
        <w:spacing w:line="240" w:lineRule="auto" w:before="8"/>
        <w:rPr>
          <w:rFonts w:ascii="宋体" w:hAnsi="宋体" w:cs="宋体" w:eastAsia="宋体" w:hint="default"/>
          <w:sz w:val="27"/>
          <w:szCs w:val="27"/>
        </w:rPr>
      </w:pPr>
    </w:p>
    <w:p>
      <w:pPr>
        <w:spacing w:after="0" w:line="240" w:lineRule="auto"/>
        <w:rPr>
          <w:rFonts w:ascii="宋体" w:hAnsi="宋体" w:cs="宋体" w:eastAsia="宋体" w:hint="default"/>
          <w:sz w:val="27"/>
          <w:szCs w:val="27"/>
        </w:rPr>
        <w:sectPr>
          <w:pgSz w:w="11910" w:h="16840"/>
          <w:pgMar w:header="747" w:footer="979" w:top="1060" w:bottom="1160" w:left="980" w:right="0"/>
        </w:sectPr>
      </w:pPr>
    </w:p>
    <w:p>
      <w:pPr>
        <w:pStyle w:val="BodyText"/>
        <w:spacing w:line="357" w:lineRule="auto" w:before="44"/>
        <w:ind w:left="514" w:right="0" w:hanging="360"/>
        <w:jc w:val="left"/>
      </w:pPr>
      <w:r>
        <w:rPr/>
        <w:t>业绩承诺的完成情况及其对商誉减值测试的影响 </w:t>
      </w:r>
      <w:r>
        <w:rPr>
          <w:spacing w:val="-1"/>
        </w:rPr>
        <w:t>截至</w:t>
      </w:r>
      <w:r>
        <w:rPr>
          <w:rFonts w:ascii="Times New Roman" w:hAnsi="Times New Roman" w:cs="Times New Roman" w:eastAsia="Times New Roman" w:hint="default"/>
          <w:spacing w:val="-1"/>
        </w:rPr>
        <w:t>2018</w:t>
      </w:r>
      <w:r>
        <w:rPr>
          <w:spacing w:val="-1"/>
        </w:rPr>
        <w:t>年末，长春吉星累计实现净利润</w:t>
      </w:r>
      <w:r>
        <w:rPr>
          <w:rFonts w:ascii="Times New Roman" w:hAnsi="Times New Roman" w:cs="Times New Roman" w:eastAsia="Times New Roman" w:hint="default"/>
          <w:spacing w:val="-1"/>
        </w:rPr>
        <w:t>79,857,938.36</w:t>
      </w:r>
      <w:r>
        <w:rPr>
          <w:spacing w:val="-1"/>
        </w:rPr>
        <w:t>元，累计实现情况如下：</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ind w:left="153" w:right="0"/>
        <w:jc w:val="left"/>
      </w:pPr>
      <w:r>
        <w:rPr/>
        <w:t>单位：人民币元</w:t>
      </w:r>
    </w:p>
    <w:p>
      <w:pPr>
        <w:spacing w:after="0" w:line="240" w:lineRule="auto"/>
        <w:jc w:val="left"/>
        <w:sectPr>
          <w:type w:val="continuous"/>
          <w:pgSz w:w="11910" w:h="16840"/>
          <w:pgMar w:top="1060" w:bottom="1160" w:left="980" w:right="0"/>
          <w:cols w:num="2" w:equalWidth="0">
            <w:col w:w="6770" w:space="1610"/>
            <w:col w:w="2550"/>
          </w:cols>
        </w:sectPr>
      </w:pPr>
    </w:p>
    <w:p>
      <w:pPr>
        <w:spacing w:line="240" w:lineRule="auto" w:before="0"/>
        <w:rPr>
          <w:rFonts w:ascii="宋体" w:hAnsi="宋体" w:cs="宋体" w:eastAsia="宋体" w:hint="default"/>
          <w:sz w:val="5"/>
          <w:szCs w:val="5"/>
        </w:rPr>
      </w:pPr>
    </w:p>
    <w:tbl>
      <w:tblPr>
        <w:tblW w:w="0" w:type="auto"/>
        <w:jc w:val="left"/>
        <w:tblInd w:w="146" w:type="dxa"/>
        <w:tblLayout w:type="fixed"/>
        <w:tblCellMar>
          <w:top w:w="0" w:type="dxa"/>
          <w:left w:w="0" w:type="dxa"/>
          <w:bottom w:w="0" w:type="dxa"/>
          <w:right w:w="0" w:type="dxa"/>
        </w:tblCellMar>
        <w:tblLook w:val="01E0"/>
      </w:tblPr>
      <w:tblGrid>
        <w:gridCol w:w="2978"/>
        <w:gridCol w:w="2410"/>
        <w:gridCol w:w="2267"/>
        <w:gridCol w:w="1986"/>
      </w:tblGrid>
      <w:tr>
        <w:trPr>
          <w:trHeight w:val="467" w:hRule="exact"/>
        </w:trPr>
        <w:tc>
          <w:tcPr>
            <w:tcW w:w="297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41"/>
              <w:ind w:left="73" w:right="0"/>
              <w:jc w:val="center"/>
              <w:rPr>
                <w:rFonts w:ascii="宋体" w:hAnsi="宋体" w:cs="宋体" w:eastAsia="宋体" w:hint="default"/>
                <w:sz w:val="18"/>
                <w:szCs w:val="18"/>
              </w:rPr>
            </w:pPr>
            <w:r>
              <w:rPr>
                <w:rFonts w:ascii="宋体" w:hAnsi="宋体" w:cs="宋体" w:eastAsia="宋体" w:hint="default"/>
                <w:sz w:val="18"/>
                <w:szCs w:val="18"/>
              </w:rPr>
              <w:t>子公司全称</w:t>
            </w:r>
          </w:p>
        </w:tc>
        <w:tc>
          <w:tcPr>
            <w:tcW w:w="241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41"/>
              <w:ind w:left="117" w:right="0"/>
              <w:jc w:val="left"/>
              <w:rPr>
                <w:rFonts w:ascii="宋体" w:hAnsi="宋体" w:cs="宋体" w:eastAsia="宋体" w:hint="default"/>
                <w:sz w:val="18"/>
                <w:szCs w:val="18"/>
              </w:rPr>
            </w:pPr>
            <w:r>
              <w:rPr>
                <w:rFonts w:ascii="宋体" w:hAnsi="宋体" w:cs="宋体" w:eastAsia="宋体" w:hint="default"/>
                <w:sz w:val="18"/>
                <w:szCs w:val="18"/>
              </w:rPr>
              <w:t>截至</w:t>
            </w:r>
            <w:r>
              <w:rPr>
                <w:rFonts w:ascii="Times New Roman" w:hAnsi="Times New Roman" w:cs="Times New Roman" w:eastAsia="Times New Roman" w:hint="default"/>
                <w:sz w:val="18"/>
                <w:szCs w:val="18"/>
              </w:rPr>
              <w:t>2018</w:t>
            </w:r>
            <w:r>
              <w:rPr>
                <w:rFonts w:ascii="宋体" w:hAnsi="宋体" w:cs="宋体" w:eastAsia="宋体" w:hint="default"/>
                <w:sz w:val="18"/>
                <w:szCs w:val="18"/>
              </w:rPr>
              <w:t>年累计承诺净利润</w:t>
            </w:r>
          </w:p>
        </w:tc>
        <w:tc>
          <w:tcPr>
            <w:tcW w:w="226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41"/>
              <w:ind w:right="45"/>
              <w:jc w:val="right"/>
              <w:rPr>
                <w:rFonts w:ascii="宋体" w:hAnsi="宋体" w:cs="宋体" w:eastAsia="宋体" w:hint="default"/>
                <w:sz w:val="18"/>
                <w:szCs w:val="18"/>
              </w:rPr>
            </w:pPr>
            <w:r>
              <w:rPr>
                <w:rFonts w:ascii="宋体" w:hAnsi="宋体" w:cs="宋体" w:eastAsia="宋体" w:hint="default"/>
                <w:sz w:val="18"/>
                <w:szCs w:val="18"/>
              </w:rPr>
              <w:t>截至</w:t>
            </w:r>
            <w:r>
              <w:rPr>
                <w:rFonts w:ascii="Times New Roman" w:hAnsi="Times New Roman" w:cs="Times New Roman" w:eastAsia="Times New Roman" w:hint="default"/>
                <w:sz w:val="18"/>
                <w:szCs w:val="18"/>
              </w:rPr>
              <w:t>2018</w:t>
            </w:r>
            <w:r>
              <w:rPr>
                <w:rFonts w:ascii="宋体" w:hAnsi="宋体" w:cs="宋体" w:eastAsia="宋体" w:hint="default"/>
                <w:sz w:val="18"/>
                <w:szCs w:val="18"/>
              </w:rPr>
              <w:t>年累计实现净利润</w:t>
            </w:r>
          </w:p>
        </w:tc>
        <w:tc>
          <w:tcPr>
            <w:tcW w:w="198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41"/>
              <w:ind w:left="1" w:right="0"/>
              <w:jc w:val="center"/>
              <w:rPr>
                <w:rFonts w:ascii="宋体" w:hAnsi="宋体" w:cs="宋体" w:eastAsia="宋体" w:hint="default"/>
                <w:sz w:val="18"/>
                <w:szCs w:val="18"/>
              </w:rPr>
            </w:pPr>
            <w:r>
              <w:rPr>
                <w:rFonts w:ascii="宋体" w:hAnsi="宋体" w:cs="宋体" w:eastAsia="宋体" w:hint="default"/>
                <w:sz w:val="18"/>
                <w:szCs w:val="18"/>
              </w:rPr>
              <w:t>累计完成率</w:t>
            </w:r>
          </w:p>
        </w:tc>
      </w:tr>
      <w:tr>
        <w:trPr>
          <w:trHeight w:val="348" w:hRule="exact"/>
        </w:trPr>
        <w:tc>
          <w:tcPr>
            <w:tcW w:w="29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长春吉星印务有限责任公司</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358" w:right="0"/>
              <w:jc w:val="left"/>
              <w:rPr>
                <w:rFonts w:ascii="Times New Roman" w:hAnsi="Times New Roman" w:cs="Times New Roman" w:eastAsia="Times New Roman" w:hint="default"/>
                <w:sz w:val="18"/>
                <w:szCs w:val="18"/>
              </w:rPr>
            </w:pPr>
            <w:r>
              <w:rPr>
                <w:rFonts w:ascii="Times New Roman"/>
                <w:sz w:val="18"/>
              </w:rPr>
              <w:t>86,000,000.00</w:t>
            </w:r>
          </w:p>
        </w:tc>
        <w:tc>
          <w:tcPr>
            <w:tcW w:w="22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79,857,938.36</w:t>
            </w:r>
          </w:p>
        </w:tc>
        <w:tc>
          <w:tcPr>
            <w:tcW w:w="19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center"/>
              <w:rPr>
                <w:rFonts w:ascii="Times New Roman" w:hAnsi="Times New Roman" w:cs="Times New Roman" w:eastAsia="Times New Roman" w:hint="default"/>
                <w:sz w:val="18"/>
                <w:szCs w:val="18"/>
              </w:rPr>
            </w:pPr>
            <w:r>
              <w:rPr>
                <w:rFonts w:ascii="Times New Roman"/>
                <w:sz w:val="18"/>
              </w:rPr>
              <w:t>92.86%</w:t>
            </w:r>
          </w:p>
        </w:tc>
      </w:tr>
    </w:tbl>
    <w:p>
      <w:pPr>
        <w:pStyle w:val="BodyText"/>
        <w:spacing w:line="300" w:lineRule="auto" w:before="51"/>
        <w:ind w:right="1182" w:firstLine="360"/>
        <w:jc w:val="left"/>
      </w:pPr>
      <w:r>
        <w:rPr/>
        <w:t>公司与中昂实业约定，长春吉星业绩累计完成率大于累计承诺业绩</w:t>
      </w:r>
      <w:r>
        <w:rPr>
          <w:rFonts w:ascii="Times New Roman" w:hAnsi="Times New Roman" w:cs="Times New Roman" w:eastAsia="Times New Roman" w:hint="default"/>
        </w:rPr>
        <w:t>90%</w:t>
      </w:r>
      <w:r>
        <w:rPr/>
        <w:t>且小于或等于</w:t>
      </w:r>
      <w:r>
        <w:rPr>
          <w:rFonts w:ascii="Times New Roman" w:hAnsi="Times New Roman" w:cs="Times New Roman" w:eastAsia="Times New Roman" w:hint="default"/>
        </w:rPr>
        <w:t>110%</w:t>
      </w:r>
      <w:r>
        <w:rPr/>
        <w:t>，公司将该年剩余比例股权 转让款项支付给中昂实业，即在</w:t>
      </w:r>
      <w:r>
        <w:rPr>
          <w:rFonts w:ascii="Times New Roman" w:hAnsi="Times New Roman" w:cs="Times New Roman" w:eastAsia="Times New Roman" w:hint="default"/>
        </w:rPr>
        <w:t>2018</w:t>
      </w:r>
      <w:r>
        <w:rPr/>
        <w:t>年度，长春吉星完成了业绩承诺。</w:t>
      </w:r>
    </w:p>
    <w:p>
      <w:pPr>
        <w:pStyle w:val="BodyText"/>
        <w:spacing w:line="240" w:lineRule="auto" w:before="53"/>
        <w:ind w:left="514" w:right="0"/>
        <w:jc w:val="left"/>
      </w:pPr>
      <w:r>
        <w:rPr/>
        <w:t>商誉减值测试详见本报告第十一节财务报告之七、</w:t>
      </w:r>
      <w:r>
        <w:rPr>
          <w:rFonts w:ascii="Times New Roman" w:hAnsi="Times New Roman" w:cs="Times New Roman" w:eastAsia="Times New Roman" w:hint="default"/>
        </w:rPr>
        <w:t>12“</w:t>
      </w:r>
      <w:r>
        <w:rPr/>
        <w:t>商誉</w:t>
      </w:r>
      <w:r>
        <w:rPr>
          <w:rFonts w:ascii="Times New Roman" w:hAnsi="Times New Roman" w:cs="Times New Roman" w:eastAsia="Times New Roman" w:hint="default"/>
        </w:rPr>
        <w:t>”</w:t>
      </w:r>
      <w:r>
        <w:rPr/>
        <w:t>，经商誉减值测试，该资产组相关的商誉未减值。</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14"/>
          <w:szCs w:val="14"/>
        </w:rPr>
      </w:pPr>
    </w:p>
    <w:p>
      <w:pPr>
        <w:pStyle w:val="Heading2"/>
        <w:spacing w:line="240" w:lineRule="auto"/>
        <w:ind w:right="0"/>
        <w:jc w:val="left"/>
        <w:rPr>
          <w:b w:val="0"/>
          <w:bCs w:val="0"/>
        </w:rPr>
      </w:pPr>
      <w:bookmarkStart w:name="四、控股股东及其关联方对上市公司的非经营性占用资金情况" w:id="68"/>
      <w:bookmarkEnd w:id="68"/>
      <w:r>
        <w:rPr>
          <w:b w:val="0"/>
          <w:bCs w:val="0"/>
        </w:rPr>
      </w:r>
      <w:r>
        <w:rPr/>
        <w:t>四、控股股东及其关联方对上市公司的非经营性占用资金情况</w:t>
      </w:r>
      <w:r>
        <w:rPr>
          <w:b w:val="0"/>
          <w:bCs w:val="0"/>
        </w:rPr>
      </w:r>
    </w:p>
    <w:p>
      <w:pPr>
        <w:spacing w:line="240" w:lineRule="auto" w:before="8"/>
        <w:rPr>
          <w:rFonts w:ascii="宋体" w:hAnsi="宋体" w:cs="宋体" w:eastAsia="宋体" w:hint="default"/>
          <w:b/>
          <w:bCs/>
          <w:sz w:val="26"/>
          <w:szCs w:val="26"/>
        </w:rPr>
      </w:pPr>
    </w:p>
    <w:p>
      <w:pPr>
        <w:pStyle w:val="BodyText"/>
        <w:spacing w:line="340" w:lineRule="auto"/>
        <w:ind w:right="49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公司报告期不存在控股股东及其关联方对上市公司的非经营性占用资金。</w:t>
      </w:r>
    </w:p>
    <w:p>
      <w:pPr>
        <w:spacing w:line="240" w:lineRule="auto" w:before="3"/>
        <w:rPr>
          <w:rFonts w:ascii="宋体" w:hAnsi="宋体" w:cs="宋体" w:eastAsia="宋体" w:hint="default"/>
          <w:sz w:val="19"/>
          <w:szCs w:val="19"/>
        </w:rPr>
      </w:pPr>
    </w:p>
    <w:p>
      <w:pPr>
        <w:pStyle w:val="Heading2"/>
        <w:spacing w:line="240" w:lineRule="auto"/>
        <w:ind w:right="0"/>
        <w:jc w:val="left"/>
        <w:rPr>
          <w:b w:val="0"/>
          <w:bCs w:val="0"/>
        </w:rPr>
      </w:pPr>
      <w:bookmarkStart w:name="五、董事会、监事会、独立董事（如有）对会计师事务所本报告期“非标准审计报告”的说" w:id="69"/>
      <w:bookmarkEnd w:id="69"/>
      <w:r>
        <w:rPr>
          <w:b w:val="0"/>
          <w:bCs w:val="0"/>
        </w:rPr>
      </w:r>
      <w:r>
        <w:rPr/>
        <w:t>五、董事会、监事会、独立董事（如有）对会计师事务所本报告期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的说明</w:t>
      </w:r>
      <w:r>
        <w:rPr>
          <w:b w:val="0"/>
          <w:bCs w:val="0"/>
        </w:rPr>
      </w:r>
    </w:p>
    <w:p>
      <w:pPr>
        <w:spacing w:line="240" w:lineRule="auto" w:before="4"/>
        <w:rPr>
          <w:rFonts w:ascii="宋体" w:hAnsi="宋体" w:cs="宋体" w:eastAsia="宋体" w:hint="default"/>
          <w:b/>
          <w:bCs/>
          <w:sz w:val="25"/>
          <w:szCs w:val="25"/>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六、与上年度财务报告相比，会计政策、会计估计和核算方法发生变化的情况说明" w:id="70"/>
      <w:bookmarkEnd w:id="70"/>
      <w:r>
        <w:rPr>
          <w:b w:val="0"/>
          <w:bCs w:val="0"/>
        </w:rPr>
      </w:r>
      <w:r>
        <w:rPr/>
        <w:t>六、与上年度财务报告相比，会计政策、会计估计和核算方法发生变化的情况说明</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02" w:lineRule="auto" w:before="101"/>
        <w:ind w:right="1220" w:firstLine="360"/>
        <w:jc w:val="left"/>
      </w:pPr>
      <w:r>
        <w:rPr/>
        <w:t>公司执行财政部</w:t>
      </w:r>
      <w:r>
        <w:rPr>
          <w:spacing w:val="-44"/>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r>
        <w:rPr>
          <w:spacing w:val="-43"/>
        </w:rPr>
        <w:t> </w:t>
      </w:r>
      <w:r>
        <w:rPr>
          <w:rFonts w:ascii="Times New Roman" w:hAnsi="Times New Roman" w:cs="Times New Roman" w:eastAsia="Times New Roman" w:hint="default"/>
        </w:rPr>
        <w:t>6</w:t>
      </w:r>
      <w:r>
        <w:rPr>
          <w:rFonts w:ascii="Times New Roman" w:hAnsi="Times New Roman" w:cs="Times New Roman" w:eastAsia="Times New Roman" w:hint="default"/>
          <w:spacing w:val="1"/>
        </w:rPr>
        <w:t> </w:t>
      </w:r>
      <w:r>
        <w:rPr/>
        <w:t>月</w:t>
      </w:r>
      <w:r>
        <w:rPr>
          <w:spacing w:val="-43"/>
        </w:rPr>
        <w:t> </w:t>
      </w:r>
      <w:r>
        <w:rPr>
          <w:rFonts w:ascii="Times New Roman" w:hAnsi="Times New Roman" w:cs="Times New Roman" w:eastAsia="Times New Roman" w:hint="default"/>
        </w:rPr>
        <w:t>15</w:t>
      </w:r>
      <w:r>
        <w:rPr>
          <w:rFonts w:ascii="Times New Roman" w:hAnsi="Times New Roman" w:cs="Times New Roman" w:eastAsia="Times New Roman" w:hint="default"/>
          <w:spacing w:val="1"/>
        </w:rPr>
        <w:t> </w:t>
      </w:r>
      <w:r>
        <w:rPr/>
        <w:t>日发布的《关于修订印发</w:t>
      </w:r>
      <w:r>
        <w:rPr>
          <w:spacing w:val="-44"/>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spacing w:val="-4"/>
        </w:rPr>
        <w:t>年度一般企业财务报表格式的通知》（财会〔</w:t>
      </w:r>
      <w:r>
        <w:rPr>
          <w:rFonts w:ascii="Times New Roman" w:hAnsi="Times New Roman" w:cs="Times New Roman" w:eastAsia="Times New Roman" w:hint="default"/>
          <w:spacing w:val="-4"/>
        </w:rPr>
        <w:t>2018</w:t>
      </w:r>
      <w:r>
        <w:rPr>
          <w:spacing w:val="-4"/>
        </w:rPr>
        <w:t>〕</w:t>
      </w:r>
      <w:r>
        <w:rPr>
          <w:rFonts w:ascii="Times New Roman" w:hAnsi="Times New Roman" w:cs="Times New Roman" w:eastAsia="Times New Roman" w:hint="default"/>
          <w:spacing w:val="-4"/>
        </w:rPr>
        <w:t>15</w:t>
      </w:r>
      <w:r>
        <w:rPr>
          <w:rFonts w:ascii="Times New Roman" w:hAnsi="Times New Roman" w:cs="Times New Roman" w:eastAsia="Times New Roman" w:hint="default"/>
        </w:rPr>
        <w:t> </w:t>
      </w:r>
      <w:r>
        <w:rPr/>
        <w:t>号）的相关规定执行。</w:t>
      </w:r>
    </w:p>
    <w:p>
      <w:pPr>
        <w:pStyle w:val="BodyText"/>
        <w:spacing w:line="302" w:lineRule="auto" w:before="68"/>
        <w:ind w:right="1032" w:firstLine="360"/>
        <w:jc w:val="left"/>
      </w:pPr>
      <w:r>
        <w:rPr/>
        <w:t>其他未变更部分，仍执行财政部颁布的《企业会计准则</w:t>
      </w:r>
      <w:r>
        <w:rPr>
          <w:rFonts w:ascii="Times New Roman" w:hAnsi="Times New Roman" w:cs="Times New Roman" w:eastAsia="Times New Roman" w:hint="default"/>
        </w:rPr>
        <w:t>——</w:t>
      </w:r>
      <w:r>
        <w:rPr/>
        <w:t>基本准则》和各项具体会计准则、企业会计准则应用指南、 企业会计准则解释公告以及其他相关规定。</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12"/>
          <w:szCs w:val="12"/>
        </w:rPr>
      </w:pPr>
    </w:p>
    <w:p>
      <w:pPr>
        <w:pStyle w:val="Heading2"/>
        <w:spacing w:line="240" w:lineRule="auto"/>
        <w:ind w:right="0"/>
        <w:jc w:val="left"/>
        <w:rPr>
          <w:b w:val="0"/>
          <w:bCs w:val="0"/>
        </w:rPr>
      </w:pPr>
      <w:bookmarkStart w:name="七、报告期内发生重大会计差错更正需追溯重述的情况说明" w:id="71"/>
      <w:bookmarkEnd w:id="71"/>
      <w:r>
        <w:rPr>
          <w:b w:val="0"/>
          <w:bCs w:val="0"/>
        </w:rPr>
      </w:r>
      <w:r>
        <w:rPr/>
        <w:t>七、报告期内发生重大会计差错更正需追溯重述的情况说明</w:t>
      </w:r>
      <w:r>
        <w:rPr>
          <w:b w:val="0"/>
          <w:bCs w:val="0"/>
        </w:rPr>
      </w:r>
    </w:p>
    <w:p>
      <w:pPr>
        <w:spacing w:line="240" w:lineRule="auto" w:before="8"/>
        <w:rPr>
          <w:rFonts w:ascii="宋体" w:hAnsi="宋体" w:cs="宋体" w:eastAsia="宋体" w:hint="default"/>
          <w:b/>
          <w:bCs/>
          <w:sz w:val="26"/>
          <w:szCs w:val="26"/>
        </w:rPr>
      </w:pPr>
    </w:p>
    <w:p>
      <w:pPr>
        <w:pStyle w:val="BodyText"/>
        <w:spacing w:line="338" w:lineRule="auto"/>
        <w:ind w:right="661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公司报告期无重大会计差错更正需追溯重述的情况。</w:t>
      </w:r>
    </w:p>
    <w:p>
      <w:pPr>
        <w:spacing w:after="0" w:line="338" w:lineRule="auto"/>
        <w:jc w:val="left"/>
        <w:sectPr>
          <w:type w:val="continuous"/>
          <w:pgSz w:w="11910" w:h="16840"/>
          <w:pgMar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0"/>
        <w:jc w:val="left"/>
        <w:rPr>
          <w:b w:val="0"/>
          <w:bCs w:val="0"/>
        </w:rPr>
      </w:pPr>
      <w:bookmarkStart w:name="八、与上年度财务报告相比，合并报表范围发生变化的情况说明" w:id="72"/>
      <w:bookmarkEnd w:id="72"/>
      <w:r>
        <w:rPr>
          <w:b w:val="0"/>
          <w:bCs w:val="0"/>
        </w:rPr>
      </w:r>
      <w:r>
        <w:rPr/>
        <w:t>八、与上年度财务报告相比，合并报表范围发生变化的情况说明</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7"/>
          <w:szCs w:val="7"/>
        </w:rPr>
      </w:pPr>
    </w:p>
    <w:tbl>
      <w:tblPr>
        <w:tblW w:w="0" w:type="auto"/>
        <w:jc w:val="left"/>
        <w:tblInd w:w="146" w:type="dxa"/>
        <w:tblLayout w:type="fixed"/>
        <w:tblCellMar>
          <w:top w:w="0" w:type="dxa"/>
          <w:left w:w="0" w:type="dxa"/>
          <w:bottom w:w="0" w:type="dxa"/>
          <w:right w:w="0" w:type="dxa"/>
        </w:tblCellMar>
        <w:tblLook w:val="01E0"/>
      </w:tblPr>
      <w:tblGrid>
        <w:gridCol w:w="3402"/>
        <w:gridCol w:w="2976"/>
        <w:gridCol w:w="3191"/>
      </w:tblGrid>
      <w:tr>
        <w:trPr>
          <w:trHeight w:val="415" w:hRule="exact"/>
        </w:trPr>
        <w:tc>
          <w:tcPr>
            <w:tcW w:w="340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297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9"/>
              <w:ind w:left="219" w:right="0"/>
              <w:jc w:val="left"/>
              <w:rPr>
                <w:rFonts w:ascii="宋体" w:hAnsi="宋体" w:cs="宋体" w:eastAsia="宋体" w:hint="default"/>
                <w:sz w:val="18"/>
                <w:szCs w:val="18"/>
              </w:rPr>
            </w:pPr>
            <w:r>
              <w:rPr>
                <w:rFonts w:ascii="宋体" w:hAnsi="宋体" w:cs="宋体" w:eastAsia="宋体" w:hint="default"/>
                <w:sz w:val="18"/>
                <w:szCs w:val="18"/>
              </w:rPr>
              <w:t>报告期内取得和处置子公司方式</w:t>
            </w:r>
          </w:p>
        </w:tc>
        <w:tc>
          <w:tcPr>
            <w:tcW w:w="319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9"/>
              <w:ind w:left="417" w:right="0"/>
              <w:jc w:val="left"/>
              <w:rPr>
                <w:rFonts w:ascii="宋体" w:hAnsi="宋体" w:cs="宋体" w:eastAsia="宋体" w:hint="default"/>
                <w:sz w:val="18"/>
                <w:szCs w:val="18"/>
              </w:rPr>
            </w:pPr>
            <w:r>
              <w:rPr>
                <w:rFonts w:ascii="宋体" w:hAnsi="宋体" w:cs="宋体" w:eastAsia="宋体" w:hint="default"/>
                <w:sz w:val="18"/>
                <w:szCs w:val="18"/>
              </w:rPr>
              <w:t>对整体生产经营和业绩的影响</w:t>
            </w:r>
          </w:p>
        </w:tc>
      </w:tr>
      <w:tr>
        <w:trPr>
          <w:trHeight w:val="427" w:hRule="exact"/>
        </w:trPr>
        <w:tc>
          <w:tcPr>
            <w:tcW w:w="34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上海丽兴绿色包装有限公司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注</w:t>
            </w:r>
            <w:r>
              <w:rPr>
                <w:rFonts w:ascii="Times New Roman" w:hAnsi="Times New Roman" w:cs="Times New Roman" w:eastAsia="Times New Roman" w:hint="default"/>
                <w:sz w:val="18"/>
                <w:szCs w:val="18"/>
              </w:rPr>
              <w:t>1</w:t>
            </w:r>
          </w:p>
        </w:tc>
        <w:tc>
          <w:tcPr>
            <w:tcW w:w="29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收购</w:t>
            </w:r>
          </w:p>
        </w:tc>
        <w:tc>
          <w:tcPr>
            <w:tcW w:w="31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预计对未来业绩产生积极影响</w:t>
            </w:r>
          </w:p>
        </w:tc>
      </w:tr>
      <w:tr>
        <w:trPr>
          <w:trHeight w:val="427" w:hRule="exact"/>
        </w:trPr>
        <w:tc>
          <w:tcPr>
            <w:tcW w:w="34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深圳劲嘉盒知科技有限公司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注</w:t>
            </w:r>
            <w:r>
              <w:rPr>
                <w:rFonts w:ascii="Times New Roman" w:hAnsi="Times New Roman" w:cs="Times New Roman" w:eastAsia="Times New Roman" w:hint="default"/>
                <w:sz w:val="18"/>
                <w:szCs w:val="18"/>
              </w:rPr>
              <w:t>2</w:t>
            </w:r>
          </w:p>
        </w:tc>
        <w:tc>
          <w:tcPr>
            <w:tcW w:w="29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设立</w:t>
            </w:r>
          </w:p>
        </w:tc>
        <w:tc>
          <w:tcPr>
            <w:tcW w:w="31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预计对未来业绩产生积极影响</w:t>
            </w:r>
          </w:p>
        </w:tc>
      </w:tr>
      <w:tr>
        <w:trPr>
          <w:trHeight w:val="427" w:hRule="exact"/>
        </w:trPr>
        <w:tc>
          <w:tcPr>
            <w:tcW w:w="34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深圳嘉星健康科技有限公司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注</w:t>
            </w:r>
            <w:r>
              <w:rPr>
                <w:rFonts w:ascii="Times New Roman" w:hAnsi="Times New Roman" w:cs="Times New Roman" w:eastAsia="Times New Roman" w:hint="default"/>
                <w:sz w:val="18"/>
                <w:szCs w:val="18"/>
              </w:rPr>
              <w:t>3</w:t>
            </w:r>
          </w:p>
        </w:tc>
        <w:tc>
          <w:tcPr>
            <w:tcW w:w="29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设立</w:t>
            </w:r>
          </w:p>
        </w:tc>
        <w:tc>
          <w:tcPr>
            <w:tcW w:w="31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预计对未来业绩产生积极影响</w:t>
            </w:r>
          </w:p>
        </w:tc>
      </w:tr>
      <w:tr>
        <w:trPr>
          <w:trHeight w:val="427" w:hRule="exact"/>
        </w:trPr>
        <w:tc>
          <w:tcPr>
            <w:tcW w:w="34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深圳因味科技有限公司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注</w:t>
            </w:r>
            <w:r>
              <w:rPr>
                <w:rFonts w:ascii="Times New Roman" w:hAnsi="Times New Roman" w:cs="Times New Roman" w:eastAsia="Times New Roman" w:hint="default"/>
                <w:sz w:val="18"/>
                <w:szCs w:val="18"/>
              </w:rPr>
              <w:t>4</w:t>
            </w:r>
          </w:p>
        </w:tc>
        <w:tc>
          <w:tcPr>
            <w:tcW w:w="29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设立</w:t>
            </w:r>
          </w:p>
        </w:tc>
        <w:tc>
          <w:tcPr>
            <w:tcW w:w="31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预计对未来业绩产生积极影响</w:t>
            </w:r>
          </w:p>
        </w:tc>
      </w:tr>
      <w:tr>
        <w:trPr>
          <w:trHeight w:val="427" w:hRule="exact"/>
        </w:trPr>
        <w:tc>
          <w:tcPr>
            <w:tcW w:w="34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深圳嘉玉科技有限公司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注</w:t>
            </w:r>
            <w:r>
              <w:rPr>
                <w:rFonts w:ascii="Times New Roman" w:hAnsi="Times New Roman" w:cs="Times New Roman" w:eastAsia="Times New Roman" w:hint="default"/>
                <w:sz w:val="18"/>
                <w:szCs w:val="18"/>
              </w:rPr>
              <w:t>5</w:t>
            </w:r>
          </w:p>
        </w:tc>
        <w:tc>
          <w:tcPr>
            <w:tcW w:w="29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设立</w:t>
            </w:r>
          </w:p>
        </w:tc>
        <w:tc>
          <w:tcPr>
            <w:tcW w:w="31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预计对未来业绩产生积极影响</w:t>
            </w:r>
          </w:p>
        </w:tc>
      </w:tr>
    </w:tbl>
    <w:p>
      <w:pPr>
        <w:pStyle w:val="BodyText"/>
        <w:spacing w:line="240" w:lineRule="auto" w:before="51"/>
        <w:ind w:right="0"/>
        <w:jc w:val="left"/>
      </w:pPr>
      <w:r>
        <w:rPr/>
        <w:t>说明：</w:t>
      </w:r>
    </w:p>
    <w:p>
      <w:pPr>
        <w:pStyle w:val="BodyText"/>
        <w:spacing w:line="309" w:lineRule="auto" w:before="116"/>
        <w:ind w:right="0"/>
        <w:jc w:val="left"/>
      </w:pPr>
      <w:r>
        <w:rPr/>
        <w:t>注</w:t>
      </w:r>
      <w:r>
        <w:rPr>
          <w:rFonts w:ascii="Times New Roman" w:hAnsi="Times New Roman" w:cs="Times New Roman" w:eastAsia="Times New Roman" w:hint="default"/>
        </w:rPr>
        <w:t>1</w:t>
      </w:r>
      <w:r>
        <w:rPr/>
        <w:t>：公司以现金</w:t>
      </w:r>
      <w:r>
        <w:rPr>
          <w:rFonts w:ascii="Times New Roman" w:hAnsi="Times New Roman" w:cs="Times New Roman" w:eastAsia="Times New Roman" w:hint="default"/>
        </w:rPr>
        <w:t>5,340</w:t>
      </w:r>
      <w:r>
        <w:rPr/>
        <w:t>万元人民币收购上海丽兴</w:t>
      </w:r>
      <w:r>
        <w:rPr>
          <w:rFonts w:ascii="Times New Roman" w:hAnsi="Times New Roman" w:cs="Times New Roman" w:eastAsia="Times New Roman" w:hint="default"/>
        </w:rPr>
        <w:t>100%</w:t>
      </w:r>
      <w:r>
        <w:rPr/>
        <w:t>的股权，</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w:t>
      </w:r>
      <w:r>
        <w:rPr/>
        <w:t>日本公司与梅曙南、杨幼妮、金晶、张寅元、上 </w:t>
      </w:r>
      <w:r>
        <w:rPr>
          <w:spacing w:val="-2"/>
        </w:rPr>
        <w:t>海石龙实业有限公司按照《关于上海丽兴绿色包装有限公司的股权转让协议》的约定完成了股权交割及工商变更手续，纳入</w:t>
      </w:r>
      <w:r>
        <w:rPr>
          <w:spacing w:val="-66"/>
        </w:rPr>
        <w:t> </w:t>
      </w:r>
      <w:r>
        <w:rPr>
          <w:spacing w:val="-66"/>
        </w:rPr>
      </w:r>
      <w:r>
        <w:rPr/>
        <w:t>本期公司合并报表。</w:t>
      </w:r>
    </w:p>
    <w:p>
      <w:pPr>
        <w:pStyle w:val="BodyText"/>
        <w:spacing w:line="316" w:lineRule="auto" w:before="62"/>
        <w:ind w:right="1028"/>
        <w:jc w:val="left"/>
      </w:pPr>
      <w:r>
        <w:rPr/>
        <w:t>注</w:t>
      </w:r>
      <w:r>
        <w:rPr>
          <w:rFonts w:ascii="Times New Roman" w:hAnsi="Times New Roman" w:cs="Times New Roman" w:eastAsia="Times New Roman" w:hint="default"/>
        </w:rPr>
        <w:t>2</w:t>
      </w:r>
      <w:r>
        <w:rPr/>
        <w:t>：深圳劲嘉盒知科技有限公司于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23</w:t>
      </w:r>
      <w:r>
        <w:rPr/>
        <w:t>日成立，注册资本总额为</w:t>
      </w:r>
      <w:r>
        <w:rPr>
          <w:rFonts w:ascii="Times New Roman" w:hAnsi="Times New Roman" w:cs="Times New Roman" w:eastAsia="Times New Roman" w:hint="default"/>
        </w:rPr>
        <w:t>6,000</w:t>
      </w:r>
      <w:r>
        <w:rPr/>
        <w:t>万元</w:t>
      </w:r>
      <w:r>
        <w:rPr>
          <w:rFonts w:ascii="Times New Roman" w:hAnsi="Times New Roman" w:cs="Times New Roman" w:eastAsia="Times New Roman" w:hint="default"/>
        </w:rPr>
        <w:t>, </w:t>
      </w:r>
      <w:r>
        <w:rPr/>
        <w:t>公司出资</w:t>
      </w:r>
      <w:r>
        <w:rPr>
          <w:rFonts w:ascii="Times New Roman" w:hAnsi="Times New Roman" w:cs="Times New Roman" w:eastAsia="Times New Roman" w:hint="default"/>
        </w:rPr>
        <w:t>3,600</w:t>
      </w:r>
      <w:r>
        <w:rPr/>
        <w:t>万元</w:t>
      </w:r>
      <w:r>
        <w:rPr>
          <w:spacing w:val="-26"/>
        </w:rPr>
        <w:t> </w:t>
      </w:r>
      <w:r>
        <w:rPr>
          <w:spacing w:val="-3"/>
        </w:rPr>
        <w:t>，出资比例为</w:t>
      </w:r>
      <w:r>
        <w:rPr>
          <w:rFonts w:ascii="Times New Roman" w:hAnsi="Times New Roman" w:cs="Times New Roman" w:eastAsia="Times New Roman" w:hint="default"/>
          <w:spacing w:val="-3"/>
        </w:rPr>
        <w:t>60%</w:t>
      </w:r>
      <w:r>
        <w:rPr>
          <w:spacing w:val="-3"/>
        </w:rPr>
        <w:t>，</w:t>
      </w:r>
      <w:r>
        <w:rPr/>
        <w:t> 田学礼出资</w:t>
      </w:r>
      <w:r>
        <w:rPr>
          <w:rFonts w:ascii="Times New Roman" w:hAnsi="Times New Roman" w:cs="Times New Roman" w:eastAsia="Times New Roman" w:hint="default"/>
        </w:rPr>
        <w:t>2,100</w:t>
      </w:r>
      <w:r>
        <w:rPr/>
        <w:t>万元</w:t>
      </w:r>
      <w:r>
        <w:rPr>
          <w:spacing w:val="-18"/>
        </w:rPr>
        <w:t> </w:t>
      </w:r>
      <w:r>
        <w:rPr/>
        <w:t>，出资比例为</w:t>
      </w:r>
      <w:r>
        <w:rPr>
          <w:rFonts w:ascii="Times New Roman" w:hAnsi="Times New Roman" w:cs="Times New Roman" w:eastAsia="Times New Roman" w:hint="default"/>
        </w:rPr>
        <w:t>35%</w:t>
      </w:r>
      <w:r>
        <w:rPr/>
        <w:t>，郭成元出资</w:t>
      </w:r>
      <w:r>
        <w:rPr>
          <w:rFonts w:ascii="Times New Roman" w:hAnsi="Times New Roman" w:cs="Times New Roman" w:eastAsia="Times New Roman" w:hint="default"/>
        </w:rPr>
        <w:t>300</w:t>
      </w:r>
      <w:r>
        <w:rPr/>
        <w:t>万元，出资比例为</w:t>
      </w:r>
      <w:r>
        <w:rPr>
          <w:rFonts w:ascii="Times New Roman" w:hAnsi="Times New Roman" w:cs="Times New Roman" w:eastAsia="Times New Roman" w:hint="default"/>
        </w:rPr>
        <w:t>5%</w:t>
      </w:r>
      <w:r>
        <w:rPr/>
        <w:t>。 注</w:t>
      </w:r>
      <w:r>
        <w:rPr>
          <w:rFonts w:ascii="Times New Roman" w:hAnsi="Times New Roman" w:cs="Times New Roman" w:eastAsia="Times New Roman" w:hint="default"/>
        </w:rPr>
        <w:t>3</w:t>
      </w:r>
      <w:r>
        <w:rPr/>
        <w:t>：深圳嘉星健康科技有限公司于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29</w:t>
      </w:r>
      <w:r>
        <w:rPr/>
        <w:t>日成立，注册资本总额为</w:t>
      </w:r>
      <w:r>
        <w:rPr>
          <w:rFonts w:ascii="Times New Roman" w:hAnsi="Times New Roman" w:cs="Times New Roman" w:eastAsia="Times New Roman" w:hint="default"/>
        </w:rPr>
        <w:t>10,000</w:t>
      </w:r>
      <w:r>
        <w:rPr/>
        <w:t>万元，深圳劲嘉健康产业管理有限公司出资 </w:t>
      </w:r>
      <w:r>
        <w:rPr>
          <w:rFonts w:ascii="Times New Roman" w:hAnsi="Times New Roman" w:cs="Times New Roman" w:eastAsia="Times New Roman" w:hint="default"/>
        </w:rPr>
        <w:t>5,100</w:t>
      </w:r>
      <w:r>
        <w:rPr/>
        <w:t>万元，出资比例为</w:t>
      </w:r>
      <w:r>
        <w:rPr>
          <w:rFonts w:ascii="Times New Roman" w:hAnsi="Times New Roman" w:cs="Times New Roman" w:eastAsia="Times New Roman" w:hint="default"/>
        </w:rPr>
        <w:t>51%</w:t>
      </w:r>
      <w:r>
        <w:rPr/>
        <w:t>；深圳前海复星瑞哲资产管理有限公司出资</w:t>
      </w:r>
      <w:r>
        <w:rPr>
          <w:rFonts w:ascii="Times New Roman" w:hAnsi="Times New Roman" w:cs="Times New Roman" w:eastAsia="Times New Roman" w:hint="default"/>
        </w:rPr>
        <w:t>4,900</w:t>
      </w:r>
      <w:r>
        <w:rPr/>
        <w:t>万元，出资比例为</w:t>
      </w:r>
      <w:r>
        <w:rPr>
          <w:rFonts w:ascii="Times New Roman" w:hAnsi="Times New Roman" w:cs="Times New Roman" w:eastAsia="Times New Roman" w:hint="default"/>
        </w:rPr>
        <w:t>49%</w:t>
      </w:r>
      <w:r>
        <w:rPr/>
        <w:t>。 注</w:t>
      </w:r>
      <w:r>
        <w:rPr>
          <w:rFonts w:ascii="Times New Roman" w:hAnsi="Times New Roman" w:cs="Times New Roman" w:eastAsia="Times New Roman" w:hint="default"/>
        </w:rPr>
        <w:t>4</w:t>
      </w:r>
      <w:r>
        <w:rPr/>
        <w:t>：深圳因味科技有限公司于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12</w:t>
      </w:r>
      <w:r>
        <w:rPr/>
        <w:t>日成立，注册资本总额为</w:t>
      </w:r>
      <w:r>
        <w:rPr>
          <w:rFonts w:ascii="Times New Roman" w:hAnsi="Times New Roman" w:cs="Times New Roman" w:eastAsia="Times New Roman" w:hint="default"/>
        </w:rPr>
        <w:t>2,000</w:t>
      </w:r>
      <w:r>
        <w:rPr/>
        <w:t>万元，公司出资</w:t>
      </w:r>
      <w:r>
        <w:rPr>
          <w:rFonts w:ascii="Times New Roman" w:hAnsi="Times New Roman" w:cs="Times New Roman" w:eastAsia="Times New Roman" w:hint="default"/>
        </w:rPr>
        <w:t>1,020</w:t>
      </w:r>
      <w:r>
        <w:rPr/>
        <w:t>万元，出资比例为</w:t>
      </w:r>
      <w:r>
        <w:rPr>
          <w:rFonts w:ascii="Times New Roman" w:hAnsi="Times New Roman" w:cs="Times New Roman" w:eastAsia="Times New Roman" w:hint="default"/>
        </w:rPr>
        <w:t>51%</w:t>
      </w:r>
      <w:r>
        <w:rPr/>
        <w:t>；北 京米物科技有限公司出资</w:t>
      </w:r>
      <w:r>
        <w:rPr>
          <w:rFonts w:ascii="Times New Roman" w:hAnsi="Times New Roman" w:cs="Times New Roman" w:eastAsia="Times New Roman" w:hint="default"/>
        </w:rPr>
        <w:t>980</w:t>
      </w:r>
      <w:r>
        <w:rPr/>
        <w:t>万元，出资比例为</w:t>
      </w:r>
      <w:r>
        <w:rPr>
          <w:rFonts w:ascii="Times New Roman" w:hAnsi="Times New Roman" w:cs="Times New Roman" w:eastAsia="Times New Roman" w:hint="default"/>
        </w:rPr>
        <w:t>44%</w:t>
      </w:r>
      <w:r>
        <w:rPr/>
        <w:t>；深圳市南桥前海创新基金合伙企业</w:t>
      </w:r>
      <w:r>
        <w:rPr>
          <w:rFonts w:ascii="Times New Roman" w:hAnsi="Times New Roman" w:cs="Times New Roman" w:eastAsia="Times New Roman" w:hint="default"/>
        </w:rPr>
        <w:t>(</w:t>
      </w:r>
      <w:r>
        <w:rPr/>
        <w:t>有限合伙</w:t>
      </w:r>
      <w:r>
        <w:rPr>
          <w:rFonts w:ascii="Times New Roman" w:hAnsi="Times New Roman" w:cs="Times New Roman" w:eastAsia="Times New Roman" w:hint="default"/>
        </w:rPr>
        <w:t>)</w:t>
      </w:r>
      <w:r>
        <w:rPr/>
        <w:t>出资</w:t>
      </w:r>
      <w:r>
        <w:rPr>
          <w:rFonts w:ascii="Times New Roman" w:hAnsi="Times New Roman" w:cs="Times New Roman" w:eastAsia="Times New Roman" w:hint="default"/>
        </w:rPr>
        <w:t>100</w:t>
      </w:r>
      <w:r>
        <w:rPr/>
        <w:t>万，出资比例为</w:t>
      </w:r>
    </w:p>
    <w:p>
      <w:pPr>
        <w:pStyle w:val="BodyText"/>
        <w:spacing w:line="319" w:lineRule="auto"/>
        <w:ind w:right="1032"/>
        <w:jc w:val="left"/>
      </w:pPr>
      <w:r>
        <w:rPr>
          <w:rFonts w:ascii="Times New Roman" w:hAnsi="Times New Roman" w:cs="Times New Roman" w:eastAsia="Times New Roman" w:hint="default"/>
        </w:rPr>
        <w:t>5%</w:t>
      </w:r>
      <w:r>
        <w:rPr/>
        <w:t>。</w:t>
      </w:r>
      <w:r>
        <w:rPr>
          <w:w w:val="99"/>
        </w:rPr>
        <w:t> </w:t>
      </w:r>
      <w:r>
        <w:rPr/>
        <w:t>注</w:t>
      </w:r>
      <w:r>
        <w:rPr>
          <w:rFonts w:ascii="Times New Roman" w:hAnsi="Times New Roman" w:cs="Times New Roman" w:eastAsia="Times New Roman" w:hint="default"/>
        </w:rPr>
        <w:t>5</w:t>
      </w:r>
      <w:r>
        <w:rPr/>
        <w:t>：深圳嘉玉科技有限公司于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31</w:t>
      </w:r>
      <w:r>
        <w:rPr/>
        <w:t>日成立，注册资本总额为</w:t>
      </w:r>
      <w:r>
        <w:rPr>
          <w:rFonts w:ascii="Times New Roman" w:hAnsi="Times New Roman" w:cs="Times New Roman" w:eastAsia="Times New Roman" w:hint="default"/>
        </w:rPr>
        <w:t>2,000</w:t>
      </w:r>
      <w:r>
        <w:rPr/>
        <w:t>万元，深圳市劲嘉科技有限公司出资</w:t>
      </w:r>
      <w:r>
        <w:rPr>
          <w:rFonts w:ascii="Times New Roman" w:hAnsi="Times New Roman" w:cs="Times New Roman" w:eastAsia="Times New Roman" w:hint="default"/>
        </w:rPr>
        <w:t>1,020</w:t>
      </w:r>
      <w:r>
        <w:rPr/>
        <w:t>万元，</w:t>
      </w:r>
      <w:r>
        <w:rPr>
          <w:w w:val="99"/>
        </w:rPr>
        <w:t> </w:t>
      </w:r>
      <w:r>
        <w:rPr/>
        <w:t>出资比例为</w:t>
      </w:r>
      <w:r>
        <w:rPr>
          <w:rFonts w:ascii="Times New Roman" w:hAnsi="Times New Roman" w:cs="Times New Roman" w:eastAsia="Times New Roman" w:hint="default"/>
        </w:rPr>
        <w:t>51%</w:t>
      </w:r>
      <w:r>
        <w:rPr/>
        <w:t>；深圳市华玉科技发展有限公司出资</w:t>
      </w:r>
      <w:r>
        <w:rPr>
          <w:rFonts w:ascii="Times New Roman" w:hAnsi="Times New Roman" w:cs="Times New Roman" w:eastAsia="Times New Roman" w:hint="default"/>
        </w:rPr>
        <w:t>980</w:t>
      </w:r>
      <w:r>
        <w:rPr/>
        <w:t>万元，出资比例为</w:t>
      </w:r>
      <w:r>
        <w:rPr>
          <w:rFonts w:ascii="Times New Roman" w:hAnsi="Times New Roman" w:cs="Times New Roman" w:eastAsia="Times New Roman" w:hint="default"/>
        </w:rPr>
        <w:t>49%</w:t>
      </w:r>
      <w:r>
        <w:rPr/>
        <w:t>。</w:t>
      </w:r>
    </w:p>
    <w:p>
      <w:pPr>
        <w:spacing w:line="240" w:lineRule="auto" w:before="12"/>
        <w:rPr>
          <w:rFonts w:ascii="宋体" w:hAnsi="宋体" w:cs="宋体" w:eastAsia="宋体" w:hint="default"/>
          <w:sz w:val="18"/>
          <w:szCs w:val="18"/>
        </w:rPr>
      </w:pPr>
    </w:p>
    <w:p>
      <w:pPr>
        <w:pStyle w:val="Heading2"/>
        <w:spacing w:line="240" w:lineRule="auto"/>
        <w:ind w:right="0"/>
        <w:jc w:val="left"/>
        <w:rPr>
          <w:b w:val="0"/>
          <w:bCs w:val="0"/>
        </w:rPr>
      </w:pPr>
      <w:bookmarkStart w:name="九、聘任、解聘会计师事务所情况" w:id="73"/>
      <w:bookmarkEnd w:id="73"/>
      <w:r>
        <w:rPr>
          <w:b w:val="0"/>
          <w:bCs w:val="0"/>
        </w:rPr>
      </w:r>
      <w:r>
        <w:rPr/>
        <w:t>九、聘任、解聘会计师事务所情况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现聘任的会计师事务所</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792"/>
        <w:gridCol w:w="4777"/>
      </w:tblGrid>
      <w:tr>
        <w:trPr>
          <w:trHeight w:val="403"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hAnsi="宋体" w:cs="宋体" w:eastAsia="宋体" w:hint="default"/>
                <w:sz w:val="18"/>
                <w:szCs w:val="18"/>
              </w:rPr>
              <w:t>瑞华会计师事务所（特殊普通合伙）</w:t>
            </w:r>
          </w:p>
        </w:tc>
      </w:tr>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w:t>
            </w:r>
          </w:p>
        </w:tc>
      </w:tr>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w:t>
            </w:r>
          </w:p>
        </w:tc>
      </w:tr>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hAnsi="宋体" w:cs="宋体" w:eastAsia="宋体" w:hint="default"/>
                <w:sz w:val="18"/>
                <w:szCs w:val="18"/>
              </w:rPr>
              <w:t>印碧辉、荣矾</w:t>
            </w:r>
          </w:p>
        </w:tc>
      </w:tr>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境内会计师事务所注册会计师审计服务的连续年限</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w:t>
            </w:r>
          </w:p>
        </w:tc>
      </w:tr>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境外会计师事务所名称（如有）</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境外会计师事务所报酬（万元</w:t>
            </w:r>
            <w:r>
              <w:rPr>
                <w:rFonts w:ascii="宋体" w:hAnsi="宋体" w:cs="宋体" w:eastAsia="宋体" w:hint="default"/>
                <w:spacing w:val="-90"/>
                <w:sz w:val="18"/>
                <w:szCs w:val="18"/>
              </w:rPr>
              <w:t>）</w:t>
            </w:r>
            <w:r>
              <w:rPr>
                <w:rFonts w:ascii="宋体" w:hAnsi="宋体" w:cs="宋体" w:eastAsia="宋体" w:hint="default"/>
                <w:sz w:val="18"/>
                <w:szCs w:val="18"/>
              </w:rPr>
              <w:t>（如有）</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境外会计师事务所审计服务的连续年限（如有）</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境外会计师事务所注册会计师姓名（如有）</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hAnsi="宋体" w:cs="宋体" w:eastAsia="宋体" w:hint="default"/>
                <w:sz w:val="18"/>
                <w:szCs w:val="18"/>
              </w:rPr>
              <w:t>无</w:t>
            </w:r>
          </w:p>
        </w:tc>
      </w:tr>
      <w:tr>
        <w:trPr>
          <w:trHeight w:val="403"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境外会计师事务所注册会计师审计服务的连续年限（如有）</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51"/>
        <w:ind w:right="0"/>
        <w:jc w:val="left"/>
      </w:pPr>
      <w:r>
        <w:rPr/>
        <w:t>当期是否改聘会计师事务所</w:t>
      </w:r>
    </w:p>
    <w:p>
      <w:pPr>
        <w:pStyle w:val="BodyText"/>
        <w:spacing w:line="240" w:lineRule="auto" w:before="116"/>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after="0" w:line="240" w:lineRule="auto"/>
        <w:jc w:val="left"/>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pStyle w:val="BodyText"/>
        <w:spacing w:line="240" w:lineRule="auto" w:before="44"/>
        <w:ind w:right="0"/>
        <w:jc w:val="left"/>
      </w:pPr>
      <w:r>
        <w:rPr/>
        <w:t>聘请内部控制审计会计师事务所、财务顾问或保荐人情况</w:t>
      </w:r>
    </w:p>
    <w:p>
      <w:pPr>
        <w:pStyle w:val="BodyText"/>
        <w:spacing w:line="240" w:lineRule="auto" w:before="116"/>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bookmarkStart w:name="十、年度报告披露后面临暂停上市和终止上市情况" w:id="74"/>
      <w:bookmarkEnd w:id="74"/>
      <w:r>
        <w:rPr>
          <w:b w:val="0"/>
          <w:bCs w:val="0"/>
        </w:rPr>
      </w:r>
      <w:r>
        <w:rPr/>
        <w:t>十、年度报告披露后面临暂停上市和终止上市情况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bookmarkStart w:name="十一、破产重整相关事项" w:id="75"/>
      <w:bookmarkEnd w:id="75"/>
      <w:r>
        <w:rPr>
          <w:b w:val="0"/>
          <w:bCs w:val="0"/>
        </w:rPr>
      </w:r>
      <w:r>
        <w:rPr/>
        <w:t>十一、破产重整相关事项</w:t>
      </w:r>
      <w:r>
        <w:rPr>
          <w:b w:val="0"/>
          <w:bCs w:val="0"/>
        </w:rPr>
      </w:r>
    </w:p>
    <w:p>
      <w:pPr>
        <w:spacing w:line="240" w:lineRule="auto" w:before="7"/>
        <w:rPr>
          <w:rFonts w:ascii="宋体" w:hAnsi="宋体" w:cs="宋体" w:eastAsia="宋体" w:hint="default"/>
          <w:b/>
          <w:bCs/>
          <w:sz w:val="26"/>
          <w:szCs w:val="26"/>
        </w:rPr>
      </w:pPr>
    </w:p>
    <w:p>
      <w:pPr>
        <w:pStyle w:val="BodyText"/>
        <w:spacing w:line="340" w:lineRule="auto"/>
        <w:ind w:right="76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公司报告期未发生破产重整相关事项。</w:t>
      </w:r>
    </w:p>
    <w:p>
      <w:pPr>
        <w:spacing w:line="240" w:lineRule="auto" w:before="3"/>
        <w:rPr>
          <w:rFonts w:ascii="宋体" w:hAnsi="宋体" w:cs="宋体" w:eastAsia="宋体" w:hint="default"/>
          <w:sz w:val="19"/>
          <w:szCs w:val="19"/>
        </w:rPr>
      </w:pPr>
    </w:p>
    <w:p>
      <w:pPr>
        <w:pStyle w:val="Heading2"/>
        <w:spacing w:line="240" w:lineRule="auto"/>
        <w:ind w:right="0"/>
        <w:jc w:val="left"/>
        <w:rPr>
          <w:b w:val="0"/>
          <w:bCs w:val="0"/>
        </w:rPr>
      </w:pPr>
      <w:bookmarkStart w:name="十二、重大诉讼、仲裁事项" w:id="76"/>
      <w:bookmarkEnd w:id="76"/>
      <w:r>
        <w:rPr>
          <w:b w:val="0"/>
          <w:bCs w:val="0"/>
        </w:rPr>
      </w:r>
      <w:r>
        <w:rPr/>
        <w:t>十二、重大诉讼、仲裁事项</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76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本报告期公司无重大诉讼、仲裁事项。</w:t>
      </w:r>
    </w:p>
    <w:p>
      <w:pPr>
        <w:spacing w:line="240" w:lineRule="auto" w:before="6"/>
        <w:rPr>
          <w:rFonts w:ascii="宋体" w:hAnsi="宋体" w:cs="宋体" w:eastAsia="宋体" w:hint="default"/>
          <w:sz w:val="19"/>
          <w:szCs w:val="19"/>
        </w:rPr>
      </w:pPr>
    </w:p>
    <w:p>
      <w:pPr>
        <w:pStyle w:val="Heading2"/>
        <w:spacing w:line="240" w:lineRule="auto"/>
        <w:ind w:right="0"/>
        <w:jc w:val="left"/>
        <w:rPr>
          <w:b w:val="0"/>
          <w:bCs w:val="0"/>
        </w:rPr>
      </w:pPr>
      <w:bookmarkStart w:name="十三、重大处罚及整改情况" w:id="77"/>
      <w:bookmarkEnd w:id="77"/>
      <w:r>
        <w:rPr>
          <w:b w:val="0"/>
          <w:bCs w:val="0"/>
        </w:rPr>
      </w:r>
      <w:r>
        <w:rPr/>
        <w:t>十三、重大处罚及整改情况</w:t>
      </w:r>
      <w:r>
        <w:rPr>
          <w:b w:val="0"/>
          <w:bCs w:val="0"/>
        </w:rPr>
      </w:r>
    </w:p>
    <w:p>
      <w:pPr>
        <w:spacing w:line="240" w:lineRule="auto" w:before="7"/>
        <w:rPr>
          <w:rFonts w:ascii="宋体" w:hAnsi="宋体" w:cs="宋体" w:eastAsia="宋体" w:hint="default"/>
          <w:b/>
          <w:bCs/>
          <w:sz w:val="26"/>
          <w:szCs w:val="26"/>
        </w:rPr>
      </w:pPr>
    </w:p>
    <w:p>
      <w:pPr>
        <w:pStyle w:val="BodyText"/>
        <w:spacing w:line="340" w:lineRule="auto"/>
        <w:ind w:right="751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公司报告期不存在重大处罚及整改情况。</w:t>
      </w:r>
    </w:p>
    <w:p>
      <w:pPr>
        <w:spacing w:line="240" w:lineRule="auto" w:before="3"/>
        <w:rPr>
          <w:rFonts w:ascii="宋体" w:hAnsi="宋体" w:cs="宋体" w:eastAsia="宋体" w:hint="default"/>
          <w:sz w:val="19"/>
          <w:szCs w:val="19"/>
        </w:rPr>
      </w:pPr>
    </w:p>
    <w:p>
      <w:pPr>
        <w:pStyle w:val="Heading2"/>
        <w:spacing w:line="240" w:lineRule="auto"/>
        <w:ind w:right="0"/>
        <w:jc w:val="left"/>
        <w:rPr>
          <w:b w:val="0"/>
          <w:bCs w:val="0"/>
        </w:rPr>
      </w:pPr>
      <w:bookmarkStart w:name="十四、公司及其控股股东、实际控制人的诚信状况" w:id="78"/>
      <w:bookmarkEnd w:id="78"/>
      <w:r>
        <w:rPr>
          <w:b w:val="0"/>
          <w:bCs w:val="0"/>
        </w:rPr>
      </w:r>
      <w:r>
        <w:rPr/>
        <w:t>十四、公司及其控股股东、实际控制人的诚信状况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十五、公司股权激励计划、员工持股计划或其他员工激励措施的实施情况" w:id="79"/>
      <w:bookmarkEnd w:id="79"/>
      <w:r>
        <w:rPr>
          <w:b w:val="0"/>
          <w:bCs w:val="0"/>
        </w:rPr>
      </w:r>
      <w:r>
        <w:rPr/>
        <w:t>十五、公司股权激励计划、员工持股计划或其他员工激励措施的实施情况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445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公司报告期无股权激励计划、员工持股计划或其他员工激励措施及其实施情况。</w:t>
      </w:r>
    </w:p>
    <w:p>
      <w:pPr>
        <w:spacing w:line="240" w:lineRule="auto" w:before="4"/>
        <w:rPr>
          <w:rFonts w:ascii="宋体" w:hAnsi="宋体" w:cs="宋体" w:eastAsia="宋体" w:hint="default"/>
          <w:sz w:val="19"/>
          <w:szCs w:val="19"/>
        </w:rPr>
      </w:pPr>
    </w:p>
    <w:p>
      <w:pPr>
        <w:pStyle w:val="Heading2"/>
        <w:spacing w:line="240" w:lineRule="auto"/>
        <w:ind w:right="0"/>
        <w:jc w:val="left"/>
        <w:rPr>
          <w:b w:val="0"/>
          <w:bCs w:val="0"/>
        </w:rPr>
      </w:pPr>
      <w:bookmarkStart w:name="十六、重大关联交易" w:id="80"/>
      <w:bookmarkEnd w:id="80"/>
      <w:r>
        <w:rPr>
          <w:b w:val="0"/>
          <w:bCs w:val="0"/>
        </w:rPr>
      </w:r>
      <w:r>
        <w:rPr/>
        <w:t>十六、重大关联交易</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与日常经营相关的重大关联交易" w:id="81"/>
      <w:bookmarkEnd w:id="81"/>
      <w:r>
        <w:rPr>
          <w:b w:val="0"/>
          <w:bCs w:val="0"/>
        </w:rPr>
      </w:r>
      <w:r>
        <w:rPr>
          <w:rFonts w:ascii="Times New Roman" w:hAnsi="Times New Roman" w:cs="Times New Roman" w:eastAsia="Times New Roman" w:hint="default"/>
        </w:rPr>
        <w:t>1</w:t>
      </w:r>
      <w:r>
        <w:rPr/>
        <w:t>、与日常经营相关的重大关联交易</w:t>
      </w:r>
      <w:r>
        <w:rPr>
          <w:b w:val="0"/>
          <w:bCs w:val="0"/>
        </w:rPr>
      </w:r>
    </w:p>
    <w:p>
      <w:pPr>
        <w:spacing w:line="240" w:lineRule="auto" w:before="8"/>
        <w:rPr>
          <w:rFonts w:ascii="宋体" w:hAnsi="宋体" w:cs="宋体" w:eastAsia="宋体" w:hint="default"/>
          <w:b/>
          <w:bCs/>
          <w:sz w:val="26"/>
          <w:szCs w:val="26"/>
        </w:rPr>
      </w:pPr>
    </w:p>
    <w:p>
      <w:pPr>
        <w:pStyle w:val="BodyText"/>
        <w:spacing w:line="340" w:lineRule="auto"/>
        <w:ind w:right="647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公司报告期未发生与日常经营相关的重大关联交易。</w:t>
      </w:r>
    </w:p>
    <w:p>
      <w:pPr>
        <w:spacing w:line="240" w:lineRule="auto" w:before="12"/>
        <w:rPr>
          <w:rFonts w:ascii="宋体" w:hAnsi="宋体" w:cs="宋体" w:eastAsia="宋体" w:hint="default"/>
          <w:sz w:val="20"/>
          <w:szCs w:val="20"/>
        </w:rPr>
      </w:pPr>
    </w:p>
    <w:p>
      <w:pPr>
        <w:pStyle w:val="Heading3"/>
        <w:spacing w:line="240" w:lineRule="auto"/>
        <w:ind w:right="0"/>
        <w:jc w:val="left"/>
        <w:rPr>
          <w:b w:val="0"/>
          <w:bCs w:val="0"/>
        </w:rPr>
      </w:pPr>
      <w:bookmarkStart w:name="2、资产或股权收购、出售发生的重大关联交易" w:id="82"/>
      <w:bookmarkEnd w:id="82"/>
      <w:r>
        <w:rPr>
          <w:b w:val="0"/>
          <w:bCs w:val="0"/>
        </w:rPr>
      </w:r>
      <w:r>
        <w:rPr>
          <w:rFonts w:ascii="Times New Roman" w:hAnsi="Times New Roman" w:cs="Times New Roman" w:eastAsia="Times New Roman" w:hint="default"/>
        </w:rPr>
        <w:t>2</w:t>
      </w:r>
      <w:r>
        <w:rPr/>
        <w:t>、资产或股权收购、出售发生的重大关联交易</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607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公司报告期未发生资产或股权收购、出售的重大关联交易。</w:t>
      </w:r>
    </w:p>
    <w:p>
      <w:pPr>
        <w:spacing w:after="0" w:line="338"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bookmarkStart w:name="3、共同对外投资的重大关联交易" w:id="83"/>
      <w:bookmarkEnd w:id="83"/>
      <w:r>
        <w:rPr>
          <w:b w:val="0"/>
          <w:bCs w:val="0"/>
        </w:rPr>
      </w:r>
      <w:r>
        <w:rPr>
          <w:rFonts w:ascii="Times New Roman" w:hAnsi="Times New Roman" w:cs="Times New Roman" w:eastAsia="Times New Roman" w:hint="default"/>
        </w:rPr>
        <w:t>3</w:t>
      </w:r>
      <w:r>
        <w:rPr/>
        <w:t>、共同对外投资的重大关联交易</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67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公司报告期未发生共同对外投资的重大关联交易。</w:t>
      </w:r>
    </w:p>
    <w:p>
      <w:pPr>
        <w:spacing w:line="240" w:lineRule="auto" w:before="3"/>
        <w:rPr>
          <w:rFonts w:ascii="宋体" w:hAnsi="宋体" w:cs="宋体" w:eastAsia="宋体" w:hint="default"/>
          <w:sz w:val="21"/>
          <w:szCs w:val="21"/>
        </w:rPr>
      </w:pPr>
    </w:p>
    <w:p>
      <w:pPr>
        <w:pStyle w:val="Heading3"/>
        <w:spacing w:line="240" w:lineRule="auto"/>
        <w:ind w:right="0"/>
        <w:jc w:val="left"/>
        <w:rPr>
          <w:b w:val="0"/>
          <w:bCs w:val="0"/>
        </w:rPr>
      </w:pPr>
      <w:bookmarkStart w:name="4、关联债权债务往来" w:id="84"/>
      <w:bookmarkEnd w:id="84"/>
      <w:r>
        <w:rPr>
          <w:b w:val="0"/>
          <w:bCs w:val="0"/>
        </w:rPr>
      </w:r>
      <w:r>
        <w:rPr>
          <w:rFonts w:ascii="Times New Roman" w:hAnsi="Times New Roman" w:cs="Times New Roman" w:eastAsia="Times New Roman" w:hint="default"/>
        </w:rPr>
        <w:t>4</w:t>
      </w:r>
      <w:r>
        <w:rPr/>
        <w:t>、关联债权债务往来</w:t>
      </w:r>
      <w:r>
        <w:rPr>
          <w:b w:val="0"/>
          <w:bCs w:val="0"/>
        </w:rPr>
      </w:r>
    </w:p>
    <w:p>
      <w:pPr>
        <w:spacing w:line="240" w:lineRule="auto" w:before="8"/>
        <w:rPr>
          <w:rFonts w:ascii="宋体" w:hAnsi="宋体" w:cs="宋体" w:eastAsia="宋体" w:hint="default"/>
          <w:b/>
          <w:bCs/>
          <w:sz w:val="26"/>
          <w:szCs w:val="26"/>
        </w:rPr>
      </w:pPr>
    </w:p>
    <w:p>
      <w:pPr>
        <w:pStyle w:val="BodyText"/>
        <w:spacing w:line="340" w:lineRule="auto"/>
        <w:ind w:right="76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公司报告期不存在关联债权债务往来。</w:t>
      </w:r>
    </w:p>
    <w:p>
      <w:pPr>
        <w:spacing w:line="240" w:lineRule="auto" w:before="12"/>
        <w:rPr>
          <w:rFonts w:ascii="宋体" w:hAnsi="宋体" w:cs="宋体" w:eastAsia="宋体" w:hint="default"/>
          <w:sz w:val="20"/>
          <w:szCs w:val="20"/>
        </w:rPr>
      </w:pPr>
    </w:p>
    <w:p>
      <w:pPr>
        <w:pStyle w:val="Heading3"/>
        <w:spacing w:line="240" w:lineRule="auto"/>
        <w:ind w:right="0"/>
        <w:jc w:val="left"/>
        <w:rPr>
          <w:b w:val="0"/>
          <w:bCs w:val="0"/>
        </w:rPr>
      </w:pPr>
      <w:bookmarkStart w:name="5、其他重大关联交易" w:id="85"/>
      <w:bookmarkEnd w:id="85"/>
      <w:r>
        <w:rPr>
          <w:b w:val="0"/>
          <w:bCs w:val="0"/>
        </w:rPr>
      </w:r>
      <w:r>
        <w:rPr>
          <w:rFonts w:ascii="Times New Roman" w:hAnsi="Times New Roman" w:cs="Times New Roman" w:eastAsia="Times New Roman" w:hint="default"/>
        </w:rPr>
        <w:t>5</w:t>
      </w:r>
      <w:r>
        <w:rPr/>
        <w:t>、其他重大关联交易</w:t>
      </w:r>
      <w:r>
        <w:rPr>
          <w:b w:val="0"/>
          <w:bCs w:val="0"/>
        </w:rPr>
      </w:r>
    </w:p>
    <w:p>
      <w:pPr>
        <w:spacing w:line="240" w:lineRule="auto" w:before="9"/>
        <w:rPr>
          <w:rFonts w:ascii="宋体" w:hAnsi="宋体" w:cs="宋体" w:eastAsia="宋体" w:hint="default"/>
          <w:b/>
          <w:bCs/>
          <w:sz w:val="26"/>
          <w:szCs w:val="26"/>
        </w:rPr>
      </w:pPr>
    </w:p>
    <w:p>
      <w:pPr>
        <w:pStyle w:val="BodyText"/>
        <w:spacing w:line="319" w:lineRule="auto"/>
        <w:ind w:right="103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w:t>
      </w:r>
      <w:r>
        <w:rPr>
          <w:rFonts w:ascii="Times New Roman" w:hAnsi="Times New Roman" w:cs="Times New Roman" w:eastAsia="Times New Roman" w:hint="default"/>
          <w:spacing w:val="-3"/>
        </w:rPr>
        <w:t>1</w:t>
      </w:r>
      <w:r>
        <w:rPr>
          <w:spacing w:val="-3"/>
        </w:rPr>
        <w:t>、</w:t>
      </w:r>
      <w:r>
        <w:rPr>
          <w:rFonts w:ascii="Times New Roman" w:hAnsi="Times New Roman" w:cs="Times New Roman" w:eastAsia="Times New Roman" w:hint="default"/>
          <w:spacing w:val="-3"/>
        </w:rPr>
        <w:t>2018</w:t>
      </w:r>
      <w:r>
        <w:rPr>
          <w:spacing w:val="-3"/>
        </w:rPr>
        <w:t>年</w:t>
      </w:r>
      <w:r>
        <w:rPr>
          <w:rFonts w:ascii="Times New Roman" w:hAnsi="Times New Roman" w:cs="Times New Roman" w:eastAsia="Times New Roman" w:hint="default"/>
          <w:spacing w:val="-3"/>
        </w:rPr>
        <w:t>3</w:t>
      </w:r>
      <w:r>
        <w:rPr>
          <w:spacing w:val="-3"/>
        </w:rPr>
        <w:t>月</w:t>
      </w:r>
      <w:r>
        <w:rPr>
          <w:rFonts w:ascii="Times New Roman" w:hAnsi="Times New Roman" w:cs="Times New Roman" w:eastAsia="Times New Roman" w:hint="default"/>
          <w:spacing w:val="-3"/>
        </w:rPr>
        <w:t>11</w:t>
      </w:r>
      <w:r>
        <w:rPr>
          <w:spacing w:val="-3"/>
        </w:rPr>
        <w:t>日，公司召开了第五届董事会</w:t>
      </w:r>
      <w:r>
        <w:rPr>
          <w:rFonts w:ascii="Times New Roman" w:hAnsi="Times New Roman" w:cs="Times New Roman" w:eastAsia="Times New Roman" w:hint="default"/>
          <w:spacing w:val="-3"/>
        </w:rPr>
        <w:t>2018</w:t>
      </w:r>
      <w:r>
        <w:rPr>
          <w:spacing w:val="-3"/>
        </w:rPr>
        <w:t>年第三次会议，审议通过了《关于收购控股子公司股权暨关联交易的议案》</w:t>
      </w:r>
      <w:r>
        <w:rPr>
          <w:spacing w:val="-83"/>
        </w:rPr>
        <w:t> </w:t>
      </w:r>
      <w:r>
        <w:rPr>
          <w:spacing w:val="-83"/>
        </w:rPr>
      </w:r>
      <w:r>
        <w:rPr>
          <w:spacing w:val="-2"/>
        </w:rPr>
        <w:t>及《关于投资设立合资公司暨关联交易的议案》，同意公司以自有资金人民币</w:t>
      </w:r>
      <w:r>
        <w:rPr>
          <w:rFonts w:ascii="Times New Roman" w:hAnsi="Times New Roman" w:cs="Times New Roman" w:eastAsia="Times New Roman" w:hint="default"/>
          <w:spacing w:val="-2"/>
        </w:rPr>
        <w:t>1,470</w:t>
      </w:r>
      <w:r>
        <w:rPr>
          <w:spacing w:val="-2"/>
        </w:rPr>
        <w:t>万元收购关联方</w:t>
      </w:r>
      <w:r>
        <w:rPr>
          <w:rFonts w:ascii="Times New Roman" w:hAnsi="Times New Roman" w:cs="Times New Roman" w:eastAsia="Times New Roman" w:hint="default"/>
          <w:spacing w:val="-2"/>
        </w:rPr>
        <w:t>WANG</w:t>
      </w:r>
      <w:r>
        <w:rPr>
          <w:rFonts w:ascii="Times New Roman" w:hAnsi="Times New Roman" w:cs="Times New Roman" w:eastAsia="Times New Roman" w:hint="default"/>
          <w:spacing w:val="24"/>
        </w:rPr>
        <w:t> </w:t>
      </w:r>
      <w:r>
        <w:rPr>
          <w:rFonts w:ascii="Times New Roman" w:hAnsi="Times New Roman" w:cs="Times New Roman" w:eastAsia="Times New Roman" w:hint="default"/>
          <w:spacing w:val="-1"/>
        </w:rPr>
        <w:t>WEIXING</w:t>
      </w:r>
      <w:r>
        <w:rPr>
          <w:spacing w:val="-1"/>
        </w:rPr>
        <w:t>先生持</w:t>
      </w:r>
    </w:p>
    <w:p>
      <w:pPr>
        <w:pStyle w:val="BodyText"/>
        <w:spacing w:line="246" w:lineRule="exact"/>
        <w:ind w:right="0"/>
        <w:jc w:val="left"/>
      </w:pPr>
      <w:r>
        <w:rPr/>
        <w:t>有的深圳劲嘉健康</w:t>
      </w:r>
      <w:r>
        <w:rPr>
          <w:rFonts w:ascii="Times New Roman" w:hAnsi="Times New Roman" w:cs="Times New Roman" w:eastAsia="Times New Roman" w:hint="default"/>
        </w:rPr>
        <w:t>49%</w:t>
      </w:r>
      <w:r>
        <w:rPr/>
        <w:t>的股权；同意公司子公司深圳劲嘉健康与关联方深圳前海复星瑞哲资产管理有限公司共同出资人民币</w:t>
      </w:r>
    </w:p>
    <w:p>
      <w:pPr>
        <w:pStyle w:val="BodyText"/>
        <w:spacing w:line="240" w:lineRule="auto" w:before="63"/>
        <w:ind w:right="0"/>
        <w:jc w:val="left"/>
      </w:pPr>
      <w:r>
        <w:rPr>
          <w:rFonts w:ascii="Times New Roman" w:hAnsi="Times New Roman" w:cs="Times New Roman" w:eastAsia="Times New Roman" w:hint="default"/>
        </w:rPr>
        <w:t>10,000</w:t>
      </w:r>
      <w:r>
        <w:rPr/>
        <w:t>万元，设立合资公司深圳嘉星健康科技有限公司。</w:t>
      </w:r>
    </w:p>
    <w:p>
      <w:pPr>
        <w:pStyle w:val="BodyText"/>
        <w:spacing w:line="300" w:lineRule="auto" w:before="63"/>
        <w:ind w:right="1035"/>
        <w:jc w:val="left"/>
      </w:pPr>
      <w:r>
        <w:rPr>
          <w:rFonts w:ascii="Times New Roman" w:hAnsi="Times New Roman" w:cs="Times New Roman" w:eastAsia="Times New Roman" w:hint="default"/>
          <w:spacing w:val="-3"/>
        </w:rPr>
        <w:t>2</w:t>
      </w:r>
      <w:r>
        <w:rPr>
          <w:spacing w:val="-3"/>
        </w:rPr>
        <w:t>、</w:t>
      </w:r>
      <w:r>
        <w:rPr>
          <w:rFonts w:ascii="Times New Roman" w:hAnsi="Times New Roman" w:cs="Times New Roman" w:eastAsia="Times New Roman" w:hint="default"/>
          <w:spacing w:val="-3"/>
        </w:rPr>
        <w:t>2018</w:t>
      </w:r>
      <w:r>
        <w:rPr>
          <w:spacing w:val="-3"/>
        </w:rPr>
        <w:t>年</w:t>
      </w:r>
      <w:r>
        <w:rPr>
          <w:rFonts w:ascii="Times New Roman" w:hAnsi="Times New Roman" w:cs="Times New Roman" w:eastAsia="Times New Roman" w:hint="default"/>
          <w:spacing w:val="-3"/>
        </w:rPr>
        <w:t>3</w:t>
      </w:r>
      <w:r>
        <w:rPr>
          <w:spacing w:val="-3"/>
        </w:rPr>
        <w:t>月</w:t>
      </w:r>
      <w:r>
        <w:rPr>
          <w:rFonts w:ascii="Times New Roman" w:hAnsi="Times New Roman" w:cs="Times New Roman" w:eastAsia="Times New Roman" w:hint="default"/>
          <w:spacing w:val="-3"/>
        </w:rPr>
        <w:t>27</w:t>
      </w:r>
      <w:r>
        <w:rPr>
          <w:spacing w:val="-3"/>
        </w:rPr>
        <w:t>日，公司召开了第五届董事会</w:t>
      </w:r>
      <w:r>
        <w:rPr>
          <w:rFonts w:ascii="Times New Roman" w:hAnsi="Times New Roman" w:cs="Times New Roman" w:eastAsia="Times New Roman" w:hint="default"/>
          <w:spacing w:val="-3"/>
        </w:rPr>
        <w:t>2018</w:t>
      </w:r>
      <w:r>
        <w:rPr>
          <w:spacing w:val="-3"/>
        </w:rPr>
        <w:t>年第四次会议，审议通过了《关于向参股子公司增资暨关联交易的议案》，</w:t>
      </w:r>
      <w:r>
        <w:rPr>
          <w:spacing w:val="-82"/>
        </w:rPr>
        <w:t> </w:t>
      </w:r>
      <w:r>
        <w:rPr>
          <w:spacing w:val="-82"/>
        </w:rPr>
      </w:r>
      <w:r>
        <w:rPr/>
        <w:t>同意公司以人民币</w:t>
      </w:r>
      <w:r>
        <w:rPr>
          <w:rFonts w:ascii="Times New Roman" w:hAnsi="Times New Roman" w:cs="Times New Roman" w:eastAsia="Times New Roman" w:hint="default"/>
        </w:rPr>
        <w:t>8,320</w:t>
      </w:r>
      <w:r>
        <w:rPr/>
        <w:t>万元对公司参股子公司申仁包装进行增资，上海仁彩以人民币</w:t>
      </w:r>
      <w:r>
        <w:rPr>
          <w:rFonts w:ascii="Times New Roman" w:hAnsi="Times New Roman" w:cs="Times New Roman" w:eastAsia="Times New Roman" w:hint="default"/>
        </w:rPr>
        <w:t>2,080</w:t>
      </w:r>
      <w:r>
        <w:rPr/>
        <w:t>万元对申仁包装进行增资。 </w:t>
      </w:r>
      <w:r>
        <w:rPr>
          <w:rFonts w:ascii="Times New Roman" w:hAnsi="Times New Roman" w:cs="Times New Roman" w:eastAsia="Times New Roman" w:hint="default"/>
          <w:spacing w:val="-4"/>
        </w:rPr>
        <w:t>3</w:t>
      </w:r>
      <w:r>
        <w:rPr>
          <w:spacing w:val="-4"/>
        </w:rPr>
        <w:t>、</w:t>
      </w:r>
      <w:r>
        <w:rPr>
          <w:rFonts w:ascii="Times New Roman" w:hAnsi="Times New Roman" w:cs="Times New Roman" w:eastAsia="Times New Roman" w:hint="default"/>
          <w:spacing w:val="-4"/>
        </w:rPr>
        <w:t>2018</w:t>
      </w:r>
      <w:r>
        <w:rPr>
          <w:spacing w:val="-4"/>
        </w:rPr>
        <w:t>年</w:t>
      </w:r>
      <w:r>
        <w:rPr>
          <w:rFonts w:ascii="Times New Roman" w:hAnsi="Times New Roman" w:cs="Times New Roman" w:eastAsia="Times New Roman" w:hint="default"/>
          <w:spacing w:val="-4"/>
        </w:rPr>
        <w:t>4</w:t>
      </w:r>
      <w:r>
        <w:rPr>
          <w:spacing w:val="-4"/>
        </w:rPr>
        <w:t>月</w:t>
      </w:r>
      <w:r>
        <w:rPr>
          <w:rFonts w:ascii="Times New Roman" w:hAnsi="Times New Roman" w:cs="Times New Roman" w:eastAsia="Times New Roman" w:hint="default"/>
          <w:spacing w:val="-4"/>
        </w:rPr>
        <w:t>11</w:t>
      </w:r>
      <w:r>
        <w:rPr>
          <w:spacing w:val="-4"/>
        </w:rPr>
        <w:t>日、</w:t>
      </w:r>
      <w:r>
        <w:rPr>
          <w:rFonts w:ascii="Times New Roman" w:hAnsi="Times New Roman" w:cs="Times New Roman" w:eastAsia="Times New Roman" w:hint="default"/>
          <w:spacing w:val="-4"/>
        </w:rPr>
        <w:t>2018</w:t>
      </w:r>
      <w:r>
        <w:rPr>
          <w:spacing w:val="-4"/>
        </w:rPr>
        <w:t>年</w:t>
      </w:r>
      <w:r>
        <w:rPr>
          <w:rFonts w:ascii="Times New Roman" w:hAnsi="Times New Roman" w:cs="Times New Roman" w:eastAsia="Times New Roman" w:hint="default"/>
          <w:spacing w:val="-4"/>
        </w:rPr>
        <w:t>5</w:t>
      </w:r>
      <w:r>
        <w:rPr>
          <w:spacing w:val="-4"/>
        </w:rPr>
        <w:t>月</w:t>
      </w:r>
      <w:r>
        <w:rPr>
          <w:rFonts w:ascii="Times New Roman" w:hAnsi="Times New Roman" w:cs="Times New Roman" w:eastAsia="Times New Roman" w:hint="default"/>
          <w:spacing w:val="-4"/>
        </w:rPr>
        <w:t>7</w:t>
      </w:r>
      <w:r>
        <w:rPr>
          <w:spacing w:val="-4"/>
        </w:rPr>
        <w:t>日，公司分别召开了第五届董事会</w:t>
      </w:r>
      <w:r>
        <w:rPr>
          <w:rFonts w:ascii="Times New Roman" w:hAnsi="Times New Roman" w:cs="Times New Roman" w:eastAsia="Times New Roman" w:hint="default"/>
          <w:spacing w:val="-4"/>
        </w:rPr>
        <w:t>2018</w:t>
      </w:r>
      <w:r>
        <w:rPr>
          <w:spacing w:val="-4"/>
        </w:rPr>
        <w:t>年第五次会议及</w:t>
      </w:r>
      <w:r>
        <w:rPr>
          <w:rFonts w:ascii="Times New Roman" w:hAnsi="Times New Roman" w:cs="Times New Roman" w:eastAsia="Times New Roman" w:hint="default"/>
          <w:spacing w:val="-4"/>
        </w:rPr>
        <w:t>2017</w:t>
      </w:r>
      <w:r>
        <w:rPr>
          <w:spacing w:val="-4"/>
        </w:rPr>
        <w:t>年年度股东大会，审议通过了《关</w:t>
      </w:r>
      <w:r>
        <w:rPr/>
        <w:t> </w:t>
      </w:r>
      <w:r>
        <w:rPr>
          <w:spacing w:val="-2"/>
        </w:rPr>
        <w:t>于公司</w:t>
      </w:r>
      <w:r>
        <w:rPr>
          <w:rFonts w:ascii="Times New Roman" w:hAnsi="Times New Roman" w:cs="Times New Roman" w:eastAsia="Times New Roman" w:hint="default"/>
          <w:spacing w:val="-2"/>
        </w:rPr>
        <w:t>2018</w:t>
      </w:r>
      <w:r>
        <w:rPr>
          <w:spacing w:val="-2"/>
        </w:rPr>
        <w:t>年日常经营关联交易预计的议案》，截至本报告期末，公司日常关联交易的合同签订金额或预计金额均在审议通</w:t>
      </w:r>
      <w:r>
        <w:rPr>
          <w:spacing w:val="-62"/>
        </w:rPr>
        <w:t> </w:t>
      </w:r>
      <w:r>
        <w:rPr>
          <w:spacing w:val="-62"/>
        </w:rPr>
      </w:r>
      <w:r>
        <w:rPr/>
        <w:t>过的额度内。</w:t>
      </w:r>
    </w:p>
    <w:p>
      <w:pPr>
        <w:pStyle w:val="BodyText"/>
        <w:spacing w:line="240" w:lineRule="auto" w:before="72"/>
        <w:ind w:right="0"/>
        <w:jc w:val="left"/>
      </w:pPr>
      <w:r>
        <w:rPr/>
        <w:t>重大关联交易临时报告披露网站相关查询</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26"/>
        <w:gridCol w:w="1552"/>
        <w:gridCol w:w="5064"/>
      </w:tblGrid>
      <w:tr>
        <w:trPr>
          <w:trHeight w:val="402" w:hRule="exact"/>
        </w:trPr>
        <w:tc>
          <w:tcPr>
            <w:tcW w:w="3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8" w:right="0"/>
              <w:jc w:val="left"/>
              <w:rPr>
                <w:rFonts w:ascii="宋体" w:hAnsi="宋体" w:cs="宋体" w:eastAsia="宋体" w:hint="default"/>
                <w:sz w:val="18"/>
                <w:szCs w:val="18"/>
              </w:rPr>
            </w:pPr>
            <w:r>
              <w:rPr>
                <w:rFonts w:ascii="宋体" w:hAnsi="宋体" w:cs="宋体" w:eastAsia="宋体" w:hint="default"/>
                <w:sz w:val="18"/>
                <w:szCs w:val="18"/>
              </w:rPr>
              <w:t>临时公告名称</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临时公告披露日期</w:t>
            </w:r>
          </w:p>
        </w:tc>
        <w:tc>
          <w:tcPr>
            <w:tcW w:w="5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27" w:right="0"/>
              <w:jc w:val="left"/>
              <w:rPr>
                <w:rFonts w:ascii="宋体" w:hAnsi="宋体" w:cs="宋体" w:eastAsia="宋体" w:hint="default"/>
                <w:sz w:val="18"/>
                <w:szCs w:val="18"/>
              </w:rPr>
            </w:pPr>
            <w:r>
              <w:rPr>
                <w:rFonts w:ascii="宋体" w:hAnsi="宋体" w:cs="宋体" w:eastAsia="宋体" w:hint="default"/>
                <w:sz w:val="18"/>
                <w:szCs w:val="18"/>
              </w:rPr>
              <w:t>临时公告披露网站名称</w:t>
            </w:r>
          </w:p>
        </w:tc>
      </w:tr>
      <w:tr>
        <w:trPr>
          <w:trHeight w:val="714" w:hRule="exact"/>
        </w:trPr>
        <w:tc>
          <w:tcPr>
            <w:tcW w:w="312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33"/>
              <w:jc w:val="left"/>
              <w:rPr>
                <w:rFonts w:ascii="宋体" w:hAnsi="宋体" w:cs="宋体" w:eastAsia="宋体" w:hint="default"/>
                <w:sz w:val="18"/>
                <w:szCs w:val="18"/>
              </w:rPr>
            </w:pPr>
            <w:r>
              <w:rPr>
                <w:rFonts w:ascii="宋体" w:hAnsi="宋体" w:cs="宋体" w:eastAsia="宋体" w:hint="default"/>
                <w:sz w:val="18"/>
                <w:szCs w:val="18"/>
              </w:rPr>
              <w:t>关于收购控股子公司股权暨投资设立合 资公司的关联交易公告</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5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4" w:right="22"/>
              <w:jc w:val="left"/>
              <w:rPr>
                <w:rFonts w:ascii="宋体" w:hAnsi="宋体" w:cs="宋体" w:eastAsia="宋体" w:hint="default"/>
                <w:sz w:val="18"/>
                <w:szCs w:val="18"/>
              </w:rPr>
            </w:pPr>
            <w:r>
              <w:rPr>
                <w:rFonts w:ascii="宋体" w:hAnsi="宋体" w:cs="宋体" w:eastAsia="宋体" w:hint="default"/>
                <w:spacing w:val="-19"/>
                <w:sz w:val="18"/>
                <w:szCs w:val="18"/>
              </w:rPr>
              <w:t>《证券时报》、《中国证券报》、《上海证券报》、《证券日报》以及</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r>
      <w:tr>
        <w:trPr>
          <w:trHeight w:val="714" w:hRule="exact"/>
        </w:trPr>
        <w:tc>
          <w:tcPr>
            <w:tcW w:w="312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33"/>
              <w:jc w:val="left"/>
              <w:rPr>
                <w:rFonts w:ascii="宋体" w:hAnsi="宋体" w:cs="宋体" w:eastAsia="宋体" w:hint="default"/>
                <w:sz w:val="18"/>
                <w:szCs w:val="18"/>
              </w:rPr>
            </w:pPr>
            <w:r>
              <w:rPr>
                <w:rFonts w:ascii="宋体" w:hAnsi="宋体" w:cs="宋体" w:eastAsia="宋体" w:hint="default"/>
                <w:sz w:val="18"/>
                <w:szCs w:val="18"/>
              </w:rPr>
              <w:t>关于向参股子公司增资暨关联交易的公 告</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5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4" w:right="22"/>
              <w:jc w:val="left"/>
              <w:rPr>
                <w:rFonts w:ascii="宋体" w:hAnsi="宋体" w:cs="宋体" w:eastAsia="宋体" w:hint="default"/>
                <w:sz w:val="18"/>
                <w:szCs w:val="18"/>
              </w:rPr>
            </w:pPr>
            <w:r>
              <w:rPr>
                <w:rFonts w:ascii="宋体" w:hAnsi="宋体" w:cs="宋体" w:eastAsia="宋体" w:hint="default"/>
                <w:spacing w:val="-19"/>
                <w:sz w:val="18"/>
                <w:szCs w:val="18"/>
              </w:rPr>
              <w:t>《证券时报》、《中国证券报》、《上海证券报》、《证券日报》以及</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r>
      <w:tr>
        <w:trPr>
          <w:trHeight w:val="714" w:hRule="exact"/>
        </w:trPr>
        <w:tc>
          <w:tcPr>
            <w:tcW w:w="3126"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121"/>
              <w:jc w:val="left"/>
              <w:rPr>
                <w:rFonts w:ascii="宋体" w:hAnsi="宋体" w:cs="宋体" w:eastAsia="宋体" w:hint="default"/>
                <w:sz w:val="18"/>
                <w:szCs w:val="18"/>
              </w:rPr>
            </w:pPr>
            <w:r>
              <w:rPr>
                <w:rFonts w:ascii="宋体" w:hAnsi="宋体" w:cs="宋体" w:eastAsia="宋体" w:hint="default"/>
                <w:sz w:val="18"/>
                <w:szCs w:val="18"/>
              </w:rPr>
              <w:t>关于公司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年日常经营关联交易预 计的公告</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5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4" w:right="22"/>
              <w:jc w:val="left"/>
              <w:rPr>
                <w:rFonts w:ascii="宋体" w:hAnsi="宋体" w:cs="宋体" w:eastAsia="宋体" w:hint="default"/>
                <w:sz w:val="18"/>
                <w:szCs w:val="18"/>
              </w:rPr>
            </w:pPr>
            <w:r>
              <w:rPr>
                <w:rFonts w:ascii="宋体" w:hAnsi="宋体" w:cs="宋体" w:eastAsia="宋体" w:hint="default"/>
                <w:spacing w:val="-19"/>
                <w:sz w:val="18"/>
                <w:szCs w:val="18"/>
              </w:rPr>
              <w:t>《证券时报》、《中国证券报》、《上海证券报》、《证券日报》以及</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r>
    </w:tbl>
    <w:p>
      <w:pPr>
        <w:spacing w:line="240" w:lineRule="auto" w:before="2"/>
        <w:rPr>
          <w:rFonts w:ascii="宋体" w:hAnsi="宋体" w:cs="宋体" w:eastAsia="宋体" w:hint="default"/>
          <w:sz w:val="18"/>
          <w:szCs w:val="18"/>
        </w:rPr>
      </w:pPr>
    </w:p>
    <w:p>
      <w:pPr>
        <w:pStyle w:val="Heading2"/>
        <w:spacing w:line="240" w:lineRule="auto" w:before="26"/>
        <w:ind w:right="0"/>
        <w:jc w:val="left"/>
        <w:rPr>
          <w:b w:val="0"/>
          <w:bCs w:val="0"/>
        </w:rPr>
      </w:pPr>
      <w:bookmarkStart w:name="十七、重大合同及其履行情况" w:id="86"/>
      <w:bookmarkEnd w:id="86"/>
      <w:r>
        <w:rPr>
          <w:b w:val="0"/>
          <w:bCs w:val="0"/>
        </w:rPr>
      </w:r>
      <w:r>
        <w:rPr/>
        <w:t>十七、重大合同及其履行情况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托管、承包、租赁事项情况" w:id="87"/>
      <w:bookmarkEnd w:id="87"/>
      <w:r>
        <w:rPr>
          <w:b w:val="0"/>
          <w:bCs w:val="0"/>
        </w:rPr>
      </w:r>
      <w:r>
        <w:rPr>
          <w:rFonts w:ascii="Times New Roman" w:hAnsi="Times New Roman" w:cs="Times New Roman" w:eastAsia="Times New Roman" w:hint="default"/>
        </w:rPr>
        <w:t>1</w:t>
      </w:r>
      <w:r>
        <w:rPr/>
        <w:t>、托管、承包、租赁事项情况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托管情况" w:id="88"/>
      <w:bookmarkEnd w:id="88"/>
      <w:r>
        <w:rPr>
          <w:b w:val="0"/>
          <w:bCs w:val="0"/>
        </w:rPr>
      </w:r>
      <w:r>
        <w:rPr/>
        <w:t>（</w:t>
      </w:r>
      <w:r>
        <w:rPr>
          <w:rFonts w:ascii="Times New Roman" w:hAnsi="Times New Roman" w:cs="Times New Roman" w:eastAsia="Times New Roman" w:hint="default"/>
        </w:rPr>
        <w:t>1</w:t>
      </w:r>
      <w:r>
        <w:rPr/>
        <w:t>）托管情况</w:t>
      </w:r>
      <w:r>
        <w:rPr>
          <w:b w:val="0"/>
          <w:bCs w:val="0"/>
        </w:rPr>
      </w:r>
    </w:p>
    <w:p>
      <w:pPr>
        <w:spacing w:line="240" w:lineRule="auto" w:before="8"/>
        <w:rPr>
          <w:rFonts w:ascii="宋体" w:hAnsi="宋体" w:cs="宋体" w:eastAsia="宋体" w:hint="default"/>
          <w:b/>
          <w:bCs/>
          <w:sz w:val="26"/>
          <w:szCs w:val="26"/>
        </w:rPr>
      </w:pPr>
    </w:p>
    <w:p>
      <w:pPr>
        <w:pStyle w:val="BodyText"/>
        <w:spacing w:line="340" w:lineRule="auto"/>
        <w:ind w:right="841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公司报告期不存在托管情况。</w:t>
      </w:r>
    </w:p>
    <w:p>
      <w:pPr>
        <w:spacing w:line="240" w:lineRule="auto" w:before="12"/>
        <w:rPr>
          <w:rFonts w:ascii="宋体" w:hAnsi="宋体" w:cs="宋体" w:eastAsia="宋体" w:hint="default"/>
          <w:sz w:val="20"/>
          <w:szCs w:val="20"/>
        </w:rPr>
      </w:pPr>
    </w:p>
    <w:p>
      <w:pPr>
        <w:pStyle w:val="Heading3"/>
        <w:spacing w:line="240" w:lineRule="auto"/>
        <w:ind w:right="0"/>
        <w:jc w:val="left"/>
        <w:rPr>
          <w:b w:val="0"/>
          <w:bCs w:val="0"/>
        </w:rPr>
      </w:pPr>
      <w:bookmarkStart w:name="（2）承包情况" w:id="89"/>
      <w:bookmarkEnd w:id="89"/>
      <w:r>
        <w:rPr>
          <w:b w:val="0"/>
          <w:bCs w:val="0"/>
        </w:rPr>
      </w:r>
      <w:r>
        <w:rPr/>
        <w:t>（</w:t>
      </w:r>
      <w:r>
        <w:rPr>
          <w:rFonts w:ascii="Times New Roman" w:hAnsi="Times New Roman" w:cs="Times New Roman" w:eastAsia="Times New Roman" w:hint="default"/>
        </w:rPr>
        <w:t>2</w:t>
      </w:r>
      <w:r>
        <w:rPr/>
        <w:t>）承包情况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pStyle w:val="BodyText"/>
        <w:spacing w:line="240" w:lineRule="auto" w:before="44"/>
        <w:ind w:right="0"/>
        <w:jc w:val="left"/>
      </w:pPr>
      <w:r>
        <w:rPr/>
        <w:t>公司报告期不存在承包情况。</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3）租赁情况" w:id="90"/>
      <w:bookmarkEnd w:id="90"/>
      <w:r>
        <w:rPr>
          <w:b w:val="0"/>
          <w:bCs w:val="0"/>
        </w:rPr>
      </w:r>
      <w:r>
        <w:rPr/>
        <w:t>（</w:t>
      </w:r>
      <w:r>
        <w:rPr>
          <w:rFonts w:ascii="Times New Roman" w:hAnsi="Times New Roman" w:cs="Times New Roman" w:eastAsia="Times New Roman" w:hint="default"/>
        </w:rPr>
        <w:t>3</w:t>
      </w:r>
      <w:r>
        <w:rPr/>
        <w:t>）租赁情况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913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租赁情况说明</w:t>
      </w:r>
    </w:p>
    <w:p>
      <w:pPr>
        <w:pStyle w:val="BodyText"/>
        <w:spacing w:line="304" w:lineRule="auto" w:before="42"/>
        <w:ind w:right="1032"/>
        <w:jc w:val="left"/>
      </w:pPr>
      <w:r>
        <w:rPr>
          <w:rFonts w:ascii="Times New Roman" w:hAnsi="Times New Roman" w:cs="Times New Roman" w:eastAsia="Times New Roman" w:hint="default"/>
          <w:spacing w:val="-2"/>
        </w:rPr>
        <w:t>1</w:t>
      </w:r>
      <w:r>
        <w:rPr>
          <w:spacing w:val="-2"/>
        </w:rPr>
        <w:t>、</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23</w:t>
      </w:r>
      <w:r>
        <w:rPr>
          <w:spacing w:val="-2"/>
        </w:rPr>
        <w:t>日，公司与深圳市世纪天源环保技术有限公司签订《工业厂房物业租赁合同》，由深圳市世纪天源环保技术</w:t>
      </w:r>
      <w:r>
        <w:rPr>
          <w:spacing w:val="-59"/>
        </w:rPr>
        <w:t> </w:t>
      </w:r>
      <w:r>
        <w:rPr>
          <w:spacing w:val="-59"/>
        </w:rPr>
      </w:r>
      <w:r>
        <w:rPr/>
        <w:t>有限公司租赁公司劲嘉工业园</w:t>
      </w:r>
      <w:r>
        <w:rPr>
          <w:rFonts w:ascii="Times New Roman" w:hAnsi="Times New Roman" w:cs="Times New Roman" w:eastAsia="Times New Roman" w:hint="default"/>
        </w:rPr>
        <w:t>1</w:t>
      </w:r>
      <w:r>
        <w:rPr/>
        <w:t>号厂房六楼顶部，租赁建筑面积为</w:t>
      </w:r>
      <w:r>
        <w:rPr>
          <w:rFonts w:ascii="Times New Roman" w:hAnsi="Times New Roman" w:cs="Times New Roman" w:eastAsia="Times New Roman" w:hint="default"/>
        </w:rPr>
        <w:t>2500</w:t>
      </w:r>
      <w:r>
        <w:rPr/>
        <w:t>平方米，用于环保治理设备的安置和管道铺设，租期 为</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w:t>
      </w:r>
      <w:r>
        <w:rPr/>
        <w:t>日至</w:t>
      </w:r>
      <w:r>
        <w:rPr>
          <w:rFonts w:ascii="Times New Roman" w:hAnsi="Times New Roman" w:cs="Times New Roman" w:eastAsia="Times New Roman" w:hint="default"/>
        </w:rPr>
        <w:t>2024</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w:t>
      </w:r>
      <w:r>
        <w:rPr/>
        <w:t>日，总租金为人民币</w:t>
      </w:r>
      <w:r>
        <w:rPr>
          <w:rFonts w:ascii="Times New Roman" w:hAnsi="Times New Roman" w:cs="Times New Roman" w:eastAsia="Times New Roman" w:hint="default"/>
        </w:rPr>
        <w:t>1,000</w:t>
      </w:r>
      <w:r>
        <w:rPr/>
        <w:t>万元。</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5</w:t>
      </w:r>
      <w:r>
        <w:rPr/>
        <w:t>日，双方签订补充协议，将租期调整为</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w:t>
      </w:r>
      <w:r>
        <w:rPr/>
        <w:t>月 </w:t>
      </w:r>
      <w:r>
        <w:rPr>
          <w:rFonts w:ascii="Times New Roman" w:hAnsi="Times New Roman" w:cs="Times New Roman" w:eastAsia="Times New Roman" w:hint="default"/>
          <w:spacing w:val="-2"/>
        </w:rPr>
        <w:t>1</w:t>
      </w:r>
      <w:r>
        <w:rPr>
          <w:spacing w:val="-2"/>
        </w:rPr>
        <w:t>日至</w:t>
      </w:r>
      <w:r>
        <w:rPr>
          <w:rFonts w:ascii="Times New Roman" w:hAnsi="Times New Roman" w:cs="Times New Roman" w:eastAsia="Times New Roman" w:hint="default"/>
          <w:spacing w:val="-2"/>
        </w:rPr>
        <w:t>2025</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1</w:t>
      </w:r>
      <w:r>
        <w:rPr>
          <w:spacing w:val="-2"/>
        </w:rPr>
        <w:t>日。</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4</w:t>
      </w:r>
      <w:r>
        <w:rPr>
          <w:spacing w:val="-2"/>
        </w:rPr>
        <w:t>月，公司与深圳市世纪天源环保技术有限公司、湖北吴城环保科技有限公司签订三方协议，将</w:t>
      </w:r>
      <w:r>
        <w:rPr>
          <w:spacing w:val="-54"/>
        </w:rPr>
        <w:t> </w:t>
      </w:r>
      <w:r>
        <w:rPr>
          <w:spacing w:val="-54"/>
        </w:rPr>
      </w:r>
      <w:r>
        <w:rPr/>
        <w:t>深圳市世纪天源环保技术有限公司与厂房租赁相关的权利义务均转让给湖北吴城环保科技有限公司。 </w:t>
      </w:r>
      <w:r>
        <w:rPr>
          <w:rFonts w:ascii="Times New Roman" w:hAnsi="Times New Roman" w:cs="Times New Roman" w:eastAsia="Times New Roman" w:hint="default"/>
        </w:rPr>
        <w:t>2</w:t>
      </w:r>
      <w:r>
        <w:rPr/>
        <w:t>、</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28</w:t>
      </w:r>
      <w:r>
        <w:rPr/>
        <w:t>日，公司全资子公司贵州劲嘉与贵州顺丰速运有限公司（以下简称</w:t>
      </w:r>
      <w:r>
        <w:rPr>
          <w:rFonts w:ascii="Times New Roman" w:hAnsi="Times New Roman" w:cs="Times New Roman" w:eastAsia="Times New Roman" w:hint="default"/>
        </w:rPr>
        <w:t>“</w:t>
      </w:r>
      <w:r>
        <w:rPr/>
        <w:t>贵州顺丰</w:t>
      </w:r>
      <w:r>
        <w:rPr>
          <w:rFonts w:ascii="Times New Roman" w:hAnsi="Times New Roman" w:cs="Times New Roman" w:eastAsia="Times New Roman" w:hint="default"/>
        </w:rPr>
        <w:t>”</w:t>
      </w:r>
      <w:r>
        <w:rPr/>
        <w:t>）签订了《顺丰速运劲嘉物 </w:t>
      </w:r>
      <w:r>
        <w:rPr>
          <w:spacing w:val="-4"/>
        </w:rPr>
        <w:t>流基地（贵阳）租赁合同》，双方达成一致合作意向，合作模式为由土地使用权所有人贵州劲嘉按照贵州顺丰要求完成设计、</w:t>
      </w:r>
      <w:r>
        <w:rPr>
          <w:spacing w:val="-43"/>
        </w:rPr>
        <w:t> </w:t>
      </w:r>
      <w:r>
        <w:rPr>
          <w:spacing w:val="-43"/>
        </w:rPr>
      </w:r>
      <w:r>
        <w:rPr>
          <w:spacing w:val="-2"/>
        </w:rPr>
        <w:t>建造并承担建设费用，项目完工后该房屋和设施按照租赁合同移交贵州顺丰经营使用。租赁场所占地面积：其中厂房建筑面</w:t>
      </w:r>
      <w:r>
        <w:rPr>
          <w:spacing w:val="-66"/>
        </w:rPr>
        <w:t> </w:t>
      </w:r>
      <w:r>
        <w:rPr>
          <w:spacing w:val="-66"/>
        </w:rPr>
      </w:r>
      <w:r>
        <w:rPr/>
        <w:t>积</w:t>
      </w:r>
      <w:r>
        <w:rPr>
          <w:rFonts w:ascii="Times New Roman" w:hAnsi="Times New Roman" w:cs="Times New Roman" w:eastAsia="Times New Roman" w:hint="default"/>
        </w:rPr>
        <w:t>18,000</w:t>
      </w:r>
      <w:r>
        <w:rPr/>
        <w:t>平方米，空地占地面积</w:t>
      </w:r>
      <w:r>
        <w:rPr>
          <w:rFonts w:ascii="Times New Roman" w:hAnsi="Times New Roman" w:cs="Times New Roman" w:eastAsia="Times New Roman" w:hint="default"/>
        </w:rPr>
        <w:t>22,400</w:t>
      </w:r>
      <w:r>
        <w:rPr/>
        <w:t>平方米，具体面积以实测面积为准，需经过双方确认。租金为含税租金，总租金为每 年</w:t>
      </w:r>
      <w:r>
        <w:rPr>
          <w:rFonts w:ascii="Times New Roman" w:hAnsi="Times New Roman" w:cs="Times New Roman" w:eastAsia="Times New Roman" w:hint="default"/>
        </w:rPr>
        <w:t>6,580,320</w:t>
      </w:r>
      <w:r>
        <w:rPr/>
        <w:t>元。租金从交付使用第二年开始递增，租金每一年递增</w:t>
      </w:r>
      <w:r>
        <w:rPr>
          <w:rFonts w:ascii="Times New Roman" w:hAnsi="Times New Roman" w:cs="Times New Roman" w:eastAsia="Times New Roman" w:hint="default"/>
        </w:rPr>
        <w:t>3%</w:t>
      </w:r>
      <w:r>
        <w:rPr/>
        <w:t>。租赁期限为五年，自</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w:t>
      </w:r>
      <w:r>
        <w:rPr/>
        <w:t>日起至</w:t>
      </w:r>
      <w:r>
        <w:rPr>
          <w:rFonts w:ascii="Times New Roman" w:hAnsi="Times New Roman" w:cs="Times New Roman" w:eastAsia="Times New Roman" w:hint="default"/>
        </w:rPr>
        <w:t>2021</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31 </w:t>
      </w:r>
      <w:r>
        <w:rPr/>
        <w:t>日止。</w:t>
      </w:r>
    </w:p>
    <w:p>
      <w:pPr>
        <w:spacing w:line="240" w:lineRule="auto" w:before="0"/>
        <w:rPr>
          <w:rFonts w:ascii="宋体" w:hAnsi="宋体" w:cs="宋体" w:eastAsia="宋体" w:hint="default"/>
          <w:sz w:val="18"/>
          <w:szCs w:val="18"/>
        </w:rPr>
      </w:pPr>
    </w:p>
    <w:p>
      <w:pPr>
        <w:pStyle w:val="BodyText"/>
        <w:spacing w:line="240" w:lineRule="auto" w:before="145"/>
        <w:ind w:right="0"/>
        <w:jc w:val="left"/>
      </w:pPr>
      <w:r>
        <w:rPr/>
        <w:t>为公司带来的损益达到公司报告期利润总额</w:t>
      </w:r>
      <w:r>
        <w:rPr>
          <w:spacing w:val="-46"/>
        </w:rPr>
        <w:t> </w:t>
      </w:r>
      <w:r>
        <w:rPr>
          <w:rFonts w:ascii="Times New Roman" w:hAnsi="Times New Roman" w:cs="Times New Roman" w:eastAsia="Times New Roman" w:hint="default"/>
        </w:rPr>
        <w:t>10%</w:t>
      </w:r>
      <w:r>
        <w:rPr/>
        <w:t>以上的项目</w:t>
      </w:r>
    </w:p>
    <w:p>
      <w:pPr>
        <w:pStyle w:val="BodyText"/>
        <w:spacing w:line="240" w:lineRule="auto" w:before="102"/>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3"/>
        <w:ind w:right="0"/>
        <w:jc w:val="left"/>
      </w:pPr>
      <w:r>
        <w:rPr/>
        <w:t>公司报告期不存在为公司带来的损益达到公司报告期利润总额</w:t>
      </w:r>
      <w:r>
        <w:rPr>
          <w:spacing w:val="-45"/>
        </w:rPr>
        <w:t> </w:t>
      </w:r>
      <w:r>
        <w:rPr>
          <w:rFonts w:ascii="Times New Roman" w:hAnsi="Times New Roman" w:cs="Times New Roman" w:eastAsia="Times New Roman" w:hint="default"/>
        </w:rPr>
        <w:t>10%</w:t>
      </w:r>
      <w:r>
        <w:rPr/>
        <w:t>以上的租赁项目。</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2、重大担保" w:id="91"/>
      <w:bookmarkEnd w:id="91"/>
      <w:r>
        <w:rPr>
          <w:b w:val="0"/>
          <w:bCs w:val="0"/>
        </w:rPr>
      </w:r>
      <w:r>
        <w:rPr>
          <w:rFonts w:ascii="Times New Roman" w:hAnsi="Times New Roman" w:cs="Times New Roman" w:eastAsia="Times New Roman" w:hint="default"/>
        </w:rPr>
        <w:t>2</w:t>
      </w:r>
      <w:r>
        <w:rPr/>
        <w:t>、重大担保</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1）担保情况" w:id="92"/>
      <w:bookmarkEnd w:id="92"/>
      <w:r>
        <w:rPr>
          <w:b w:val="0"/>
          <w:bCs w:val="0"/>
        </w:rPr>
      </w:r>
      <w:r>
        <w:rPr/>
        <w:t>（</w:t>
      </w:r>
      <w:r>
        <w:rPr>
          <w:rFonts w:ascii="Times New Roman" w:hAnsi="Times New Roman" w:cs="Times New Roman" w:eastAsia="Times New Roman" w:hint="default"/>
        </w:rPr>
        <w:t>1</w:t>
      </w:r>
      <w:r>
        <w:rPr/>
        <w:t>）担保情况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0" w:right="1130"/>
        <w:jc w:val="right"/>
      </w:pPr>
      <w:r>
        <w:rPr/>
        <w:t>单位：万元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709"/>
        <w:gridCol w:w="926"/>
        <w:gridCol w:w="924"/>
        <w:gridCol w:w="1296"/>
        <w:gridCol w:w="1063"/>
        <w:gridCol w:w="1034"/>
        <w:gridCol w:w="1049"/>
        <w:gridCol w:w="792"/>
        <w:gridCol w:w="779"/>
      </w:tblGrid>
      <w:tr>
        <w:trPr>
          <w:trHeight w:val="402" w:hRule="exact"/>
        </w:trPr>
        <w:tc>
          <w:tcPr>
            <w:tcW w:w="9574"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531" w:right="0"/>
              <w:jc w:val="left"/>
              <w:rPr>
                <w:rFonts w:ascii="宋体" w:hAnsi="宋体" w:cs="宋体" w:eastAsia="宋体" w:hint="default"/>
                <w:sz w:val="18"/>
                <w:szCs w:val="18"/>
              </w:rPr>
            </w:pPr>
            <w:r>
              <w:rPr>
                <w:rFonts w:ascii="宋体" w:hAnsi="宋体" w:cs="宋体" w:eastAsia="宋体" w:hint="default"/>
                <w:sz w:val="18"/>
                <w:szCs w:val="18"/>
              </w:rPr>
              <w:t>公司及其子公司对外担保情况（不包括对子公司的担保）</w:t>
            </w:r>
          </w:p>
        </w:tc>
      </w:tr>
      <w:tr>
        <w:trPr>
          <w:trHeight w:val="1026" w:hRule="exact"/>
        </w:trPr>
        <w:tc>
          <w:tcPr>
            <w:tcW w:w="1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担保对象名称</w:t>
            </w:r>
          </w:p>
        </w:tc>
        <w:tc>
          <w:tcPr>
            <w:tcW w:w="9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99" w:right="95"/>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98"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实际发生日期</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435" w:right="77" w:hanging="360"/>
              <w:jc w:val="left"/>
              <w:rPr>
                <w:rFonts w:ascii="宋体" w:hAnsi="宋体" w:cs="宋体" w:eastAsia="宋体" w:hint="default"/>
                <w:sz w:val="18"/>
                <w:szCs w:val="18"/>
              </w:rPr>
            </w:pPr>
            <w:r>
              <w:rPr>
                <w:rFonts w:ascii="宋体" w:hAnsi="宋体" w:cs="宋体" w:eastAsia="宋体" w:hint="default"/>
                <w:sz w:val="18"/>
                <w:szCs w:val="18"/>
              </w:rPr>
              <w:t>实际担保金 额</w:t>
            </w:r>
          </w:p>
        </w:tc>
        <w:tc>
          <w:tcPr>
            <w:tcW w:w="10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担保类型</w:t>
            </w:r>
          </w:p>
        </w:tc>
        <w:tc>
          <w:tcPr>
            <w:tcW w:w="10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 w:right="0"/>
              <w:jc w:val="center"/>
              <w:rPr>
                <w:rFonts w:ascii="宋体" w:hAnsi="宋体" w:cs="宋体" w:eastAsia="宋体" w:hint="default"/>
                <w:sz w:val="18"/>
                <w:szCs w:val="18"/>
              </w:rPr>
            </w:pPr>
            <w:r>
              <w:rPr>
                <w:rFonts w:ascii="宋体" w:hAnsi="宋体" w:cs="宋体" w:eastAsia="宋体" w:hint="default"/>
                <w:sz w:val="18"/>
                <w:szCs w:val="18"/>
              </w:rPr>
              <w:t>担保期</w:t>
            </w:r>
          </w:p>
        </w:tc>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12" w:right="29"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5" w:right="22"/>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402" w:hRule="exact"/>
        </w:trPr>
        <w:tc>
          <w:tcPr>
            <w:tcW w:w="9574"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公司对子公司的担保情况</w:t>
            </w:r>
          </w:p>
        </w:tc>
      </w:tr>
      <w:tr>
        <w:trPr>
          <w:trHeight w:val="1025" w:hRule="exact"/>
        </w:trPr>
        <w:tc>
          <w:tcPr>
            <w:tcW w:w="1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担保对象名称</w:t>
            </w:r>
          </w:p>
        </w:tc>
        <w:tc>
          <w:tcPr>
            <w:tcW w:w="9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96" w:right="98"/>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96"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实际发生日期</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435" w:right="77" w:hanging="360"/>
              <w:jc w:val="left"/>
              <w:rPr>
                <w:rFonts w:ascii="宋体" w:hAnsi="宋体" w:cs="宋体" w:eastAsia="宋体" w:hint="default"/>
                <w:sz w:val="18"/>
                <w:szCs w:val="18"/>
              </w:rPr>
            </w:pPr>
            <w:r>
              <w:rPr>
                <w:rFonts w:ascii="宋体" w:hAnsi="宋体" w:cs="宋体" w:eastAsia="宋体" w:hint="default"/>
                <w:sz w:val="18"/>
                <w:szCs w:val="18"/>
              </w:rPr>
              <w:t>实际担保金 额</w:t>
            </w:r>
          </w:p>
        </w:tc>
        <w:tc>
          <w:tcPr>
            <w:tcW w:w="10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担保类型</w:t>
            </w:r>
          </w:p>
        </w:tc>
        <w:tc>
          <w:tcPr>
            <w:tcW w:w="10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
              <w:jc w:val="center"/>
              <w:rPr>
                <w:rFonts w:ascii="宋体" w:hAnsi="宋体" w:cs="宋体" w:eastAsia="宋体" w:hint="default"/>
                <w:sz w:val="18"/>
                <w:szCs w:val="18"/>
              </w:rPr>
            </w:pPr>
            <w:r>
              <w:rPr>
                <w:rFonts w:ascii="宋体" w:hAnsi="宋体" w:cs="宋体" w:eastAsia="宋体" w:hint="default"/>
                <w:sz w:val="18"/>
                <w:szCs w:val="18"/>
              </w:rPr>
              <w:t>担保期</w:t>
            </w:r>
          </w:p>
        </w:tc>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08" w:right="31"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5" w:right="22"/>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1026"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9" w:lineRule="auto"/>
              <w:ind w:left="22" w:right="54"/>
              <w:jc w:val="left"/>
              <w:rPr>
                <w:rFonts w:ascii="宋体" w:hAnsi="宋体" w:cs="宋体" w:eastAsia="宋体" w:hint="default"/>
                <w:sz w:val="18"/>
                <w:szCs w:val="18"/>
              </w:rPr>
            </w:pPr>
            <w:r>
              <w:rPr>
                <w:rFonts w:ascii="宋体" w:hAnsi="宋体" w:cs="宋体" w:eastAsia="宋体" w:hint="default"/>
                <w:sz w:val="18"/>
                <w:szCs w:val="18"/>
              </w:rPr>
              <w:t>深圳前海劲嘉供应链 有限公司</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5,000</w:t>
            </w:r>
          </w:p>
        </w:tc>
        <w:tc>
          <w:tcPr>
            <w:tcW w:w="1296"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9" w:lineRule="auto"/>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 </w:t>
            </w:r>
            <w:r>
              <w:rPr>
                <w:rFonts w:ascii="Times New Roman" w:hAnsi="Times New Roman" w:cs="Times New Roman" w:eastAsia="Times New Roman" w:hint="default"/>
                <w:sz w:val="18"/>
                <w:szCs w:val="18"/>
              </w:rPr>
              <w:t>8 </w:t>
            </w:r>
            <w:r>
              <w:rPr>
                <w:rFonts w:ascii="宋体" w:hAnsi="宋体" w:cs="宋体" w:eastAsia="宋体" w:hint="default"/>
                <w:sz w:val="18"/>
                <w:szCs w:val="18"/>
              </w:rPr>
              <w:t>月</w:t>
            </w:r>
          </w:p>
          <w:p>
            <w:pPr>
              <w:pStyle w:val="TableParagraph"/>
              <w:spacing w:line="240" w:lineRule="auto" w:before="6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31 </w:t>
            </w:r>
            <w:r>
              <w:rPr>
                <w:rFonts w:ascii="宋体" w:hAnsi="宋体" w:cs="宋体" w:eastAsia="宋体" w:hint="default"/>
                <w:sz w:val="18"/>
                <w:szCs w:val="18"/>
              </w:rPr>
              <w:t>日至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19"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深圳劲嘉新型智能包 装有限公司</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15,000</w:t>
            </w:r>
          </w:p>
        </w:tc>
        <w:tc>
          <w:tcPr>
            <w:tcW w:w="1296"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 </w:t>
            </w:r>
            <w:r>
              <w:rPr>
                <w:rFonts w:ascii="Times New Roman" w:hAnsi="Times New Roman" w:cs="Times New Roman" w:eastAsia="Times New Roman" w:hint="default"/>
                <w:sz w:val="18"/>
                <w:szCs w:val="18"/>
              </w:rPr>
              <w:t>8 </w:t>
            </w:r>
            <w:r>
              <w:rPr>
                <w:rFonts w:ascii="宋体" w:hAnsi="宋体" w:cs="宋体" w:eastAsia="宋体" w:hint="default"/>
                <w:sz w:val="18"/>
                <w:szCs w:val="18"/>
              </w:rPr>
              <w:t>月</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31 </w:t>
            </w:r>
            <w:r>
              <w:rPr>
                <w:rFonts w:ascii="宋体" w:hAnsi="宋体" w:cs="宋体" w:eastAsia="宋体" w:hint="default"/>
                <w:sz w:val="18"/>
                <w:szCs w:val="18"/>
              </w:rPr>
              <w:t>日至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2018</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1703"/>
        <w:gridCol w:w="904"/>
        <w:gridCol w:w="933"/>
        <w:gridCol w:w="1307"/>
        <w:gridCol w:w="1045"/>
        <w:gridCol w:w="1042"/>
        <w:gridCol w:w="1053"/>
        <w:gridCol w:w="791"/>
        <w:gridCol w:w="785"/>
      </w:tblGrid>
      <w:tr>
        <w:trPr>
          <w:trHeight w:val="362" w:hRule="exact"/>
        </w:trPr>
        <w:tc>
          <w:tcPr>
            <w:tcW w:w="1703" w:type="dxa"/>
            <w:tcBorders>
              <w:top w:val="single" w:sz="4" w:space="0" w:color="000000"/>
              <w:left w:val="single" w:sz="4" w:space="0" w:color="000000"/>
              <w:bottom w:val="single" w:sz="4" w:space="0" w:color="000000"/>
              <w:right w:val="single" w:sz="4" w:space="0" w:color="000000"/>
            </w:tcBorders>
          </w:tcPr>
          <w:p>
            <w:pPr/>
          </w:p>
        </w:tc>
        <w:tc>
          <w:tcPr>
            <w:tcW w:w="904" w:type="dxa"/>
            <w:tcBorders>
              <w:top w:val="single" w:sz="4" w:space="0" w:color="000000"/>
              <w:left w:val="single" w:sz="4" w:space="0" w:color="000000"/>
              <w:bottom w:val="single" w:sz="4" w:space="0" w:color="000000"/>
              <w:right w:val="single" w:sz="4" w:space="0" w:color="000000"/>
            </w:tcBorders>
          </w:tcPr>
          <w:p>
            <w:pPr/>
          </w:p>
        </w:tc>
        <w:tc>
          <w:tcPr>
            <w:tcW w:w="933" w:type="dxa"/>
            <w:tcBorders>
              <w:top w:val="single" w:sz="4" w:space="0" w:color="000000"/>
              <w:left w:val="single" w:sz="4" w:space="0" w:color="000000"/>
              <w:bottom w:val="single" w:sz="4" w:space="0" w:color="000000"/>
              <w:right w:val="single" w:sz="4" w:space="0" w:color="000000"/>
            </w:tcBorders>
          </w:tcPr>
          <w:p>
            <w:pPr/>
          </w:p>
        </w:tc>
        <w:tc>
          <w:tcPr>
            <w:tcW w:w="1307"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
        </w:tc>
        <w:tc>
          <w:tcPr>
            <w:tcW w:w="1042" w:type="dxa"/>
            <w:tcBorders>
              <w:top w:val="single" w:sz="4" w:space="0" w:color="000000"/>
              <w:left w:val="single" w:sz="4" w:space="0" w:color="000000"/>
              <w:bottom w:val="single" w:sz="4" w:space="0" w:color="000000"/>
              <w:right w:val="single" w:sz="4" w:space="0" w:color="000000"/>
            </w:tcBorders>
          </w:tcPr>
          <w:p>
            <w:pPr/>
          </w:p>
        </w:tc>
        <w:tc>
          <w:tcPr>
            <w:tcW w:w="1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5" w:right="0"/>
              <w:jc w:val="center"/>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1"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60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65"/>
              <w:jc w:val="left"/>
              <w:rPr>
                <w:rFonts w:ascii="宋体" w:hAnsi="宋体" w:cs="宋体" w:eastAsia="宋体" w:hint="default"/>
                <w:sz w:val="18"/>
                <w:szCs w:val="18"/>
              </w:rPr>
            </w:pPr>
            <w:r>
              <w:rPr>
                <w:rFonts w:ascii="宋体" w:hAnsi="宋体" w:cs="宋体" w:eastAsia="宋体" w:hint="default"/>
                <w:sz w:val="18"/>
                <w:szCs w:val="18"/>
              </w:rPr>
              <w:t>报告期内审批对子公司担保额度 合计（</w:t>
            </w:r>
            <w:r>
              <w:rPr>
                <w:rFonts w:ascii="Times New Roman" w:hAnsi="Times New Roman" w:cs="Times New Roman" w:eastAsia="Times New Roman" w:hint="default"/>
                <w:sz w:val="18"/>
                <w:szCs w:val="18"/>
              </w:rPr>
              <w:t>B1</w:t>
            </w:r>
            <w:r>
              <w:rPr>
                <w:rFonts w:ascii="宋体" w:hAnsi="宋体" w:cs="宋体" w:eastAsia="宋体" w:hint="default"/>
                <w:sz w:val="18"/>
                <w:szCs w:val="18"/>
              </w:rPr>
              <w:t>）</w:t>
            </w:r>
          </w:p>
        </w:tc>
        <w:tc>
          <w:tcPr>
            <w:tcW w:w="2240" w:type="dxa"/>
            <w:gridSpan w:val="2"/>
            <w:tcBorders>
              <w:top w:val="single" w:sz="4" w:space="0" w:color="000000"/>
              <w:left w:val="single" w:sz="13" w:space="0" w:color="D2D2D2"/>
              <w:bottom w:val="single" w:sz="4" w:space="0" w:color="000000"/>
              <w:right w:val="single" w:sz="9" w:space="0" w:color="D2D2D2"/>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0</w:t>
            </w:r>
          </w:p>
        </w:tc>
        <w:tc>
          <w:tcPr>
            <w:tcW w:w="208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0" w:right="75"/>
              <w:jc w:val="left"/>
              <w:rPr>
                <w:rFonts w:ascii="宋体" w:hAnsi="宋体" w:cs="宋体" w:eastAsia="宋体" w:hint="default"/>
                <w:sz w:val="18"/>
                <w:szCs w:val="18"/>
              </w:rPr>
            </w:pPr>
            <w:r>
              <w:rPr>
                <w:rFonts w:ascii="宋体" w:hAnsi="宋体" w:cs="宋体" w:eastAsia="宋体" w:hint="default"/>
                <w:sz w:val="18"/>
                <w:szCs w:val="18"/>
              </w:rPr>
              <w:t>报告期内对子公司担保实 际发生额合计（</w:t>
            </w:r>
            <w:r>
              <w:rPr>
                <w:rFonts w:ascii="Times New Roman" w:hAnsi="Times New Roman" w:cs="Times New Roman" w:eastAsia="Times New Roman" w:hint="default"/>
                <w:sz w:val="18"/>
                <w:szCs w:val="18"/>
              </w:rPr>
              <w:t>B2</w:t>
            </w:r>
            <w:r>
              <w:rPr>
                <w:rFonts w:ascii="宋体" w:hAnsi="宋体" w:cs="宋体" w:eastAsia="宋体" w:hint="default"/>
                <w:sz w:val="18"/>
                <w:szCs w:val="18"/>
              </w:rPr>
              <w:t>）</w:t>
            </w:r>
          </w:p>
        </w:tc>
        <w:tc>
          <w:tcPr>
            <w:tcW w:w="2629"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15,000</w:t>
            </w:r>
          </w:p>
        </w:tc>
      </w:tr>
      <w:tr>
        <w:trPr>
          <w:trHeight w:val="719" w:hRule="exact"/>
        </w:trPr>
        <w:tc>
          <w:tcPr>
            <w:tcW w:w="260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65"/>
              <w:jc w:val="left"/>
              <w:rPr>
                <w:rFonts w:ascii="宋体" w:hAnsi="宋体" w:cs="宋体" w:eastAsia="宋体" w:hint="default"/>
                <w:sz w:val="18"/>
                <w:szCs w:val="18"/>
              </w:rPr>
            </w:pPr>
            <w:r>
              <w:rPr>
                <w:rFonts w:ascii="宋体" w:hAnsi="宋体" w:cs="宋体" w:eastAsia="宋体" w:hint="default"/>
                <w:sz w:val="18"/>
                <w:szCs w:val="18"/>
              </w:rPr>
              <w:t>报告期末已审批的对子公司担保 额度合计（</w:t>
            </w:r>
            <w:r>
              <w:rPr>
                <w:rFonts w:ascii="Times New Roman" w:hAnsi="Times New Roman" w:cs="Times New Roman" w:eastAsia="Times New Roman" w:hint="default"/>
                <w:sz w:val="18"/>
                <w:szCs w:val="18"/>
              </w:rPr>
              <w:t>B3</w:t>
            </w:r>
            <w:r>
              <w:rPr>
                <w:rFonts w:ascii="宋体" w:hAnsi="宋体" w:cs="宋体" w:eastAsia="宋体" w:hint="default"/>
                <w:sz w:val="18"/>
                <w:szCs w:val="18"/>
              </w:rPr>
              <w:t>）</w:t>
            </w:r>
          </w:p>
        </w:tc>
        <w:tc>
          <w:tcPr>
            <w:tcW w:w="2240" w:type="dxa"/>
            <w:gridSpan w:val="2"/>
            <w:tcBorders>
              <w:top w:val="single" w:sz="4" w:space="0" w:color="000000"/>
              <w:left w:val="single" w:sz="13" w:space="0" w:color="D2D2D2"/>
              <w:bottom w:val="single" w:sz="4" w:space="0" w:color="000000"/>
              <w:right w:val="single" w:sz="9" w:space="0" w:color="D2D2D2"/>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0</w:t>
            </w:r>
          </w:p>
        </w:tc>
        <w:tc>
          <w:tcPr>
            <w:tcW w:w="208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0" w:right="75"/>
              <w:jc w:val="left"/>
              <w:rPr>
                <w:rFonts w:ascii="宋体" w:hAnsi="宋体" w:cs="宋体" w:eastAsia="宋体" w:hint="default"/>
                <w:sz w:val="18"/>
                <w:szCs w:val="18"/>
              </w:rPr>
            </w:pPr>
            <w:r>
              <w:rPr>
                <w:rFonts w:ascii="宋体" w:hAnsi="宋体" w:cs="宋体" w:eastAsia="宋体" w:hint="default"/>
                <w:sz w:val="18"/>
                <w:szCs w:val="18"/>
              </w:rPr>
              <w:t>报告期末对子公司实际担 保余额合计（</w:t>
            </w:r>
            <w:r>
              <w:rPr>
                <w:rFonts w:ascii="Times New Roman" w:hAnsi="Times New Roman" w:cs="Times New Roman" w:eastAsia="Times New Roman" w:hint="default"/>
                <w:sz w:val="18"/>
                <w:szCs w:val="18"/>
              </w:rPr>
              <w:t>B4</w:t>
            </w:r>
            <w:r>
              <w:rPr>
                <w:rFonts w:ascii="宋体" w:hAnsi="宋体" w:cs="宋体" w:eastAsia="宋体" w:hint="default"/>
                <w:sz w:val="18"/>
                <w:szCs w:val="18"/>
              </w:rPr>
              <w:t>）</w:t>
            </w:r>
          </w:p>
        </w:tc>
        <w:tc>
          <w:tcPr>
            <w:tcW w:w="2629"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392" w:hRule="exact"/>
        </w:trPr>
        <w:tc>
          <w:tcPr>
            <w:tcW w:w="9563"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 w:right="12"/>
              <w:jc w:val="center"/>
              <w:rPr>
                <w:rFonts w:ascii="宋体" w:hAnsi="宋体" w:cs="宋体" w:eastAsia="宋体" w:hint="default"/>
                <w:sz w:val="18"/>
                <w:szCs w:val="18"/>
              </w:rPr>
            </w:pPr>
            <w:r>
              <w:rPr>
                <w:rFonts w:ascii="宋体" w:hAnsi="宋体" w:cs="宋体" w:eastAsia="宋体" w:hint="default"/>
                <w:sz w:val="18"/>
                <w:szCs w:val="18"/>
              </w:rPr>
              <w:t>子公司对子公司的担保情况</w:t>
            </w:r>
          </w:p>
        </w:tc>
      </w:tr>
      <w:tr>
        <w:trPr>
          <w:trHeight w:val="166" w:hRule="exact"/>
        </w:trPr>
        <w:tc>
          <w:tcPr>
            <w:tcW w:w="1703" w:type="dxa"/>
            <w:vMerge w:val="restart"/>
            <w:tcBorders>
              <w:top w:val="single" w:sz="4" w:space="0" w:color="000000"/>
              <w:left w:val="single" w:sz="4" w:space="0" w:color="000000"/>
              <w:right w:val="single" w:sz="4" w:space="0" w:color="000000"/>
            </w:tcBorders>
            <w:shd w:val="clear" w:color="auto" w:fill="D2D2D2"/>
          </w:tcPr>
          <w:p>
            <w:pPr/>
          </w:p>
        </w:tc>
        <w:tc>
          <w:tcPr>
            <w:tcW w:w="90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6"/>
              <w:ind w:left="86" w:right="85"/>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33" w:type="dxa"/>
            <w:vMerge w:val="restart"/>
            <w:tcBorders>
              <w:top w:val="single" w:sz="4" w:space="0" w:color="000000"/>
              <w:left w:val="single" w:sz="4" w:space="0" w:color="000000"/>
              <w:right w:val="single" w:sz="4" w:space="0" w:color="000000"/>
            </w:tcBorders>
            <w:shd w:val="clear" w:color="auto" w:fill="D2D2D2"/>
          </w:tcPr>
          <w:p>
            <w:pPr/>
          </w:p>
        </w:tc>
        <w:tc>
          <w:tcPr>
            <w:tcW w:w="1307" w:type="dxa"/>
            <w:vMerge w:val="restart"/>
            <w:tcBorders>
              <w:top w:val="single" w:sz="4" w:space="0" w:color="000000"/>
              <w:left w:val="single" w:sz="4" w:space="0" w:color="000000"/>
              <w:right w:val="single" w:sz="4" w:space="0" w:color="000000"/>
            </w:tcBorders>
            <w:shd w:val="clear" w:color="auto" w:fill="D2D2D2"/>
          </w:tcPr>
          <w:p>
            <w:pPr/>
          </w:p>
        </w:tc>
        <w:tc>
          <w:tcPr>
            <w:tcW w:w="1045" w:type="dxa"/>
            <w:tcBorders>
              <w:top w:val="single" w:sz="4" w:space="0" w:color="000000"/>
              <w:left w:val="single" w:sz="4" w:space="0" w:color="000000"/>
              <w:bottom w:val="nil" w:sz="6" w:space="0" w:color="auto"/>
              <w:right w:val="single" w:sz="4" w:space="0" w:color="000000"/>
            </w:tcBorders>
            <w:shd w:val="clear" w:color="auto" w:fill="D2D2D2"/>
          </w:tcPr>
          <w:p>
            <w:pPr/>
          </w:p>
        </w:tc>
        <w:tc>
          <w:tcPr>
            <w:tcW w:w="1042" w:type="dxa"/>
            <w:vMerge w:val="restart"/>
            <w:tcBorders>
              <w:top w:val="single" w:sz="4" w:space="0" w:color="000000"/>
              <w:left w:val="single" w:sz="4" w:space="0" w:color="000000"/>
              <w:right w:val="single" w:sz="4" w:space="0" w:color="000000"/>
            </w:tcBorders>
            <w:shd w:val="clear" w:color="auto" w:fill="D2D2D2"/>
          </w:tcPr>
          <w:p>
            <w:pPr/>
          </w:p>
        </w:tc>
        <w:tc>
          <w:tcPr>
            <w:tcW w:w="1053" w:type="dxa"/>
            <w:vMerge w:val="restart"/>
            <w:tcBorders>
              <w:top w:val="single" w:sz="4" w:space="0" w:color="000000"/>
              <w:left w:val="single" w:sz="4" w:space="0" w:color="000000"/>
              <w:right w:val="single" w:sz="4" w:space="0" w:color="000000"/>
            </w:tcBorders>
            <w:shd w:val="clear" w:color="auto" w:fill="D2D2D2"/>
          </w:tcPr>
          <w:p>
            <w:pPr/>
          </w:p>
        </w:tc>
        <w:tc>
          <w:tcPr>
            <w:tcW w:w="791" w:type="dxa"/>
            <w:tcBorders>
              <w:top w:val="single" w:sz="4" w:space="0" w:color="000000"/>
              <w:left w:val="single" w:sz="4" w:space="0" w:color="000000"/>
              <w:bottom w:val="nil" w:sz="6" w:space="0" w:color="auto"/>
              <w:right w:val="single" w:sz="4" w:space="0" w:color="000000"/>
            </w:tcBorders>
            <w:shd w:val="clear" w:color="auto" w:fill="D2D2D2"/>
          </w:tcPr>
          <w:p>
            <w:pPr/>
          </w:p>
        </w:tc>
        <w:tc>
          <w:tcPr>
            <w:tcW w:w="78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6" w:hRule="exact"/>
        </w:trPr>
        <w:tc>
          <w:tcPr>
            <w:tcW w:w="1703" w:type="dxa"/>
            <w:vMerge/>
            <w:tcBorders>
              <w:left w:val="single" w:sz="4" w:space="0" w:color="000000"/>
              <w:bottom w:val="nil" w:sz="6" w:space="0" w:color="auto"/>
              <w:right w:val="single" w:sz="4" w:space="0" w:color="000000"/>
            </w:tcBorders>
            <w:shd w:val="clear" w:color="auto" w:fill="D2D2D2"/>
          </w:tcPr>
          <w:p>
            <w:pPr/>
          </w:p>
        </w:tc>
        <w:tc>
          <w:tcPr>
            <w:tcW w:w="904" w:type="dxa"/>
            <w:vMerge/>
            <w:tcBorders>
              <w:left w:val="single" w:sz="4" w:space="0" w:color="000000"/>
              <w:right w:val="single" w:sz="4" w:space="0" w:color="000000"/>
            </w:tcBorders>
            <w:shd w:val="clear" w:color="auto" w:fill="D2D2D2"/>
          </w:tcPr>
          <w:p>
            <w:pPr/>
          </w:p>
        </w:tc>
        <w:tc>
          <w:tcPr>
            <w:tcW w:w="933" w:type="dxa"/>
            <w:vMerge/>
            <w:tcBorders>
              <w:left w:val="single" w:sz="4" w:space="0" w:color="000000"/>
              <w:bottom w:val="nil" w:sz="6" w:space="0" w:color="auto"/>
              <w:right w:val="single" w:sz="4" w:space="0" w:color="000000"/>
            </w:tcBorders>
            <w:shd w:val="clear" w:color="auto" w:fill="D2D2D2"/>
          </w:tcPr>
          <w:p>
            <w:pPr/>
          </w:p>
        </w:tc>
        <w:tc>
          <w:tcPr>
            <w:tcW w:w="1307" w:type="dxa"/>
            <w:vMerge/>
            <w:tcBorders>
              <w:left w:val="single" w:sz="4" w:space="0" w:color="000000"/>
              <w:bottom w:val="nil" w:sz="6" w:space="0" w:color="auto"/>
              <w:right w:val="single" w:sz="4" w:space="0" w:color="000000"/>
            </w:tcBorders>
            <w:shd w:val="clear" w:color="auto" w:fill="D2D2D2"/>
          </w:tcPr>
          <w:p>
            <w:pPr/>
          </w:p>
        </w:tc>
        <w:tc>
          <w:tcPr>
            <w:tcW w:w="104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423" w:right="71" w:hanging="360"/>
              <w:jc w:val="left"/>
              <w:rPr>
                <w:rFonts w:ascii="宋体" w:hAnsi="宋体" w:cs="宋体" w:eastAsia="宋体" w:hint="default"/>
                <w:sz w:val="18"/>
                <w:szCs w:val="18"/>
              </w:rPr>
            </w:pPr>
            <w:r>
              <w:rPr>
                <w:rFonts w:ascii="宋体" w:hAnsi="宋体" w:cs="宋体" w:eastAsia="宋体" w:hint="default"/>
                <w:sz w:val="18"/>
                <w:szCs w:val="18"/>
              </w:rPr>
              <w:t>实际担保金 额</w:t>
            </w:r>
          </w:p>
        </w:tc>
        <w:tc>
          <w:tcPr>
            <w:tcW w:w="1042" w:type="dxa"/>
            <w:vMerge/>
            <w:tcBorders>
              <w:left w:val="single" w:sz="4" w:space="0" w:color="000000"/>
              <w:bottom w:val="nil" w:sz="6" w:space="0" w:color="auto"/>
              <w:right w:val="single" w:sz="4" w:space="0" w:color="000000"/>
            </w:tcBorders>
            <w:shd w:val="clear" w:color="auto" w:fill="D2D2D2"/>
          </w:tcPr>
          <w:p>
            <w:pPr/>
          </w:p>
        </w:tc>
        <w:tc>
          <w:tcPr>
            <w:tcW w:w="1053" w:type="dxa"/>
            <w:vMerge/>
            <w:tcBorders>
              <w:left w:val="single" w:sz="4" w:space="0" w:color="000000"/>
              <w:bottom w:val="nil" w:sz="6" w:space="0" w:color="auto"/>
              <w:right w:val="single" w:sz="4" w:space="0" w:color="000000"/>
            </w:tcBorders>
            <w:shd w:val="clear" w:color="auto" w:fill="D2D2D2"/>
          </w:tcPr>
          <w:p>
            <w:pPr/>
          </w:p>
        </w:tc>
        <w:tc>
          <w:tcPr>
            <w:tcW w:w="791"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07" w:right="31"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4" w:right="29"/>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392" w:hRule="exact"/>
        </w:trPr>
        <w:tc>
          <w:tcPr>
            <w:tcW w:w="170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97" w:right="0"/>
              <w:jc w:val="left"/>
              <w:rPr>
                <w:rFonts w:ascii="宋体" w:hAnsi="宋体" w:cs="宋体" w:eastAsia="宋体" w:hint="default"/>
                <w:sz w:val="18"/>
                <w:szCs w:val="18"/>
              </w:rPr>
            </w:pPr>
            <w:r>
              <w:rPr>
                <w:rFonts w:ascii="宋体" w:hAnsi="宋体" w:cs="宋体" w:eastAsia="宋体" w:hint="default"/>
                <w:sz w:val="18"/>
                <w:szCs w:val="18"/>
              </w:rPr>
              <w:t>担保对象名称</w:t>
            </w:r>
          </w:p>
        </w:tc>
        <w:tc>
          <w:tcPr>
            <w:tcW w:w="904" w:type="dxa"/>
            <w:vMerge/>
            <w:tcBorders>
              <w:left w:val="single" w:sz="4" w:space="0" w:color="000000"/>
              <w:right w:val="single" w:sz="4" w:space="0" w:color="000000"/>
            </w:tcBorders>
            <w:shd w:val="clear" w:color="auto" w:fill="D2D2D2"/>
          </w:tcPr>
          <w:p>
            <w:pPr/>
          </w:p>
        </w:tc>
        <w:tc>
          <w:tcPr>
            <w:tcW w:w="93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30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实际发生日期</w:t>
            </w:r>
          </w:p>
        </w:tc>
        <w:tc>
          <w:tcPr>
            <w:tcW w:w="1045" w:type="dxa"/>
            <w:vMerge/>
            <w:tcBorders>
              <w:left w:val="single" w:sz="4" w:space="0" w:color="000000"/>
              <w:right w:val="single" w:sz="4" w:space="0" w:color="000000"/>
            </w:tcBorders>
            <w:shd w:val="clear" w:color="auto" w:fill="D2D2D2"/>
          </w:tcPr>
          <w:p>
            <w:pPr/>
          </w:p>
        </w:tc>
        <w:tc>
          <w:tcPr>
            <w:tcW w:w="104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58" w:right="0"/>
              <w:jc w:val="left"/>
              <w:rPr>
                <w:rFonts w:ascii="宋体" w:hAnsi="宋体" w:cs="宋体" w:eastAsia="宋体" w:hint="default"/>
                <w:sz w:val="18"/>
                <w:szCs w:val="18"/>
              </w:rPr>
            </w:pPr>
            <w:r>
              <w:rPr>
                <w:rFonts w:ascii="宋体" w:hAnsi="宋体" w:cs="宋体" w:eastAsia="宋体" w:hint="default"/>
                <w:sz w:val="18"/>
                <w:szCs w:val="18"/>
              </w:rPr>
              <w:t>担保类型</w:t>
            </w:r>
          </w:p>
        </w:tc>
        <w:tc>
          <w:tcPr>
            <w:tcW w:w="105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6" w:right="0"/>
              <w:jc w:val="center"/>
              <w:rPr>
                <w:rFonts w:ascii="宋体" w:hAnsi="宋体" w:cs="宋体" w:eastAsia="宋体" w:hint="default"/>
                <w:sz w:val="18"/>
                <w:szCs w:val="18"/>
              </w:rPr>
            </w:pPr>
            <w:r>
              <w:rPr>
                <w:rFonts w:ascii="宋体" w:hAnsi="宋体" w:cs="宋体" w:eastAsia="宋体" w:hint="default"/>
                <w:sz w:val="18"/>
                <w:szCs w:val="18"/>
              </w:rPr>
              <w:t>担保期</w:t>
            </w:r>
          </w:p>
        </w:tc>
        <w:tc>
          <w:tcPr>
            <w:tcW w:w="791" w:type="dxa"/>
            <w:vMerge/>
            <w:tcBorders>
              <w:left w:val="single" w:sz="4" w:space="0" w:color="000000"/>
              <w:right w:val="single" w:sz="4" w:space="0" w:color="000000"/>
            </w:tcBorders>
            <w:shd w:val="clear" w:color="auto" w:fill="D2D2D2"/>
          </w:tcPr>
          <w:p>
            <w:pPr/>
          </w:p>
        </w:tc>
        <w:tc>
          <w:tcPr>
            <w:tcW w:w="785" w:type="dxa"/>
            <w:vMerge/>
            <w:tcBorders>
              <w:left w:val="single" w:sz="4" w:space="0" w:color="000000"/>
              <w:right w:val="single" w:sz="4" w:space="0" w:color="000000"/>
            </w:tcBorders>
            <w:shd w:val="clear" w:color="auto" w:fill="D2D2D2"/>
          </w:tcPr>
          <w:p>
            <w:pPr/>
          </w:p>
        </w:tc>
      </w:tr>
      <w:tr>
        <w:trPr>
          <w:trHeight w:val="156" w:hRule="exact"/>
        </w:trPr>
        <w:tc>
          <w:tcPr>
            <w:tcW w:w="1703" w:type="dxa"/>
            <w:vMerge w:val="restart"/>
            <w:tcBorders>
              <w:top w:val="nil" w:sz="6" w:space="0" w:color="auto"/>
              <w:left w:val="single" w:sz="4" w:space="0" w:color="000000"/>
              <w:right w:val="single" w:sz="4" w:space="0" w:color="000000"/>
            </w:tcBorders>
            <w:shd w:val="clear" w:color="auto" w:fill="D2D2D2"/>
          </w:tcPr>
          <w:p>
            <w:pPr/>
          </w:p>
        </w:tc>
        <w:tc>
          <w:tcPr>
            <w:tcW w:w="904" w:type="dxa"/>
            <w:vMerge/>
            <w:tcBorders>
              <w:left w:val="single" w:sz="4" w:space="0" w:color="000000"/>
              <w:right w:val="single" w:sz="4" w:space="0" w:color="000000"/>
            </w:tcBorders>
            <w:shd w:val="clear" w:color="auto" w:fill="D2D2D2"/>
          </w:tcPr>
          <w:p>
            <w:pPr/>
          </w:p>
        </w:tc>
        <w:tc>
          <w:tcPr>
            <w:tcW w:w="933" w:type="dxa"/>
            <w:vMerge w:val="restart"/>
            <w:tcBorders>
              <w:top w:val="nil" w:sz="6" w:space="0" w:color="auto"/>
              <w:left w:val="single" w:sz="4" w:space="0" w:color="000000"/>
              <w:right w:val="single" w:sz="4" w:space="0" w:color="000000"/>
            </w:tcBorders>
            <w:shd w:val="clear" w:color="auto" w:fill="D2D2D2"/>
          </w:tcPr>
          <w:p>
            <w:pPr/>
          </w:p>
        </w:tc>
        <w:tc>
          <w:tcPr>
            <w:tcW w:w="1307" w:type="dxa"/>
            <w:vMerge w:val="restart"/>
            <w:tcBorders>
              <w:top w:val="nil" w:sz="6" w:space="0" w:color="auto"/>
              <w:left w:val="single" w:sz="4" w:space="0" w:color="000000"/>
              <w:right w:val="single" w:sz="4" w:space="0" w:color="000000"/>
            </w:tcBorders>
            <w:shd w:val="clear" w:color="auto" w:fill="D2D2D2"/>
          </w:tcPr>
          <w:p>
            <w:pPr/>
          </w:p>
        </w:tc>
        <w:tc>
          <w:tcPr>
            <w:tcW w:w="1045" w:type="dxa"/>
            <w:vMerge/>
            <w:tcBorders>
              <w:left w:val="single" w:sz="4" w:space="0" w:color="000000"/>
              <w:bottom w:val="nil" w:sz="6" w:space="0" w:color="auto"/>
              <w:right w:val="single" w:sz="4" w:space="0" w:color="000000"/>
            </w:tcBorders>
            <w:shd w:val="clear" w:color="auto" w:fill="D2D2D2"/>
          </w:tcPr>
          <w:p>
            <w:pPr/>
          </w:p>
        </w:tc>
        <w:tc>
          <w:tcPr>
            <w:tcW w:w="1042" w:type="dxa"/>
            <w:vMerge w:val="restart"/>
            <w:tcBorders>
              <w:top w:val="nil" w:sz="6" w:space="0" w:color="auto"/>
              <w:left w:val="single" w:sz="4" w:space="0" w:color="000000"/>
              <w:right w:val="single" w:sz="4" w:space="0" w:color="000000"/>
            </w:tcBorders>
            <w:shd w:val="clear" w:color="auto" w:fill="D2D2D2"/>
          </w:tcPr>
          <w:p>
            <w:pPr/>
          </w:p>
        </w:tc>
        <w:tc>
          <w:tcPr>
            <w:tcW w:w="1053" w:type="dxa"/>
            <w:vMerge w:val="restart"/>
            <w:tcBorders>
              <w:top w:val="nil" w:sz="6" w:space="0" w:color="auto"/>
              <w:left w:val="single" w:sz="4" w:space="0" w:color="000000"/>
              <w:right w:val="single" w:sz="4" w:space="0" w:color="000000"/>
            </w:tcBorders>
            <w:shd w:val="clear" w:color="auto" w:fill="D2D2D2"/>
          </w:tcPr>
          <w:p>
            <w:pPr/>
          </w:p>
        </w:tc>
        <w:tc>
          <w:tcPr>
            <w:tcW w:w="791" w:type="dxa"/>
            <w:vMerge/>
            <w:tcBorders>
              <w:left w:val="single" w:sz="4" w:space="0" w:color="000000"/>
              <w:bottom w:val="nil" w:sz="6" w:space="0" w:color="auto"/>
              <w:right w:val="single" w:sz="4" w:space="0" w:color="000000"/>
            </w:tcBorders>
            <w:shd w:val="clear" w:color="auto" w:fill="D2D2D2"/>
          </w:tcPr>
          <w:p>
            <w:pPr/>
          </w:p>
        </w:tc>
        <w:tc>
          <w:tcPr>
            <w:tcW w:w="785" w:type="dxa"/>
            <w:vMerge/>
            <w:tcBorders>
              <w:left w:val="single" w:sz="4" w:space="0" w:color="000000"/>
              <w:bottom w:val="nil" w:sz="6" w:space="0" w:color="auto"/>
              <w:right w:val="single" w:sz="4" w:space="0" w:color="000000"/>
            </w:tcBorders>
            <w:shd w:val="clear" w:color="auto" w:fill="D2D2D2"/>
          </w:tcPr>
          <w:p>
            <w:pPr/>
          </w:p>
        </w:tc>
      </w:tr>
      <w:tr>
        <w:trPr>
          <w:trHeight w:val="166" w:hRule="exact"/>
        </w:trPr>
        <w:tc>
          <w:tcPr>
            <w:tcW w:w="1703" w:type="dxa"/>
            <w:vMerge/>
            <w:tcBorders>
              <w:left w:val="single" w:sz="4" w:space="0" w:color="000000"/>
              <w:bottom w:val="single" w:sz="4" w:space="0" w:color="000000"/>
              <w:right w:val="single" w:sz="4" w:space="0" w:color="000000"/>
            </w:tcBorders>
            <w:shd w:val="clear" w:color="auto" w:fill="D2D2D2"/>
          </w:tcPr>
          <w:p>
            <w:pPr/>
          </w:p>
        </w:tc>
        <w:tc>
          <w:tcPr>
            <w:tcW w:w="904" w:type="dxa"/>
            <w:vMerge/>
            <w:tcBorders>
              <w:left w:val="single" w:sz="4" w:space="0" w:color="000000"/>
              <w:bottom w:val="single" w:sz="4" w:space="0" w:color="000000"/>
              <w:right w:val="single" w:sz="4" w:space="0" w:color="000000"/>
            </w:tcBorders>
            <w:shd w:val="clear" w:color="auto" w:fill="D2D2D2"/>
          </w:tcPr>
          <w:p>
            <w:pPr/>
          </w:p>
        </w:tc>
        <w:tc>
          <w:tcPr>
            <w:tcW w:w="933" w:type="dxa"/>
            <w:vMerge/>
            <w:tcBorders>
              <w:left w:val="single" w:sz="4" w:space="0" w:color="000000"/>
              <w:bottom w:val="single" w:sz="4" w:space="0" w:color="000000"/>
              <w:right w:val="single" w:sz="4" w:space="0" w:color="000000"/>
            </w:tcBorders>
            <w:shd w:val="clear" w:color="auto" w:fill="D2D2D2"/>
          </w:tcPr>
          <w:p>
            <w:pPr/>
          </w:p>
        </w:tc>
        <w:tc>
          <w:tcPr>
            <w:tcW w:w="1307" w:type="dxa"/>
            <w:vMerge/>
            <w:tcBorders>
              <w:left w:val="single" w:sz="4" w:space="0" w:color="000000"/>
              <w:bottom w:val="single" w:sz="4" w:space="0" w:color="000000"/>
              <w:right w:val="single" w:sz="4" w:space="0" w:color="000000"/>
            </w:tcBorders>
            <w:shd w:val="clear" w:color="auto" w:fill="D2D2D2"/>
          </w:tcPr>
          <w:p>
            <w:pPr/>
          </w:p>
        </w:tc>
        <w:tc>
          <w:tcPr>
            <w:tcW w:w="1045" w:type="dxa"/>
            <w:tcBorders>
              <w:top w:val="nil" w:sz="6" w:space="0" w:color="auto"/>
              <w:left w:val="single" w:sz="4" w:space="0" w:color="000000"/>
              <w:bottom w:val="single" w:sz="4" w:space="0" w:color="000000"/>
              <w:right w:val="single" w:sz="4" w:space="0" w:color="000000"/>
            </w:tcBorders>
            <w:shd w:val="clear" w:color="auto" w:fill="D2D2D2"/>
          </w:tcPr>
          <w:p>
            <w:pPr/>
          </w:p>
        </w:tc>
        <w:tc>
          <w:tcPr>
            <w:tcW w:w="1042" w:type="dxa"/>
            <w:vMerge/>
            <w:tcBorders>
              <w:left w:val="single" w:sz="4" w:space="0" w:color="000000"/>
              <w:bottom w:val="single" w:sz="4" w:space="0" w:color="000000"/>
              <w:right w:val="single" w:sz="4" w:space="0" w:color="000000"/>
            </w:tcBorders>
            <w:shd w:val="clear" w:color="auto" w:fill="D2D2D2"/>
          </w:tcPr>
          <w:p>
            <w:pPr/>
          </w:p>
        </w:tc>
        <w:tc>
          <w:tcPr>
            <w:tcW w:w="1053" w:type="dxa"/>
            <w:vMerge/>
            <w:tcBorders>
              <w:left w:val="single" w:sz="4" w:space="0" w:color="000000"/>
              <w:bottom w:val="single" w:sz="4" w:space="0" w:color="000000"/>
              <w:right w:val="single" w:sz="4" w:space="0" w:color="000000"/>
            </w:tcBorders>
            <w:shd w:val="clear" w:color="auto" w:fill="D2D2D2"/>
          </w:tcPr>
          <w:p>
            <w:pPr/>
          </w:p>
        </w:tc>
        <w:tc>
          <w:tcPr>
            <w:tcW w:w="791" w:type="dxa"/>
            <w:tcBorders>
              <w:top w:val="nil" w:sz="6" w:space="0" w:color="auto"/>
              <w:left w:val="single" w:sz="4" w:space="0" w:color="000000"/>
              <w:bottom w:val="single" w:sz="4" w:space="0" w:color="000000"/>
              <w:right w:val="single" w:sz="4" w:space="0" w:color="000000"/>
            </w:tcBorders>
            <w:shd w:val="clear" w:color="auto" w:fill="D2D2D2"/>
          </w:tcPr>
          <w:p>
            <w:pPr/>
          </w:p>
        </w:tc>
        <w:tc>
          <w:tcPr>
            <w:tcW w:w="78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92" w:hRule="exact"/>
        </w:trPr>
        <w:tc>
          <w:tcPr>
            <w:tcW w:w="9563"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1" w:right="0"/>
              <w:jc w:val="left"/>
              <w:rPr>
                <w:rFonts w:ascii="宋体" w:hAnsi="宋体" w:cs="宋体" w:eastAsia="宋体" w:hint="default"/>
                <w:sz w:val="18"/>
                <w:szCs w:val="18"/>
              </w:rPr>
            </w:pPr>
            <w:r>
              <w:rPr>
                <w:rFonts w:ascii="宋体" w:hAnsi="宋体" w:cs="宋体" w:eastAsia="宋体" w:hint="default"/>
                <w:sz w:val="18"/>
                <w:szCs w:val="18"/>
              </w:rPr>
              <w:t>公司担保总额（即前三大项的合计）</w:t>
            </w:r>
          </w:p>
        </w:tc>
      </w:tr>
      <w:tr>
        <w:trPr>
          <w:trHeight w:val="719" w:hRule="exact"/>
        </w:trPr>
        <w:tc>
          <w:tcPr>
            <w:tcW w:w="260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1" w:right="0"/>
              <w:jc w:val="left"/>
              <w:rPr>
                <w:rFonts w:ascii="宋体" w:hAnsi="宋体" w:cs="宋体" w:eastAsia="宋体" w:hint="default"/>
                <w:sz w:val="18"/>
                <w:szCs w:val="18"/>
              </w:rPr>
            </w:pPr>
            <w:r>
              <w:rPr>
                <w:rFonts w:ascii="宋体" w:hAnsi="宋体" w:cs="宋体" w:eastAsia="宋体" w:hint="default"/>
                <w:sz w:val="18"/>
                <w:szCs w:val="18"/>
              </w:rPr>
              <w:t>报告期内审批担保额度合计</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A1+B1+C1</w:t>
            </w:r>
            <w:r>
              <w:rPr>
                <w:rFonts w:ascii="宋体" w:hAnsi="宋体" w:cs="宋体" w:eastAsia="宋体" w:hint="default"/>
                <w:sz w:val="18"/>
                <w:szCs w:val="18"/>
              </w:rPr>
              <w:t>）</w:t>
            </w:r>
          </w:p>
        </w:tc>
        <w:tc>
          <w:tcPr>
            <w:tcW w:w="2240" w:type="dxa"/>
            <w:gridSpan w:val="2"/>
            <w:tcBorders>
              <w:top w:val="single" w:sz="4" w:space="0" w:color="000000"/>
              <w:left w:val="single" w:sz="13" w:space="0" w:color="D2D2D2"/>
              <w:bottom w:val="single" w:sz="4" w:space="0" w:color="000000"/>
              <w:right w:val="single" w:sz="9" w:space="0" w:color="D2D2D2"/>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0</w:t>
            </w:r>
          </w:p>
        </w:tc>
        <w:tc>
          <w:tcPr>
            <w:tcW w:w="208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6"/>
              <w:ind w:left="20" w:right="75"/>
              <w:jc w:val="left"/>
              <w:rPr>
                <w:rFonts w:ascii="宋体" w:hAnsi="宋体" w:cs="宋体" w:eastAsia="宋体" w:hint="default"/>
                <w:sz w:val="18"/>
                <w:szCs w:val="18"/>
              </w:rPr>
            </w:pPr>
            <w:r>
              <w:rPr>
                <w:rFonts w:ascii="宋体" w:hAnsi="宋体" w:cs="宋体" w:eastAsia="宋体" w:hint="default"/>
                <w:sz w:val="18"/>
                <w:szCs w:val="18"/>
              </w:rPr>
              <w:t>报告期内担保实际发生额 合计（</w:t>
            </w:r>
            <w:r>
              <w:rPr>
                <w:rFonts w:ascii="Times New Roman" w:hAnsi="Times New Roman" w:cs="Times New Roman" w:eastAsia="Times New Roman" w:hint="default"/>
                <w:sz w:val="18"/>
                <w:szCs w:val="18"/>
              </w:rPr>
              <w:t>A2+B2+C2</w:t>
            </w:r>
            <w:r>
              <w:rPr>
                <w:rFonts w:ascii="宋体" w:hAnsi="宋体" w:cs="宋体" w:eastAsia="宋体" w:hint="default"/>
                <w:sz w:val="18"/>
                <w:szCs w:val="18"/>
              </w:rPr>
              <w:t>）</w:t>
            </w:r>
          </w:p>
        </w:tc>
        <w:tc>
          <w:tcPr>
            <w:tcW w:w="2629"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15,000</w:t>
            </w:r>
          </w:p>
        </w:tc>
      </w:tr>
      <w:tr>
        <w:trPr>
          <w:trHeight w:val="714" w:hRule="exact"/>
        </w:trPr>
        <w:tc>
          <w:tcPr>
            <w:tcW w:w="260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报告期末已审批的担保额度合计</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A3+B3+C3</w:t>
            </w:r>
            <w:r>
              <w:rPr>
                <w:rFonts w:ascii="宋体" w:hAnsi="宋体" w:cs="宋体" w:eastAsia="宋体" w:hint="default"/>
                <w:sz w:val="18"/>
                <w:szCs w:val="18"/>
              </w:rPr>
              <w:t>）</w:t>
            </w:r>
          </w:p>
        </w:tc>
        <w:tc>
          <w:tcPr>
            <w:tcW w:w="2240" w:type="dxa"/>
            <w:gridSpan w:val="2"/>
            <w:tcBorders>
              <w:top w:val="single" w:sz="4" w:space="0" w:color="000000"/>
              <w:left w:val="single" w:sz="13" w:space="0" w:color="D2D2D2"/>
              <w:bottom w:val="single" w:sz="4" w:space="0" w:color="000000"/>
              <w:right w:val="single" w:sz="9" w:space="0" w:color="D2D2D2"/>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0</w:t>
            </w:r>
          </w:p>
        </w:tc>
        <w:tc>
          <w:tcPr>
            <w:tcW w:w="208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0" w:right="75"/>
              <w:jc w:val="left"/>
              <w:rPr>
                <w:rFonts w:ascii="宋体" w:hAnsi="宋体" w:cs="宋体" w:eastAsia="宋体" w:hint="default"/>
                <w:sz w:val="18"/>
                <w:szCs w:val="18"/>
              </w:rPr>
            </w:pPr>
            <w:r>
              <w:rPr>
                <w:rFonts w:ascii="宋体" w:hAnsi="宋体" w:cs="宋体" w:eastAsia="宋体" w:hint="default"/>
                <w:sz w:val="18"/>
                <w:szCs w:val="18"/>
              </w:rPr>
              <w:t>报告期末实际担保余额合 计（</w:t>
            </w:r>
            <w:r>
              <w:rPr>
                <w:rFonts w:ascii="Times New Roman" w:hAnsi="Times New Roman" w:cs="Times New Roman" w:eastAsia="Times New Roman" w:hint="default"/>
                <w:sz w:val="18"/>
                <w:szCs w:val="18"/>
              </w:rPr>
              <w:t>A4+B4+C4</w:t>
            </w:r>
            <w:r>
              <w:rPr>
                <w:rFonts w:ascii="宋体" w:hAnsi="宋体" w:cs="宋体" w:eastAsia="宋体" w:hint="default"/>
                <w:sz w:val="18"/>
                <w:szCs w:val="18"/>
              </w:rPr>
              <w:t>）</w:t>
            </w:r>
          </w:p>
        </w:tc>
        <w:tc>
          <w:tcPr>
            <w:tcW w:w="2629"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407" w:hRule="exact"/>
        </w:trPr>
        <w:tc>
          <w:tcPr>
            <w:tcW w:w="484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实际担保总额（即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A4+B4+C4</w:t>
            </w:r>
            <w:r>
              <w:rPr>
                <w:rFonts w:ascii="宋体" w:hAnsi="宋体" w:cs="宋体" w:eastAsia="宋体" w:hint="default"/>
                <w:sz w:val="18"/>
                <w:szCs w:val="18"/>
              </w:rPr>
              <w:t>）占公司净资产的比例</w:t>
            </w:r>
          </w:p>
        </w:tc>
        <w:tc>
          <w:tcPr>
            <w:tcW w:w="4716" w:type="dxa"/>
            <w:gridSpan w:val="5"/>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392" w:hRule="exact"/>
        </w:trPr>
        <w:tc>
          <w:tcPr>
            <w:tcW w:w="9563"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1" w:right="0"/>
              <w:jc w:val="left"/>
              <w:rPr>
                <w:rFonts w:ascii="宋体" w:hAnsi="宋体" w:cs="宋体" w:eastAsia="宋体" w:hint="default"/>
                <w:sz w:val="18"/>
                <w:szCs w:val="18"/>
              </w:rPr>
            </w:pPr>
            <w:r>
              <w:rPr>
                <w:rFonts w:ascii="宋体" w:hAnsi="宋体" w:cs="宋体" w:eastAsia="宋体" w:hint="default"/>
                <w:sz w:val="18"/>
                <w:szCs w:val="18"/>
              </w:rPr>
              <w:t>其中：</w:t>
            </w:r>
          </w:p>
        </w:tc>
      </w:tr>
      <w:tr>
        <w:trPr>
          <w:trHeight w:val="407" w:hRule="exact"/>
        </w:trPr>
        <w:tc>
          <w:tcPr>
            <w:tcW w:w="484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1" w:right="0"/>
              <w:jc w:val="left"/>
              <w:rPr>
                <w:rFonts w:ascii="宋体" w:hAnsi="宋体" w:cs="宋体" w:eastAsia="宋体" w:hint="default"/>
                <w:sz w:val="18"/>
                <w:szCs w:val="18"/>
              </w:rPr>
            </w:pPr>
            <w:r>
              <w:rPr>
                <w:rFonts w:ascii="宋体" w:hAnsi="宋体" w:cs="宋体" w:eastAsia="宋体" w:hint="default"/>
                <w:sz w:val="18"/>
                <w:szCs w:val="18"/>
              </w:rPr>
              <w:t>为股东、实际控制人及其关联方提供担保的余额（</w:t>
            </w:r>
            <w:r>
              <w:rPr>
                <w:rFonts w:ascii="Times New Roman" w:hAnsi="Times New Roman" w:cs="Times New Roman" w:eastAsia="Times New Roman" w:hint="default"/>
                <w:sz w:val="18"/>
                <w:szCs w:val="18"/>
              </w:rPr>
              <w:t>D</w:t>
            </w:r>
            <w:r>
              <w:rPr>
                <w:rFonts w:ascii="宋体" w:hAnsi="宋体" w:cs="宋体" w:eastAsia="宋体" w:hint="default"/>
                <w:sz w:val="18"/>
                <w:szCs w:val="18"/>
              </w:rPr>
              <w:t>）</w:t>
            </w:r>
          </w:p>
        </w:tc>
        <w:tc>
          <w:tcPr>
            <w:tcW w:w="4716" w:type="dxa"/>
            <w:gridSpan w:val="5"/>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484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129"/>
              <w:jc w:val="left"/>
              <w:rPr>
                <w:rFonts w:ascii="宋体" w:hAnsi="宋体" w:cs="宋体" w:eastAsia="宋体" w:hint="default"/>
                <w:sz w:val="18"/>
                <w:szCs w:val="18"/>
              </w:rPr>
            </w:pPr>
            <w:r>
              <w:rPr>
                <w:rFonts w:ascii="宋体" w:hAnsi="宋体" w:cs="宋体" w:eastAsia="宋体" w:hint="default"/>
                <w:sz w:val="18"/>
                <w:szCs w:val="18"/>
              </w:rPr>
              <w:t>直接或间接为资产负债率超过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70%</w:t>
            </w:r>
            <w:r>
              <w:rPr>
                <w:rFonts w:ascii="宋体" w:hAnsi="宋体" w:cs="宋体" w:eastAsia="宋体" w:hint="default"/>
                <w:sz w:val="18"/>
                <w:szCs w:val="18"/>
              </w:rPr>
              <w:t>的被担保对象提供的债务 担保余额（</w:t>
            </w:r>
            <w:r>
              <w:rPr>
                <w:rFonts w:ascii="Times New Roman" w:hAnsi="Times New Roman" w:cs="Times New Roman" w:eastAsia="Times New Roman" w:hint="default"/>
                <w:sz w:val="18"/>
                <w:szCs w:val="18"/>
              </w:rPr>
              <w:t>E</w:t>
            </w:r>
            <w:r>
              <w:rPr>
                <w:rFonts w:ascii="宋体" w:hAnsi="宋体" w:cs="宋体" w:eastAsia="宋体" w:hint="default"/>
                <w:sz w:val="18"/>
                <w:szCs w:val="18"/>
              </w:rPr>
              <w:t>）</w:t>
            </w:r>
          </w:p>
        </w:tc>
        <w:tc>
          <w:tcPr>
            <w:tcW w:w="4716" w:type="dxa"/>
            <w:gridSpan w:val="5"/>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484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担保总额超过净资产</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50%</w:t>
            </w:r>
            <w:r>
              <w:rPr>
                <w:rFonts w:ascii="宋体" w:hAnsi="宋体" w:cs="宋体" w:eastAsia="宋体" w:hint="default"/>
                <w:sz w:val="18"/>
                <w:szCs w:val="18"/>
              </w:rPr>
              <w:t>部分的金额（</w:t>
            </w:r>
            <w:r>
              <w:rPr>
                <w:rFonts w:ascii="Times New Roman" w:hAnsi="Times New Roman" w:cs="Times New Roman" w:eastAsia="Times New Roman" w:hint="default"/>
                <w:sz w:val="18"/>
                <w:szCs w:val="18"/>
              </w:rPr>
              <w:t>F</w:t>
            </w:r>
            <w:r>
              <w:rPr>
                <w:rFonts w:ascii="宋体" w:hAnsi="宋体" w:cs="宋体" w:eastAsia="宋体" w:hint="default"/>
                <w:sz w:val="18"/>
                <w:szCs w:val="18"/>
              </w:rPr>
              <w:t>）</w:t>
            </w:r>
          </w:p>
        </w:tc>
        <w:tc>
          <w:tcPr>
            <w:tcW w:w="4716" w:type="dxa"/>
            <w:gridSpan w:val="5"/>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484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上述三项担保金额合计（</w:t>
            </w:r>
            <w:r>
              <w:rPr>
                <w:rFonts w:ascii="Times New Roman" w:hAnsi="Times New Roman" w:cs="Times New Roman" w:eastAsia="Times New Roman" w:hint="default"/>
                <w:sz w:val="18"/>
                <w:szCs w:val="18"/>
              </w:rPr>
              <w:t>D+E+F</w:t>
            </w:r>
            <w:r>
              <w:rPr>
                <w:rFonts w:ascii="宋体" w:hAnsi="宋体" w:cs="宋体" w:eastAsia="宋体" w:hint="default"/>
                <w:sz w:val="18"/>
                <w:szCs w:val="18"/>
              </w:rPr>
              <w:t>）</w:t>
            </w:r>
          </w:p>
        </w:tc>
        <w:tc>
          <w:tcPr>
            <w:tcW w:w="4716" w:type="dxa"/>
            <w:gridSpan w:val="5"/>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484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25"/>
              <w:jc w:val="left"/>
              <w:rPr>
                <w:rFonts w:ascii="宋体" w:hAnsi="宋体" w:cs="宋体" w:eastAsia="宋体" w:hint="default"/>
                <w:sz w:val="18"/>
                <w:szCs w:val="18"/>
              </w:rPr>
            </w:pPr>
            <w:r>
              <w:rPr>
                <w:rFonts w:ascii="宋体" w:hAnsi="宋体" w:cs="宋体" w:eastAsia="宋体" w:hint="default"/>
                <w:spacing w:val="-3"/>
                <w:sz w:val="18"/>
                <w:szCs w:val="18"/>
              </w:rPr>
              <w:t>对未到期担保，报告期内已发生担保责任或可能承担连带清偿</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责任的情况说明（如有）</w:t>
            </w:r>
          </w:p>
        </w:tc>
        <w:tc>
          <w:tcPr>
            <w:tcW w:w="4716" w:type="dxa"/>
            <w:gridSpan w:val="5"/>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5"/>
              <w:jc w:val="right"/>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484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违反规定程序对外提供担保的说明（如有）</w:t>
            </w:r>
          </w:p>
        </w:tc>
        <w:tc>
          <w:tcPr>
            <w:tcW w:w="4716" w:type="dxa"/>
            <w:gridSpan w:val="5"/>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360" w:lineRule="auto" w:before="51"/>
        <w:ind w:right="8052"/>
        <w:jc w:val="left"/>
      </w:pPr>
      <w:r>
        <w:rPr/>
        <w:t>采用复合方式担保的具体情况说明 无</w:t>
      </w:r>
    </w:p>
    <w:p>
      <w:pPr>
        <w:spacing w:line="240" w:lineRule="auto" w:before="11"/>
        <w:rPr>
          <w:rFonts w:ascii="宋体" w:hAnsi="宋体" w:cs="宋体" w:eastAsia="宋体" w:hint="default"/>
          <w:sz w:val="19"/>
          <w:szCs w:val="19"/>
        </w:rPr>
      </w:pPr>
    </w:p>
    <w:p>
      <w:pPr>
        <w:pStyle w:val="Heading3"/>
        <w:spacing w:line="240" w:lineRule="auto"/>
        <w:ind w:right="0"/>
        <w:jc w:val="left"/>
        <w:rPr>
          <w:b w:val="0"/>
          <w:bCs w:val="0"/>
        </w:rPr>
      </w:pPr>
      <w:bookmarkStart w:name="（2）违规对外担保情况" w:id="93"/>
      <w:bookmarkEnd w:id="93"/>
      <w:r>
        <w:rPr>
          <w:b w:val="0"/>
          <w:bCs w:val="0"/>
        </w:rPr>
      </w:r>
      <w:r>
        <w:rPr/>
        <w:t>（</w:t>
      </w:r>
      <w:r>
        <w:rPr>
          <w:rFonts w:ascii="Times New Roman" w:hAnsi="Times New Roman" w:cs="Times New Roman" w:eastAsia="Times New Roman" w:hint="default"/>
        </w:rPr>
        <w:t>2</w:t>
      </w:r>
      <w:r>
        <w:rPr/>
        <w:t>）违规对外担保情况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76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公司报告期无违规对外担保情况。</w:t>
      </w:r>
    </w:p>
    <w:p>
      <w:pPr>
        <w:spacing w:line="240" w:lineRule="auto" w:before="1"/>
        <w:rPr>
          <w:rFonts w:ascii="宋体" w:hAnsi="宋体" w:cs="宋体" w:eastAsia="宋体" w:hint="default"/>
          <w:sz w:val="21"/>
          <w:szCs w:val="21"/>
        </w:rPr>
      </w:pPr>
    </w:p>
    <w:p>
      <w:pPr>
        <w:pStyle w:val="Heading3"/>
        <w:spacing w:line="240" w:lineRule="auto"/>
        <w:ind w:right="0"/>
        <w:jc w:val="left"/>
        <w:rPr>
          <w:b w:val="0"/>
          <w:bCs w:val="0"/>
        </w:rPr>
      </w:pPr>
      <w:bookmarkStart w:name="3、委托他人进行现金资产管理情况" w:id="94"/>
      <w:bookmarkEnd w:id="94"/>
      <w:r>
        <w:rPr>
          <w:b w:val="0"/>
          <w:bCs w:val="0"/>
        </w:rPr>
      </w:r>
      <w:r>
        <w:rPr>
          <w:rFonts w:ascii="Times New Roman" w:hAnsi="Times New Roman" w:cs="Times New Roman" w:eastAsia="Times New Roman" w:hint="default"/>
        </w:rPr>
        <w:t>3</w:t>
      </w:r>
      <w:r>
        <w:rPr/>
        <w:t>、委托他人进行现金资产管理情况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委托理财情况" w:id="95"/>
      <w:bookmarkEnd w:id="95"/>
      <w:r>
        <w:rPr>
          <w:b w:val="0"/>
          <w:bCs w:val="0"/>
        </w:rPr>
      </w:r>
      <w:r>
        <w:rPr/>
        <w:t>（</w:t>
      </w:r>
      <w:r>
        <w:rPr>
          <w:rFonts w:ascii="Times New Roman" w:hAnsi="Times New Roman" w:cs="Times New Roman" w:eastAsia="Times New Roman" w:hint="default"/>
        </w:rPr>
        <w:t>1</w:t>
      </w:r>
      <w:r>
        <w:rPr/>
        <w:t>）委托理财情况</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980" w:right="0"/>
        </w:sectPr>
      </w:pPr>
    </w:p>
    <w:p>
      <w:pPr>
        <w:pStyle w:val="BodyText"/>
        <w:spacing w:line="340" w:lineRule="auto" w:before="44"/>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报告期内委托理财概况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left="153" w:right="0"/>
        <w:jc w:val="left"/>
      </w:pPr>
      <w:r>
        <w:rPr/>
        <w:t>单位：万元</w:t>
      </w:r>
    </w:p>
    <w:p>
      <w:pPr>
        <w:spacing w:after="0" w:line="240" w:lineRule="auto"/>
        <w:jc w:val="left"/>
        <w:sectPr>
          <w:type w:val="continuous"/>
          <w:pgSz w:w="11910" w:h="16840"/>
          <w:pgMar w:top="1060" w:bottom="1160" w:left="980" w:right="0"/>
          <w:cols w:num="2" w:equalWidth="0">
            <w:col w:w="1955" w:space="6785"/>
            <w:col w:w="2190"/>
          </w:cols>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869"/>
        <w:gridCol w:w="1962"/>
        <w:gridCol w:w="1981"/>
        <w:gridCol w:w="1908"/>
        <w:gridCol w:w="1848"/>
      </w:tblGrid>
      <w:tr>
        <w:trPr>
          <w:trHeight w:val="402" w:hRule="exact"/>
        </w:trPr>
        <w:tc>
          <w:tcPr>
            <w:tcW w:w="1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9" w:right="0"/>
              <w:jc w:val="left"/>
              <w:rPr>
                <w:rFonts w:ascii="宋体" w:hAnsi="宋体" w:cs="宋体" w:eastAsia="宋体" w:hint="default"/>
                <w:sz w:val="18"/>
                <w:szCs w:val="18"/>
              </w:rPr>
            </w:pPr>
            <w:r>
              <w:rPr>
                <w:rFonts w:ascii="宋体" w:hAnsi="宋体" w:cs="宋体" w:eastAsia="宋体" w:hint="default"/>
                <w:sz w:val="18"/>
                <w:szCs w:val="18"/>
              </w:rPr>
              <w:t>具体类型</w:t>
            </w:r>
          </w:p>
        </w:tc>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委托理财的资金来源</w:t>
            </w:r>
          </w:p>
        </w:tc>
        <w:tc>
          <w:tcPr>
            <w:tcW w:w="19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55" w:right="0"/>
              <w:jc w:val="left"/>
              <w:rPr>
                <w:rFonts w:ascii="宋体" w:hAnsi="宋体" w:cs="宋体" w:eastAsia="宋体" w:hint="default"/>
                <w:sz w:val="18"/>
                <w:szCs w:val="18"/>
              </w:rPr>
            </w:pPr>
            <w:r>
              <w:rPr>
                <w:rFonts w:ascii="宋体" w:hAnsi="宋体" w:cs="宋体" w:eastAsia="宋体" w:hint="default"/>
                <w:sz w:val="18"/>
                <w:szCs w:val="18"/>
              </w:rPr>
              <w:t>委托理财发生额</w:t>
            </w:r>
          </w:p>
        </w:tc>
        <w:tc>
          <w:tcPr>
            <w:tcW w:w="19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9" w:right="0"/>
              <w:jc w:val="left"/>
              <w:rPr>
                <w:rFonts w:ascii="宋体" w:hAnsi="宋体" w:cs="宋体" w:eastAsia="宋体" w:hint="default"/>
                <w:sz w:val="18"/>
                <w:szCs w:val="18"/>
              </w:rPr>
            </w:pPr>
            <w:r>
              <w:rPr>
                <w:rFonts w:ascii="宋体" w:hAnsi="宋体" w:cs="宋体" w:eastAsia="宋体" w:hint="default"/>
                <w:sz w:val="18"/>
                <w:szCs w:val="18"/>
              </w:rPr>
              <w:t>未到期余额</w:t>
            </w:r>
          </w:p>
        </w:tc>
        <w:tc>
          <w:tcPr>
            <w:tcW w:w="18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9" w:right="0"/>
              <w:jc w:val="left"/>
              <w:rPr>
                <w:rFonts w:ascii="宋体" w:hAnsi="宋体" w:cs="宋体" w:eastAsia="宋体" w:hint="default"/>
                <w:sz w:val="18"/>
                <w:szCs w:val="18"/>
              </w:rPr>
            </w:pPr>
            <w:r>
              <w:rPr>
                <w:rFonts w:ascii="宋体" w:hAnsi="宋体" w:cs="宋体" w:eastAsia="宋体" w:hint="default"/>
                <w:sz w:val="18"/>
                <w:szCs w:val="18"/>
              </w:rPr>
              <w:t>逾期未收回的金额</w:t>
            </w:r>
          </w:p>
        </w:tc>
      </w:tr>
      <w:tr>
        <w:trPr>
          <w:trHeight w:val="402" w:hRule="exact"/>
        </w:trPr>
        <w:tc>
          <w:tcPr>
            <w:tcW w:w="1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银行理财产品</w:t>
            </w:r>
          </w:p>
        </w:tc>
        <w:tc>
          <w:tcPr>
            <w:tcW w:w="1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非公开发行募集资金</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168,500</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57,500</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168,500</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57,500</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bl>
    <w:p>
      <w:pPr>
        <w:pStyle w:val="BodyText"/>
        <w:spacing w:line="240" w:lineRule="auto" w:before="11"/>
        <w:ind w:right="0"/>
        <w:jc w:val="left"/>
      </w:pP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年，公司进行现金管理如下：</w:t>
      </w:r>
    </w:p>
    <w:p>
      <w:pPr>
        <w:pStyle w:val="BodyText"/>
        <w:spacing w:line="240" w:lineRule="auto" w:before="63"/>
        <w:ind w:right="0"/>
        <w:jc w:val="left"/>
      </w:pPr>
      <w:r>
        <w:rPr>
          <w:rFonts w:ascii="Times New Roman" w:hAnsi="Times New Roman" w:cs="Times New Roman" w:eastAsia="Times New Roman" w:hint="default"/>
        </w:rPr>
        <w:t>2018</w:t>
      </w:r>
      <w:r>
        <w:rPr>
          <w:rFonts w:ascii="Times New Roman" w:hAnsi="Times New Roman" w:cs="Times New Roman" w:eastAsia="Times New Roman" w:hint="default"/>
          <w:spacing w:val="-9"/>
        </w:rPr>
        <w:t> </w:t>
      </w:r>
      <w:r>
        <w:rPr/>
        <w:t>年</w:t>
      </w:r>
      <w:r>
        <w:rPr>
          <w:spacing w:val="-54"/>
        </w:rPr>
        <w:t> </w:t>
      </w:r>
      <w:r>
        <w:rPr>
          <w:rFonts w:ascii="Times New Roman" w:hAnsi="Times New Roman" w:cs="Times New Roman" w:eastAsia="Times New Roman" w:hint="default"/>
        </w:rPr>
        <w:t>3</w:t>
      </w:r>
      <w:r>
        <w:rPr>
          <w:rFonts w:ascii="Times New Roman" w:hAnsi="Times New Roman" w:cs="Times New Roman" w:eastAsia="Times New Roman" w:hint="default"/>
          <w:spacing w:val="-8"/>
        </w:rPr>
        <w:t> </w:t>
      </w:r>
      <w:r>
        <w:rPr/>
        <w:t>月</w:t>
      </w:r>
      <w:r>
        <w:rPr>
          <w:spacing w:val="-54"/>
        </w:rPr>
        <w:t> </w:t>
      </w:r>
      <w:r>
        <w:rPr>
          <w:rFonts w:ascii="Times New Roman" w:hAnsi="Times New Roman" w:cs="Times New Roman" w:eastAsia="Times New Roman" w:hint="default"/>
        </w:rPr>
        <w:t>21</w:t>
      </w:r>
      <w:r>
        <w:rPr>
          <w:rFonts w:ascii="Times New Roman" w:hAnsi="Times New Roman" w:cs="Times New Roman" w:eastAsia="Times New Roman" w:hint="default"/>
          <w:spacing w:val="-8"/>
        </w:rPr>
        <w:t> </w:t>
      </w:r>
      <w:r>
        <w:rPr/>
        <w:t>日，公司购买了光大银行深圳熙龙湾支行发行的对公结构性存款产品，该产品为保本浮动收益型产品，金额</w:t>
      </w:r>
    </w:p>
    <w:p>
      <w:pPr>
        <w:pStyle w:val="BodyText"/>
        <w:spacing w:line="240" w:lineRule="auto" w:before="63"/>
        <w:ind w:right="0"/>
        <w:jc w:val="left"/>
      </w:pPr>
      <w:r>
        <w:rPr/>
        <w:t>为</w:t>
      </w:r>
      <w:r>
        <w:rPr>
          <w:spacing w:val="-46"/>
        </w:rPr>
        <w:t> </w:t>
      </w:r>
      <w:r>
        <w:rPr>
          <w:rFonts w:ascii="Times New Roman" w:hAnsi="Times New Roman" w:cs="Times New Roman" w:eastAsia="Times New Roman" w:hint="default"/>
        </w:rPr>
        <w:t>5</w:t>
      </w:r>
      <w:r>
        <w:rPr/>
        <w:t>，</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万元，起始日期</w:t>
      </w:r>
      <w:r>
        <w:rPr>
          <w:spacing w:val="-4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3 </w:t>
      </w:r>
      <w:r>
        <w:rPr/>
        <w:t>月</w:t>
      </w:r>
      <w:r>
        <w:rPr>
          <w:spacing w:val="-46"/>
        </w:rPr>
        <w:t> </w:t>
      </w:r>
      <w:r>
        <w:rPr>
          <w:rFonts w:ascii="Times New Roman" w:hAnsi="Times New Roman" w:cs="Times New Roman" w:eastAsia="Times New Roman" w:hint="default"/>
        </w:rPr>
        <w:t>21</w:t>
      </w:r>
      <w:r>
        <w:rPr>
          <w:rFonts w:ascii="Times New Roman" w:hAnsi="Times New Roman" w:cs="Times New Roman" w:eastAsia="Times New Roman" w:hint="default"/>
          <w:spacing w:val="-1"/>
        </w:rPr>
        <w:t> </w:t>
      </w:r>
      <w:r>
        <w:rPr/>
        <w:t>日至</w:t>
      </w:r>
      <w:r>
        <w:rPr>
          <w:spacing w:val="-4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r>
        <w:rPr>
          <w:spacing w:val="-45"/>
        </w:rPr>
        <w:t> </w:t>
      </w:r>
      <w:r>
        <w:rPr>
          <w:rFonts w:ascii="Times New Roman" w:hAnsi="Times New Roman" w:cs="Times New Roman" w:eastAsia="Times New Roman" w:hint="default"/>
        </w:rPr>
        <w:t>9</w:t>
      </w:r>
      <w:r>
        <w:rPr>
          <w:rFonts w:ascii="Times New Roman" w:hAnsi="Times New Roman" w:cs="Times New Roman" w:eastAsia="Times New Roman" w:hint="default"/>
          <w:spacing w:val="-1"/>
        </w:rPr>
        <w:t> </w:t>
      </w:r>
      <w:r>
        <w:rPr/>
        <w:t>月</w:t>
      </w:r>
      <w:r>
        <w:rPr>
          <w:spacing w:val="-45"/>
        </w:rPr>
        <w:t> </w:t>
      </w:r>
      <w:r>
        <w:rPr>
          <w:rFonts w:ascii="Times New Roman" w:hAnsi="Times New Roman" w:cs="Times New Roman" w:eastAsia="Times New Roman" w:hint="default"/>
        </w:rPr>
        <w:t>21</w:t>
      </w:r>
      <w:r>
        <w:rPr>
          <w:rFonts w:ascii="Times New Roman" w:hAnsi="Times New Roman" w:cs="Times New Roman" w:eastAsia="Times New Roman" w:hint="default"/>
          <w:spacing w:val="-1"/>
        </w:rPr>
        <w:t> </w:t>
      </w:r>
      <w:r>
        <w:rPr/>
        <w:t>日；</w:t>
      </w:r>
    </w:p>
    <w:p>
      <w:pPr>
        <w:pStyle w:val="BodyText"/>
        <w:spacing w:line="240" w:lineRule="auto" w:before="63"/>
        <w:ind w:right="0"/>
        <w:jc w:val="left"/>
      </w:pPr>
      <w:r>
        <w:rPr>
          <w:rFonts w:ascii="Times New Roman" w:hAnsi="Times New Roman" w:cs="Times New Roman" w:eastAsia="Times New Roman" w:hint="default"/>
        </w:rPr>
        <w:t>2018</w:t>
      </w:r>
      <w:r>
        <w:rPr>
          <w:rFonts w:ascii="Times New Roman" w:hAnsi="Times New Roman" w:cs="Times New Roman" w:eastAsia="Times New Roman" w:hint="default"/>
          <w:spacing w:val="-9"/>
        </w:rPr>
        <w:t> </w:t>
      </w:r>
      <w:r>
        <w:rPr/>
        <w:t>年</w:t>
      </w:r>
      <w:r>
        <w:rPr>
          <w:spacing w:val="-54"/>
        </w:rPr>
        <w:t> </w:t>
      </w:r>
      <w:r>
        <w:rPr>
          <w:rFonts w:ascii="Times New Roman" w:hAnsi="Times New Roman" w:cs="Times New Roman" w:eastAsia="Times New Roman" w:hint="default"/>
        </w:rPr>
        <w:t>5</w:t>
      </w:r>
      <w:r>
        <w:rPr>
          <w:rFonts w:ascii="Times New Roman" w:hAnsi="Times New Roman" w:cs="Times New Roman" w:eastAsia="Times New Roman" w:hint="default"/>
          <w:spacing w:val="-8"/>
        </w:rPr>
        <w:t> </w:t>
      </w:r>
      <w:r>
        <w:rPr/>
        <w:t>月</w:t>
      </w:r>
      <w:r>
        <w:rPr>
          <w:spacing w:val="-54"/>
        </w:rPr>
        <w:t> </w:t>
      </w:r>
      <w:r>
        <w:rPr>
          <w:rFonts w:ascii="Times New Roman" w:hAnsi="Times New Roman" w:cs="Times New Roman" w:eastAsia="Times New Roman" w:hint="default"/>
        </w:rPr>
        <w:t>16</w:t>
      </w:r>
      <w:r>
        <w:rPr>
          <w:rFonts w:ascii="Times New Roman" w:hAnsi="Times New Roman" w:cs="Times New Roman" w:eastAsia="Times New Roman" w:hint="default"/>
          <w:spacing w:val="-8"/>
        </w:rPr>
        <w:t> </w:t>
      </w:r>
      <w:r>
        <w:rPr/>
        <w:t>日，公司购买了平安银行深圳华侨城支行发行的对公结构性存款产品，该产品为保本浮动收益型产品，金额</w:t>
      </w:r>
    </w:p>
    <w:p>
      <w:pPr>
        <w:pStyle w:val="BodyText"/>
        <w:spacing w:line="240" w:lineRule="auto" w:before="63"/>
        <w:ind w:right="0"/>
        <w:jc w:val="left"/>
      </w:pPr>
      <w:r>
        <w:rPr/>
        <w:t>为</w:t>
      </w:r>
      <w:r>
        <w:rPr>
          <w:spacing w:val="-46"/>
        </w:rPr>
        <w:t> </w:t>
      </w:r>
      <w:r>
        <w:rPr>
          <w:rFonts w:ascii="Times New Roman" w:hAnsi="Times New Roman" w:cs="Times New Roman" w:eastAsia="Times New Roman" w:hint="default"/>
        </w:rPr>
        <w:t>18,000 </w:t>
      </w:r>
      <w:r>
        <w:rPr/>
        <w:t>万元，起始日期</w:t>
      </w:r>
      <w:r>
        <w:rPr>
          <w:spacing w:val="-4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5 </w:t>
      </w:r>
      <w:r>
        <w:rPr/>
        <w:t>月</w:t>
      </w:r>
      <w:r>
        <w:rPr>
          <w:spacing w:val="-46"/>
        </w:rPr>
        <w:t> </w:t>
      </w:r>
      <w:r>
        <w:rPr>
          <w:rFonts w:ascii="Times New Roman" w:hAnsi="Times New Roman" w:cs="Times New Roman" w:eastAsia="Times New Roman" w:hint="default"/>
        </w:rPr>
        <w:t>16</w:t>
      </w:r>
      <w:r>
        <w:rPr>
          <w:rFonts w:ascii="Times New Roman" w:hAnsi="Times New Roman" w:cs="Times New Roman" w:eastAsia="Times New Roman" w:hint="default"/>
          <w:spacing w:val="-1"/>
        </w:rPr>
        <w:t> </w:t>
      </w:r>
      <w:r>
        <w:rPr/>
        <w:t>日至</w:t>
      </w:r>
      <w:r>
        <w:rPr>
          <w:spacing w:val="-4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r>
        <w:rPr>
          <w:spacing w:val="-45"/>
        </w:rPr>
        <w:t> </w:t>
      </w:r>
      <w:r>
        <w:rPr>
          <w:rFonts w:ascii="Times New Roman" w:hAnsi="Times New Roman" w:cs="Times New Roman" w:eastAsia="Times New Roman" w:hint="default"/>
        </w:rPr>
        <w:t>6</w:t>
      </w:r>
      <w:r>
        <w:rPr>
          <w:rFonts w:ascii="Times New Roman" w:hAnsi="Times New Roman" w:cs="Times New Roman" w:eastAsia="Times New Roman" w:hint="default"/>
          <w:spacing w:val="-1"/>
        </w:rPr>
        <w:t> </w:t>
      </w:r>
      <w:r>
        <w:rPr/>
        <w:t>月</w:t>
      </w:r>
      <w:r>
        <w:rPr>
          <w:spacing w:val="-45"/>
        </w:rPr>
        <w:t> </w:t>
      </w:r>
      <w:r>
        <w:rPr>
          <w:rFonts w:ascii="Times New Roman" w:hAnsi="Times New Roman" w:cs="Times New Roman" w:eastAsia="Times New Roman" w:hint="default"/>
        </w:rPr>
        <w:t>25</w:t>
      </w:r>
      <w:r>
        <w:rPr>
          <w:rFonts w:ascii="Times New Roman" w:hAnsi="Times New Roman" w:cs="Times New Roman" w:eastAsia="Times New Roman" w:hint="default"/>
          <w:spacing w:val="-1"/>
        </w:rPr>
        <w:t> </w:t>
      </w:r>
      <w:r>
        <w:rPr/>
        <w:t>日；</w:t>
      </w:r>
    </w:p>
    <w:p>
      <w:pPr>
        <w:pStyle w:val="BodyText"/>
        <w:spacing w:line="240" w:lineRule="auto" w:before="63"/>
        <w:ind w:right="0"/>
        <w:jc w:val="left"/>
      </w:pPr>
      <w:r>
        <w:rPr>
          <w:rFonts w:ascii="Times New Roman" w:hAnsi="Times New Roman" w:cs="Times New Roman" w:eastAsia="Times New Roman" w:hint="default"/>
        </w:rPr>
        <w:t>2018</w:t>
      </w:r>
      <w:r>
        <w:rPr>
          <w:rFonts w:ascii="Times New Roman" w:hAnsi="Times New Roman" w:cs="Times New Roman" w:eastAsia="Times New Roman" w:hint="default"/>
          <w:spacing w:val="-9"/>
        </w:rPr>
        <w:t> </w:t>
      </w:r>
      <w:r>
        <w:rPr/>
        <w:t>年</w:t>
      </w:r>
      <w:r>
        <w:rPr>
          <w:spacing w:val="-54"/>
        </w:rPr>
        <w:t> </w:t>
      </w:r>
      <w:r>
        <w:rPr>
          <w:rFonts w:ascii="Times New Roman" w:hAnsi="Times New Roman" w:cs="Times New Roman" w:eastAsia="Times New Roman" w:hint="default"/>
        </w:rPr>
        <w:t>5</w:t>
      </w:r>
      <w:r>
        <w:rPr>
          <w:rFonts w:ascii="Times New Roman" w:hAnsi="Times New Roman" w:cs="Times New Roman" w:eastAsia="Times New Roman" w:hint="default"/>
          <w:spacing w:val="-8"/>
        </w:rPr>
        <w:t> </w:t>
      </w:r>
      <w:r>
        <w:rPr/>
        <w:t>月</w:t>
      </w:r>
      <w:r>
        <w:rPr>
          <w:spacing w:val="-54"/>
        </w:rPr>
        <w:t> </w:t>
      </w:r>
      <w:r>
        <w:rPr>
          <w:rFonts w:ascii="Times New Roman" w:hAnsi="Times New Roman" w:cs="Times New Roman" w:eastAsia="Times New Roman" w:hint="default"/>
        </w:rPr>
        <w:t>16</w:t>
      </w:r>
      <w:r>
        <w:rPr>
          <w:rFonts w:ascii="Times New Roman" w:hAnsi="Times New Roman" w:cs="Times New Roman" w:eastAsia="Times New Roman" w:hint="default"/>
          <w:spacing w:val="-8"/>
        </w:rPr>
        <w:t> </w:t>
      </w:r>
      <w:r>
        <w:rPr/>
        <w:t>日，公司购买了平安银行深圳华侨城支行发行的对公结构性存款产品，该产品为保本浮动收益型产品，金额</w:t>
      </w:r>
    </w:p>
    <w:p>
      <w:pPr>
        <w:pStyle w:val="BodyText"/>
        <w:spacing w:line="240" w:lineRule="auto" w:before="63"/>
        <w:ind w:right="0"/>
        <w:jc w:val="left"/>
      </w:pPr>
      <w:r>
        <w:rPr/>
        <w:t>为</w:t>
      </w:r>
      <w:r>
        <w:rPr>
          <w:spacing w:val="-46"/>
        </w:rPr>
        <w:t> </w:t>
      </w:r>
      <w:r>
        <w:rPr>
          <w:rFonts w:ascii="Times New Roman" w:hAnsi="Times New Roman" w:cs="Times New Roman" w:eastAsia="Times New Roman" w:hint="default"/>
        </w:rPr>
        <w:t>10,000 </w:t>
      </w:r>
      <w:r>
        <w:rPr/>
        <w:t>万元，起始日期</w:t>
      </w:r>
      <w:r>
        <w:rPr>
          <w:spacing w:val="-4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5 </w:t>
      </w:r>
      <w:r>
        <w:rPr/>
        <w:t>月</w:t>
      </w:r>
      <w:r>
        <w:rPr>
          <w:spacing w:val="-46"/>
        </w:rPr>
        <w:t> </w:t>
      </w:r>
      <w:r>
        <w:rPr>
          <w:rFonts w:ascii="Times New Roman" w:hAnsi="Times New Roman" w:cs="Times New Roman" w:eastAsia="Times New Roman" w:hint="default"/>
        </w:rPr>
        <w:t>16</w:t>
      </w:r>
      <w:r>
        <w:rPr>
          <w:rFonts w:ascii="Times New Roman" w:hAnsi="Times New Roman" w:cs="Times New Roman" w:eastAsia="Times New Roman" w:hint="default"/>
          <w:spacing w:val="-1"/>
        </w:rPr>
        <w:t> </w:t>
      </w:r>
      <w:r>
        <w:rPr/>
        <w:t>日至</w:t>
      </w:r>
      <w:r>
        <w:rPr>
          <w:spacing w:val="-4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r>
        <w:rPr>
          <w:spacing w:val="-45"/>
        </w:rPr>
        <w:t> </w:t>
      </w:r>
      <w:r>
        <w:rPr>
          <w:rFonts w:ascii="Times New Roman" w:hAnsi="Times New Roman" w:cs="Times New Roman" w:eastAsia="Times New Roman" w:hint="default"/>
          <w:spacing w:val="-4"/>
        </w:rPr>
        <w:t>11</w:t>
      </w:r>
      <w:r>
        <w:rPr>
          <w:rFonts w:ascii="Times New Roman" w:hAnsi="Times New Roman" w:cs="Times New Roman" w:eastAsia="Times New Roman" w:hint="default"/>
        </w:rPr>
        <w:t> </w:t>
      </w:r>
      <w:r>
        <w:rPr/>
        <w:t>月</w:t>
      </w:r>
      <w:r>
        <w:rPr>
          <w:spacing w:val="-46"/>
        </w:rPr>
        <w:t> </w:t>
      </w:r>
      <w:r>
        <w:rPr>
          <w:rFonts w:ascii="Times New Roman" w:hAnsi="Times New Roman" w:cs="Times New Roman" w:eastAsia="Times New Roman" w:hint="default"/>
        </w:rPr>
        <w:t>16</w:t>
      </w:r>
      <w:r>
        <w:rPr>
          <w:rFonts w:ascii="Times New Roman" w:hAnsi="Times New Roman" w:cs="Times New Roman" w:eastAsia="Times New Roman" w:hint="default"/>
          <w:spacing w:val="-1"/>
        </w:rPr>
        <w:t> </w:t>
      </w:r>
      <w:r>
        <w:rPr/>
        <w:t>日；</w:t>
      </w:r>
    </w:p>
    <w:p>
      <w:pPr>
        <w:pStyle w:val="BodyText"/>
        <w:spacing w:line="240" w:lineRule="auto" w:before="63"/>
        <w:ind w:right="0"/>
        <w:jc w:val="left"/>
      </w:pPr>
      <w:r>
        <w:rPr>
          <w:rFonts w:ascii="Times New Roman" w:hAnsi="Times New Roman" w:cs="Times New Roman" w:eastAsia="Times New Roman" w:hint="default"/>
        </w:rPr>
        <w:t>2018</w:t>
      </w:r>
      <w:r>
        <w:rPr>
          <w:rFonts w:ascii="Times New Roman" w:hAnsi="Times New Roman" w:cs="Times New Roman" w:eastAsia="Times New Roman" w:hint="default"/>
          <w:spacing w:val="-9"/>
        </w:rPr>
        <w:t> </w:t>
      </w:r>
      <w:r>
        <w:rPr/>
        <w:t>年</w:t>
      </w:r>
      <w:r>
        <w:rPr>
          <w:spacing w:val="-54"/>
        </w:rPr>
        <w:t> </w:t>
      </w:r>
      <w:r>
        <w:rPr>
          <w:rFonts w:ascii="Times New Roman" w:hAnsi="Times New Roman" w:cs="Times New Roman" w:eastAsia="Times New Roman" w:hint="default"/>
        </w:rPr>
        <w:t>5</w:t>
      </w:r>
      <w:r>
        <w:rPr>
          <w:rFonts w:ascii="Times New Roman" w:hAnsi="Times New Roman" w:cs="Times New Roman" w:eastAsia="Times New Roman" w:hint="default"/>
          <w:spacing w:val="-8"/>
        </w:rPr>
        <w:t> </w:t>
      </w:r>
      <w:r>
        <w:rPr/>
        <w:t>月</w:t>
      </w:r>
      <w:r>
        <w:rPr>
          <w:spacing w:val="-54"/>
        </w:rPr>
        <w:t> </w:t>
      </w:r>
      <w:r>
        <w:rPr>
          <w:rFonts w:ascii="Times New Roman" w:hAnsi="Times New Roman" w:cs="Times New Roman" w:eastAsia="Times New Roman" w:hint="default"/>
        </w:rPr>
        <w:t>21</w:t>
      </w:r>
      <w:r>
        <w:rPr>
          <w:rFonts w:ascii="Times New Roman" w:hAnsi="Times New Roman" w:cs="Times New Roman" w:eastAsia="Times New Roman" w:hint="default"/>
          <w:spacing w:val="-8"/>
        </w:rPr>
        <w:t> </w:t>
      </w:r>
      <w:r>
        <w:rPr/>
        <w:t>日，公司购买了兴业银行深圳华富支行发行的对公结构性存款产品，该产品为保本浮动收益型产品，金额为</w:t>
      </w:r>
    </w:p>
    <w:p>
      <w:pPr>
        <w:pStyle w:val="BodyText"/>
        <w:spacing w:line="240" w:lineRule="auto" w:before="63"/>
        <w:ind w:right="0"/>
        <w:jc w:val="left"/>
      </w:pPr>
      <w:r>
        <w:rPr>
          <w:rFonts w:ascii="Times New Roman" w:hAnsi="Times New Roman" w:cs="Times New Roman" w:eastAsia="Times New Roman" w:hint="default"/>
        </w:rPr>
        <w:t>5,000</w:t>
      </w:r>
      <w:r>
        <w:rPr>
          <w:rFonts w:ascii="Times New Roman" w:hAnsi="Times New Roman" w:cs="Times New Roman" w:eastAsia="Times New Roman" w:hint="default"/>
          <w:spacing w:val="-1"/>
        </w:rPr>
        <w:t> </w:t>
      </w:r>
      <w:r>
        <w:rPr/>
        <w:t>万元，起始日期</w:t>
      </w:r>
      <w:r>
        <w:rPr>
          <w:spacing w:val="-4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r>
        <w:rPr>
          <w:spacing w:val="-45"/>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月</w:t>
      </w:r>
      <w:r>
        <w:rPr>
          <w:spacing w:val="-46"/>
        </w:rPr>
        <w:t> </w:t>
      </w:r>
      <w:r>
        <w:rPr>
          <w:rFonts w:ascii="Times New Roman" w:hAnsi="Times New Roman" w:cs="Times New Roman" w:eastAsia="Times New Roman" w:hint="default"/>
        </w:rPr>
        <w:t>21</w:t>
      </w:r>
      <w:r>
        <w:rPr>
          <w:rFonts w:ascii="Times New Roman" w:hAnsi="Times New Roman" w:cs="Times New Roman" w:eastAsia="Times New Roman" w:hint="default"/>
          <w:spacing w:val="-1"/>
        </w:rPr>
        <w:t> </w:t>
      </w:r>
      <w:r>
        <w:rPr/>
        <w:t>日至</w:t>
      </w:r>
      <w:r>
        <w:rPr>
          <w:spacing w:val="-4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6 </w:t>
      </w:r>
      <w:r>
        <w:rPr/>
        <w:t>月</w:t>
      </w:r>
      <w:r>
        <w:rPr>
          <w:spacing w:val="-46"/>
        </w:rPr>
        <w:t> </w:t>
      </w:r>
      <w:r>
        <w:rPr>
          <w:rFonts w:ascii="Times New Roman" w:hAnsi="Times New Roman" w:cs="Times New Roman" w:eastAsia="Times New Roman" w:hint="default"/>
        </w:rPr>
        <w:t>20</w:t>
      </w:r>
      <w:r>
        <w:rPr>
          <w:rFonts w:ascii="Times New Roman" w:hAnsi="Times New Roman" w:cs="Times New Roman" w:eastAsia="Times New Roman" w:hint="default"/>
          <w:spacing w:val="-1"/>
        </w:rPr>
        <w:t> </w:t>
      </w:r>
      <w:r>
        <w:rPr/>
        <w:t>日；</w:t>
      </w:r>
    </w:p>
    <w:p>
      <w:pPr>
        <w:pStyle w:val="BodyText"/>
        <w:spacing w:line="240" w:lineRule="auto" w:before="63"/>
        <w:ind w:right="0"/>
        <w:jc w:val="left"/>
      </w:pPr>
      <w:r>
        <w:rPr>
          <w:rFonts w:ascii="Times New Roman" w:hAnsi="Times New Roman" w:cs="Times New Roman" w:eastAsia="Times New Roman" w:hint="default"/>
        </w:rPr>
        <w:t>2018</w:t>
      </w:r>
      <w:r>
        <w:rPr>
          <w:rFonts w:ascii="Times New Roman" w:hAnsi="Times New Roman" w:cs="Times New Roman" w:eastAsia="Times New Roman" w:hint="default"/>
          <w:spacing w:val="-9"/>
        </w:rPr>
        <w:t> </w:t>
      </w:r>
      <w:r>
        <w:rPr/>
        <w:t>年</w:t>
      </w:r>
      <w:r>
        <w:rPr>
          <w:spacing w:val="-54"/>
        </w:rPr>
        <w:t> </w:t>
      </w:r>
      <w:r>
        <w:rPr>
          <w:rFonts w:ascii="Times New Roman" w:hAnsi="Times New Roman" w:cs="Times New Roman" w:eastAsia="Times New Roman" w:hint="default"/>
        </w:rPr>
        <w:t>5</w:t>
      </w:r>
      <w:r>
        <w:rPr>
          <w:rFonts w:ascii="Times New Roman" w:hAnsi="Times New Roman" w:cs="Times New Roman" w:eastAsia="Times New Roman" w:hint="default"/>
          <w:spacing w:val="-8"/>
        </w:rPr>
        <w:t> </w:t>
      </w:r>
      <w:r>
        <w:rPr/>
        <w:t>月</w:t>
      </w:r>
      <w:r>
        <w:rPr>
          <w:spacing w:val="-54"/>
        </w:rPr>
        <w:t> </w:t>
      </w:r>
      <w:r>
        <w:rPr>
          <w:rFonts w:ascii="Times New Roman" w:hAnsi="Times New Roman" w:cs="Times New Roman" w:eastAsia="Times New Roman" w:hint="default"/>
        </w:rPr>
        <w:t>21</w:t>
      </w:r>
      <w:r>
        <w:rPr>
          <w:rFonts w:ascii="Times New Roman" w:hAnsi="Times New Roman" w:cs="Times New Roman" w:eastAsia="Times New Roman" w:hint="default"/>
          <w:spacing w:val="-8"/>
        </w:rPr>
        <w:t> </w:t>
      </w:r>
      <w:r>
        <w:rPr/>
        <w:t>日，公司购买了兴业银行深圳华富支行发行的对公结构性存款产品，该产品为保本浮动收益型产品，金额为</w:t>
      </w:r>
    </w:p>
    <w:p>
      <w:pPr>
        <w:pStyle w:val="BodyText"/>
        <w:spacing w:line="240" w:lineRule="auto" w:before="63"/>
        <w:ind w:right="0"/>
        <w:jc w:val="left"/>
      </w:pPr>
      <w:r>
        <w:rPr>
          <w:rFonts w:ascii="Times New Roman" w:hAnsi="Times New Roman" w:cs="Times New Roman" w:eastAsia="Times New Roman" w:hint="default"/>
        </w:rPr>
        <w:t>2,000</w:t>
      </w:r>
      <w:r>
        <w:rPr>
          <w:rFonts w:ascii="Times New Roman" w:hAnsi="Times New Roman" w:cs="Times New Roman" w:eastAsia="Times New Roman" w:hint="default"/>
          <w:spacing w:val="-1"/>
        </w:rPr>
        <w:t> </w:t>
      </w:r>
      <w:r>
        <w:rPr/>
        <w:t>万元，起始日期</w:t>
      </w:r>
      <w:r>
        <w:rPr>
          <w:spacing w:val="-4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r>
        <w:rPr>
          <w:spacing w:val="-45"/>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月</w:t>
      </w:r>
      <w:r>
        <w:rPr>
          <w:spacing w:val="-46"/>
        </w:rPr>
        <w:t> </w:t>
      </w:r>
      <w:r>
        <w:rPr>
          <w:rFonts w:ascii="Times New Roman" w:hAnsi="Times New Roman" w:cs="Times New Roman" w:eastAsia="Times New Roman" w:hint="default"/>
        </w:rPr>
        <w:t>21</w:t>
      </w:r>
      <w:r>
        <w:rPr>
          <w:rFonts w:ascii="Times New Roman" w:hAnsi="Times New Roman" w:cs="Times New Roman" w:eastAsia="Times New Roman" w:hint="default"/>
          <w:spacing w:val="-1"/>
        </w:rPr>
        <w:t> </w:t>
      </w:r>
      <w:r>
        <w:rPr/>
        <w:t>日至</w:t>
      </w:r>
      <w:r>
        <w:rPr>
          <w:spacing w:val="-4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8 </w:t>
      </w:r>
      <w:r>
        <w:rPr/>
        <w:t>月</w:t>
      </w:r>
      <w:r>
        <w:rPr>
          <w:spacing w:val="-46"/>
        </w:rPr>
        <w:t> </w:t>
      </w:r>
      <w:r>
        <w:rPr>
          <w:rFonts w:ascii="Times New Roman" w:hAnsi="Times New Roman" w:cs="Times New Roman" w:eastAsia="Times New Roman" w:hint="default"/>
        </w:rPr>
        <w:t>20</w:t>
      </w:r>
      <w:r>
        <w:rPr>
          <w:rFonts w:ascii="Times New Roman" w:hAnsi="Times New Roman" w:cs="Times New Roman" w:eastAsia="Times New Roman" w:hint="default"/>
          <w:spacing w:val="-1"/>
        </w:rPr>
        <w:t> </w:t>
      </w:r>
      <w:r>
        <w:rPr/>
        <w:t>日；</w:t>
      </w:r>
    </w:p>
    <w:p>
      <w:pPr>
        <w:pStyle w:val="BodyText"/>
        <w:spacing w:line="240" w:lineRule="auto" w:before="63"/>
        <w:ind w:right="0"/>
        <w:jc w:val="left"/>
      </w:pP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6 </w:t>
      </w:r>
      <w:r>
        <w:rPr/>
        <w:t>月</w:t>
      </w:r>
      <w:r>
        <w:rPr>
          <w:spacing w:val="-46"/>
        </w:rPr>
        <w:t> </w:t>
      </w:r>
      <w:r>
        <w:rPr>
          <w:rFonts w:ascii="Times New Roman" w:hAnsi="Times New Roman" w:cs="Times New Roman" w:eastAsia="Times New Roman" w:hint="default"/>
        </w:rPr>
        <w:t>4 </w:t>
      </w:r>
      <w:r>
        <w:rPr/>
        <w:t>日，公司购买了兴业银行深圳深南支行发行的对公结构性存款产品，该产品为保本浮动收益型产品，金额为</w:t>
      </w:r>
    </w:p>
    <w:p>
      <w:pPr>
        <w:pStyle w:val="BodyText"/>
        <w:spacing w:line="240" w:lineRule="auto" w:before="63"/>
        <w:ind w:right="0"/>
        <w:jc w:val="left"/>
      </w:pPr>
      <w:r>
        <w:rPr>
          <w:rFonts w:ascii="Times New Roman" w:hAnsi="Times New Roman" w:cs="Times New Roman" w:eastAsia="Times New Roman" w:hint="default"/>
        </w:rPr>
        <w:t>5,000</w:t>
      </w:r>
      <w:r>
        <w:rPr>
          <w:rFonts w:ascii="Times New Roman" w:hAnsi="Times New Roman" w:cs="Times New Roman" w:eastAsia="Times New Roman" w:hint="default"/>
          <w:spacing w:val="-1"/>
        </w:rPr>
        <w:t> </w:t>
      </w:r>
      <w:r>
        <w:rPr/>
        <w:t>万元，起始日期</w:t>
      </w:r>
      <w:r>
        <w:rPr>
          <w:spacing w:val="-4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r>
        <w:rPr>
          <w:spacing w:val="-45"/>
        </w:rPr>
        <w:t> </w:t>
      </w:r>
      <w:r>
        <w:rPr>
          <w:rFonts w:ascii="Times New Roman" w:hAnsi="Times New Roman" w:cs="Times New Roman" w:eastAsia="Times New Roman" w:hint="default"/>
        </w:rPr>
        <w:t>6</w:t>
      </w:r>
      <w:r>
        <w:rPr>
          <w:rFonts w:ascii="Times New Roman" w:hAnsi="Times New Roman" w:cs="Times New Roman" w:eastAsia="Times New Roman" w:hint="default"/>
          <w:spacing w:val="-1"/>
        </w:rPr>
        <w:t> </w:t>
      </w:r>
      <w:r>
        <w:rPr/>
        <w:t>月</w:t>
      </w:r>
      <w:r>
        <w:rPr>
          <w:spacing w:val="-46"/>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日至</w:t>
      </w:r>
      <w:r>
        <w:rPr>
          <w:spacing w:val="-4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7 </w:t>
      </w:r>
      <w:r>
        <w:rPr/>
        <w:t>月</w:t>
      </w:r>
      <w:r>
        <w:rPr>
          <w:spacing w:val="-46"/>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日；</w:t>
      </w:r>
    </w:p>
    <w:p>
      <w:pPr>
        <w:pStyle w:val="BodyText"/>
        <w:spacing w:line="240" w:lineRule="auto" w:before="63"/>
        <w:ind w:right="0"/>
        <w:jc w:val="left"/>
      </w:pP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6 </w:t>
      </w:r>
      <w:r>
        <w:rPr/>
        <w:t>月</w:t>
      </w:r>
      <w:r>
        <w:rPr>
          <w:spacing w:val="-46"/>
        </w:rPr>
        <w:t> </w:t>
      </w:r>
      <w:r>
        <w:rPr>
          <w:rFonts w:ascii="Times New Roman" w:hAnsi="Times New Roman" w:cs="Times New Roman" w:eastAsia="Times New Roman" w:hint="default"/>
        </w:rPr>
        <w:t>4 </w:t>
      </w:r>
      <w:r>
        <w:rPr/>
        <w:t>日，公司购买了兴业银行深圳深南支行发行的对公结构性存款产品，该产品为保本浮动收益型产品，金额为</w:t>
      </w:r>
    </w:p>
    <w:p>
      <w:pPr>
        <w:pStyle w:val="BodyText"/>
        <w:spacing w:line="240" w:lineRule="auto" w:before="63"/>
        <w:ind w:right="0"/>
        <w:jc w:val="left"/>
      </w:pPr>
      <w:r>
        <w:rPr>
          <w:rFonts w:ascii="Times New Roman" w:hAnsi="Times New Roman" w:cs="Times New Roman" w:eastAsia="Times New Roman" w:hint="default"/>
        </w:rPr>
        <w:t>5,000</w:t>
      </w:r>
      <w:r>
        <w:rPr>
          <w:rFonts w:ascii="Times New Roman" w:hAnsi="Times New Roman" w:cs="Times New Roman" w:eastAsia="Times New Roman" w:hint="default"/>
          <w:spacing w:val="-1"/>
        </w:rPr>
        <w:t> </w:t>
      </w:r>
      <w:r>
        <w:rPr/>
        <w:t>万元，起始日期</w:t>
      </w:r>
      <w:r>
        <w:rPr>
          <w:spacing w:val="-4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r>
        <w:rPr>
          <w:spacing w:val="-45"/>
        </w:rPr>
        <w:t> </w:t>
      </w:r>
      <w:r>
        <w:rPr>
          <w:rFonts w:ascii="Times New Roman" w:hAnsi="Times New Roman" w:cs="Times New Roman" w:eastAsia="Times New Roman" w:hint="default"/>
        </w:rPr>
        <w:t>6</w:t>
      </w:r>
      <w:r>
        <w:rPr>
          <w:rFonts w:ascii="Times New Roman" w:hAnsi="Times New Roman" w:cs="Times New Roman" w:eastAsia="Times New Roman" w:hint="default"/>
          <w:spacing w:val="-1"/>
        </w:rPr>
        <w:t> </w:t>
      </w:r>
      <w:r>
        <w:rPr/>
        <w:t>月</w:t>
      </w:r>
      <w:r>
        <w:rPr>
          <w:spacing w:val="-46"/>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日至</w:t>
      </w:r>
      <w:r>
        <w:rPr>
          <w:spacing w:val="-4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12 </w:t>
      </w:r>
      <w:r>
        <w:rPr/>
        <w:t>月</w:t>
      </w:r>
      <w:r>
        <w:rPr>
          <w:spacing w:val="-46"/>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日；</w:t>
      </w:r>
    </w:p>
    <w:p>
      <w:pPr>
        <w:pStyle w:val="BodyText"/>
        <w:spacing w:line="240" w:lineRule="auto" w:before="63"/>
        <w:ind w:right="0"/>
        <w:jc w:val="left"/>
      </w:pP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6 </w:t>
      </w:r>
      <w:r>
        <w:rPr/>
        <w:t>月</w:t>
      </w:r>
      <w:r>
        <w:rPr>
          <w:spacing w:val="-46"/>
        </w:rPr>
        <w:t> </w:t>
      </w:r>
      <w:r>
        <w:rPr>
          <w:rFonts w:ascii="Times New Roman" w:hAnsi="Times New Roman" w:cs="Times New Roman" w:eastAsia="Times New Roman" w:hint="default"/>
        </w:rPr>
        <w:t>4 </w:t>
      </w:r>
      <w:r>
        <w:rPr/>
        <w:t>日，公司购买了兴业银行深圳深南支行发行的对公结构性存款产品，该产品为保本浮动收益型产品，金额为</w:t>
      </w:r>
    </w:p>
    <w:p>
      <w:pPr>
        <w:pStyle w:val="BodyText"/>
        <w:spacing w:line="240" w:lineRule="auto" w:before="63"/>
        <w:ind w:right="0"/>
        <w:jc w:val="left"/>
      </w:pPr>
      <w:r>
        <w:rPr>
          <w:rFonts w:ascii="Times New Roman" w:hAnsi="Times New Roman" w:cs="Times New Roman" w:eastAsia="Times New Roman" w:hint="default"/>
        </w:rPr>
        <w:t>10,000 </w:t>
      </w:r>
      <w:r>
        <w:rPr/>
        <w:t>万元，起始日期</w:t>
      </w:r>
      <w:r>
        <w:rPr>
          <w:spacing w:val="-46"/>
        </w:rPr>
        <w:t> </w:t>
      </w:r>
      <w:r>
        <w:rPr>
          <w:rFonts w:ascii="Times New Roman" w:hAnsi="Times New Roman" w:cs="Times New Roman" w:eastAsia="Times New Roman" w:hint="default"/>
        </w:rPr>
        <w:t>2018 </w:t>
      </w:r>
      <w:r>
        <w:rPr/>
        <w:t>年</w:t>
      </w:r>
      <w:r>
        <w:rPr>
          <w:spacing w:val="-46"/>
        </w:rPr>
        <w:t> </w:t>
      </w:r>
      <w:r>
        <w:rPr>
          <w:rFonts w:ascii="Times New Roman" w:hAnsi="Times New Roman" w:cs="Times New Roman" w:eastAsia="Times New Roman" w:hint="default"/>
        </w:rPr>
        <w:t>6</w:t>
      </w:r>
      <w:r>
        <w:rPr>
          <w:rFonts w:ascii="Times New Roman" w:hAnsi="Times New Roman" w:cs="Times New Roman" w:eastAsia="Times New Roman" w:hint="default"/>
          <w:spacing w:val="-1"/>
        </w:rPr>
        <w:t> </w:t>
      </w:r>
      <w:r>
        <w:rPr/>
        <w:t>月</w:t>
      </w:r>
      <w:r>
        <w:rPr>
          <w:spacing w:val="-45"/>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日至</w:t>
      </w:r>
      <w:r>
        <w:rPr>
          <w:spacing w:val="-4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7 </w:t>
      </w:r>
      <w:r>
        <w:rPr/>
        <w:t>月</w:t>
      </w:r>
      <w:r>
        <w:rPr>
          <w:spacing w:val="-46"/>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日；</w:t>
      </w:r>
    </w:p>
    <w:p>
      <w:pPr>
        <w:pStyle w:val="BodyText"/>
        <w:spacing w:line="240" w:lineRule="auto" w:before="63"/>
        <w:ind w:right="0"/>
        <w:jc w:val="left"/>
      </w:pPr>
      <w:r>
        <w:rPr>
          <w:rFonts w:ascii="Times New Roman" w:hAnsi="Times New Roman" w:cs="Times New Roman" w:eastAsia="Times New Roman" w:hint="default"/>
        </w:rPr>
        <w:t>2018</w:t>
      </w:r>
      <w:r>
        <w:rPr>
          <w:rFonts w:ascii="Times New Roman" w:hAnsi="Times New Roman" w:cs="Times New Roman" w:eastAsia="Times New Roman" w:hint="default"/>
          <w:spacing w:val="-9"/>
        </w:rPr>
        <w:t> </w:t>
      </w:r>
      <w:r>
        <w:rPr/>
        <w:t>年</w:t>
      </w:r>
      <w:r>
        <w:rPr>
          <w:spacing w:val="-54"/>
        </w:rPr>
        <w:t> </w:t>
      </w:r>
      <w:r>
        <w:rPr>
          <w:rFonts w:ascii="Times New Roman" w:hAnsi="Times New Roman" w:cs="Times New Roman" w:eastAsia="Times New Roman" w:hint="default"/>
        </w:rPr>
        <w:t>7</w:t>
      </w:r>
      <w:r>
        <w:rPr>
          <w:rFonts w:ascii="Times New Roman" w:hAnsi="Times New Roman" w:cs="Times New Roman" w:eastAsia="Times New Roman" w:hint="default"/>
          <w:spacing w:val="-8"/>
        </w:rPr>
        <w:t> </w:t>
      </w:r>
      <w:r>
        <w:rPr/>
        <w:t>月</w:t>
      </w:r>
      <w:r>
        <w:rPr>
          <w:spacing w:val="-54"/>
        </w:rPr>
        <w:t> </w:t>
      </w:r>
      <w:r>
        <w:rPr>
          <w:rFonts w:ascii="Times New Roman" w:hAnsi="Times New Roman" w:cs="Times New Roman" w:eastAsia="Times New Roman" w:hint="default"/>
        </w:rPr>
        <w:t>13</w:t>
      </w:r>
      <w:r>
        <w:rPr>
          <w:rFonts w:ascii="Times New Roman" w:hAnsi="Times New Roman" w:cs="Times New Roman" w:eastAsia="Times New Roman" w:hint="default"/>
          <w:spacing w:val="-8"/>
        </w:rPr>
        <w:t> </w:t>
      </w:r>
      <w:r>
        <w:rPr/>
        <w:t>日，公司购买了平安银行深圳华侨城支行发行的对公结构性存款产品，该产品为保本浮动收益型产品，金额</w:t>
      </w:r>
    </w:p>
    <w:p>
      <w:pPr>
        <w:pStyle w:val="BodyText"/>
        <w:spacing w:line="240" w:lineRule="auto" w:before="63"/>
        <w:ind w:right="0"/>
        <w:jc w:val="left"/>
      </w:pPr>
      <w:r>
        <w:rPr/>
        <w:t>为</w:t>
      </w:r>
      <w:r>
        <w:rPr>
          <w:spacing w:val="-46"/>
        </w:rPr>
        <w:t> </w:t>
      </w:r>
      <w:r>
        <w:rPr>
          <w:rFonts w:ascii="Times New Roman" w:hAnsi="Times New Roman" w:cs="Times New Roman" w:eastAsia="Times New Roman" w:hint="default"/>
        </w:rPr>
        <w:t>3,000 </w:t>
      </w:r>
      <w:r>
        <w:rPr/>
        <w:t>万元，起始日期</w:t>
      </w:r>
      <w:r>
        <w:rPr>
          <w:spacing w:val="-46"/>
        </w:rPr>
        <w:t> </w:t>
      </w:r>
      <w:r>
        <w:rPr>
          <w:rFonts w:ascii="Times New Roman" w:hAnsi="Times New Roman" w:cs="Times New Roman" w:eastAsia="Times New Roman" w:hint="default"/>
        </w:rPr>
        <w:t>2018 </w:t>
      </w:r>
      <w:r>
        <w:rPr/>
        <w:t>年</w:t>
      </w:r>
      <w:r>
        <w:rPr>
          <w:spacing w:val="-46"/>
        </w:rPr>
        <w:t> </w:t>
      </w:r>
      <w:r>
        <w:rPr>
          <w:rFonts w:ascii="Times New Roman" w:hAnsi="Times New Roman" w:cs="Times New Roman" w:eastAsia="Times New Roman" w:hint="default"/>
        </w:rPr>
        <w:t>7</w:t>
      </w:r>
      <w:r>
        <w:rPr>
          <w:rFonts w:ascii="Times New Roman" w:hAnsi="Times New Roman" w:cs="Times New Roman" w:eastAsia="Times New Roman" w:hint="default"/>
          <w:spacing w:val="-1"/>
        </w:rPr>
        <w:t> </w:t>
      </w:r>
      <w:r>
        <w:rPr/>
        <w:t>月</w:t>
      </w:r>
      <w:r>
        <w:rPr>
          <w:spacing w:val="-46"/>
        </w:rPr>
        <w:t> </w:t>
      </w:r>
      <w:r>
        <w:rPr>
          <w:rFonts w:ascii="Times New Roman" w:hAnsi="Times New Roman" w:cs="Times New Roman" w:eastAsia="Times New Roman" w:hint="default"/>
        </w:rPr>
        <w:t>13</w:t>
      </w:r>
      <w:r>
        <w:rPr>
          <w:rFonts w:ascii="Times New Roman" w:hAnsi="Times New Roman" w:cs="Times New Roman" w:eastAsia="Times New Roman" w:hint="default"/>
          <w:spacing w:val="-1"/>
        </w:rPr>
        <w:t> </w:t>
      </w:r>
      <w:r>
        <w:rPr/>
        <w:t>日至</w:t>
      </w:r>
      <w:r>
        <w:rPr>
          <w:spacing w:val="-45"/>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10 </w:t>
      </w:r>
      <w:r>
        <w:rPr/>
        <w:t>月</w:t>
      </w:r>
      <w:r>
        <w:rPr>
          <w:spacing w:val="-46"/>
        </w:rPr>
        <w:t> </w:t>
      </w:r>
      <w:r>
        <w:rPr>
          <w:rFonts w:ascii="Times New Roman" w:hAnsi="Times New Roman" w:cs="Times New Roman" w:eastAsia="Times New Roman" w:hint="default"/>
        </w:rPr>
        <w:t>13</w:t>
      </w:r>
      <w:r>
        <w:rPr>
          <w:rFonts w:ascii="Times New Roman" w:hAnsi="Times New Roman" w:cs="Times New Roman" w:eastAsia="Times New Roman" w:hint="default"/>
          <w:spacing w:val="-1"/>
        </w:rPr>
        <w:t> </w:t>
      </w:r>
      <w:r>
        <w:rPr/>
        <w:t>日；</w:t>
      </w:r>
    </w:p>
    <w:p>
      <w:pPr>
        <w:pStyle w:val="BodyText"/>
        <w:spacing w:line="240" w:lineRule="auto" w:before="63"/>
        <w:ind w:right="0"/>
        <w:jc w:val="left"/>
      </w:pPr>
      <w:r>
        <w:rPr>
          <w:rFonts w:ascii="Times New Roman" w:hAnsi="Times New Roman" w:cs="Times New Roman" w:eastAsia="Times New Roman" w:hint="default"/>
        </w:rPr>
        <w:t>2018</w:t>
      </w:r>
      <w:r>
        <w:rPr>
          <w:rFonts w:ascii="Times New Roman" w:hAnsi="Times New Roman" w:cs="Times New Roman" w:eastAsia="Times New Roman" w:hint="default"/>
          <w:spacing w:val="-9"/>
        </w:rPr>
        <w:t> </w:t>
      </w:r>
      <w:r>
        <w:rPr/>
        <w:t>年</w:t>
      </w:r>
      <w:r>
        <w:rPr>
          <w:spacing w:val="-54"/>
        </w:rPr>
        <w:t> </w:t>
      </w:r>
      <w:r>
        <w:rPr>
          <w:rFonts w:ascii="Times New Roman" w:hAnsi="Times New Roman" w:cs="Times New Roman" w:eastAsia="Times New Roman" w:hint="default"/>
        </w:rPr>
        <w:t>7</w:t>
      </w:r>
      <w:r>
        <w:rPr>
          <w:rFonts w:ascii="Times New Roman" w:hAnsi="Times New Roman" w:cs="Times New Roman" w:eastAsia="Times New Roman" w:hint="default"/>
          <w:spacing w:val="-8"/>
        </w:rPr>
        <w:t> </w:t>
      </w:r>
      <w:r>
        <w:rPr/>
        <w:t>月</w:t>
      </w:r>
      <w:r>
        <w:rPr>
          <w:spacing w:val="-54"/>
        </w:rPr>
        <w:t> </w:t>
      </w:r>
      <w:r>
        <w:rPr>
          <w:rFonts w:ascii="Times New Roman" w:hAnsi="Times New Roman" w:cs="Times New Roman" w:eastAsia="Times New Roman" w:hint="default"/>
        </w:rPr>
        <w:t>24</w:t>
      </w:r>
      <w:r>
        <w:rPr>
          <w:rFonts w:ascii="Times New Roman" w:hAnsi="Times New Roman" w:cs="Times New Roman" w:eastAsia="Times New Roman" w:hint="default"/>
          <w:spacing w:val="-8"/>
        </w:rPr>
        <w:t> </w:t>
      </w:r>
      <w:r>
        <w:rPr/>
        <w:t>日，公司购买了交通银行深圳光明支行发行的对公结构性存款产品，该产品为保本浮动收益型产品，金额为</w:t>
      </w:r>
    </w:p>
    <w:p>
      <w:pPr>
        <w:pStyle w:val="BodyText"/>
        <w:spacing w:line="240" w:lineRule="auto" w:before="63"/>
        <w:ind w:right="0"/>
        <w:jc w:val="left"/>
      </w:pPr>
      <w:r>
        <w:rPr>
          <w:rFonts w:ascii="Times New Roman" w:hAnsi="Times New Roman" w:cs="Times New Roman" w:eastAsia="Times New Roman" w:hint="default"/>
        </w:rPr>
        <w:t>3,000</w:t>
      </w:r>
      <w:r>
        <w:rPr>
          <w:rFonts w:ascii="Times New Roman" w:hAnsi="Times New Roman" w:cs="Times New Roman" w:eastAsia="Times New Roman" w:hint="default"/>
          <w:spacing w:val="-1"/>
        </w:rPr>
        <w:t> </w:t>
      </w:r>
      <w:r>
        <w:rPr/>
        <w:t>万元，起始日期</w:t>
      </w:r>
      <w:r>
        <w:rPr>
          <w:spacing w:val="-4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r>
        <w:rPr>
          <w:spacing w:val="-45"/>
        </w:rPr>
        <w:t> </w:t>
      </w:r>
      <w:r>
        <w:rPr>
          <w:rFonts w:ascii="Times New Roman" w:hAnsi="Times New Roman" w:cs="Times New Roman" w:eastAsia="Times New Roman" w:hint="default"/>
        </w:rPr>
        <w:t>7</w:t>
      </w:r>
      <w:r>
        <w:rPr>
          <w:rFonts w:ascii="Times New Roman" w:hAnsi="Times New Roman" w:cs="Times New Roman" w:eastAsia="Times New Roman" w:hint="default"/>
          <w:spacing w:val="-1"/>
        </w:rPr>
        <w:t> </w:t>
      </w:r>
      <w:r>
        <w:rPr/>
        <w:t>月</w:t>
      </w:r>
      <w:r>
        <w:rPr>
          <w:spacing w:val="-46"/>
        </w:rPr>
        <w:t> </w:t>
      </w:r>
      <w:r>
        <w:rPr>
          <w:rFonts w:ascii="Times New Roman" w:hAnsi="Times New Roman" w:cs="Times New Roman" w:eastAsia="Times New Roman" w:hint="default"/>
        </w:rPr>
        <w:t>24</w:t>
      </w:r>
      <w:r>
        <w:rPr>
          <w:rFonts w:ascii="Times New Roman" w:hAnsi="Times New Roman" w:cs="Times New Roman" w:eastAsia="Times New Roman" w:hint="default"/>
          <w:spacing w:val="-1"/>
        </w:rPr>
        <w:t> </w:t>
      </w:r>
      <w:r>
        <w:rPr/>
        <w:t>日至</w:t>
      </w:r>
      <w:r>
        <w:rPr>
          <w:spacing w:val="-4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10 </w:t>
      </w:r>
      <w:r>
        <w:rPr/>
        <w:t>月</w:t>
      </w:r>
      <w:r>
        <w:rPr>
          <w:spacing w:val="-46"/>
        </w:rPr>
        <w:t> </w:t>
      </w:r>
      <w:r>
        <w:rPr>
          <w:rFonts w:ascii="Times New Roman" w:hAnsi="Times New Roman" w:cs="Times New Roman" w:eastAsia="Times New Roman" w:hint="default"/>
        </w:rPr>
        <w:t>23 </w:t>
      </w:r>
      <w:r>
        <w:rPr/>
        <w:t>日；</w:t>
      </w:r>
    </w:p>
    <w:p>
      <w:pPr>
        <w:pStyle w:val="BodyText"/>
        <w:spacing w:line="240" w:lineRule="auto" w:before="63"/>
        <w:ind w:right="0"/>
        <w:jc w:val="left"/>
      </w:pPr>
      <w:r>
        <w:rPr>
          <w:rFonts w:ascii="Times New Roman" w:hAnsi="Times New Roman" w:cs="Times New Roman" w:eastAsia="Times New Roman" w:hint="default"/>
        </w:rPr>
        <w:t>2018</w:t>
      </w:r>
      <w:r>
        <w:rPr>
          <w:rFonts w:ascii="Times New Roman" w:hAnsi="Times New Roman" w:cs="Times New Roman" w:eastAsia="Times New Roman" w:hint="default"/>
          <w:spacing w:val="-9"/>
        </w:rPr>
        <w:t> </w:t>
      </w:r>
      <w:r>
        <w:rPr/>
        <w:t>年</w:t>
      </w:r>
      <w:r>
        <w:rPr>
          <w:spacing w:val="-54"/>
        </w:rPr>
        <w:t> </w:t>
      </w:r>
      <w:r>
        <w:rPr>
          <w:rFonts w:ascii="Times New Roman" w:hAnsi="Times New Roman" w:cs="Times New Roman" w:eastAsia="Times New Roman" w:hint="default"/>
        </w:rPr>
        <w:t>8</w:t>
      </w:r>
      <w:r>
        <w:rPr>
          <w:rFonts w:ascii="Times New Roman" w:hAnsi="Times New Roman" w:cs="Times New Roman" w:eastAsia="Times New Roman" w:hint="default"/>
          <w:spacing w:val="-8"/>
        </w:rPr>
        <w:t> </w:t>
      </w:r>
      <w:r>
        <w:rPr/>
        <w:t>月</w:t>
      </w:r>
      <w:r>
        <w:rPr>
          <w:spacing w:val="-54"/>
        </w:rPr>
        <w:t> </w:t>
      </w:r>
      <w:r>
        <w:rPr>
          <w:rFonts w:ascii="Times New Roman" w:hAnsi="Times New Roman" w:cs="Times New Roman" w:eastAsia="Times New Roman" w:hint="default"/>
        </w:rPr>
        <w:t>25</w:t>
      </w:r>
      <w:r>
        <w:rPr>
          <w:rFonts w:ascii="Times New Roman" w:hAnsi="Times New Roman" w:cs="Times New Roman" w:eastAsia="Times New Roman" w:hint="default"/>
          <w:spacing w:val="-8"/>
        </w:rPr>
        <w:t> </w:t>
      </w:r>
      <w:r>
        <w:rPr/>
        <w:t>日，公司购买了上海银行深圳君汇支行发行的对公结构性存款产品，该产品为保本浮动收益型产品，金额为</w:t>
      </w:r>
    </w:p>
    <w:p>
      <w:pPr>
        <w:pStyle w:val="BodyText"/>
        <w:spacing w:line="240" w:lineRule="auto" w:before="63"/>
        <w:ind w:right="0"/>
        <w:jc w:val="left"/>
      </w:pPr>
      <w:r>
        <w:rPr>
          <w:rFonts w:ascii="Times New Roman" w:hAnsi="Times New Roman" w:cs="Times New Roman" w:eastAsia="Times New Roman" w:hint="default"/>
        </w:rPr>
        <w:t>3,000</w:t>
      </w:r>
      <w:r>
        <w:rPr>
          <w:rFonts w:ascii="Times New Roman" w:hAnsi="Times New Roman" w:cs="Times New Roman" w:eastAsia="Times New Roman" w:hint="default"/>
          <w:spacing w:val="-1"/>
        </w:rPr>
        <w:t> </w:t>
      </w:r>
      <w:r>
        <w:rPr/>
        <w:t>万元，起始日期</w:t>
      </w:r>
      <w:r>
        <w:rPr>
          <w:spacing w:val="-4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r>
        <w:rPr>
          <w:spacing w:val="-45"/>
        </w:rPr>
        <w:t> </w:t>
      </w:r>
      <w:r>
        <w:rPr>
          <w:rFonts w:ascii="Times New Roman" w:hAnsi="Times New Roman" w:cs="Times New Roman" w:eastAsia="Times New Roman" w:hint="default"/>
        </w:rPr>
        <w:t>8</w:t>
      </w:r>
      <w:r>
        <w:rPr>
          <w:rFonts w:ascii="Times New Roman" w:hAnsi="Times New Roman" w:cs="Times New Roman" w:eastAsia="Times New Roman" w:hint="default"/>
          <w:spacing w:val="-1"/>
        </w:rPr>
        <w:t> </w:t>
      </w:r>
      <w:r>
        <w:rPr/>
        <w:t>月</w:t>
      </w:r>
      <w:r>
        <w:rPr>
          <w:spacing w:val="-46"/>
        </w:rPr>
        <w:t> </w:t>
      </w:r>
      <w:r>
        <w:rPr>
          <w:rFonts w:ascii="Times New Roman" w:hAnsi="Times New Roman" w:cs="Times New Roman" w:eastAsia="Times New Roman" w:hint="default"/>
        </w:rPr>
        <w:t>25</w:t>
      </w:r>
      <w:r>
        <w:rPr>
          <w:rFonts w:ascii="Times New Roman" w:hAnsi="Times New Roman" w:cs="Times New Roman" w:eastAsia="Times New Roman" w:hint="default"/>
          <w:spacing w:val="-1"/>
        </w:rPr>
        <w:t> </w:t>
      </w:r>
      <w:r>
        <w:rPr/>
        <w:t>日至</w:t>
      </w:r>
      <w:r>
        <w:rPr>
          <w:spacing w:val="-4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10 </w:t>
      </w:r>
      <w:r>
        <w:rPr/>
        <w:t>月</w:t>
      </w:r>
      <w:r>
        <w:rPr>
          <w:spacing w:val="-46"/>
        </w:rPr>
        <w:t> </w:t>
      </w:r>
      <w:r>
        <w:rPr>
          <w:rFonts w:ascii="Times New Roman" w:hAnsi="Times New Roman" w:cs="Times New Roman" w:eastAsia="Times New Roman" w:hint="default"/>
        </w:rPr>
        <w:t>25 </w:t>
      </w:r>
      <w:r>
        <w:rPr/>
        <w:t>日；</w:t>
      </w:r>
    </w:p>
    <w:p>
      <w:pPr>
        <w:pStyle w:val="BodyText"/>
        <w:spacing w:line="240" w:lineRule="auto" w:before="63"/>
        <w:ind w:right="0"/>
        <w:jc w:val="left"/>
      </w:pPr>
      <w:r>
        <w:rPr>
          <w:rFonts w:ascii="Times New Roman" w:hAnsi="Times New Roman" w:cs="Times New Roman" w:eastAsia="Times New Roman" w:hint="default"/>
        </w:rPr>
        <w:t>2018</w:t>
      </w:r>
      <w:r>
        <w:rPr>
          <w:rFonts w:ascii="Times New Roman" w:hAnsi="Times New Roman" w:cs="Times New Roman" w:eastAsia="Times New Roman" w:hint="default"/>
          <w:spacing w:val="-9"/>
        </w:rPr>
        <w:t> </w:t>
      </w:r>
      <w:r>
        <w:rPr/>
        <w:t>年</w:t>
      </w:r>
      <w:r>
        <w:rPr>
          <w:spacing w:val="-54"/>
        </w:rPr>
        <w:t> </w:t>
      </w:r>
      <w:r>
        <w:rPr>
          <w:rFonts w:ascii="Times New Roman" w:hAnsi="Times New Roman" w:cs="Times New Roman" w:eastAsia="Times New Roman" w:hint="default"/>
        </w:rPr>
        <w:t>8</w:t>
      </w:r>
      <w:r>
        <w:rPr>
          <w:rFonts w:ascii="Times New Roman" w:hAnsi="Times New Roman" w:cs="Times New Roman" w:eastAsia="Times New Roman" w:hint="default"/>
          <w:spacing w:val="-8"/>
        </w:rPr>
        <w:t> </w:t>
      </w:r>
      <w:r>
        <w:rPr/>
        <w:t>月</w:t>
      </w:r>
      <w:r>
        <w:rPr>
          <w:spacing w:val="-54"/>
        </w:rPr>
        <w:t> </w:t>
      </w:r>
      <w:r>
        <w:rPr>
          <w:rFonts w:ascii="Times New Roman" w:hAnsi="Times New Roman" w:cs="Times New Roman" w:eastAsia="Times New Roman" w:hint="default"/>
        </w:rPr>
        <w:t>29</w:t>
      </w:r>
      <w:r>
        <w:rPr>
          <w:rFonts w:ascii="Times New Roman" w:hAnsi="Times New Roman" w:cs="Times New Roman" w:eastAsia="Times New Roman" w:hint="default"/>
          <w:spacing w:val="-8"/>
        </w:rPr>
        <w:t> </w:t>
      </w:r>
      <w:r>
        <w:rPr/>
        <w:t>日，公司购买了北京银行深圳南山支行发行的对公结构性存款产品，该产品为保本浮动收益型产品，金额为</w:t>
      </w:r>
    </w:p>
    <w:p>
      <w:pPr>
        <w:pStyle w:val="BodyText"/>
        <w:spacing w:line="240" w:lineRule="auto" w:before="63"/>
        <w:ind w:right="0"/>
        <w:jc w:val="left"/>
      </w:pPr>
      <w:r>
        <w:rPr>
          <w:rFonts w:ascii="Times New Roman" w:hAnsi="Times New Roman" w:cs="Times New Roman" w:eastAsia="Times New Roman" w:hint="default"/>
        </w:rPr>
        <w:t>3,500</w:t>
      </w:r>
      <w:r>
        <w:rPr>
          <w:rFonts w:ascii="Times New Roman" w:hAnsi="Times New Roman" w:cs="Times New Roman" w:eastAsia="Times New Roman" w:hint="default"/>
          <w:spacing w:val="-1"/>
        </w:rPr>
        <w:t> </w:t>
      </w:r>
      <w:r>
        <w:rPr/>
        <w:t>万元，起始日期</w:t>
      </w:r>
      <w:r>
        <w:rPr>
          <w:spacing w:val="-4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r>
        <w:rPr>
          <w:spacing w:val="-45"/>
        </w:rPr>
        <w:t> </w:t>
      </w:r>
      <w:r>
        <w:rPr>
          <w:rFonts w:ascii="Times New Roman" w:hAnsi="Times New Roman" w:cs="Times New Roman" w:eastAsia="Times New Roman" w:hint="default"/>
        </w:rPr>
        <w:t>8</w:t>
      </w:r>
      <w:r>
        <w:rPr>
          <w:rFonts w:ascii="Times New Roman" w:hAnsi="Times New Roman" w:cs="Times New Roman" w:eastAsia="Times New Roman" w:hint="default"/>
          <w:spacing w:val="-1"/>
        </w:rPr>
        <w:t> </w:t>
      </w:r>
      <w:r>
        <w:rPr/>
        <w:t>月</w:t>
      </w:r>
      <w:r>
        <w:rPr>
          <w:spacing w:val="-46"/>
        </w:rPr>
        <w:t> </w:t>
      </w:r>
      <w:r>
        <w:rPr>
          <w:rFonts w:ascii="Times New Roman" w:hAnsi="Times New Roman" w:cs="Times New Roman" w:eastAsia="Times New Roman" w:hint="default"/>
        </w:rPr>
        <w:t>29</w:t>
      </w:r>
      <w:r>
        <w:rPr>
          <w:rFonts w:ascii="Times New Roman" w:hAnsi="Times New Roman" w:cs="Times New Roman" w:eastAsia="Times New Roman" w:hint="default"/>
          <w:spacing w:val="-1"/>
        </w:rPr>
        <w:t> </w:t>
      </w:r>
      <w:r>
        <w:rPr/>
        <w:t>日至</w:t>
      </w:r>
      <w:r>
        <w:rPr>
          <w:spacing w:val="-4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9 </w:t>
      </w:r>
      <w:r>
        <w:rPr/>
        <w:t>月</w:t>
      </w:r>
      <w:r>
        <w:rPr>
          <w:spacing w:val="-46"/>
        </w:rPr>
        <w:t> </w:t>
      </w:r>
      <w:r>
        <w:rPr>
          <w:rFonts w:ascii="Times New Roman" w:hAnsi="Times New Roman" w:cs="Times New Roman" w:eastAsia="Times New Roman" w:hint="default"/>
        </w:rPr>
        <w:t>28</w:t>
      </w:r>
      <w:r>
        <w:rPr>
          <w:rFonts w:ascii="Times New Roman" w:hAnsi="Times New Roman" w:cs="Times New Roman" w:eastAsia="Times New Roman" w:hint="default"/>
          <w:spacing w:val="-1"/>
        </w:rPr>
        <w:t> </w:t>
      </w:r>
      <w:r>
        <w:rPr/>
        <w:t>日；</w:t>
      </w:r>
    </w:p>
    <w:p>
      <w:pPr>
        <w:pStyle w:val="BodyText"/>
        <w:spacing w:line="240" w:lineRule="auto" w:before="63"/>
        <w:ind w:right="0"/>
        <w:jc w:val="left"/>
      </w:pPr>
      <w:r>
        <w:rPr>
          <w:rFonts w:ascii="Times New Roman" w:hAnsi="Times New Roman" w:cs="Times New Roman" w:eastAsia="Times New Roman" w:hint="default"/>
        </w:rPr>
        <w:t>2018</w:t>
      </w:r>
      <w:r>
        <w:rPr>
          <w:rFonts w:ascii="Times New Roman" w:hAnsi="Times New Roman" w:cs="Times New Roman" w:eastAsia="Times New Roman" w:hint="default"/>
          <w:spacing w:val="-9"/>
        </w:rPr>
        <w:t> </w:t>
      </w:r>
      <w:r>
        <w:rPr/>
        <w:t>年</w:t>
      </w:r>
      <w:r>
        <w:rPr>
          <w:spacing w:val="-54"/>
        </w:rPr>
        <w:t> </w:t>
      </w:r>
      <w:r>
        <w:rPr>
          <w:rFonts w:ascii="Times New Roman" w:hAnsi="Times New Roman" w:cs="Times New Roman" w:eastAsia="Times New Roman" w:hint="default"/>
        </w:rPr>
        <w:t>9</w:t>
      </w:r>
      <w:r>
        <w:rPr>
          <w:rFonts w:ascii="Times New Roman" w:hAnsi="Times New Roman" w:cs="Times New Roman" w:eastAsia="Times New Roman" w:hint="default"/>
          <w:spacing w:val="-8"/>
        </w:rPr>
        <w:t> </w:t>
      </w:r>
      <w:r>
        <w:rPr/>
        <w:t>月</w:t>
      </w:r>
      <w:r>
        <w:rPr>
          <w:spacing w:val="-54"/>
        </w:rPr>
        <w:t> </w:t>
      </w:r>
      <w:r>
        <w:rPr>
          <w:rFonts w:ascii="Times New Roman" w:hAnsi="Times New Roman" w:cs="Times New Roman" w:eastAsia="Times New Roman" w:hint="default"/>
        </w:rPr>
        <w:t>28</w:t>
      </w:r>
      <w:r>
        <w:rPr>
          <w:rFonts w:ascii="Times New Roman" w:hAnsi="Times New Roman" w:cs="Times New Roman" w:eastAsia="Times New Roman" w:hint="default"/>
          <w:spacing w:val="-8"/>
        </w:rPr>
        <w:t> </w:t>
      </w:r>
      <w:r>
        <w:rPr/>
        <w:t>日，公司购买了北京银行深圳南山支行发行的对公结构性存款产品，该产品为保本浮动收益型产品，金额为</w:t>
      </w:r>
    </w:p>
    <w:p>
      <w:pPr>
        <w:pStyle w:val="BodyText"/>
        <w:spacing w:line="240" w:lineRule="auto" w:before="63"/>
        <w:ind w:right="0"/>
        <w:jc w:val="left"/>
      </w:pPr>
      <w:r>
        <w:rPr>
          <w:rFonts w:ascii="Times New Roman" w:hAnsi="Times New Roman" w:cs="Times New Roman" w:eastAsia="Times New Roman" w:hint="default"/>
        </w:rPr>
        <w:t>3,500</w:t>
      </w:r>
      <w:r>
        <w:rPr>
          <w:rFonts w:ascii="Times New Roman" w:hAnsi="Times New Roman" w:cs="Times New Roman" w:eastAsia="Times New Roman" w:hint="default"/>
          <w:spacing w:val="-1"/>
        </w:rPr>
        <w:t> </w:t>
      </w:r>
      <w:r>
        <w:rPr/>
        <w:t>万元，起始日期</w:t>
      </w:r>
      <w:r>
        <w:rPr>
          <w:spacing w:val="-4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r>
        <w:rPr>
          <w:spacing w:val="-45"/>
        </w:rPr>
        <w:t> </w:t>
      </w:r>
      <w:r>
        <w:rPr>
          <w:rFonts w:ascii="Times New Roman" w:hAnsi="Times New Roman" w:cs="Times New Roman" w:eastAsia="Times New Roman" w:hint="default"/>
        </w:rPr>
        <w:t>9</w:t>
      </w:r>
      <w:r>
        <w:rPr>
          <w:rFonts w:ascii="Times New Roman" w:hAnsi="Times New Roman" w:cs="Times New Roman" w:eastAsia="Times New Roman" w:hint="default"/>
          <w:spacing w:val="-1"/>
        </w:rPr>
        <w:t> </w:t>
      </w:r>
      <w:r>
        <w:rPr/>
        <w:t>月</w:t>
      </w:r>
      <w:r>
        <w:rPr>
          <w:spacing w:val="-46"/>
        </w:rPr>
        <w:t> </w:t>
      </w:r>
      <w:r>
        <w:rPr>
          <w:rFonts w:ascii="Times New Roman" w:hAnsi="Times New Roman" w:cs="Times New Roman" w:eastAsia="Times New Roman" w:hint="default"/>
        </w:rPr>
        <w:t>28</w:t>
      </w:r>
      <w:r>
        <w:rPr>
          <w:rFonts w:ascii="Times New Roman" w:hAnsi="Times New Roman" w:cs="Times New Roman" w:eastAsia="Times New Roman" w:hint="default"/>
          <w:spacing w:val="-1"/>
        </w:rPr>
        <w:t> </w:t>
      </w:r>
      <w:r>
        <w:rPr/>
        <w:t>日至</w:t>
      </w:r>
      <w:r>
        <w:rPr>
          <w:spacing w:val="-4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12 </w:t>
      </w:r>
      <w:r>
        <w:rPr/>
        <w:t>月</w:t>
      </w:r>
      <w:r>
        <w:rPr>
          <w:spacing w:val="-46"/>
        </w:rPr>
        <w:t> </w:t>
      </w:r>
      <w:r>
        <w:rPr>
          <w:rFonts w:ascii="Times New Roman" w:hAnsi="Times New Roman" w:cs="Times New Roman" w:eastAsia="Times New Roman" w:hint="default"/>
        </w:rPr>
        <w:t>27 </w:t>
      </w:r>
      <w:r>
        <w:rPr/>
        <w:t>日；</w:t>
      </w:r>
    </w:p>
    <w:p>
      <w:pPr>
        <w:pStyle w:val="BodyText"/>
        <w:spacing w:line="240" w:lineRule="auto" w:before="63"/>
        <w:ind w:right="0"/>
        <w:jc w:val="left"/>
      </w:pP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10 </w:t>
      </w:r>
      <w:r>
        <w:rPr/>
        <w:t>月</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日，公司购买了光大银行深圳熙龙湾支行发行的对公结构性存款产品，该产品为保本浮动收益型产品，金</w:t>
      </w:r>
    </w:p>
    <w:p>
      <w:pPr>
        <w:pStyle w:val="BodyText"/>
        <w:spacing w:line="240" w:lineRule="auto" w:before="63"/>
        <w:ind w:right="0"/>
        <w:jc w:val="left"/>
      </w:pPr>
      <w:r>
        <w:rPr/>
        <w:t>额为</w:t>
      </w:r>
      <w:r>
        <w:rPr>
          <w:spacing w:val="-46"/>
        </w:rPr>
        <w:t> </w:t>
      </w:r>
      <w:r>
        <w:rPr>
          <w:rFonts w:ascii="Times New Roman" w:hAnsi="Times New Roman" w:cs="Times New Roman" w:eastAsia="Times New Roman" w:hint="default"/>
        </w:rPr>
        <w:t>4,500 </w:t>
      </w:r>
      <w:r>
        <w:rPr/>
        <w:t>万元，起始日期</w:t>
      </w:r>
      <w:r>
        <w:rPr>
          <w:spacing w:val="-4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10 </w:t>
      </w:r>
      <w:r>
        <w:rPr/>
        <w:t>月</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日至</w:t>
      </w:r>
      <w:r>
        <w:rPr>
          <w:spacing w:val="-46"/>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w:t>
      </w:r>
      <w:r>
        <w:rPr>
          <w:spacing w:val="-45"/>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 </w:t>
      </w:r>
      <w:r>
        <w:rPr/>
        <w:t>月</w:t>
      </w:r>
      <w:r>
        <w:rPr>
          <w:spacing w:val="-45"/>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日；</w:t>
      </w:r>
    </w:p>
    <w:p>
      <w:pPr>
        <w:pStyle w:val="BodyText"/>
        <w:spacing w:line="240" w:lineRule="auto" w:before="63"/>
        <w:ind w:right="0"/>
        <w:jc w:val="left"/>
      </w:pP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10 </w:t>
      </w:r>
      <w:r>
        <w:rPr/>
        <w:t>月</w:t>
      </w:r>
      <w:r>
        <w:rPr>
          <w:spacing w:val="-46"/>
        </w:rPr>
        <w:t> </w:t>
      </w:r>
      <w:r>
        <w:rPr>
          <w:rFonts w:ascii="Times New Roman" w:hAnsi="Times New Roman" w:cs="Times New Roman" w:eastAsia="Times New Roman" w:hint="default"/>
        </w:rPr>
        <w:t>16</w:t>
      </w:r>
      <w:r>
        <w:rPr>
          <w:rFonts w:ascii="Times New Roman" w:hAnsi="Times New Roman" w:cs="Times New Roman" w:eastAsia="Times New Roman" w:hint="default"/>
          <w:spacing w:val="-1"/>
        </w:rPr>
        <w:t> </w:t>
      </w:r>
      <w:r>
        <w:rPr/>
        <w:t>日，公司购买了兴业银行深圳深南支行发行的对公结构性存款产品，该产品为保本浮动收益型产品，金额</w:t>
      </w:r>
    </w:p>
    <w:p>
      <w:pPr>
        <w:pStyle w:val="BodyText"/>
        <w:spacing w:line="240" w:lineRule="auto" w:before="63"/>
        <w:ind w:right="0"/>
        <w:jc w:val="left"/>
      </w:pPr>
      <w:r>
        <w:rPr/>
        <w:t>为</w:t>
      </w:r>
      <w:r>
        <w:rPr>
          <w:spacing w:val="-46"/>
        </w:rPr>
        <w:t> </w:t>
      </w:r>
      <w:r>
        <w:rPr>
          <w:rFonts w:ascii="Times New Roman" w:hAnsi="Times New Roman" w:cs="Times New Roman" w:eastAsia="Times New Roman" w:hint="default"/>
        </w:rPr>
        <w:t>7,000 </w:t>
      </w:r>
      <w:r>
        <w:rPr/>
        <w:t>万元，起始日期</w:t>
      </w:r>
      <w:r>
        <w:rPr>
          <w:spacing w:val="-46"/>
        </w:rPr>
        <w:t> </w:t>
      </w:r>
      <w:r>
        <w:rPr>
          <w:rFonts w:ascii="Times New Roman" w:hAnsi="Times New Roman" w:cs="Times New Roman" w:eastAsia="Times New Roman" w:hint="default"/>
        </w:rPr>
        <w:t>2018 </w:t>
      </w:r>
      <w:r>
        <w:rPr/>
        <w:t>年</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月</w:t>
      </w:r>
      <w:r>
        <w:rPr>
          <w:spacing w:val="-46"/>
        </w:rPr>
        <w:t> </w:t>
      </w:r>
      <w:r>
        <w:rPr>
          <w:rFonts w:ascii="Times New Roman" w:hAnsi="Times New Roman" w:cs="Times New Roman" w:eastAsia="Times New Roman" w:hint="default"/>
        </w:rPr>
        <w:t>16</w:t>
      </w:r>
      <w:r>
        <w:rPr>
          <w:rFonts w:ascii="Times New Roman" w:hAnsi="Times New Roman" w:cs="Times New Roman" w:eastAsia="Times New Roman" w:hint="default"/>
          <w:spacing w:val="-1"/>
        </w:rPr>
        <w:t> </w:t>
      </w:r>
      <w:r>
        <w:rPr/>
        <w:t>日至</w:t>
      </w:r>
      <w:r>
        <w:rPr>
          <w:spacing w:val="-46"/>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w:t>
      </w:r>
      <w:r>
        <w:rPr>
          <w:spacing w:val="-45"/>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月</w:t>
      </w:r>
      <w:r>
        <w:rPr>
          <w:spacing w:val="-45"/>
        </w:rPr>
        <w:t> </w:t>
      </w:r>
      <w:r>
        <w:rPr>
          <w:rFonts w:ascii="Times New Roman" w:hAnsi="Times New Roman" w:cs="Times New Roman" w:eastAsia="Times New Roman" w:hint="default"/>
        </w:rPr>
        <w:t>16</w:t>
      </w:r>
      <w:r>
        <w:rPr>
          <w:rFonts w:ascii="Times New Roman" w:hAnsi="Times New Roman" w:cs="Times New Roman" w:eastAsia="Times New Roman" w:hint="default"/>
          <w:spacing w:val="-1"/>
        </w:rPr>
        <w:t> </w:t>
      </w:r>
      <w:r>
        <w:rPr/>
        <w:t>日；</w:t>
      </w:r>
    </w:p>
    <w:p>
      <w:pPr>
        <w:pStyle w:val="BodyText"/>
        <w:spacing w:line="240" w:lineRule="auto" w:before="63"/>
        <w:ind w:right="0"/>
        <w:jc w:val="left"/>
      </w:pP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10 </w:t>
      </w:r>
      <w:r>
        <w:rPr/>
        <w:t>月</w:t>
      </w:r>
      <w:r>
        <w:rPr>
          <w:spacing w:val="-46"/>
        </w:rPr>
        <w:t> </w:t>
      </w:r>
      <w:r>
        <w:rPr>
          <w:rFonts w:ascii="Times New Roman" w:hAnsi="Times New Roman" w:cs="Times New Roman" w:eastAsia="Times New Roman" w:hint="default"/>
        </w:rPr>
        <w:t>18</w:t>
      </w:r>
      <w:r>
        <w:rPr>
          <w:rFonts w:ascii="Times New Roman" w:hAnsi="Times New Roman" w:cs="Times New Roman" w:eastAsia="Times New Roman" w:hint="default"/>
          <w:spacing w:val="-1"/>
        </w:rPr>
        <w:t> </w:t>
      </w:r>
      <w:r>
        <w:rPr/>
        <w:t>日，公司购买了平安银行深圳华侨城支行发行的对公结构性存款产品，该产品为保本浮动收益型产品，金</w:t>
      </w:r>
    </w:p>
    <w:p>
      <w:pPr>
        <w:pStyle w:val="BodyText"/>
        <w:spacing w:line="240" w:lineRule="auto" w:before="63"/>
        <w:ind w:right="0"/>
        <w:jc w:val="left"/>
      </w:pPr>
      <w:r>
        <w:rPr/>
        <w:t>额为</w:t>
      </w:r>
      <w:r>
        <w:rPr>
          <w:spacing w:val="-46"/>
        </w:rPr>
        <w:t> </w:t>
      </w:r>
      <w:r>
        <w:rPr>
          <w:rFonts w:ascii="Times New Roman" w:hAnsi="Times New Roman" w:cs="Times New Roman" w:eastAsia="Times New Roman" w:hint="default"/>
        </w:rPr>
        <w:t>3,000 </w:t>
      </w:r>
      <w:r>
        <w:rPr/>
        <w:t>万元，起始日期</w:t>
      </w:r>
      <w:r>
        <w:rPr>
          <w:spacing w:val="-4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10 </w:t>
      </w:r>
      <w:r>
        <w:rPr/>
        <w:t>月</w:t>
      </w:r>
      <w:r>
        <w:rPr>
          <w:spacing w:val="-46"/>
        </w:rPr>
        <w:t> </w:t>
      </w:r>
      <w:r>
        <w:rPr>
          <w:rFonts w:ascii="Times New Roman" w:hAnsi="Times New Roman" w:cs="Times New Roman" w:eastAsia="Times New Roman" w:hint="default"/>
        </w:rPr>
        <w:t>18</w:t>
      </w:r>
      <w:r>
        <w:rPr>
          <w:rFonts w:ascii="Times New Roman" w:hAnsi="Times New Roman" w:cs="Times New Roman" w:eastAsia="Times New Roman" w:hint="default"/>
          <w:spacing w:val="-1"/>
        </w:rPr>
        <w:t> </w:t>
      </w:r>
      <w:r>
        <w:rPr/>
        <w:t>日至</w:t>
      </w:r>
      <w:r>
        <w:rPr>
          <w:spacing w:val="-46"/>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w:t>
      </w:r>
      <w:r>
        <w:rPr>
          <w:spacing w:val="-45"/>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 </w:t>
      </w:r>
      <w:r>
        <w:rPr/>
        <w:t>月</w:t>
      </w:r>
      <w:r>
        <w:rPr>
          <w:spacing w:val="-45"/>
        </w:rPr>
        <w:t> </w:t>
      </w:r>
      <w:r>
        <w:rPr>
          <w:rFonts w:ascii="Times New Roman" w:hAnsi="Times New Roman" w:cs="Times New Roman" w:eastAsia="Times New Roman" w:hint="default"/>
        </w:rPr>
        <w:t>18</w:t>
      </w:r>
      <w:r>
        <w:rPr>
          <w:rFonts w:ascii="Times New Roman" w:hAnsi="Times New Roman" w:cs="Times New Roman" w:eastAsia="Times New Roman" w:hint="default"/>
          <w:spacing w:val="-1"/>
        </w:rPr>
        <w:t> </w:t>
      </w:r>
      <w:r>
        <w:rPr/>
        <w:t>日；</w:t>
      </w:r>
    </w:p>
    <w:p>
      <w:pPr>
        <w:pStyle w:val="BodyText"/>
        <w:spacing w:line="240" w:lineRule="auto" w:before="63"/>
        <w:ind w:right="0"/>
        <w:jc w:val="left"/>
      </w:pP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10 </w:t>
      </w:r>
      <w:r>
        <w:rPr/>
        <w:t>月</w:t>
      </w:r>
      <w:r>
        <w:rPr>
          <w:spacing w:val="-46"/>
        </w:rPr>
        <w:t> </w:t>
      </w:r>
      <w:r>
        <w:rPr>
          <w:rFonts w:ascii="Times New Roman" w:hAnsi="Times New Roman" w:cs="Times New Roman" w:eastAsia="Times New Roman" w:hint="default"/>
        </w:rPr>
        <w:t>30</w:t>
      </w:r>
      <w:r>
        <w:rPr>
          <w:rFonts w:ascii="Times New Roman" w:hAnsi="Times New Roman" w:cs="Times New Roman" w:eastAsia="Times New Roman" w:hint="default"/>
          <w:spacing w:val="-1"/>
        </w:rPr>
        <w:t> </w:t>
      </w:r>
      <w:r>
        <w:rPr/>
        <w:t>日，公司购买了交通银行深圳光明支行发行的对公结构性存款产品，该产品为保本浮动收益型产品，金额</w:t>
      </w:r>
    </w:p>
    <w:p>
      <w:pPr>
        <w:pStyle w:val="BodyText"/>
        <w:spacing w:line="240" w:lineRule="auto" w:before="63"/>
        <w:ind w:right="0"/>
        <w:jc w:val="left"/>
      </w:pPr>
      <w:r>
        <w:rPr/>
        <w:t>为</w:t>
      </w:r>
      <w:r>
        <w:rPr>
          <w:spacing w:val="-46"/>
        </w:rPr>
        <w:t> </w:t>
      </w:r>
      <w:r>
        <w:rPr>
          <w:rFonts w:ascii="Times New Roman" w:hAnsi="Times New Roman" w:cs="Times New Roman" w:eastAsia="Times New Roman" w:hint="default"/>
        </w:rPr>
        <w:t>3,000 </w:t>
      </w:r>
      <w:r>
        <w:rPr/>
        <w:t>万元，起始日期</w:t>
      </w:r>
      <w:r>
        <w:rPr>
          <w:spacing w:val="-46"/>
        </w:rPr>
        <w:t> </w:t>
      </w:r>
      <w:r>
        <w:rPr>
          <w:rFonts w:ascii="Times New Roman" w:hAnsi="Times New Roman" w:cs="Times New Roman" w:eastAsia="Times New Roman" w:hint="default"/>
        </w:rPr>
        <w:t>2018 </w:t>
      </w:r>
      <w:r>
        <w:rPr/>
        <w:t>年</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月</w:t>
      </w:r>
      <w:r>
        <w:rPr>
          <w:spacing w:val="-46"/>
        </w:rPr>
        <w:t> </w:t>
      </w:r>
      <w:r>
        <w:rPr>
          <w:rFonts w:ascii="Times New Roman" w:hAnsi="Times New Roman" w:cs="Times New Roman" w:eastAsia="Times New Roman" w:hint="default"/>
        </w:rPr>
        <w:t>30</w:t>
      </w:r>
      <w:r>
        <w:rPr>
          <w:rFonts w:ascii="Times New Roman" w:hAnsi="Times New Roman" w:cs="Times New Roman" w:eastAsia="Times New Roman" w:hint="default"/>
          <w:spacing w:val="-1"/>
        </w:rPr>
        <w:t> </w:t>
      </w:r>
      <w:r>
        <w:rPr/>
        <w:t>日至</w:t>
      </w:r>
      <w:r>
        <w:rPr>
          <w:spacing w:val="-46"/>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w:t>
      </w:r>
      <w:r>
        <w:rPr>
          <w:spacing w:val="-45"/>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月</w:t>
      </w:r>
      <w:r>
        <w:rPr>
          <w:spacing w:val="-45"/>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w:t>
      </w:r>
    </w:p>
    <w:p>
      <w:pPr>
        <w:pStyle w:val="BodyText"/>
        <w:spacing w:line="240" w:lineRule="auto" w:before="63"/>
        <w:ind w:right="0"/>
        <w:jc w:val="left"/>
      </w:pP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spacing w:val="-3"/>
        </w:rPr>
        <w:t>11</w:t>
      </w:r>
      <w:r>
        <w:rPr>
          <w:rFonts w:ascii="Times New Roman" w:hAnsi="Times New Roman" w:cs="Times New Roman" w:eastAsia="Times New Roman" w:hint="default"/>
          <w:spacing w:val="-1"/>
        </w:rPr>
        <w:t> </w:t>
      </w:r>
      <w:r>
        <w:rPr/>
        <w:t>月</w:t>
      </w:r>
      <w:r>
        <w:rPr>
          <w:spacing w:val="-46"/>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日，公司购买了交通银行深圳光明支行发行的对公结构性存款产品，该产品为保本浮动收益型产品，金额</w:t>
      </w:r>
    </w:p>
    <w:p>
      <w:pPr>
        <w:pStyle w:val="BodyText"/>
        <w:spacing w:line="240" w:lineRule="auto" w:before="63"/>
        <w:ind w:right="0"/>
        <w:jc w:val="left"/>
      </w:pPr>
      <w:r>
        <w:rPr/>
        <w:t>为</w:t>
      </w:r>
      <w:r>
        <w:rPr>
          <w:spacing w:val="-46"/>
        </w:rPr>
        <w:t> </w:t>
      </w:r>
      <w:r>
        <w:rPr>
          <w:rFonts w:ascii="Times New Roman" w:hAnsi="Times New Roman" w:cs="Times New Roman" w:eastAsia="Times New Roman" w:hint="default"/>
        </w:rPr>
        <w:t>7,000 </w:t>
      </w:r>
      <w:r>
        <w:rPr/>
        <w:t>万元，起始日期</w:t>
      </w:r>
      <w:r>
        <w:rPr>
          <w:spacing w:val="-46"/>
        </w:rPr>
        <w:t> </w:t>
      </w:r>
      <w:r>
        <w:rPr>
          <w:rFonts w:ascii="Times New Roman" w:hAnsi="Times New Roman" w:cs="Times New Roman" w:eastAsia="Times New Roman" w:hint="default"/>
        </w:rPr>
        <w:t>2018 </w:t>
      </w:r>
      <w:r>
        <w:rPr/>
        <w:t>年</w:t>
      </w:r>
      <w:r>
        <w:rPr>
          <w:spacing w:val="-46"/>
        </w:rPr>
        <w:t> </w:t>
      </w:r>
      <w:r>
        <w:rPr>
          <w:rFonts w:ascii="Times New Roman" w:hAnsi="Times New Roman" w:cs="Times New Roman" w:eastAsia="Times New Roman" w:hint="default"/>
          <w:spacing w:val="-4"/>
        </w:rPr>
        <w:t>11</w:t>
      </w:r>
      <w:r>
        <w:rPr>
          <w:rFonts w:ascii="Times New Roman" w:hAnsi="Times New Roman" w:cs="Times New Roman" w:eastAsia="Times New Roman" w:hint="default"/>
        </w:rPr>
        <w:t> </w:t>
      </w:r>
      <w:r>
        <w:rPr/>
        <w:t>月</w:t>
      </w:r>
      <w:r>
        <w:rPr>
          <w:spacing w:val="-46"/>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日至</w:t>
      </w:r>
      <w:r>
        <w:rPr>
          <w:spacing w:val="-4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12 </w:t>
      </w:r>
      <w:r>
        <w:rPr/>
        <w:t>月</w:t>
      </w:r>
      <w:r>
        <w:rPr>
          <w:spacing w:val="-46"/>
        </w:rPr>
        <w:t> </w:t>
      </w:r>
      <w:r>
        <w:rPr>
          <w:rFonts w:ascii="Times New Roman" w:hAnsi="Times New Roman" w:cs="Times New Roman" w:eastAsia="Times New Roman" w:hint="default"/>
        </w:rPr>
        <w:t>27</w:t>
      </w:r>
      <w:r>
        <w:rPr>
          <w:rFonts w:ascii="Times New Roman" w:hAnsi="Times New Roman" w:cs="Times New Roman" w:eastAsia="Times New Roman" w:hint="default"/>
          <w:spacing w:val="-1"/>
        </w:rPr>
        <w:t> </w:t>
      </w:r>
      <w:r>
        <w:rPr/>
        <w:t>日；</w:t>
      </w:r>
    </w:p>
    <w:p>
      <w:pPr>
        <w:pStyle w:val="BodyText"/>
        <w:spacing w:line="240" w:lineRule="auto" w:before="63"/>
        <w:ind w:right="0"/>
        <w:jc w:val="left"/>
      </w:pP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spacing w:val="-3"/>
        </w:rPr>
        <w:t>11</w:t>
      </w:r>
      <w:r>
        <w:rPr>
          <w:rFonts w:ascii="Times New Roman" w:hAnsi="Times New Roman" w:cs="Times New Roman" w:eastAsia="Times New Roman" w:hint="default"/>
          <w:spacing w:val="-1"/>
        </w:rPr>
        <w:t> </w:t>
      </w:r>
      <w:r>
        <w:rPr/>
        <w:t>月</w:t>
      </w:r>
      <w:r>
        <w:rPr>
          <w:spacing w:val="-46"/>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日，公司购买了平安银行深圳华侨城支行发行的对公结构性存款产品，该产品为保本浮动收益型产品，金</w:t>
      </w:r>
    </w:p>
    <w:p>
      <w:pPr>
        <w:pStyle w:val="BodyText"/>
        <w:spacing w:line="240" w:lineRule="auto" w:before="63"/>
        <w:ind w:right="0"/>
        <w:jc w:val="left"/>
      </w:pPr>
      <w:r>
        <w:rPr/>
        <w:t>额为</w:t>
      </w:r>
      <w:r>
        <w:rPr>
          <w:spacing w:val="-46"/>
        </w:rPr>
        <w:t> </w:t>
      </w:r>
      <w:r>
        <w:rPr>
          <w:rFonts w:ascii="Times New Roman" w:hAnsi="Times New Roman" w:cs="Times New Roman" w:eastAsia="Times New Roman" w:hint="default"/>
        </w:rPr>
        <w:t>15,000 </w:t>
      </w:r>
      <w:r>
        <w:rPr/>
        <w:t>万元，起始日期</w:t>
      </w:r>
      <w:r>
        <w:rPr>
          <w:spacing w:val="-4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spacing w:val="-3"/>
        </w:rPr>
        <w:t>11</w:t>
      </w:r>
      <w:r>
        <w:rPr>
          <w:rFonts w:ascii="Times New Roman" w:hAnsi="Times New Roman" w:cs="Times New Roman" w:eastAsia="Times New Roman" w:hint="default"/>
          <w:spacing w:val="-1"/>
        </w:rPr>
        <w:t> </w:t>
      </w:r>
      <w:r>
        <w:rPr/>
        <w:t>月</w:t>
      </w:r>
      <w:r>
        <w:rPr>
          <w:spacing w:val="-46"/>
        </w:rPr>
        <w:t> </w:t>
      </w:r>
      <w:r>
        <w:rPr>
          <w:rFonts w:ascii="Times New Roman" w:hAnsi="Times New Roman" w:cs="Times New Roman" w:eastAsia="Times New Roman" w:hint="default"/>
        </w:rPr>
        <w:t>12 </w:t>
      </w:r>
      <w:r>
        <w:rPr/>
        <w:t>日至</w:t>
      </w:r>
      <w:r>
        <w:rPr>
          <w:spacing w:val="-4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46"/>
        </w:rPr>
        <w:t> </w:t>
      </w:r>
      <w:r>
        <w:rPr>
          <w:rFonts w:ascii="Times New Roman" w:hAnsi="Times New Roman" w:cs="Times New Roman" w:eastAsia="Times New Roman" w:hint="default"/>
        </w:rPr>
        <w:t>24</w:t>
      </w:r>
      <w:r>
        <w:rPr>
          <w:rFonts w:ascii="Times New Roman" w:hAnsi="Times New Roman" w:cs="Times New Roman" w:eastAsia="Times New Roman" w:hint="default"/>
          <w:spacing w:val="-1"/>
        </w:rPr>
        <w:t> </w:t>
      </w:r>
      <w:r>
        <w:rPr/>
        <w:t>日；</w:t>
      </w:r>
    </w:p>
    <w:p>
      <w:pPr>
        <w:spacing w:after="0" w:line="24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240" w:lineRule="auto" w:before="44"/>
        <w:ind w:right="0"/>
        <w:jc w:val="left"/>
      </w:pP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spacing w:val="-3"/>
        </w:rPr>
        <w:t>11</w:t>
      </w:r>
      <w:r>
        <w:rPr>
          <w:rFonts w:ascii="Times New Roman" w:hAnsi="Times New Roman" w:cs="Times New Roman" w:eastAsia="Times New Roman" w:hint="default"/>
          <w:spacing w:val="-1"/>
        </w:rPr>
        <w:t> </w:t>
      </w:r>
      <w:r>
        <w:rPr/>
        <w:t>月</w:t>
      </w:r>
      <w:r>
        <w:rPr>
          <w:spacing w:val="-46"/>
        </w:rPr>
        <w:t> </w:t>
      </w:r>
      <w:r>
        <w:rPr>
          <w:rFonts w:ascii="Times New Roman" w:hAnsi="Times New Roman" w:cs="Times New Roman" w:eastAsia="Times New Roman" w:hint="default"/>
        </w:rPr>
        <w:t>14</w:t>
      </w:r>
      <w:r>
        <w:rPr>
          <w:rFonts w:ascii="Times New Roman" w:hAnsi="Times New Roman" w:cs="Times New Roman" w:eastAsia="Times New Roman" w:hint="default"/>
          <w:spacing w:val="-1"/>
        </w:rPr>
        <w:t> </w:t>
      </w:r>
      <w:r>
        <w:rPr/>
        <w:t>日，公司购买了兴业银行深圳华富支行发行的对公结构性存款产品，该产品为保本浮动收益型产品，金额</w:t>
      </w:r>
    </w:p>
    <w:p>
      <w:pPr>
        <w:pStyle w:val="BodyText"/>
        <w:spacing w:line="240" w:lineRule="auto" w:before="63"/>
        <w:ind w:right="0"/>
        <w:jc w:val="left"/>
      </w:pPr>
      <w:r>
        <w:rPr/>
        <w:t>为</w:t>
      </w:r>
      <w:r>
        <w:rPr>
          <w:spacing w:val="-46"/>
        </w:rPr>
        <w:t> </w:t>
      </w:r>
      <w:r>
        <w:rPr>
          <w:rFonts w:ascii="Times New Roman" w:hAnsi="Times New Roman" w:cs="Times New Roman" w:eastAsia="Times New Roman" w:hint="default"/>
        </w:rPr>
        <w:t>5,000 </w:t>
      </w:r>
      <w:r>
        <w:rPr/>
        <w:t>万元，起始日期</w:t>
      </w:r>
      <w:r>
        <w:rPr>
          <w:spacing w:val="-46"/>
        </w:rPr>
        <w:t> </w:t>
      </w:r>
      <w:r>
        <w:rPr>
          <w:rFonts w:ascii="Times New Roman" w:hAnsi="Times New Roman" w:cs="Times New Roman" w:eastAsia="Times New Roman" w:hint="default"/>
        </w:rPr>
        <w:t>2018 </w:t>
      </w:r>
      <w:r>
        <w:rPr/>
        <w:t>年</w:t>
      </w:r>
      <w:r>
        <w:rPr>
          <w:spacing w:val="-46"/>
        </w:rPr>
        <w:t> </w:t>
      </w:r>
      <w:r>
        <w:rPr>
          <w:rFonts w:ascii="Times New Roman" w:hAnsi="Times New Roman" w:cs="Times New Roman" w:eastAsia="Times New Roman" w:hint="default"/>
          <w:spacing w:val="-4"/>
        </w:rPr>
        <w:t>11</w:t>
      </w:r>
      <w:r>
        <w:rPr>
          <w:rFonts w:ascii="Times New Roman" w:hAnsi="Times New Roman" w:cs="Times New Roman" w:eastAsia="Times New Roman" w:hint="default"/>
        </w:rPr>
        <w:t> </w:t>
      </w:r>
      <w:r>
        <w:rPr/>
        <w:t>月</w:t>
      </w:r>
      <w:r>
        <w:rPr>
          <w:spacing w:val="-46"/>
        </w:rPr>
        <w:t> </w:t>
      </w:r>
      <w:r>
        <w:rPr>
          <w:rFonts w:ascii="Times New Roman" w:hAnsi="Times New Roman" w:cs="Times New Roman" w:eastAsia="Times New Roman" w:hint="default"/>
        </w:rPr>
        <w:t>14</w:t>
      </w:r>
      <w:r>
        <w:rPr>
          <w:rFonts w:ascii="Times New Roman" w:hAnsi="Times New Roman" w:cs="Times New Roman" w:eastAsia="Times New Roman" w:hint="default"/>
          <w:spacing w:val="-1"/>
        </w:rPr>
        <w:t> </w:t>
      </w:r>
      <w:r>
        <w:rPr/>
        <w:t>日至</w:t>
      </w:r>
      <w:r>
        <w:rPr>
          <w:spacing w:val="-4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12 </w:t>
      </w:r>
      <w:r>
        <w:rPr/>
        <w:t>月</w:t>
      </w:r>
      <w:r>
        <w:rPr>
          <w:spacing w:val="-46"/>
        </w:rPr>
        <w:t> </w:t>
      </w:r>
      <w:r>
        <w:rPr>
          <w:rFonts w:ascii="Times New Roman" w:hAnsi="Times New Roman" w:cs="Times New Roman" w:eastAsia="Times New Roman" w:hint="default"/>
        </w:rPr>
        <w:t>14</w:t>
      </w:r>
      <w:r>
        <w:rPr>
          <w:rFonts w:ascii="Times New Roman" w:hAnsi="Times New Roman" w:cs="Times New Roman" w:eastAsia="Times New Roman" w:hint="default"/>
          <w:spacing w:val="-1"/>
        </w:rPr>
        <w:t> </w:t>
      </w:r>
      <w:r>
        <w:rPr/>
        <w:t>日；</w:t>
      </w:r>
    </w:p>
    <w:p>
      <w:pPr>
        <w:pStyle w:val="BodyText"/>
        <w:spacing w:line="240" w:lineRule="auto" w:before="63"/>
        <w:ind w:right="0"/>
        <w:jc w:val="left"/>
      </w:pP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spacing w:val="-3"/>
        </w:rPr>
        <w:t>11</w:t>
      </w:r>
      <w:r>
        <w:rPr>
          <w:rFonts w:ascii="Times New Roman" w:hAnsi="Times New Roman" w:cs="Times New Roman" w:eastAsia="Times New Roman" w:hint="default"/>
          <w:spacing w:val="-1"/>
        </w:rPr>
        <w:t> </w:t>
      </w:r>
      <w:r>
        <w:rPr/>
        <w:t>月</w:t>
      </w:r>
      <w:r>
        <w:rPr>
          <w:spacing w:val="-46"/>
        </w:rPr>
        <w:t> </w:t>
      </w:r>
      <w:r>
        <w:rPr>
          <w:rFonts w:ascii="Times New Roman" w:hAnsi="Times New Roman" w:cs="Times New Roman" w:eastAsia="Times New Roman" w:hint="default"/>
        </w:rPr>
        <w:t>19</w:t>
      </w:r>
      <w:r>
        <w:rPr>
          <w:rFonts w:ascii="Times New Roman" w:hAnsi="Times New Roman" w:cs="Times New Roman" w:eastAsia="Times New Roman" w:hint="default"/>
          <w:spacing w:val="-1"/>
        </w:rPr>
        <w:t> </w:t>
      </w:r>
      <w:r>
        <w:rPr/>
        <w:t>日，公司购买了平安银行深圳华侨城支行发行的对公结构性存款产品，该产品为保本浮动收益型产品，金</w:t>
      </w:r>
    </w:p>
    <w:p>
      <w:pPr>
        <w:pStyle w:val="BodyText"/>
        <w:spacing w:line="240" w:lineRule="auto" w:before="63"/>
        <w:ind w:right="0"/>
        <w:jc w:val="left"/>
      </w:pPr>
      <w:r>
        <w:rPr/>
        <w:t>额为</w:t>
      </w:r>
      <w:r>
        <w:rPr>
          <w:spacing w:val="-46"/>
        </w:rPr>
        <w:t> </w:t>
      </w:r>
      <w:r>
        <w:rPr>
          <w:rFonts w:ascii="Times New Roman" w:hAnsi="Times New Roman" w:cs="Times New Roman" w:eastAsia="Times New Roman" w:hint="default"/>
        </w:rPr>
        <w:t>8,000 </w:t>
      </w:r>
      <w:r>
        <w:rPr/>
        <w:t>万元，起始日期</w:t>
      </w:r>
      <w:r>
        <w:rPr>
          <w:spacing w:val="-4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spacing w:val="-3"/>
        </w:rPr>
        <w:t>11</w:t>
      </w:r>
      <w:r>
        <w:rPr>
          <w:rFonts w:ascii="Times New Roman" w:hAnsi="Times New Roman" w:cs="Times New Roman" w:eastAsia="Times New Roman" w:hint="default"/>
          <w:spacing w:val="-1"/>
        </w:rPr>
        <w:t> </w:t>
      </w:r>
      <w:r>
        <w:rPr/>
        <w:t>月</w:t>
      </w:r>
      <w:r>
        <w:rPr>
          <w:spacing w:val="-46"/>
        </w:rPr>
        <w:t> </w:t>
      </w:r>
      <w:r>
        <w:rPr>
          <w:rFonts w:ascii="Times New Roman" w:hAnsi="Times New Roman" w:cs="Times New Roman" w:eastAsia="Times New Roman" w:hint="default"/>
        </w:rPr>
        <w:t>19</w:t>
      </w:r>
      <w:r>
        <w:rPr>
          <w:rFonts w:ascii="Times New Roman" w:hAnsi="Times New Roman" w:cs="Times New Roman" w:eastAsia="Times New Roman" w:hint="default"/>
          <w:spacing w:val="-1"/>
        </w:rPr>
        <w:t> </w:t>
      </w:r>
      <w:r>
        <w:rPr/>
        <w:t>日至</w:t>
      </w:r>
      <w:r>
        <w:rPr>
          <w:spacing w:val="-4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12 </w:t>
      </w:r>
      <w:r>
        <w:rPr/>
        <w:t>月</w:t>
      </w:r>
      <w:r>
        <w:rPr>
          <w:spacing w:val="-46"/>
        </w:rPr>
        <w:t> </w:t>
      </w:r>
      <w:r>
        <w:rPr>
          <w:rFonts w:ascii="Times New Roman" w:hAnsi="Times New Roman" w:cs="Times New Roman" w:eastAsia="Times New Roman" w:hint="default"/>
        </w:rPr>
        <w:t>20</w:t>
      </w:r>
      <w:r>
        <w:rPr>
          <w:rFonts w:ascii="Times New Roman" w:hAnsi="Times New Roman" w:cs="Times New Roman" w:eastAsia="Times New Roman" w:hint="default"/>
          <w:spacing w:val="-1"/>
        </w:rPr>
        <w:t> </w:t>
      </w:r>
      <w:r>
        <w:rPr/>
        <w:t>日；</w:t>
      </w:r>
    </w:p>
    <w:p>
      <w:pPr>
        <w:pStyle w:val="BodyText"/>
        <w:spacing w:line="240" w:lineRule="auto" w:before="63"/>
        <w:ind w:right="0"/>
        <w:jc w:val="left"/>
      </w:pP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12 </w:t>
      </w:r>
      <w:r>
        <w:rPr/>
        <w:t>月</w:t>
      </w:r>
      <w:r>
        <w:rPr>
          <w:spacing w:val="-46"/>
        </w:rPr>
        <w:t> </w:t>
      </w:r>
      <w:r>
        <w:rPr>
          <w:rFonts w:ascii="Times New Roman" w:hAnsi="Times New Roman" w:cs="Times New Roman" w:eastAsia="Times New Roman" w:hint="default"/>
        </w:rPr>
        <w:t>25</w:t>
      </w:r>
      <w:r>
        <w:rPr>
          <w:rFonts w:ascii="Times New Roman" w:hAnsi="Times New Roman" w:cs="Times New Roman" w:eastAsia="Times New Roman" w:hint="default"/>
          <w:spacing w:val="-1"/>
        </w:rPr>
        <w:t> </w:t>
      </w:r>
      <w:r>
        <w:rPr/>
        <w:t>日，公司购买了平安银行深圳华侨城支行发行的对公结构性存款产品，该产品为保本浮动收益型产品，金</w:t>
      </w:r>
    </w:p>
    <w:p>
      <w:pPr>
        <w:pStyle w:val="BodyText"/>
        <w:spacing w:line="240" w:lineRule="auto" w:before="63"/>
        <w:ind w:right="0"/>
        <w:jc w:val="left"/>
      </w:pPr>
      <w:r>
        <w:rPr/>
        <w:t>额为</w:t>
      </w:r>
      <w:r>
        <w:rPr>
          <w:spacing w:val="-46"/>
        </w:rPr>
        <w:t> </w:t>
      </w:r>
      <w:r>
        <w:rPr>
          <w:rFonts w:ascii="Times New Roman" w:hAnsi="Times New Roman" w:cs="Times New Roman" w:eastAsia="Times New Roman" w:hint="default"/>
        </w:rPr>
        <w:t>21,000 </w:t>
      </w:r>
      <w:r>
        <w:rPr/>
        <w:t>万元，随时可支取；</w:t>
      </w:r>
    </w:p>
    <w:p>
      <w:pPr>
        <w:pStyle w:val="BodyText"/>
        <w:spacing w:line="240" w:lineRule="auto" w:before="63"/>
        <w:ind w:right="0"/>
        <w:jc w:val="left"/>
      </w:pP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12 </w:t>
      </w:r>
      <w:r>
        <w:rPr/>
        <w:t>月</w:t>
      </w:r>
      <w:r>
        <w:rPr>
          <w:spacing w:val="-46"/>
        </w:rPr>
        <w:t> </w:t>
      </w:r>
      <w:r>
        <w:rPr>
          <w:rFonts w:ascii="Times New Roman" w:hAnsi="Times New Roman" w:cs="Times New Roman" w:eastAsia="Times New Roman" w:hint="default"/>
        </w:rPr>
        <w:t>26</w:t>
      </w:r>
      <w:r>
        <w:rPr>
          <w:rFonts w:ascii="Times New Roman" w:hAnsi="Times New Roman" w:cs="Times New Roman" w:eastAsia="Times New Roman" w:hint="default"/>
          <w:spacing w:val="-1"/>
        </w:rPr>
        <w:t> </w:t>
      </w:r>
      <w:r>
        <w:rPr/>
        <w:t>日，公司购买了交通银行深圳光明支行发行的对公结构性存款产品，该产品为保本浮动收益型产品，金额</w:t>
      </w:r>
    </w:p>
    <w:p>
      <w:pPr>
        <w:pStyle w:val="BodyText"/>
        <w:spacing w:line="240" w:lineRule="auto" w:before="63"/>
        <w:ind w:right="0"/>
        <w:jc w:val="left"/>
      </w:pPr>
      <w:r>
        <w:rPr/>
        <w:t>为</w:t>
      </w:r>
      <w:r>
        <w:rPr>
          <w:spacing w:val="-46"/>
        </w:rPr>
        <w:t> </w:t>
      </w:r>
      <w:r>
        <w:rPr>
          <w:rFonts w:ascii="Times New Roman" w:hAnsi="Times New Roman" w:cs="Times New Roman" w:eastAsia="Times New Roman" w:hint="default"/>
        </w:rPr>
        <w:t>7,000 </w:t>
      </w:r>
      <w:r>
        <w:rPr/>
        <w:t>万元，随时可支取；</w:t>
      </w:r>
    </w:p>
    <w:p>
      <w:pPr>
        <w:pStyle w:val="BodyText"/>
        <w:spacing w:line="240" w:lineRule="auto" w:before="63"/>
        <w:ind w:right="0"/>
        <w:jc w:val="left"/>
      </w:pP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12 </w:t>
      </w:r>
      <w:r>
        <w:rPr/>
        <w:t>月</w:t>
      </w:r>
      <w:r>
        <w:rPr>
          <w:spacing w:val="-46"/>
        </w:rPr>
        <w:t> </w:t>
      </w:r>
      <w:r>
        <w:rPr>
          <w:rFonts w:ascii="Times New Roman" w:hAnsi="Times New Roman" w:cs="Times New Roman" w:eastAsia="Times New Roman" w:hint="default"/>
        </w:rPr>
        <w:t>26</w:t>
      </w:r>
      <w:r>
        <w:rPr>
          <w:rFonts w:ascii="Times New Roman" w:hAnsi="Times New Roman" w:cs="Times New Roman" w:eastAsia="Times New Roman" w:hint="default"/>
          <w:spacing w:val="-1"/>
        </w:rPr>
        <w:t> </w:t>
      </w:r>
      <w:r>
        <w:rPr/>
        <w:t>日，公司购买了兴业银行深圳深南支行发行的对公结构性存款产品，该产品为保本浮动收益型产品，金额</w:t>
      </w:r>
    </w:p>
    <w:p>
      <w:pPr>
        <w:pStyle w:val="BodyText"/>
        <w:spacing w:line="240" w:lineRule="auto" w:before="63"/>
        <w:ind w:right="0"/>
        <w:jc w:val="left"/>
      </w:pPr>
      <w:r>
        <w:rPr/>
        <w:t>为</w:t>
      </w:r>
      <w:r>
        <w:rPr>
          <w:spacing w:val="-46"/>
        </w:rPr>
        <w:t> </w:t>
      </w:r>
      <w:r>
        <w:rPr>
          <w:rFonts w:ascii="Times New Roman" w:hAnsi="Times New Roman" w:cs="Times New Roman" w:eastAsia="Times New Roman" w:hint="default"/>
        </w:rPr>
        <w:t>6,000 </w:t>
      </w:r>
      <w:r>
        <w:rPr/>
        <w:t>万元，随时可支取；</w:t>
      </w:r>
    </w:p>
    <w:p>
      <w:pPr>
        <w:pStyle w:val="BodyText"/>
        <w:spacing w:line="240" w:lineRule="auto" w:before="63"/>
        <w:ind w:right="0"/>
        <w:jc w:val="left"/>
      </w:pP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12 </w:t>
      </w:r>
      <w:r>
        <w:rPr/>
        <w:t>月</w:t>
      </w:r>
      <w:r>
        <w:rPr>
          <w:spacing w:val="-46"/>
        </w:rPr>
        <w:t> </w:t>
      </w:r>
      <w:r>
        <w:rPr>
          <w:rFonts w:ascii="Times New Roman" w:hAnsi="Times New Roman" w:cs="Times New Roman" w:eastAsia="Times New Roman" w:hint="default"/>
        </w:rPr>
        <w:t>27</w:t>
      </w:r>
      <w:r>
        <w:rPr>
          <w:rFonts w:ascii="Times New Roman" w:hAnsi="Times New Roman" w:cs="Times New Roman" w:eastAsia="Times New Roman" w:hint="default"/>
          <w:spacing w:val="-1"/>
        </w:rPr>
        <w:t> </w:t>
      </w:r>
      <w:r>
        <w:rPr/>
        <w:t>日，公司购买了兴业银行深圳华富支行发行的对公结构性存款产品，该产品为保本浮动收益型产品，金额</w:t>
      </w:r>
    </w:p>
    <w:p>
      <w:pPr>
        <w:pStyle w:val="BodyText"/>
        <w:spacing w:line="240" w:lineRule="auto" w:before="63"/>
        <w:ind w:right="0"/>
        <w:jc w:val="left"/>
      </w:pPr>
      <w:r>
        <w:rPr/>
        <w:t>为</w:t>
      </w:r>
      <w:r>
        <w:rPr>
          <w:spacing w:val="-46"/>
        </w:rPr>
        <w:t> </w:t>
      </w:r>
      <w:r>
        <w:rPr>
          <w:rFonts w:ascii="Times New Roman" w:hAnsi="Times New Roman" w:cs="Times New Roman" w:eastAsia="Times New Roman" w:hint="default"/>
        </w:rPr>
        <w:t>6,000 </w:t>
      </w:r>
      <w:r>
        <w:rPr/>
        <w:t>万元，随时可支取。</w:t>
      </w:r>
    </w:p>
    <w:p>
      <w:pPr>
        <w:pStyle w:val="BodyText"/>
        <w:spacing w:line="340" w:lineRule="auto" w:before="103"/>
        <w:ind w:right="4632"/>
        <w:jc w:val="left"/>
      </w:pPr>
      <w:r>
        <w:rPr/>
        <w:t>截至</w:t>
      </w:r>
      <w:r>
        <w:rPr>
          <w:spacing w:val="-4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46"/>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日，公司现金管理尚未到期余额为</w:t>
      </w:r>
      <w:r>
        <w:rPr>
          <w:spacing w:val="-46"/>
        </w:rPr>
        <w:t> </w:t>
      </w:r>
      <w:r>
        <w:rPr>
          <w:rFonts w:ascii="Times New Roman" w:hAnsi="Times New Roman" w:cs="Times New Roman" w:eastAsia="Times New Roman" w:hint="default"/>
        </w:rPr>
        <w:t>57,500</w:t>
      </w:r>
      <w:r>
        <w:rPr>
          <w:rFonts w:ascii="Times New Roman" w:hAnsi="Times New Roman" w:cs="Times New Roman" w:eastAsia="Times New Roman" w:hint="default"/>
          <w:spacing w:val="-1"/>
        </w:rPr>
        <w:t> </w:t>
      </w:r>
      <w:r>
        <w:rPr/>
        <w:t>万元。 单项金额重大或安全性较低、流动性较差、不保本的高风险委托理财具体情况</w:t>
      </w:r>
    </w:p>
    <w:p>
      <w:pPr>
        <w:pStyle w:val="BodyText"/>
        <w:spacing w:line="338" w:lineRule="auto" w:before="40"/>
        <w:ind w:right="571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委托理财出现预期无法收回本金或存在其他可能导致减值的情形</w:t>
      </w:r>
    </w:p>
    <w:p>
      <w:pPr>
        <w:pStyle w:val="BodyText"/>
        <w:spacing w:line="240" w:lineRule="auto" w:before="43"/>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2）委托贷款情况" w:id="96"/>
      <w:bookmarkEnd w:id="96"/>
      <w:r>
        <w:rPr>
          <w:b w:val="0"/>
          <w:bCs w:val="0"/>
        </w:rPr>
      </w:r>
      <w:r>
        <w:rPr/>
        <w:t>（</w:t>
      </w:r>
      <w:r>
        <w:rPr>
          <w:rFonts w:ascii="Times New Roman" w:hAnsi="Times New Roman" w:cs="Times New Roman" w:eastAsia="Times New Roman" w:hint="default"/>
        </w:rPr>
        <w:t>2</w:t>
      </w:r>
      <w:r>
        <w:rPr/>
        <w:t>）委托贷款情况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841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公司报告期不存在委托贷款。</w:t>
      </w:r>
    </w:p>
    <w:p>
      <w:pPr>
        <w:spacing w:line="240" w:lineRule="auto" w:before="1"/>
        <w:rPr>
          <w:rFonts w:ascii="宋体" w:hAnsi="宋体" w:cs="宋体" w:eastAsia="宋体" w:hint="default"/>
          <w:sz w:val="21"/>
          <w:szCs w:val="21"/>
        </w:rPr>
      </w:pPr>
    </w:p>
    <w:p>
      <w:pPr>
        <w:pStyle w:val="Heading3"/>
        <w:spacing w:line="240" w:lineRule="auto"/>
        <w:ind w:right="0"/>
        <w:jc w:val="left"/>
        <w:rPr>
          <w:b w:val="0"/>
          <w:bCs w:val="0"/>
        </w:rPr>
      </w:pPr>
      <w:bookmarkStart w:name="4、其他重大合同" w:id="97"/>
      <w:bookmarkEnd w:id="97"/>
      <w:r>
        <w:rPr>
          <w:b w:val="0"/>
          <w:bCs w:val="0"/>
        </w:rPr>
      </w:r>
      <w:r>
        <w:rPr>
          <w:rFonts w:ascii="Times New Roman" w:hAnsi="Times New Roman" w:cs="Times New Roman" w:eastAsia="Times New Roman" w:hint="default"/>
        </w:rPr>
        <w:t>4</w:t>
      </w:r>
      <w:r>
        <w:rPr/>
        <w:t>、其他重大合同</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560"/>
        <w:gridCol w:w="1072"/>
        <w:gridCol w:w="905"/>
        <w:gridCol w:w="486"/>
        <w:gridCol w:w="766"/>
        <w:gridCol w:w="596"/>
        <w:gridCol w:w="504"/>
        <w:gridCol w:w="493"/>
        <w:gridCol w:w="269"/>
        <w:gridCol w:w="736"/>
        <w:gridCol w:w="290"/>
        <w:gridCol w:w="900"/>
        <w:gridCol w:w="346"/>
        <w:gridCol w:w="485"/>
        <w:gridCol w:w="1260"/>
      </w:tblGrid>
      <w:tr>
        <w:trPr>
          <w:trHeight w:val="3521" w:hRule="exact"/>
        </w:trPr>
        <w:tc>
          <w:tcPr>
            <w:tcW w:w="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93" w:right="94"/>
              <w:jc w:val="both"/>
              <w:rPr>
                <w:rFonts w:ascii="宋体" w:hAnsi="宋体" w:cs="宋体" w:eastAsia="宋体" w:hint="default"/>
                <w:sz w:val="18"/>
                <w:szCs w:val="18"/>
              </w:rPr>
            </w:pPr>
            <w:r>
              <w:rPr>
                <w:rFonts w:ascii="宋体" w:hAnsi="宋体" w:cs="宋体" w:eastAsia="宋体" w:hint="default"/>
                <w:sz w:val="18"/>
                <w:szCs w:val="18"/>
              </w:rPr>
              <w:t>合同 订立 公司 方名 称</w:t>
            </w:r>
          </w:p>
        </w:tc>
        <w:tc>
          <w:tcPr>
            <w:tcW w:w="10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316" w:lineRule="auto"/>
              <w:ind w:left="260" w:right="79" w:hanging="180"/>
              <w:jc w:val="left"/>
              <w:rPr>
                <w:rFonts w:ascii="宋体" w:hAnsi="宋体" w:cs="宋体" w:eastAsia="宋体" w:hint="default"/>
                <w:sz w:val="18"/>
                <w:szCs w:val="18"/>
              </w:rPr>
            </w:pPr>
            <w:r>
              <w:rPr>
                <w:rFonts w:ascii="宋体" w:hAnsi="宋体" w:cs="宋体" w:eastAsia="宋体" w:hint="default"/>
                <w:sz w:val="18"/>
                <w:szCs w:val="18"/>
              </w:rPr>
              <w:t>合同订立对 方名称</w:t>
            </w:r>
          </w:p>
        </w:tc>
        <w:tc>
          <w:tcPr>
            <w:tcW w:w="9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86" w:right="0"/>
              <w:jc w:val="left"/>
              <w:rPr>
                <w:rFonts w:ascii="宋体" w:hAnsi="宋体" w:cs="宋体" w:eastAsia="宋体" w:hint="default"/>
                <w:sz w:val="18"/>
                <w:szCs w:val="18"/>
              </w:rPr>
            </w:pPr>
            <w:r>
              <w:rPr>
                <w:rFonts w:ascii="宋体" w:hAnsi="宋体" w:cs="宋体" w:eastAsia="宋体" w:hint="default"/>
                <w:sz w:val="18"/>
                <w:szCs w:val="18"/>
              </w:rPr>
              <w:t>合同标的</w:t>
            </w:r>
          </w:p>
        </w:tc>
        <w:tc>
          <w:tcPr>
            <w:tcW w:w="4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2"/>
              <w:ind w:left="57" w:right="56"/>
              <w:jc w:val="both"/>
              <w:rPr>
                <w:rFonts w:ascii="宋体" w:hAnsi="宋体" w:cs="宋体" w:eastAsia="宋体" w:hint="default"/>
                <w:sz w:val="18"/>
                <w:szCs w:val="18"/>
              </w:rPr>
            </w:pPr>
            <w:r>
              <w:rPr>
                <w:rFonts w:ascii="宋体" w:hAnsi="宋体" w:cs="宋体" w:eastAsia="宋体" w:hint="default"/>
                <w:sz w:val="18"/>
                <w:szCs w:val="18"/>
              </w:rPr>
              <w:t>合同 签订 日期</w:t>
            </w:r>
          </w:p>
        </w:tc>
        <w:tc>
          <w:tcPr>
            <w:tcW w:w="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2" w:right="21" w:hanging="1"/>
              <w:jc w:val="center"/>
              <w:rPr>
                <w:rFonts w:ascii="宋体" w:hAnsi="宋体" w:cs="宋体" w:eastAsia="宋体" w:hint="default"/>
                <w:sz w:val="18"/>
                <w:szCs w:val="18"/>
              </w:rPr>
            </w:pPr>
            <w:r>
              <w:rPr>
                <w:rFonts w:ascii="宋体" w:hAnsi="宋体" w:cs="宋体" w:eastAsia="宋体" w:hint="default"/>
                <w:sz w:val="18"/>
                <w:szCs w:val="18"/>
              </w:rPr>
              <w:t>合同涉 及资产 的账面 </w:t>
            </w:r>
            <w:r>
              <w:rPr>
                <w:rFonts w:ascii="宋体" w:hAnsi="宋体" w:cs="宋体" w:eastAsia="宋体" w:hint="default"/>
                <w:spacing w:val="-3"/>
                <w:sz w:val="18"/>
                <w:szCs w:val="18"/>
              </w:rPr>
              <w:t>价值（万</w:t>
            </w:r>
            <w:r>
              <w:rPr>
                <w:rFonts w:ascii="宋体" w:hAnsi="宋体" w:cs="宋体" w:eastAsia="宋体" w:hint="default"/>
                <w:sz w:val="18"/>
                <w:szCs w:val="18"/>
              </w:rPr>
              <w:t> </w:t>
            </w:r>
            <w:r>
              <w:rPr>
                <w:rFonts w:ascii="宋体" w:hAnsi="宋体" w:cs="宋体" w:eastAsia="宋体" w:hint="default"/>
                <w:spacing w:val="-23"/>
                <w:sz w:val="18"/>
                <w:szCs w:val="18"/>
              </w:rPr>
              <w:t>元）（如</w:t>
            </w:r>
            <w:r>
              <w:rPr>
                <w:rFonts w:ascii="宋体" w:hAnsi="宋体" w:cs="宋体" w:eastAsia="宋体" w:hint="default"/>
                <w:sz w:val="18"/>
                <w:szCs w:val="18"/>
              </w:rPr>
              <w:t> 有）</w:t>
            </w:r>
          </w:p>
        </w:tc>
        <w:tc>
          <w:tcPr>
            <w:tcW w:w="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2" w:right="23"/>
              <w:jc w:val="both"/>
              <w:rPr>
                <w:rFonts w:ascii="宋体" w:hAnsi="宋体" w:cs="宋体" w:eastAsia="宋体" w:hint="default"/>
                <w:sz w:val="18"/>
                <w:szCs w:val="18"/>
              </w:rPr>
            </w:pPr>
            <w:r>
              <w:rPr>
                <w:rFonts w:ascii="宋体" w:hAnsi="宋体" w:cs="宋体" w:eastAsia="宋体" w:hint="default"/>
                <w:sz w:val="18"/>
                <w:szCs w:val="18"/>
              </w:rPr>
              <w:t>合同涉 及资产 的评估 价值</w:t>
            </w:r>
          </w:p>
          <w:p>
            <w:pPr>
              <w:pStyle w:val="TableParagraph"/>
              <w:spacing w:line="319" w:lineRule="auto" w:before="19"/>
              <w:ind w:left="22" w:right="20" w:hanging="2"/>
              <w:jc w:val="center"/>
              <w:rPr>
                <w:rFonts w:ascii="宋体" w:hAnsi="宋体" w:cs="宋体" w:eastAsia="宋体" w:hint="default"/>
                <w:sz w:val="18"/>
                <w:szCs w:val="18"/>
              </w:rPr>
            </w:pPr>
            <w:r>
              <w:rPr>
                <w:rFonts w:ascii="宋体" w:hAnsi="宋体" w:cs="宋体" w:eastAsia="宋体" w:hint="default"/>
                <w:sz w:val="18"/>
                <w:szCs w:val="18"/>
              </w:rPr>
              <w:t>（万 </w:t>
            </w:r>
            <w:r>
              <w:rPr>
                <w:rFonts w:ascii="宋体" w:hAnsi="宋体" w:cs="宋体" w:eastAsia="宋体" w:hint="default"/>
                <w:spacing w:val="-45"/>
                <w:sz w:val="18"/>
                <w:szCs w:val="18"/>
              </w:rPr>
              <w:t>元）（如</w:t>
            </w:r>
            <w:r>
              <w:rPr>
                <w:rFonts w:ascii="宋体" w:hAnsi="宋体" w:cs="宋体" w:eastAsia="宋体" w:hint="default"/>
                <w:sz w:val="18"/>
                <w:szCs w:val="18"/>
              </w:rPr>
              <w:t> 有）</w:t>
            </w:r>
          </w:p>
        </w:tc>
        <w:tc>
          <w:tcPr>
            <w:tcW w:w="5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67" w:right="65"/>
              <w:jc w:val="both"/>
              <w:rPr>
                <w:rFonts w:ascii="宋体" w:hAnsi="宋体" w:cs="宋体" w:eastAsia="宋体" w:hint="default"/>
                <w:sz w:val="18"/>
                <w:szCs w:val="18"/>
              </w:rPr>
            </w:pPr>
            <w:r>
              <w:rPr>
                <w:rFonts w:ascii="宋体" w:hAnsi="宋体" w:cs="宋体" w:eastAsia="宋体" w:hint="default"/>
                <w:sz w:val="18"/>
                <w:szCs w:val="18"/>
              </w:rPr>
              <w:t>评估 机构 名称</w:t>
            </w:r>
          </w:p>
          <w:p>
            <w:pPr>
              <w:pStyle w:val="TableParagraph"/>
              <w:spacing w:line="319" w:lineRule="auto" w:before="19"/>
              <w:ind w:left="67" w:right="65"/>
              <w:jc w:val="both"/>
              <w:rPr>
                <w:rFonts w:ascii="宋体" w:hAnsi="宋体" w:cs="宋体" w:eastAsia="宋体" w:hint="default"/>
                <w:sz w:val="18"/>
                <w:szCs w:val="18"/>
              </w:rPr>
            </w:pPr>
            <w:r>
              <w:rPr>
                <w:rFonts w:ascii="宋体" w:hAnsi="宋体" w:cs="宋体" w:eastAsia="宋体" w:hint="default"/>
                <w:sz w:val="18"/>
                <w:szCs w:val="18"/>
              </w:rPr>
              <w:t>（如 有）</w:t>
            </w:r>
          </w:p>
        </w:tc>
        <w:tc>
          <w:tcPr>
            <w:tcW w:w="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62" w:right="59"/>
              <w:jc w:val="both"/>
              <w:rPr>
                <w:rFonts w:ascii="宋体" w:hAnsi="宋体" w:cs="宋体" w:eastAsia="宋体" w:hint="default"/>
                <w:sz w:val="18"/>
                <w:szCs w:val="18"/>
              </w:rPr>
            </w:pPr>
            <w:r>
              <w:rPr>
                <w:rFonts w:ascii="宋体" w:hAnsi="宋体" w:cs="宋体" w:eastAsia="宋体" w:hint="default"/>
                <w:sz w:val="18"/>
                <w:szCs w:val="18"/>
              </w:rPr>
              <w:t>评估 基准 日</w:t>
            </w:r>
          </w:p>
          <w:p>
            <w:pPr>
              <w:pStyle w:val="TableParagraph"/>
              <w:spacing w:line="319" w:lineRule="auto" w:before="19"/>
              <w:ind w:left="62" w:right="59"/>
              <w:jc w:val="both"/>
              <w:rPr>
                <w:rFonts w:ascii="宋体" w:hAnsi="宋体" w:cs="宋体" w:eastAsia="宋体" w:hint="default"/>
                <w:sz w:val="18"/>
                <w:szCs w:val="18"/>
              </w:rPr>
            </w:pPr>
            <w:r>
              <w:rPr>
                <w:rFonts w:ascii="宋体" w:hAnsi="宋体" w:cs="宋体" w:eastAsia="宋体" w:hint="default"/>
                <w:sz w:val="18"/>
                <w:szCs w:val="18"/>
              </w:rPr>
              <w:t>（如 有）</w:t>
            </w:r>
          </w:p>
        </w:tc>
        <w:tc>
          <w:tcPr>
            <w:tcW w:w="2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316" w:lineRule="auto"/>
              <w:ind w:left="38" w:right="38"/>
              <w:jc w:val="both"/>
              <w:rPr>
                <w:rFonts w:ascii="宋体" w:hAnsi="宋体" w:cs="宋体" w:eastAsia="宋体" w:hint="default"/>
                <w:sz w:val="18"/>
                <w:szCs w:val="18"/>
              </w:rPr>
            </w:pPr>
            <w:r>
              <w:rPr>
                <w:rFonts w:ascii="宋体" w:hAnsi="宋体" w:cs="宋体" w:eastAsia="宋体" w:hint="default"/>
                <w:sz w:val="18"/>
                <w:szCs w:val="18"/>
              </w:rPr>
              <w:t>定 价 原 则</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2"/>
              <w:ind w:left="93" w:right="90"/>
              <w:jc w:val="both"/>
              <w:rPr>
                <w:rFonts w:ascii="宋体" w:hAnsi="宋体" w:cs="宋体" w:eastAsia="宋体" w:hint="default"/>
                <w:sz w:val="18"/>
                <w:szCs w:val="18"/>
              </w:rPr>
            </w:pPr>
            <w:r>
              <w:rPr>
                <w:rFonts w:ascii="宋体" w:hAnsi="宋体" w:cs="宋体" w:eastAsia="宋体" w:hint="default"/>
                <w:sz w:val="18"/>
                <w:szCs w:val="18"/>
              </w:rPr>
              <w:t>交易价 格（万 元）</w:t>
            </w:r>
          </w:p>
        </w:tc>
        <w:tc>
          <w:tcPr>
            <w:tcW w:w="2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50" w:right="48"/>
              <w:jc w:val="both"/>
              <w:rPr>
                <w:rFonts w:ascii="宋体" w:hAnsi="宋体" w:cs="宋体" w:eastAsia="宋体" w:hint="default"/>
                <w:sz w:val="18"/>
                <w:szCs w:val="18"/>
              </w:rPr>
            </w:pPr>
            <w:r>
              <w:rPr>
                <w:rFonts w:ascii="宋体" w:hAnsi="宋体" w:cs="宋体" w:eastAsia="宋体" w:hint="default"/>
                <w:sz w:val="18"/>
                <w:szCs w:val="18"/>
              </w:rPr>
              <w:t>是 否 关 联 交 易</w:t>
            </w:r>
          </w:p>
        </w:tc>
        <w:tc>
          <w:tcPr>
            <w:tcW w:w="9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85" w:right="0"/>
              <w:jc w:val="left"/>
              <w:rPr>
                <w:rFonts w:ascii="宋体" w:hAnsi="宋体" w:cs="宋体" w:eastAsia="宋体" w:hint="default"/>
                <w:sz w:val="18"/>
                <w:szCs w:val="18"/>
              </w:rPr>
            </w:pPr>
            <w:r>
              <w:rPr>
                <w:rFonts w:ascii="宋体" w:hAnsi="宋体" w:cs="宋体" w:eastAsia="宋体" w:hint="default"/>
                <w:sz w:val="18"/>
                <w:szCs w:val="18"/>
              </w:rPr>
              <w:t>关联关系</w:t>
            </w:r>
          </w:p>
        </w:tc>
        <w:tc>
          <w:tcPr>
            <w:tcW w:w="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77" w:right="77"/>
              <w:jc w:val="both"/>
              <w:rPr>
                <w:rFonts w:ascii="宋体" w:hAnsi="宋体" w:cs="宋体" w:eastAsia="宋体" w:hint="default"/>
                <w:sz w:val="18"/>
                <w:szCs w:val="18"/>
              </w:rPr>
            </w:pPr>
            <w:r>
              <w:rPr>
                <w:rFonts w:ascii="宋体" w:hAnsi="宋体" w:cs="宋体" w:eastAsia="宋体" w:hint="default"/>
                <w:sz w:val="18"/>
                <w:szCs w:val="18"/>
              </w:rPr>
              <w:t>截 至 报 告 期 末 的 执 行 情 况</w:t>
            </w:r>
          </w:p>
        </w:tc>
        <w:tc>
          <w:tcPr>
            <w:tcW w:w="4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316" w:lineRule="auto"/>
              <w:ind w:left="56" w:right="56"/>
              <w:jc w:val="left"/>
              <w:rPr>
                <w:rFonts w:ascii="宋体" w:hAnsi="宋体" w:cs="宋体" w:eastAsia="宋体" w:hint="default"/>
                <w:sz w:val="18"/>
                <w:szCs w:val="18"/>
              </w:rPr>
            </w:pPr>
            <w:r>
              <w:rPr>
                <w:rFonts w:ascii="宋体" w:hAnsi="宋体" w:cs="宋体" w:eastAsia="宋体" w:hint="default"/>
                <w:sz w:val="18"/>
                <w:szCs w:val="18"/>
              </w:rPr>
              <w:t>披露 日期</w:t>
            </w:r>
          </w:p>
        </w:tc>
        <w:tc>
          <w:tcPr>
            <w:tcW w:w="1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263"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1923" w:hRule="exact"/>
        </w:trPr>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65"/>
              <w:jc w:val="both"/>
              <w:rPr>
                <w:rFonts w:ascii="宋体" w:hAnsi="宋体" w:cs="宋体" w:eastAsia="宋体" w:hint="default"/>
                <w:sz w:val="18"/>
                <w:szCs w:val="18"/>
              </w:rPr>
            </w:pPr>
            <w:r>
              <w:rPr>
                <w:rFonts w:ascii="宋体" w:hAnsi="宋体" w:cs="宋体" w:eastAsia="宋体" w:hint="default"/>
                <w:sz w:val="18"/>
                <w:szCs w:val="18"/>
              </w:rPr>
              <w:t>贵州 劲嘉 新型 包装 材料 有限</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4"/>
                <w:szCs w:val="14"/>
              </w:rPr>
            </w:pPr>
          </w:p>
          <w:p>
            <w:pPr>
              <w:pStyle w:val="TableParagraph"/>
              <w:spacing w:line="316" w:lineRule="auto"/>
              <w:ind w:left="22" w:right="137"/>
              <w:jc w:val="left"/>
              <w:rPr>
                <w:rFonts w:ascii="宋体" w:hAnsi="宋体" w:cs="宋体" w:eastAsia="宋体" w:hint="default"/>
                <w:sz w:val="18"/>
                <w:szCs w:val="18"/>
              </w:rPr>
            </w:pPr>
            <w:r>
              <w:rPr>
                <w:rFonts w:ascii="宋体" w:hAnsi="宋体" w:cs="宋体" w:eastAsia="宋体" w:hint="default"/>
                <w:sz w:val="18"/>
                <w:szCs w:val="18"/>
              </w:rPr>
              <w:t>中建富林集 团有限公司</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6"/>
                <w:szCs w:val="26"/>
              </w:rPr>
            </w:pPr>
          </w:p>
          <w:p>
            <w:pPr>
              <w:pStyle w:val="TableParagraph"/>
              <w:spacing w:line="319" w:lineRule="auto"/>
              <w:ind w:left="22" w:right="150"/>
              <w:jc w:val="both"/>
              <w:rPr>
                <w:rFonts w:ascii="宋体" w:hAnsi="宋体" w:cs="宋体" w:eastAsia="宋体" w:hint="default"/>
                <w:sz w:val="18"/>
                <w:szCs w:val="18"/>
              </w:rPr>
            </w:pPr>
            <w:r>
              <w:rPr>
                <w:rFonts w:ascii="宋体" w:hAnsi="宋体" w:cs="宋体" w:eastAsia="宋体" w:hint="default"/>
                <w:sz w:val="18"/>
                <w:szCs w:val="18"/>
              </w:rPr>
              <w:t>贵州工业 园二期厂 房及宿舍 建设工程</w:t>
            </w:r>
          </w:p>
        </w:tc>
        <w:tc>
          <w:tcPr>
            <w:tcW w:w="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left="23" w:right="0"/>
              <w:jc w:val="left"/>
              <w:rPr>
                <w:rFonts w:ascii="Times New Roman" w:hAnsi="Times New Roman" w:cs="Times New Roman" w:eastAsia="Times New Roman" w:hint="default"/>
                <w:sz w:val="18"/>
                <w:szCs w:val="18"/>
              </w:rPr>
            </w:pPr>
            <w:r>
              <w:rPr>
                <w:rFonts w:ascii="Times New Roman"/>
                <w:sz w:val="18"/>
              </w:rPr>
              <w:t>2016</w:t>
            </w:r>
          </w:p>
          <w:p>
            <w:pPr>
              <w:pStyle w:val="TableParagraph"/>
              <w:spacing w:line="240" w:lineRule="auto" w:before="64"/>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66" w:type="dxa"/>
            <w:tcBorders>
              <w:top w:val="single" w:sz="4" w:space="0" w:color="000000"/>
              <w:left w:val="single" w:sz="4" w:space="0" w:color="000000"/>
              <w:bottom w:val="single" w:sz="4" w:space="0" w:color="000000"/>
              <w:right w:val="single" w:sz="4" w:space="0" w:color="000000"/>
            </w:tcBorders>
          </w:tcPr>
          <w:p>
            <w:pPr/>
          </w:p>
        </w:tc>
        <w:tc>
          <w:tcPr>
            <w:tcW w:w="596" w:type="dxa"/>
            <w:tcBorders>
              <w:top w:val="single" w:sz="4" w:space="0" w:color="000000"/>
              <w:left w:val="single" w:sz="4" w:space="0" w:color="000000"/>
              <w:bottom w:val="single" w:sz="4" w:space="0" w:color="000000"/>
              <w:right w:val="single" w:sz="4" w:space="0" w:color="000000"/>
            </w:tcBorders>
          </w:tcPr>
          <w:p>
            <w:pPr/>
          </w:p>
        </w:tc>
        <w:tc>
          <w:tcPr>
            <w:tcW w:w="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493" w:type="dxa"/>
            <w:tcBorders>
              <w:top w:val="single" w:sz="4" w:space="0" w:color="000000"/>
              <w:left w:val="single" w:sz="4" w:space="0" w:color="000000"/>
              <w:bottom w:val="single" w:sz="4" w:space="0" w:color="000000"/>
              <w:right w:val="single" w:sz="4" w:space="0" w:color="000000"/>
            </w:tcBorders>
          </w:tcPr>
          <w:p>
            <w:pPr/>
          </w:p>
        </w:tc>
        <w:tc>
          <w:tcPr>
            <w:tcW w:w="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6"/>
                <w:szCs w:val="26"/>
              </w:rPr>
            </w:pPr>
          </w:p>
          <w:p>
            <w:pPr>
              <w:pStyle w:val="TableParagraph"/>
              <w:spacing w:line="319" w:lineRule="auto"/>
              <w:ind w:left="22" w:right="54"/>
              <w:jc w:val="both"/>
              <w:rPr>
                <w:rFonts w:ascii="宋体" w:hAnsi="宋体" w:cs="宋体" w:eastAsia="宋体" w:hint="default"/>
                <w:sz w:val="18"/>
                <w:szCs w:val="18"/>
              </w:rPr>
            </w:pPr>
            <w:r>
              <w:rPr>
                <w:rFonts w:ascii="宋体" w:hAnsi="宋体" w:cs="宋体" w:eastAsia="宋体" w:hint="default"/>
                <w:sz w:val="18"/>
                <w:szCs w:val="18"/>
              </w:rPr>
              <w:t>双 方 协 商</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5"/>
              <w:ind w:left="298" w:right="0"/>
              <w:jc w:val="left"/>
              <w:rPr>
                <w:rFonts w:ascii="Times New Roman" w:hAnsi="Times New Roman" w:cs="Times New Roman" w:eastAsia="Times New Roman" w:hint="default"/>
                <w:sz w:val="18"/>
                <w:szCs w:val="18"/>
              </w:rPr>
            </w:pPr>
            <w:r>
              <w:rPr>
                <w:rFonts w:ascii="Times New Roman"/>
                <w:sz w:val="18"/>
              </w:rPr>
              <w:t>4,030</w:t>
            </w:r>
          </w:p>
        </w:tc>
        <w:tc>
          <w:tcPr>
            <w:tcW w:w="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6"/>
                <w:szCs w:val="26"/>
              </w:rPr>
            </w:pPr>
          </w:p>
          <w:p>
            <w:pPr>
              <w:pStyle w:val="TableParagraph"/>
              <w:spacing w:line="319" w:lineRule="auto"/>
              <w:ind w:left="22" w:right="131"/>
              <w:jc w:val="both"/>
              <w:rPr>
                <w:rFonts w:ascii="宋体" w:hAnsi="宋体" w:cs="宋体" w:eastAsia="宋体" w:hint="default"/>
                <w:sz w:val="18"/>
                <w:szCs w:val="18"/>
              </w:rPr>
            </w:pPr>
            <w:r>
              <w:rPr>
                <w:rFonts w:ascii="宋体" w:hAnsi="宋体" w:cs="宋体" w:eastAsia="宋体" w:hint="default"/>
                <w:sz w:val="18"/>
                <w:szCs w:val="18"/>
              </w:rPr>
              <w:t>履 行 完 毕</w:t>
            </w:r>
          </w:p>
        </w:tc>
        <w:tc>
          <w:tcPr>
            <w:tcW w:w="485"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560"/>
        <w:gridCol w:w="1072"/>
        <w:gridCol w:w="905"/>
        <w:gridCol w:w="486"/>
        <w:gridCol w:w="766"/>
        <w:gridCol w:w="596"/>
        <w:gridCol w:w="504"/>
        <w:gridCol w:w="493"/>
        <w:gridCol w:w="269"/>
        <w:gridCol w:w="736"/>
        <w:gridCol w:w="290"/>
        <w:gridCol w:w="900"/>
        <w:gridCol w:w="346"/>
        <w:gridCol w:w="485"/>
        <w:gridCol w:w="1260"/>
      </w:tblGrid>
      <w:tr>
        <w:trPr>
          <w:trHeight w:val="362" w:hRule="exact"/>
        </w:trPr>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072" w:type="dxa"/>
            <w:tcBorders>
              <w:top w:val="single" w:sz="4" w:space="0" w:color="000000"/>
              <w:left w:val="single" w:sz="4" w:space="0" w:color="000000"/>
              <w:bottom w:val="single" w:sz="4" w:space="0" w:color="000000"/>
              <w:right w:val="single" w:sz="4" w:space="0" w:color="000000"/>
            </w:tcBorders>
          </w:tcPr>
          <w:p>
            <w:pPr/>
          </w:p>
        </w:tc>
        <w:tc>
          <w:tcPr>
            <w:tcW w:w="905" w:type="dxa"/>
            <w:tcBorders>
              <w:top w:val="single" w:sz="4" w:space="0" w:color="000000"/>
              <w:left w:val="single" w:sz="4" w:space="0" w:color="000000"/>
              <w:bottom w:val="single" w:sz="4" w:space="0" w:color="000000"/>
              <w:right w:val="single" w:sz="4" w:space="0" w:color="000000"/>
            </w:tcBorders>
          </w:tcPr>
          <w:p>
            <w:pPr/>
          </w:p>
        </w:tc>
        <w:tc>
          <w:tcPr>
            <w:tcW w:w="486" w:type="dxa"/>
            <w:tcBorders>
              <w:top w:val="single" w:sz="4" w:space="0" w:color="000000"/>
              <w:left w:val="single" w:sz="4" w:space="0" w:color="000000"/>
              <w:bottom w:val="single" w:sz="4" w:space="0" w:color="000000"/>
              <w:right w:val="single" w:sz="4" w:space="0" w:color="000000"/>
            </w:tcBorders>
          </w:tcPr>
          <w:p>
            <w:pPr/>
          </w:p>
        </w:tc>
        <w:tc>
          <w:tcPr>
            <w:tcW w:w="766" w:type="dxa"/>
            <w:tcBorders>
              <w:top w:val="single" w:sz="4" w:space="0" w:color="000000"/>
              <w:left w:val="single" w:sz="4" w:space="0" w:color="000000"/>
              <w:bottom w:val="single" w:sz="4" w:space="0" w:color="000000"/>
              <w:right w:val="single" w:sz="4" w:space="0" w:color="000000"/>
            </w:tcBorders>
          </w:tcPr>
          <w:p>
            <w:pPr/>
          </w:p>
        </w:tc>
        <w:tc>
          <w:tcPr>
            <w:tcW w:w="596" w:type="dxa"/>
            <w:tcBorders>
              <w:top w:val="single" w:sz="4" w:space="0" w:color="000000"/>
              <w:left w:val="single" w:sz="4" w:space="0" w:color="000000"/>
              <w:bottom w:val="single" w:sz="4" w:space="0" w:color="000000"/>
              <w:right w:val="single" w:sz="4" w:space="0" w:color="000000"/>
            </w:tcBorders>
          </w:tcPr>
          <w:p>
            <w:pPr/>
          </w:p>
        </w:tc>
        <w:tc>
          <w:tcPr>
            <w:tcW w:w="504"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269"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29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346" w:type="dxa"/>
            <w:tcBorders>
              <w:top w:val="single" w:sz="4" w:space="0" w:color="000000"/>
              <w:left w:val="single" w:sz="4" w:space="0" w:color="000000"/>
              <w:bottom w:val="single" w:sz="4" w:space="0" w:color="000000"/>
              <w:right w:val="single" w:sz="4" w:space="0" w:color="000000"/>
            </w:tcBorders>
          </w:tcPr>
          <w:p>
            <w:pPr/>
          </w:p>
        </w:tc>
        <w:tc>
          <w:tcPr>
            <w:tcW w:w="485"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r>
      <w:tr>
        <w:trPr>
          <w:trHeight w:val="3522" w:hRule="exact"/>
        </w:trPr>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316" w:lineRule="auto"/>
              <w:ind w:left="22" w:right="165"/>
              <w:jc w:val="both"/>
              <w:rPr>
                <w:rFonts w:ascii="宋体" w:hAnsi="宋体" w:cs="宋体" w:eastAsia="宋体" w:hint="default"/>
                <w:sz w:val="18"/>
                <w:szCs w:val="18"/>
              </w:rPr>
            </w:pPr>
            <w:r>
              <w:rPr>
                <w:rFonts w:ascii="宋体" w:hAnsi="宋体" w:cs="宋体" w:eastAsia="宋体" w:hint="default"/>
                <w:sz w:val="18"/>
                <w:szCs w:val="18"/>
              </w:rPr>
              <w:t>深圳 劲嘉 集团 股份 有限 公司</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8"/>
                <w:szCs w:val="18"/>
              </w:rPr>
            </w:pPr>
          </w:p>
          <w:p>
            <w:pPr>
              <w:pStyle w:val="TableParagraph"/>
              <w:spacing w:line="316" w:lineRule="auto"/>
              <w:ind w:left="22" w:right="137"/>
              <w:jc w:val="left"/>
              <w:rPr>
                <w:rFonts w:ascii="宋体" w:hAnsi="宋体" w:cs="宋体" w:eastAsia="宋体" w:hint="default"/>
                <w:sz w:val="18"/>
                <w:szCs w:val="18"/>
              </w:rPr>
            </w:pPr>
            <w:r>
              <w:rPr>
                <w:rFonts w:ascii="宋体" w:hAnsi="宋体" w:cs="宋体" w:eastAsia="宋体" w:hint="default"/>
                <w:sz w:val="18"/>
                <w:szCs w:val="18"/>
              </w:rPr>
              <w:t>上海中昂实 业有限公司</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9"/>
              <w:ind w:left="22" w:right="150"/>
              <w:jc w:val="both"/>
              <w:rPr>
                <w:rFonts w:ascii="宋体" w:hAnsi="宋体" w:cs="宋体" w:eastAsia="宋体" w:hint="default"/>
                <w:sz w:val="18"/>
                <w:szCs w:val="18"/>
              </w:rPr>
            </w:pPr>
            <w:r>
              <w:rPr>
                <w:rFonts w:ascii="宋体" w:hAnsi="宋体" w:cs="宋体" w:eastAsia="宋体" w:hint="default"/>
                <w:sz w:val="18"/>
                <w:szCs w:val="18"/>
              </w:rPr>
              <w:t>长春吉星 印务有限 责任公司 </w:t>
            </w:r>
            <w:r>
              <w:rPr>
                <w:rFonts w:ascii="Times New Roman" w:hAnsi="Times New Roman" w:cs="Times New Roman" w:eastAsia="Times New Roman" w:hint="default"/>
                <w:sz w:val="18"/>
                <w:szCs w:val="18"/>
              </w:rPr>
              <w:t>60%</w:t>
            </w:r>
            <w:r>
              <w:rPr>
                <w:rFonts w:ascii="宋体" w:hAnsi="宋体" w:cs="宋体" w:eastAsia="宋体" w:hint="default"/>
                <w:sz w:val="18"/>
                <w:szCs w:val="18"/>
              </w:rPr>
              <w:t>股权</w:t>
            </w:r>
          </w:p>
        </w:tc>
        <w:tc>
          <w:tcPr>
            <w:tcW w:w="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left="23" w:right="0"/>
              <w:jc w:val="left"/>
              <w:rPr>
                <w:rFonts w:ascii="Times New Roman" w:hAnsi="Times New Roman" w:cs="Times New Roman" w:eastAsia="Times New Roman" w:hint="default"/>
                <w:sz w:val="18"/>
                <w:szCs w:val="18"/>
              </w:rPr>
            </w:pPr>
            <w:r>
              <w:rPr>
                <w:rFonts w:ascii="Times New Roman"/>
                <w:sz w:val="18"/>
              </w:rPr>
              <w:t>2016</w:t>
            </w:r>
          </w:p>
          <w:p>
            <w:pPr>
              <w:pStyle w:val="TableParagraph"/>
              <w:spacing w:line="240" w:lineRule="auto" w:before="64"/>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193" w:right="0"/>
              <w:jc w:val="left"/>
              <w:rPr>
                <w:rFonts w:ascii="Times New Roman" w:hAnsi="Times New Roman" w:cs="Times New Roman" w:eastAsia="Times New Roman" w:hint="default"/>
                <w:sz w:val="18"/>
                <w:szCs w:val="18"/>
              </w:rPr>
            </w:pPr>
            <w:r>
              <w:rPr>
                <w:rFonts w:ascii="Times New Roman"/>
                <w:sz w:val="18"/>
              </w:rPr>
              <w:t>5,641.3</w:t>
            </w:r>
          </w:p>
        </w:tc>
        <w:tc>
          <w:tcPr>
            <w:tcW w:w="596" w:type="dxa"/>
            <w:tcBorders>
              <w:top w:val="single" w:sz="4" w:space="0" w:color="000000"/>
              <w:left w:val="single" w:sz="4" w:space="0" w:color="000000"/>
              <w:bottom w:val="single" w:sz="4" w:space="0" w:color="000000"/>
              <w:right w:val="single" w:sz="4" w:space="0" w:color="000000"/>
            </w:tcBorders>
          </w:tcPr>
          <w:p>
            <w:pPr/>
          </w:p>
        </w:tc>
        <w:tc>
          <w:tcPr>
            <w:tcW w:w="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493" w:type="dxa"/>
            <w:tcBorders>
              <w:top w:val="single" w:sz="4" w:space="0" w:color="000000"/>
              <w:left w:val="single" w:sz="4" w:space="0" w:color="000000"/>
              <w:bottom w:val="single" w:sz="4" w:space="0" w:color="000000"/>
              <w:right w:val="single" w:sz="4" w:space="0" w:color="000000"/>
            </w:tcBorders>
          </w:tcPr>
          <w:p>
            <w:pPr/>
          </w:p>
        </w:tc>
        <w:tc>
          <w:tcPr>
            <w:tcW w:w="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9"/>
              <w:ind w:left="22" w:right="54"/>
              <w:jc w:val="both"/>
              <w:rPr>
                <w:rFonts w:ascii="宋体" w:hAnsi="宋体" w:cs="宋体" w:eastAsia="宋体" w:hint="default"/>
                <w:sz w:val="18"/>
                <w:szCs w:val="18"/>
              </w:rPr>
            </w:pPr>
            <w:r>
              <w:rPr>
                <w:rFonts w:ascii="宋体" w:hAnsi="宋体" w:cs="宋体" w:eastAsia="宋体" w:hint="default"/>
                <w:sz w:val="18"/>
                <w:szCs w:val="18"/>
              </w:rPr>
              <w:t>双 方 协 商</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208" w:right="0"/>
              <w:jc w:val="left"/>
              <w:rPr>
                <w:rFonts w:ascii="Times New Roman" w:hAnsi="Times New Roman" w:cs="Times New Roman" w:eastAsia="Times New Roman" w:hint="default"/>
                <w:sz w:val="18"/>
                <w:szCs w:val="18"/>
              </w:rPr>
            </w:pPr>
            <w:r>
              <w:rPr>
                <w:rFonts w:ascii="Times New Roman"/>
                <w:sz w:val="18"/>
              </w:rPr>
              <w:t>19,200</w:t>
            </w:r>
          </w:p>
        </w:tc>
        <w:tc>
          <w:tcPr>
            <w:tcW w:w="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60"/>
              <w:ind w:left="22" w:right="131"/>
              <w:jc w:val="both"/>
              <w:rPr>
                <w:rFonts w:ascii="宋体" w:hAnsi="宋体" w:cs="宋体" w:eastAsia="宋体" w:hint="default"/>
                <w:sz w:val="18"/>
                <w:szCs w:val="18"/>
              </w:rPr>
            </w:pPr>
            <w:r>
              <w:rPr>
                <w:rFonts w:ascii="宋体" w:hAnsi="宋体" w:cs="宋体" w:eastAsia="宋体" w:hint="default"/>
                <w:sz w:val="18"/>
                <w:szCs w:val="18"/>
              </w:rPr>
              <w:t>正 在 履 行 中</w:t>
            </w:r>
          </w:p>
        </w:tc>
        <w:tc>
          <w:tcPr>
            <w:tcW w:w="4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left="22" w:right="0"/>
              <w:jc w:val="left"/>
              <w:rPr>
                <w:rFonts w:ascii="Times New Roman" w:hAnsi="Times New Roman" w:cs="Times New Roman" w:eastAsia="Times New Roman" w:hint="default"/>
                <w:sz w:val="18"/>
                <w:szCs w:val="18"/>
              </w:rPr>
            </w:pPr>
            <w:r>
              <w:rPr>
                <w:rFonts w:ascii="Times New Roman"/>
                <w:sz w:val="18"/>
              </w:rPr>
              <w:t>2016</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pacing w:val="-9"/>
                <w:sz w:val="18"/>
                <w:szCs w:val="18"/>
              </w:rPr>
              <w:t>刊登于《证券时</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30"/>
                <w:sz w:val="18"/>
                <w:szCs w:val="18"/>
              </w:rPr>
              <w:t>报》、《中国证券</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30"/>
                <w:sz w:val="18"/>
                <w:szCs w:val="18"/>
              </w:rPr>
              <w:t>报》、《上海证券</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26"/>
                <w:sz w:val="18"/>
                <w:szCs w:val="18"/>
              </w:rPr>
              <w:t>报》、《证券日</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9"/>
                <w:sz w:val="18"/>
                <w:szCs w:val="18"/>
              </w:rPr>
              <w:t>报》以及巨潮资</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9"/>
                <w:sz w:val="18"/>
                <w:szCs w:val="18"/>
              </w:rPr>
              <w:t>讯网的《关于签</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订收购长春吉 星印务有限责 任公司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70%</w:t>
            </w:r>
            <w:r>
              <w:rPr>
                <w:rFonts w:ascii="宋体" w:hAnsi="宋体" w:cs="宋体" w:eastAsia="宋体" w:hint="default"/>
                <w:sz w:val="18"/>
                <w:szCs w:val="18"/>
              </w:rPr>
              <w:t>股 权之股权转让 协议的公告》</w:t>
            </w:r>
          </w:p>
        </w:tc>
      </w:tr>
      <w:tr>
        <w:trPr>
          <w:trHeight w:val="2898" w:hRule="exact"/>
        </w:trPr>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2" w:right="165"/>
              <w:jc w:val="both"/>
              <w:rPr>
                <w:rFonts w:ascii="宋体" w:hAnsi="宋体" w:cs="宋体" w:eastAsia="宋体" w:hint="default"/>
                <w:sz w:val="18"/>
                <w:szCs w:val="18"/>
              </w:rPr>
            </w:pPr>
            <w:r>
              <w:rPr>
                <w:rFonts w:ascii="宋体" w:hAnsi="宋体" w:cs="宋体" w:eastAsia="宋体" w:hint="default"/>
                <w:sz w:val="18"/>
                <w:szCs w:val="18"/>
              </w:rPr>
              <w:t>深圳 劲嘉 集团 股份 有限 公司</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9"/>
              <w:ind w:left="22" w:right="137"/>
              <w:jc w:val="both"/>
              <w:rPr>
                <w:rFonts w:ascii="宋体" w:hAnsi="宋体" w:cs="宋体" w:eastAsia="宋体" w:hint="default"/>
                <w:sz w:val="18"/>
                <w:szCs w:val="18"/>
              </w:rPr>
            </w:pPr>
            <w:r>
              <w:rPr>
                <w:rFonts w:ascii="宋体" w:hAnsi="宋体" w:cs="宋体" w:eastAsia="宋体" w:hint="default"/>
                <w:sz w:val="18"/>
                <w:szCs w:val="18"/>
              </w:rPr>
              <w:t>天津长荣印 刷设备股份 有限公司</w:t>
            </w:r>
          </w:p>
        </w:tc>
        <w:tc>
          <w:tcPr>
            <w:tcW w:w="905" w:type="dxa"/>
            <w:tcBorders>
              <w:top w:val="single" w:sz="4" w:space="0" w:color="000000"/>
              <w:left w:val="single" w:sz="4" w:space="0" w:color="000000"/>
              <w:bottom w:val="single" w:sz="4" w:space="0" w:color="000000"/>
              <w:right w:val="single" w:sz="13" w:space="0" w:color="FFFFFF"/>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9"/>
              <w:ind w:left="22" w:right="-40"/>
              <w:jc w:val="left"/>
              <w:rPr>
                <w:rFonts w:ascii="宋体" w:hAnsi="宋体" w:cs="宋体" w:eastAsia="宋体" w:hint="default"/>
                <w:sz w:val="18"/>
                <w:szCs w:val="18"/>
              </w:rPr>
            </w:pPr>
            <w:r>
              <w:rPr>
                <w:rFonts w:ascii="宋体" w:hAnsi="宋体" w:cs="宋体" w:eastAsia="宋体" w:hint="default"/>
                <w:sz w:val="18"/>
                <w:szCs w:val="18"/>
              </w:rPr>
              <w:t>共同开发、 引进行业 技术等</w:t>
            </w:r>
          </w:p>
        </w:tc>
        <w:tc>
          <w:tcPr>
            <w:tcW w:w="486"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11" w:right="0"/>
              <w:jc w:val="left"/>
              <w:rPr>
                <w:rFonts w:ascii="Times New Roman" w:hAnsi="Times New Roman" w:cs="Times New Roman" w:eastAsia="Times New Roman" w:hint="default"/>
                <w:sz w:val="18"/>
                <w:szCs w:val="18"/>
              </w:rPr>
            </w:pPr>
            <w:r>
              <w:rPr>
                <w:rFonts w:ascii="Times New Roman"/>
                <w:sz w:val="18"/>
              </w:rPr>
              <w:t>2016</w:t>
            </w:r>
          </w:p>
          <w:p>
            <w:pPr>
              <w:pStyle w:val="TableParagraph"/>
              <w:spacing w:line="240" w:lineRule="auto" w:before="64"/>
              <w:ind w:left="1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1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p>
          <w:p>
            <w:pPr>
              <w:pStyle w:val="TableParagraph"/>
              <w:spacing w:line="240" w:lineRule="auto" w:before="64"/>
              <w:ind w:left="11"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66" w:type="dxa"/>
            <w:tcBorders>
              <w:top w:val="single" w:sz="4" w:space="0" w:color="000000"/>
              <w:left w:val="single" w:sz="4" w:space="0" w:color="000000"/>
              <w:bottom w:val="single" w:sz="4" w:space="0" w:color="000000"/>
              <w:right w:val="single" w:sz="4" w:space="0" w:color="000000"/>
            </w:tcBorders>
          </w:tcPr>
          <w:p>
            <w:pPr/>
          </w:p>
        </w:tc>
        <w:tc>
          <w:tcPr>
            <w:tcW w:w="596" w:type="dxa"/>
            <w:tcBorders>
              <w:top w:val="single" w:sz="4" w:space="0" w:color="000000"/>
              <w:left w:val="single" w:sz="4" w:space="0" w:color="000000"/>
              <w:bottom w:val="single" w:sz="4" w:space="0" w:color="000000"/>
              <w:right w:val="single" w:sz="4" w:space="0" w:color="000000"/>
            </w:tcBorders>
          </w:tcPr>
          <w:p>
            <w:pPr/>
          </w:p>
        </w:tc>
        <w:tc>
          <w:tcPr>
            <w:tcW w:w="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493" w:type="dxa"/>
            <w:tcBorders>
              <w:top w:val="single" w:sz="4" w:space="0" w:color="000000"/>
              <w:left w:val="single" w:sz="4" w:space="0" w:color="000000"/>
              <w:bottom w:val="single" w:sz="4" w:space="0" w:color="000000"/>
              <w:right w:val="single" w:sz="4" w:space="0" w:color="000000"/>
            </w:tcBorders>
          </w:tcPr>
          <w:p>
            <w:pPr/>
          </w:p>
        </w:tc>
        <w:tc>
          <w:tcPr>
            <w:tcW w:w="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36" w:type="dxa"/>
            <w:tcBorders>
              <w:top w:val="single" w:sz="4" w:space="0" w:color="000000"/>
              <w:left w:val="single" w:sz="4" w:space="0" w:color="000000"/>
              <w:bottom w:val="single" w:sz="4" w:space="0" w:color="000000"/>
              <w:right w:val="single" w:sz="4" w:space="0" w:color="000000"/>
            </w:tcBorders>
          </w:tcPr>
          <w:p>
            <w:pPr/>
          </w:p>
        </w:tc>
        <w:tc>
          <w:tcPr>
            <w:tcW w:w="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6" w:lineRule="auto"/>
              <w:ind w:left="22" w:right="131"/>
              <w:jc w:val="both"/>
              <w:rPr>
                <w:rFonts w:ascii="宋体" w:hAnsi="宋体" w:cs="宋体" w:eastAsia="宋体" w:hint="default"/>
                <w:sz w:val="18"/>
                <w:szCs w:val="18"/>
              </w:rPr>
            </w:pPr>
            <w:r>
              <w:rPr>
                <w:rFonts w:ascii="宋体" w:hAnsi="宋体" w:cs="宋体" w:eastAsia="宋体" w:hint="default"/>
                <w:sz w:val="18"/>
                <w:szCs w:val="18"/>
              </w:rPr>
              <w:t>正 在 履 行 中</w:t>
            </w:r>
          </w:p>
        </w:tc>
        <w:tc>
          <w:tcPr>
            <w:tcW w:w="4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2016</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pacing w:val="-9"/>
                <w:sz w:val="18"/>
                <w:szCs w:val="18"/>
              </w:rPr>
              <w:t>刊登于《证券时</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30"/>
                <w:sz w:val="18"/>
                <w:szCs w:val="18"/>
              </w:rPr>
              <w:t>报》、《中国证券</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30"/>
                <w:sz w:val="18"/>
                <w:szCs w:val="18"/>
              </w:rPr>
              <w:t>报》、《上海证券</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26"/>
                <w:sz w:val="18"/>
                <w:szCs w:val="18"/>
              </w:rPr>
              <w:t>报》、《证券日</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9"/>
                <w:sz w:val="18"/>
                <w:szCs w:val="18"/>
              </w:rPr>
              <w:t>报》以及巨潮资</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9"/>
                <w:sz w:val="18"/>
                <w:szCs w:val="18"/>
              </w:rPr>
              <w:t>讯网的《关于与</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长荣股份签署 战略合作协议 的公告》</w:t>
            </w:r>
          </w:p>
        </w:tc>
      </w:tr>
      <w:tr>
        <w:trPr>
          <w:trHeight w:val="3522" w:hRule="exact"/>
        </w:trPr>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316" w:lineRule="auto"/>
              <w:ind w:left="22" w:right="165"/>
              <w:jc w:val="both"/>
              <w:rPr>
                <w:rFonts w:ascii="宋体" w:hAnsi="宋体" w:cs="宋体" w:eastAsia="宋体" w:hint="default"/>
                <w:sz w:val="18"/>
                <w:szCs w:val="18"/>
              </w:rPr>
            </w:pPr>
            <w:r>
              <w:rPr>
                <w:rFonts w:ascii="宋体" w:hAnsi="宋体" w:cs="宋体" w:eastAsia="宋体" w:hint="default"/>
                <w:sz w:val="18"/>
                <w:szCs w:val="18"/>
              </w:rPr>
              <w:t>深圳 劲嘉 集团 股份 有限 公司</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3"/>
                <w:szCs w:val="23"/>
              </w:rPr>
            </w:pPr>
          </w:p>
          <w:p>
            <w:pPr>
              <w:pStyle w:val="TableParagraph"/>
              <w:spacing w:line="316" w:lineRule="auto"/>
              <w:ind w:left="22" w:right="137"/>
              <w:jc w:val="both"/>
              <w:rPr>
                <w:rFonts w:ascii="宋体" w:hAnsi="宋体" w:cs="宋体" w:eastAsia="宋体" w:hint="default"/>
                <w:sz w:val="18"/>
                <w:szCs w:val="18"/>
              </w:rPr>
            </w:pPr>
            <w:r>
              <w:rPr>
                <w:rFonts w:ascii="宋体" w:hAnsi="宋体" w:cs="宋体" w:eastAsia="宋体" w:hint="default"/>
                <w:sz w:val="18"/>
                <w:szCs w:val="18"/>
              </w:rPr>
              <w:t>亚东复星瑞 哲安泰发展 有限公司</w:t>
            </w:r>
          </w:p>
        </w:tc>
        <w:tc>
          <w:tcPr>
            <w:tcW w:w="905" w:type="dxa"/>
            <w:tcBorders>
              <w:top w:val="single" w:sz="4" w:space="0" w:color="000000"/>
              <w:left w:val="single" w:sz="4" w:space="0" w:color="000000"/>
              <w:bottom w:val="single" w:sz="4" w:space="0" w:color="000000"/>
              <w:right w:val="single" w:sz="13" w:space="0" w:color="FFFFFF"/>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316" w:lineRule="auto"/>
              <w:ind w:left="22" w:right="-40"/>
              <w:jc w:val="left"/>
              <w:rPr>
                <w:rFonts w:ascii="宋体" w:hAnsi="宋体" w:cs="宋体" w:eastAsia="宋体" w:hint="default"/>
                <w:sz w:val="18"/>
                <w:szCs w:val="18"/>
              </w:rPr>
            </w:pPr>
            <w:r>
              <w:rPr>
                <w:rFonts w:ascii="宋体" w:hAnsi="宋体" w:cs="宋体" w:eastAsia="宋体" w:hint="default"/>
                <w:sz w:val="18"/>
                <w:szCs w:val="18"/>
              </w:rPr>
              <w:t>在大包装、 大健康等 领域建立 强强联合、 优势互补 的战略合</w:t>
            </w:r>
          </w:p>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作</w:t>
            </w:r>
          </w:p>
        </w:tc>
        <w:tc>
          <w:tcPr>
            <w:tcW w:w="486"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left="11" w:right="0"/>
              <w:jc w:val="left"/>
              <w:rPr>
                <w:rFonts w:ascii="Times New Roman" w:hAnsi="Times New Roman" w:cs="Times New Roman" w:eastAsia="Times New Roman" w:hint="default"/>
                <w:sz w:val="18"/>
                <w:szCs w:val="18"/>
              </w:rPr>
            </w:pPr>
            <w:r>
              <w:rPr>
                <w:rFonts w:ascii="Times New Roman"/>
                <w:sz w:val="18"/>
              </w:rPr>
              <w:t>2016</w:t>
            </w:r>
          </w:p>
          <w:p>
            <w:pPr>
              <w:pStyle w:val="TableParagraph"/>
              <w:spacing w:line="240" w:lineRule="auto" w:before="64"/>
              <w:ind w:left="1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1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p>
          <w:p>
            <w:pPr>
              <w:pStyle w:val="TableParagraph"/>
              <w:spacing w:line="240" w:lineRule="auto" w:before="64"/>
              <w:ind w:left="11"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66" w:type="dxa"/>
            <w:tcBorders>
              <w:top w:val="single" w:sz="4" w:space="0" w:color="000000"/>
              <w:left w:val="single" w:sz="4" w:space="0" w:color="000000"/>
              <w:bottom w:val="single" w:sz="4" w:space="0" w:color="000000"/>
              <w:right w:val="single" w:sz="4" w:space="0" w:color="000000"/>
            </w:tcBorders>
          </w:tcPr>
          <w:p>
            <w:pPr/>
          </w:p>
        </w:tc>
        <w:tc>
          <w:tcPr>
            <w:tcW w:w="596" w:type="dxa"/>
            <w:tcBorders>
              <w:top w:val="single" w:sz="4" w:space="0" w:color="000000"/>
              <w:left w:val="single" w:sz="4" w:space="0" w:color="000000"/>
              <w:bottom w:val="single" w:sz="4" w:space="0" w:color="000000"/>
              <w:right w:val="single" w:sz="4" w:space="0" w:color="000000"/>
            </w:tcBorders>
          </w:tcPr>
          <w:p>
            <w:pPr/>
          </w:p>
        </w:tc>
        <w:tc>
          <w:tcPr>
            <w:tcW w:w="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493" w:type="dxa"/>
            <w:tcBorders>
              <w:top w:val="single" w:sz="4" w:space="0" w:color="000000"/>
              <w:left w:val="single" w:sz="4" w:space="0" w:color="000000"/>
              <w:bottom w:val="single" w:sz="4" w:space="0" w:color="000000"/>
              <w:right w:val="single" w:sz="4" w:space="0" w:color="000000"/>
            </w:tcBorders>
          </w:tcPr>
          <w:p>
            <w:pPr/>
          </w:p>
        </w:tc>
        <w:tc>
          <w:tcPr>
            <w:tcW w:w="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36" w:type="dxa"/>
            <w:tcBorders>
              <w:top w:val="single" w:sz="4" w:space="0" w:color="000000"/>
              <w:left w:val="single" w:sz="4" w:space="0" w:color="000000"/>
              <w:bottom w:val="single" w:sz="4" w:space="0" w:color="000000"/>
              <w:right w:val="single" w:sz="4" w:space="0" w:color="000000"/>
            </w:tcBorders>
          </w:tcPr>
          <w:p>
            <w:pPr/>
          </w:p>
        </w:tc>
        <w:tc>
          <w:tcPr>
            <w:tcW w:w="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60"/>
              <w:ind w:left="22" w:right="131"/>
              <w:jc w:val="both"/>
              <w:rPr>
                <w:rFonts w:ascii="宋体" w:hAnsi="宋体" w:cs="宋体" w:eastAsia="宋体" w:hint="default"/>
                <w:sz w:val="18"/>
                <w:szCs w:val="18"/>
              </w:rPr>
            </w:pPr>
            <w:r>
              <w:rPr>
                <w:rFonts w:ascii="宋体" w:hAnsi="宋体" w:cs="宋体" w:eastAsia="宋体" w:hint="default"/>
                <w:sz w:val="18"/>
                <w:szCs w:val="18"/>
              </w:rPr>
              <w:t>正 在 履 行 中</w:t>
            </w:r>
          </w:p>
        </w:tc>
        <w:tc>
          <w:tcPr>
            <w:tcW w:w="4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left="22" w:right="0"/>
              <w:jc w:val="left"/>
              <w:rPr>
                <w:rFonts w:ascii="Times New Roman" w:hAnsi="Times New Roman" w:cs="Times New Roman" w:eastAsia="Times New Roman" w:hint="default"/>
                <w:sz w:val="18"/>
                <w:szCs w:val="18"/>
              </w:rPr>
            </w:pPr>
            <w:r>
              <w:rPr>
                <w:rFonts w:ascii="Times New Roman"/>
                <w:sz w:val="18"/>
              </w:rPr>
              <w:t>2016</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pacing w:val="-9"/>
                <w:sz w:val="18"/>
                <w:szCs w:val="18"/>
              </w:rPr>
              <w:t>刊登于《证券时</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30"/>
                <w:sz w:val="18"/>
                <w:szCs w:val="18"/>
              </w:rPr>
              <w:t>报》、《中国证券</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30"/>
                <w:sz w:val="18"/>
                <w:szCs w:val="18"/>
              </w:rPr>
              <w:t>报》、《上海证券</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26"/>
                <w:sz w:val="18"/>
                <w:szCs w:val="18"/>
              </w:rPr>
              <w:t>报》、《证券日</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9"/>
                <w:sz w:val="18"/>
                <w:szCs w:val="18"/>
              </w:rPr>
              <w:t>报》以及巨潮资</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9"/>
                <w:sz w:val="18"/>
                <w:szCs w:val="18"/>
              </w:rPr>
              <w:t>讯网的《关于与</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亚东复星瑞哲 安泰发展有限 公司签署战略 合作协议的公 告》</w:t>
            </w:r>
          </w:p>
        </w:tc>
      </w:tr>
      <w:tr>
        <w:trPr>
          <w:trHeight w:val="3522" w:hRule="exact"/>
        </w:trPr>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6" w:lineRule="auto"/>
              <w:ind w:left="22" w:right="165"/>
              <w:jc w:val="both"/>
              <w:rPr>
                <w:rFonts w:ascii="宋体" w:hAnsi="宋体" w:cs="宋体" w:eastAsia="宋体" w:hint="default"/>
                <w:sz w:val="18"/>
                <w:szCs w:val="18"/>
              </w:rPr>
            </w:pPr>
            <w:r>
              <w:rPr>
                <w:rFonts w:ascii="宋体" w:hAnsi="宋体" w:cs="宋体" w:eastAsia="宋体" w:hint="default"/>
                <w:sz w:val="18"/>
                <w:szCs w:val="18"/>
              </w:rPr>
              <w:t>深圳 劲嘉 集团 股份 有限 公司</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316" w:lineRule="auto"/>
              <w:ind w:left="22" w:right="23"/>
              <w:jc w:val="left"/>
              <w:rPr>
                <w:rFonts w:ascii="宋体" w:hAnsi="宋体" w:cs="宋体" w:eastAsia="宋体" w:hint="default"/>
                <w:sz w:val="18"/>
                <w:szCs w:val="18"/>
              </w:rPr>
            </w:pPr>
            <w:r>
              <w:rPr>
                <w:rFonts w:ascii="宋体" w:hAnsi="宋体" w:cs="宋体" w:eastAsia="宋体" w:hint="default"/>
                <w:sz w:val="18"/>
                <w:szCs w:val="18"/>
              </w:rPr>
              <w:t>重庆宏声实 </w:t>
            </w:r>
            <w:r>
              <w:rPr>
                <w:rFonts w:ascii="宋体" w:hAnsi="宋体" w:cs="宋体" w:eastAsia="宋体" w:hint="default"/>
                <w:spacing w:val="-11"/>
                <w:sz w:val="18"/>
                <w:szCs w:val="18"/>
              </w:rPr>
              <w:t>业（集团）有</w:t>
            </w:r>
            <w:r>
              <w:rPr>
                <w:rFonts w:ascii="宋体" w:hAnsi="宋体" w:cs="宋体" w:eastAsia="宋体" w:hint="default"/>
                <w:sz w:val="18"/>
                <w:szCs w:val="18"/>
              </w:rPr>
              <w:t> 限责任公司</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05"/>
              <w:ind w:left="22" w:right="150"/>
              <w:jc w:val="left"/>
              <w:rPr>
                <w:rFonts w:ascii="宋体" w:hAnsi="宋体" w:cs="宋体" w:eastAsia="宋体" w:hint="default"/>
                <w:sz w:val="18"/>
                <w:szCs w:val="18"/>
              </w:rPr>
            </w:pPr>
            <w:r>
              <w:rPr>
                <w:rFonts w:ascii="宋体" w:hAnsi="宋体" w:cs="宋体" w:eastAsia="宋体" w:hint="default"/>
                <w:sz w:val="18"/>
                <w:szCs w:val="18"/>
              </w:rPr>
              <w:t>就公司将 所持有宏 声印务 </w:t>
            </w:r>
            <w:r>
              <w:rPr>
                <w:rFonts w:ascii="Times New Roman" w:hAnsi="Times New Roman" w:cs="Times New Roman" w:eastAsia="Times New Roman" w:hint="default"/>
                <w:sz w:val="18"/>
                <w:szCs w:val="18"/>
              </w:rPr>
              <w:t>20%</w:t>
            </w:r>
            <w:r>
              <w:rPr>
                <w:rFonts w:ascii="宋体" w:hAnsi="宋体" w:cs="宋体" w:eastAsia="宋体" w:hint="default"/>
                <w:sz w:val="18"/>
                <w:szCs w:val="18"/>
              </w:rPr>
              <w:t>表决 权委托予 宏声集团 行使达成 一致意见</w:t>
            </w:r>
          </w:p>
        </w:tc>
        <w:tc>
          <w:tcPr>
            <w:tcW w:w="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left="23" w:right="0"/>
              <w:jc w:val="left"/>
              <w:rPr>
                <w:rFonts w:ascii="Times New Roman" w:hAnsi="Times New Roman" w:cs="Times New Roman" w:eastAsia="Times New Roman" w:hint="default"/>
                <w:sz w:val="18"/>
                <w:szCs w:val="18"/>
              </w:rPr>
            </w:pPr>
            <w:r>
              <w:rPr>
                <w:rFonts w:ascii="Times New Roman"/>
                <w:sz w:val="18"/>
              </w:rPr>
              <w:t>2016</w:t>
            </w:r>
          </w:p>
          <w:p>
            <w:pPr>
              <w:pStyle w:val="TableParagraph"/>
              <w:spacing w:line="240" w:lineRule="auto" w:before="64"/>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66" w:type="dxa"/>
            <w:tcBorders>
              <w:top w:val="single" w:sz="4" w:space="0" w:color="000000"/>
              <w:left w:val="single" w:sz="4" w:space="0" w:color="000000"/>
              <w:bottom w:val="single" w:sz="4" w:space="0" w:color="000000"/>
              <w:right w:val="single" w:sz="4" w:space="0" w:color="000000"/>
            </w:tcBorders>
          </w:tcPr>
          <w:p>
            <w:pPr/>
          </w:p>
        </w:tc>
        <w:tc>
          <w:tcPr>
            <w:tcW w:w="596" w:type="dxa"/>
            <w:tcBorders>
              <w:top w:val="single" w:sz="4" w:space="0" w:color="000000"/>
              <w:left w:val="single" w:sz="4" w:space="0" w:color="000000"/>
              <w:bottom w:val="single" w:sz="4" w:space="0" w:color="000000"/>
              <w:right w:val="single" w:sz="4" w:space="0" w:color="000000"/>
            </w:tcBorders>
          </w:tcPr>
          <w:p>
            <w:pPr/>
          </w:p>
        </w:tc>
        <w:tc>
          <w:tcPr>
            <w:tcW w:w="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493" w:type="dxa"/>
            <w:tcBorders>
              <w:top w:val="single" w:sz="4" w:space="0" w:color="000000"/>
              <w:left w:val="single" w:sz="4" w:space="0" w:color="000000"/>
              <w:bottom w:val="single" w:sz="4" w:space="0" w:color="000000"/>
              <w:right w:val="single" w:sz="4" w:space="0" w:color="000000"/>
            </w:tcBorders>
          </w:tcPr>
          <w:p>
            <w:pPr/>
          </w:p>
        </w:tc>
        <w:tc>
          <w:tcPr>
            <w:tcW w:w="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36" w:type="dxa"/>
            <w:tcBorders>
              <w:top w:val="single" w:sz="4" w:space="0" w:color="000000"/>
              <w:left w:val="single" w:sz="4" w:space="0" w:color="000000"/>
              <w:bottom w:val="single" w:sz="4" w:space="0" w:color="000000"/>
              <w:right w:val="single" w:sz="4" w:space="0" w:color="000000"/>
            </w:tcBorders>
          </w:tcPr>
          <w:p>
            <w:pPr/>
          </w:p>
        </w:tc>
        <w:tc>
          <w:tcPr>
            <w:tcW w:w="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4" w:right="21"/>
              <w:jc w:val="left"/>
              <w:rPr>
                <w:rFonts w:ascii="宋体" w:hAnsi="宋体" w:cs="宋体" w:eastAsia="宋体" w:hint="default"/>
                <w:sz w:val="18"/>
                <w:szCs w:val="18"/>
              </w:rPr>
            </w:pPr>
            <w:r>
              <w:rPr>
                <w:rFonts w:ascii="宋体" w:hAnsi="宋体" w:cs="宋体" w:eastAsia="宋体" w:hint="default"/>
                <w:sz w:val="18"/>
                <w:szCs w:val="18"/>
              </w:rPr>
              <w:t>公司董事 </w:t>
            </w:r>
            <w:r>
              <w:rPr>
                <w:rFonts w:ascii="宋体" w:hAnsi="宋体" w:cs="宋体" w:eastAsia="宋体" w:hint="default"/>
                <w:spacing w:val="-12"/>
                <w:sz w:val="18"/>
                <w:szCs w:val="18"/>
              </w:rPr>
              <w:t>乔鲁予、侯</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12"/>
                <w:sz w:val="18"/>
                <w:szCs w:val="18"/>
              </w:rPr>
              <w:t>旭东、李德</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华在重庆 宏声任职 </w:t>
            </w:r>
            <w:r>
              <w:rPr>
                <w:rFonts w:ascii="宋体" w:hAnsi="宋体" w:cs="宋体" w:eastAsia="宋体" w:hint="default"/>
                <w:spacing w:val="-12"/>
                <w:sz w:val="18"/>
                <w:szCs w:val="18"/>
              </w:rPr>
              <w:t>董事、公司</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高管富培 军在重庆 宏声任职 监事</w:t>
            </w:r>
          </w:p>
        </w:tc>
        <w:tc>
          <w:tcPr>
            <w:tcW w:w="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9"/>
              <w:ind w:left="22" w:right="131"/>
              <w:jc w:val="both"/>
              <w:rPr>
                <w:rFonts w:ascii="宋体" w:hAnsi="宋体" w:cs="宋体" w:eastAsia="宋体" w:hint="default"/>
                <w:sz w:val="18"/>
                <w:szCs w:val="18"/>
              </w:rPr>
            </w:pPr>
            <w:r>
              <w:rPr>
                <w:rFonts w:ascii="宋体" w:hAnsi="宋体" w:cs="宋体" w:eastAsia="宋体" w:hint="default"/>
                <w:sz w:val="18"/>
                <w:szCs w:val="18"/>
              </w:rPr>
              <w:t>正 在 履 行 中</w:t>
            </w:r>
          </w:p>
        </w:tc>
        <w:tc>
          <w:tcPr>
            <w:tcW w:w="4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left="22" w:right="0"/>
              <w:jc w:val="left"/>
              <w:rPr>
                <w:rFonts w:ascii="Times New Roman" w:hAnsi="Times New Roman" w:cs="Times New Roman" w:eastAsia="Times New Roman" w:hint="default"/>
                <w:sz w:val="18"/>
                <w:szCs w:val="18"/>
              </w:rPr>
            </w:pPr>
            <w:r>
              <w:rPr>
                <w:rFonts w:ascii="Times New Roman"/>
                <w:sz w:val="18"/>
              </w:rPr>
              <w:t>2016</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pacing w:val="-9"/>
                <w:sz w:val="18"/>
                <w:szCs w:val="18"/>
              </w:rPr>
              <w:t>刊登于《证券时</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30"/>
                <w:sz w:val="18"/>
                <w:szCs w:val="18"/>
              </w:rPr>
              <w:t>报》、《中国证券</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30"/>
                <w:sz w:val="18"/>
                <w:szCs w:val="18"/>
              </w:rPr>
              <w:t>报》、《上海证券</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26"/>
                <w:sz w:val="18"/>
                <w:szCs w:val="18"/>
              </w:rPr>
              <w:t>报》、《证券日</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9"/>
                <w:sz w:val="18"/>
                <w:szCs w:val="18"/>
              </w:rPr>
              <w:t>报》以及巨潮资</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9"/>
                <w:sz w:val="18"/>
                <w:szCs w:val="18"/>
              </w:rPr>
              <w:t>讯网的《关于与</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重庆宏声实业</w:t>
            </w:r>
          </w:p>
          <w:p>
            <w:pPr>
              <w:pStyle w:val="TableParagraph"/>
              <w:spacing w:line="319" w:lineRule="auto" w:before="19"/>
              <w:ind w:left="22" w:right="21"/>
              <w:jc w:val="left"/>
              <w:rPr>
                <w:rFonts w:ascii="宋体" w:hAnsi="宋体" w:cs="宋体" w:eastAsia="宋体" w:hint="default"/>
                <w:sz w:val="18"/>
                <w:szCs w:val="18"/>
              </w:rPr>
            </w:pPr>
            <w:r>
              <w:rPr>
                <w:rFonts w:ascii="宋体" w:hAnsi="宋体" w:cs="宋体" w:eastAsia="宋体" w:hint="default"/>
                <w:spacing w:val="-9"/>
                <w:sz w:val="18"/>
                <w:szCs w:val="18"/>
              </w:rPr>
              <w:t>（集团）有限责</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任公司签署战 略合作协议的 公告》</w:t>
            </w:r>
          </w:p>
        </w:tc>
      </w:tr>
    </w:tbl>
    <w:p>
      <w:pPr>
        <w:spacing w:after="0" w:line="319"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560"/>
        <w:gridCol w:w="1072"/>
        <w:gridCol w:w="905"/>
        <w:gridCol w:w="486"/>
        <w:gridCol w:w="766"/>
        <w:gridCol w:w="596"/>
        <w:gridCol w:w="504"/>
        <w:gridCol w:w="493"/>
        <w:gridCol w:w="269"/>
        <w:gridCol w:w="736"/>
        <w:gridCol w:w="290"/>
        <w:gridCol w:w="900"/>
        <w:gridCol w:w="346"/>
        <w:gridCol w:w="485"/>
        <w:gridCol w:w="1260"/>
      </w:tblGrid>
      <w:tr>
        <w:trPr>
          <w:trHeight w:val="1962" w:hRule="exact"/>
        </w:trPr>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65"/>
              <w:jc w:val="both"/>
              <w:rPr>
                <w:rFonts w:ascii="宋体" w:hAnsi="宋体" w:cs="宋体" w:eastAsia="宋体" w:hint="default"/>
                <w:sz w:val="18"/>
                <w:szCs w:val="18"/>
              </w:rPr>
            </w:pPr>
            <w:r>
              <w:rPr>
                <w:rFonts w:ascii="宋体" w:hAnsi="宋体" w:cs="宋体" w:eastAsia="宋体" w:hint="default"/>
                <w:sz w:val="18"/>
                <w:szCs w:val="18"/>
              </w:rPr>
              <w:t>深圳 劲嘉 集团 股份 有限 公司</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9" w:lineRule="auto"/>
              <w:ind w:left="22" w:right="137"/>
              <w:jc w:val="left"/>
              <w:rPr>
                <w:rFonts w:ascii="宋体" w:hAnsi="宋体" w:cs="宋体" w:eastAsia="宋体" w:hint="default"/>
                <w:sz w:val="18"/>
                <w:szCs w:val="18"/>
              </w:rPr>
            </w:pPr>
            <w:r>
              <w:rPr>
                <w:rFonts w:ascii="宋体" w:hAnsi="宋体" w:cs="宋体" w:eastAsia="宋体" w:hint="default"/>
                <w:sz w:val="18"/>
                <w:szCs w:val="18"/>
              </w:rPr>
              <w:t>海德堡中国 有限公司</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22" w:right="150"/>
              <w:jc w:val="both"/>
              <w:rPr>
                <w:rFonts w:ascii="宋体" w:hAnsi="宋体" w:cs="宋体" w:eastAsia="宋体" w:hint="default"/>
                <w:sz w:val="18"/>
                <w:szCs w:val="18"/>
              </w:rPr>
            </w:pPr>
            <w:r>
              <w:rPr>
                <w:rFonts w:ascii="宋体" w:hAnsi="宋体" w:cs="宋体" w:eastAsia="宋体" w:hint="default"/>
                <w:sz w:val="18"/>
                <w:szCs w:val="18"/>
              </w:rPr>
              <w:t>海德堡速 霸八色平 张纸胶印 机</w:t>
            </w:r>
          </w:p>
        </w:tc>
        <w:tc>
          <w:tcPr>
            <w:tcW w:w="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5"/>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66" w:type="dxa"/>
            <w:tcBorders>
              <w:top w:val="single" w:sz="4" w:space="0" w:color="000000"/>
              <w:left w:val="single" w:sz="4" w:space="0" w:color="000000"/>
              <w:bottom w:val="single" w:sz="4" w:space="0" w:color="000000"/>
              <w:right w:val="single" w:sz="4" w:space="0" w:color="000000"/>
            </w:tcBorders>
          </w:tcPr>
          <w:p>
            <w:pPr/>
          </w:p>
        </w:tc>
        <w:tc>
          <w:tcPr>
            <w:tcW w:w="596" w:type="dxa"/>
            <w:tcBorders>
              <w:top w:val="single" w:sz="4" w:space="0" w:color="000000"/>
              <w:left w:val="single" w:sz="4" w:space="0" w:color="000000"/>
              <w:bottom w:val="single" w:sz="4" w:space="0" w:color="000000"/>
              <w:right w:val="single" w:sz="4" w:space="0" w:color="000000"/>
            </w:tcBorders>
          </w:tcPr>
          <w:p>
            <w:pPr/>
          </w:p>
        </w:tc>
        <w:tc>
          <w:tcPr>
            <w:tcW w:w="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493" w:type="dxa"/>
            <w:tcBorders>
              <w:top w:val="single" w:sz="4" w:space="0" w:color="000000"/>
              <w:left w:val="single" w:sz="4" w:space="0" w:color="000000"/>
              <w:bottom w:val="single" w:sz="4" w:space="0" w:color="000000"/>
              <w:right w:val="single" w:sz="4" w:space="0" w:color="000000"/>
            </w:tcBorders>
          </w:tcPr>
          <w:p>
            <w:pPr/>
          </w:p>
        </w:tc>
        <w:tc>
          <w:tcPr>
            <w:tcW w:w="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22" w:right="54"/>
              <w:jc w:val="both"/>
              <w:rPr>
                <w:rFonts w:ascii="宋体" w:hAnsi="宋体" w:cs="宋体" w:eastAsia="宋体" w:hint="default"/>
                <w:sz w:val="18"/>
                <w:szCs w:val="18"/>
              </w:rPr>
            </w:pPr>
            <w:r>
              <w:rPr>
                <w:rFonts w:ascii="宋体" w:hAnsi="宋体" w:cs="宋体" w:eastAsia="宋体" w:hint="default"/>
                <w:sz w:val="18"/>
                <w:szCs w:val="18"/>
              </w:rPr>
              <w:t>双 方 协 商</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2,148.96</w:t>
            </w:r>
          </w:p>
        </w:tc>
        <w:tc>
          <w:tcPr>
            <w:tcW w:w="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22" w:right="131"/>
              <w:jc w:val="both"/>
              <w:rPr>
                <w:rFonts w:ascii="宋体" w:hAnsi="宋体" w:cs="宋体" w:eastAsia="宋体" w:hint="default"/>
                <w:sz w:val="18"/>
                <w:szCs w:val="18"/>
              </w:rPr>
            </w:pPr>
            <w:r>
              <w:rPr>
                <w:rFonts w:ascii="宋体" w:hAnsi="宋体" w:cs="宋体" w:eastAsia="宋体" w:hint="default"/>
                <w:sz w:val="18"/>
                <w:szCs w:val="18"/>
              </w:rPr>
              <w:t>履 行 完 毕</w:t>
            </w:r>
          </w:p>
        </w:tc>
        <w:tc>
          <w:tcPr>
            <w:tcW w:w="485"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r>
      <w:tr>
        <w:trPr>
          <w:trHeight w:val="1962" w:hRule="exact"/>
        </w:trPr>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65"/>
              <w:jc w:val="both"/>
              <w:rPr>
                <w:rFonts w:ascii="宋体" w:hAnsi="宋体" w:cs="宋体" w:eastAsia="宋体" w:hint="default"/>
                <w:sz w:val="18"/>
                <w:szCs w:val="18"/>
              </w:rPr>
            </w:pPr>
            <w:r>
              <w:rPr>
                <w:rFonts w:ascii="宋体" w:hAnsi="宋体" w:cs="宋体" w:eastAsia="宋体" w:hint="default"/>
                <w:sz w:val="18"/>
                <w:szCs w:val="18"/>
              </w:rPr>
              <w:t>深圳 劲嘉 集团 股份 有限 公司</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5"/>
              <w:ind w:left="22" w:right="137"/>
              <w:jc w:val="both"/>
              <w:rPr>
                <w:rFonts w:ascii="宋体" w:hAnsi="宋体" w:cs="宋体" w:eastAsia="宋体" w:hint="default"/>
                <w:sz w:val="18"/>
                <w:szCs w:val="18"/>
              </w:rPr>
            </w:pPr>
            <w:r>
              <w:rPr>
                <w:rFonts w:ascii="宋体" w:hAnsi="宋体" w:cs="宋体" w:eastAsia="宋体" w:hint="default"/>
                <w:sz w:val="18"/>
                <w:szCs w:val="18"/>
              </w:rPr>
              <w:t>福建省惠东 建筑工程有 限公司</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9" w:lineRule="auto" w:before="105"/>
              <w:ind w:left="22" w:right="107"/>
              <w:jc w:val="both"/>
              <w:rPr>
                <w:rFonts w:ascii="宋体" w:hAnsi="宋体" w:cs="宋体" w:eastAsia="宋体" w:hint="default"/>
                <w:sz w:val="18"/>
                <w:szCs w:val="18"/>
              </w:rPr>
            </w:pPr>
            <w:r>
              <w:rPr>
                <w:rFonts w:ascii="宋体" w:hAnsi="宋体" w:cs="宋体" w:eastAsia="宋体" w:hint="default"/>
                <w:sz w:val="18"/>
                <w:szCs w:val="18"/>
              </w:rPr>
              <w:t>劲嘉工业 园区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宋体" w:hAnsi="宋体" w:cs="宋体" w:eastAsia="宋体" w:hint="default"/>
                <w:sz w:val="18"/>
                <w:szCs w:val="18"/>
              </w:rPr>
              <w:t>厂 房工程</w:t>
            </w:r>
          </w:p>
        </w:tc>
        <w:tc>
          <w:tcPr>
            <w:tcW w:w="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5"/>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66" w:type="dxa"/>
            <w:tcBorders>
              <w:top w:val="single" w:sz="4" w:space="0" w:color="000000"/>
              <w:left w:val="single" w:sz="4" w:space="0" w:color="000000"/>
              <w:bottom w:val="single" w:sz="4" w:space="0" w:color="000000"/>
              <w:right w:val="single" w:sz="4" w:space="0" w:color="000000"/>
            </w:tcBorders>
          </w:tcPr>
          <w:p>
            <w:pPr/>
          </w:p>
        </w:tc>
        <w:tc>
          <w:tcPr>
            <w:tcW w:w="596" w:type="dxa"/>
            <w:tcBorders>
              <w:top w:val="single" w:sz="4" w:space="0" w:color="000000"/>
              <w:left w:val="single" w:sz="4" w:space="0" w:color="000000"/>
              <w:bottom w:val="single" w:sz="4" w:space="0" w:color="000000"/>
              <w:right w:val="single" w:sz="4" w:space="0" w:color="000000"/>
            </w:tcBorders>
          </w:tcPr>
          <w:p>
            <w:pPr/>
          </w:p>
        </w:tc>
        <w:tc>
          <w:tcPr>
            <w:tcW w:w="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493" w:type="dxa"/>
            <w:tcBorders>
              <w:top w:val="single" w:sz="4" w:space="0" w:color="000000"/>
              <w:left w:val="single" w:sz="4" w:space="0" w:color="000000"/>
              <w:bottom w:val="single" w:sz="4" w:space="0" w:color="000000"/>
              <w:right w:val="single" w:sz="4" w:space="0" w:color="000000"/>
            </w:tcBorders>
          </w:tcPr>
          <w:p>
            <w:pPr/>
          </w:p>
        </w:tc>
        <w:tc>
          <w:tcPr>
            <w:tcW w:w="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22" w:right="54"/>
              <w:jc w:val="both"/>
              <w:rPr>
                <w:rFonts w:ascii="宋体" w:hAnsi="宋体" w:cs="宋体" w:eastAsia="宋体" w:hint="default"/>
                <w:sz w:val="18"/>
                <w:szCs w:val="18"/>
              </w:rPr>
            </w:pPr>
            <w:r>
              <w:rPr>
                <w:rFonts w:ascii="宋体" w:hAnsi="宋体" w:cs="宋体" w:eastAsia="宋体" w:hint="default"/>
                <w:sz w:val="18"/>
                <w:szCs w:val="18"/>
              </w:rPr>
              <w:t>双 方 协 商</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10,930</w:t>
            </w:r>
          </w:p>
        </w:tc>
        <w:tc>
          <w:tcPr>
            <w:tcW w:w="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131"/>
              <w:jc w:val="both"/>
              <w:rPr>
                <w:rFonts w:ascii="宋体" w:hAnsi="宋体" w:cs="宋体" w:eastAsia="宋体" w:hint="default"/>
                <w:sz w:val="18"/>
                <w:szCs w:val="18"/>
              </w:rPr>
            </w:pPr>
            <w:r>
              <w:rPr>
                <w:rFonts w:ascii="宋体" w:hAnsi="宋体" w:cs="宋体" w:eastAsia="宋体" w:hint="default"/>
                <w:sz w:val="18"/>
                <w:szCs w:val="18"/>
              </w:rPr>
              <w:t>正 在 履 行 中</w:t>
            </w:r>
          </w:p>
        </w:tc>
        <w:tc>
          <w:tcPr>
            <w:tcW w:w="485"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r>
      <w:tr>
        <w:trPr>
          <w:trHeight w:val="2274" w:hRule="exact"/>
        </w:trPr>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65"/>
              <w:jc w:val="both"/>
              <w:rPr>
                <w:rFonts w:ascii="宋体" w:hAnsi="宋体" w:cs="宋体" w:eastAsia="宋体" w:hint="default"/>
                <w:sz w:val="18"/>
                <w:szCs w:val="18"/>
              </w:rPr>
            </w:pPr>
            <w:r>
              <w:rPr>
                <w:rFonts w:ascii="宋体" w:hAnsi="宋体" w:cs="宋体" w:eastAsia="宋体" w:hint="default"/>
                <w:sz w:val="18"/>
                <w:szCs w:val="18"/>
              </w:rPr>
              <w:t>贵州 劲嘉 新型 包装 材料 有限 公司</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9" w:lineRule="auto"/>
              <w:ind w:left="22" w:right="137"/>
              <w:jc w:val="left"/>
              <w:rPr>
                <w:rFonts w:ascii="宋体" w:hAnsi="宋体" w:cs="宋体" w:eastAsia="宋体" w:hint="default"/>
                <w:sz w:val="18"/>
                <w:szCs w:val="18"/>
              </w:rPr>
            </w:pPr>
            <w:r>
              <w:rPr>
                <w:rFonts w:ascii="宋体" w:hAnsi="宋体" w:cs="宋体" w:eastAsia="宋体" w:hint="default"/>
                <w:sz w:val="18"/>
                <w:szCs w:val="18"/>
              </w:rPr>
              <w:t>北京北方光 电有限公司</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22" w:right="150"/>
              <w:jc w:val="both"/>
              <w:rPr>
                <w:rFonts w:ascii="宋体" w:hAnsi="宋体" w:cs="宋体" w:eastAsia="宋体" w:hint="default"/>
                <w:sz w:val="18"/>
                <w:szCs w:val="18"/>
              </w:rPr>
            </w:pPr>
            <w:r>
              <w:rPr>
                <w:rFonts w:ascii="宋体" w:hAnsi="宋体" w:cs="宋体" w:eastAsia="宋体" w:hint="default"/>
                <w:sz w:val="18"/>
                <w:szCs w:val="18"/>
              </w:rPr>
              <w:t>海德堡速 霸对开八 色胶印机 带上光单 元</w:t>
            </w:r>
          </w:p>
        </w:tc>
        <w:tc>
          <w:tcPr>
            <w:tcW w:w="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3"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5"/>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66" w:type="dxa"/>
            <w:tcBorders>
              <w:top w:val="single" w:sz="4" w:space="0" w:color="000000"/>
              <w:left w:val="single" w:sz="4" w:space="0" w:color="000000"/>
              <w:bottom w:val="single" w:sz="4" w:space="0" w:color="000000"/>
              <w:right w:val="single" w:sz="4" w:space="0" w:color="000000"/>
            </w:tcBorders>
          </w:tcPr>
          <w:p>
            <w:pPr/>
          </w:p>
        </w:tc>
        <w:tc>
          <w:tcPr>
            <w:tcW w:w="596" w:type="dxa"/>
            <w:tcBorders>
              <w:top w:val="single" w:sz="4" w:space="0" w:color="000000"/>
              <w:left w:val="single" w:sz="4" w:space="0" w:color="000000"/>
              <w:bottom w:val="single" w:sz="4" w:space="0" w:color="000000"/>
              <w:right w:val="single" w:sz="4" w:space="0" w:color="000000"/>
            </w:tcBorders>
          </w:tcPr>
          <w:p>
            <w:pPr/>
          </w:p>
        </w:tc>
        <w:tc>
          <w:tcPr>
            <w:tcW w:w="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493" w:type="dxa"/>
            <w:tcBorders>
              <w:top w:val="single" w:sz="4" w:space="0" w:color="000000"/>
              <w:left w:val="single" w:sz="4" w:space="0" w:color="000000"/>
              <w:bottom w:val="single" w:sz="4" w:space="0" w:color="000000"/>
              <w:right w:val="single" w:sz="4" w:space="0" w:color="000000"/>
            </w:tcBorders>
          </w:tcPr>
          <w:p>
            <w:pPr/>
          </w:p>
        </w:tc>
        <w:tc>
          <w:tcPr>
            <w:tcW w:w="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5"/>
              <w:ind w:left="22" w:right="54"/>
              <w:jc w:val="both"/>
              <w:rPr>
                <w:rFonts w:ascii="宋体" w:hAnsi="宋体" w:cs="宋体" w:eastAsia="宋体" w:hint="default"/>
                <w:sz w:val="18"/>
                <w:szCs w:val="18"/>
              </w:rPr>
            </w:pPr>
            <w:r>
              <w:rPr>
                <w:rFonts w:ascii="宋体" w:hAnsi="宋体" w:cs="宋体" w:eastAsia="宋体" w:hint="default"/>
                <w:sz w:val="18"/>
                <w:szCs w:val="18"/>
              </w:rPr>
              <w:t>双 方 协 商</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2,191.12</w:t>
            </w:r>
          </w:p>
        </w:tc>
        <w:tc>
          <w:tcPr>
            <w:tcW w:w="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5"/>
              <w:ind w:left="22" w:right="131"/>
              <w:jc w:val="both"/>
              <w:rPr>
                <w:rFonts w:ascii="宋体" w:hAnsi="宋体" w:cs="宋体" w:eastAsia="宋体" w:hint="default"/>
                <w:sz w:val="18"/>
                <w:szCs w:val="18"/>
              </w:rPr>
            </w:pPr>
            <w:r>
              <w:rPr>
                <w:rFonts w:ascii="宋体" w:hAnsi="宋体" w:cs="宋体" w:eastAsia="宋体" w:hint="default"/>
                <w:sz w:val="18"/>
                <w:szCs w:val="18"/>
              </w:rPr>
              <w:t>履 行 完 毕</w:t>
            </w:r>
          </w:p>
        </w:tc>
        <w:tc>
          <w:tcPr>
            <w:tcW w:w="485"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r>
      <w:tr>
        <w:trPr>
          <w:trHeight w:val="1962" w:hRule="exact"/>
        </w:trPr>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65"/>
              <w:jc w:val="both"/>
              <w:rPr>
                <w:rFonts w:ascii="宋体" w:hAnsi="宋体" w:cs="宋体" w:eastAsia="宋体" w:hint="default"/>
                <w:sz w:val="18"/>
                <w:szCs w:val="18"/>
              </w:rPr>
            </w:pPr>
            <w:r>
              <w:rPr>
                <w:rFonts w:ascii="宋体" w:hAnsi="宋体" w:cs="宋体" w:eastAsia="宋体" w:hint="default"/>
                <w:sz w:val="18"/>
                <w:szCs w:val="18"/>
              </w:rPr>
              <w:t>深圳 劲嘉 集团 股份 有限 公司</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319" w:lineRule="auto"/>
              <w:ind w:left="22" w:right="137"/>
              <w:jc w:val="left"/>
              <w:rPr>
                <w:rFonts w:ascii="宋体" w:hAnsi="宋体" w:cs="宋体" w:eastAsia="宋体" w:hint="default"/>
                <w:sz w:val="18"/>
                <w:szCs w:val="18"/>
              </w:rPr>
            </w:pPr>
            <w:r>
              <w:rPr>
                <w:rFonts w:ascii="宋体" w:hAnsi="宋体" w:cs="宋体" w:eastAsia="宋体" w:hint="default"/>
                <w:sz w:val="18"/>
                <w:szCs w:val="18"/>
              </w:rPr>
              <w:t>海德堡中国 有限公司</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22" w:right="150"/>
              <w:jc w:val="both"/>
              <w:rPr>
                <w:rFonts w:ascii="宋体" w:hAnsi="宋体" w:cs="宋体" w:eastAsia="宋体" w:hint="default"/>
                <w:sz w:val="18"/>
                <w:szCs w:val="18"/>
              </w:rPr>
            </w:pPr>
            <w:r>
              <w:rPr>
                <w:rFonts w:ascii="宋体" w:hAnsi="宋体" w:cs="宋体" w:eastAsia="宋体" w:hint="default"/>
                <w:sz w:val="18"/>
                <w:szCs w:val="18"/>
              </w:rPr>
              <w:t>海德堡速 霸八色平 张纸胶印 机</w:t>
            </w:r>
          </w:p>
        </w:tc>
        <w:tc>
          <w:tcPr>
            <w:tcW w:w="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5"/>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66" w:type="dxa"/>
            <w:tcBorders>
              <w:top w:val="single" w:sz="4" w:space="0" w:color="000000"/>
              <w:left w:val="single" w:sz="4" w:space="0" w:color="000000"/>
              <w:bottom w:val="single" w:sz="4" w:space="0" w:color="000000"/>
              <w:right w:val="single" w:sz="4" w:space="0" w:color="000000"/>
            </w:tcBorders>
          </w:tcPr>
          <w:p>
            <w:pPr/>
          </w:p>
        </w:tc>
        <w:tc>
          <w:tcPr>
            <w:tcW w:w="596" w:type="dxa"/>
            <w:tcBorders>
              <w:top w:val="single" w:sz="4" w:space="0" w:color="000000"/>
              <w:left w:val="single" w:sz="4" w:space="0" w:color="000000"/>
              <w:bottom w:val="single" w:sz="4" w:space="0" w:color="000000"/>
              <w:right w:val="single" w:sz="4" w:space="0" w:color="000000"/>
            </w:tcBorders>
          </w:tcPr>
          <w:p>
            <w:pPr/>
          </w:p>
        </w:tc>
        <w:tc>
          <w:tcPr>
            <w:tcW w:w="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493" w:type="dxa"/>
            <w:tcBorders>
              <w:top w:val="single" w:sz="4" w:space="0" w:color="000000"/>
              <w:left w:val="single" w:sz="4" w:space="0" w:color="000000"/>
              <w:bottom w:val="single" w:sz="4" w:space="0" w:color="000000"/>
              <w:right w:val="single" w:sz="4" w:space="0" w:color="000000"/>
            </w:tcBorders>
          </w:tcPr>
          <w:p>
            <w:pPr/>
          </w:p>
        </w:tc>
        <w:tc>
          <w:tcPr>
            <w:tcW w:w="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22" w:right="54"/>
              <w:jc w:val="both"/>
              <w:rPr>
                <w:rFonts w:ascii="宋体" w:hAnsi="宋体" w:cs="宋体" w:eastAsia="宋体" w:hint="default"/>
                <w:sz w:val="18"/>
                <w:szCs w:val="18"/>
              </w:rPr>
            </w:pPr>
            <w:r>
              <w:rPr>
                <w:rFonts w:ascii="宋体" w:hAnsi="宋体" w:cs="宋体" w:eastAsia="宋体" w:hint="default"/>
                <w:sz w:val="18"/>
                <w:szCs w:val="18"/>
              </w:rPr>
              <w:t>双 方 协 商</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2,196.83</w:t>
            </w:r>
          </w:p>
        </w:tc>
        <w:tc>
          <w:tcPr>
            <w:tcW w:w="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22" w:right="131"/>
              <w:jc w:val="both"/>
              <w:rPr>
                <w:rFonts w:ascii="宋体" w:hAnsi="宋体" w:cs="宋体" w:eastAsia="宋体" w:hint="default"/>
                <w:sz w:val="18"/>
                <w:szCs w:val="18"/>
              </w:rPr>
            </w:pPr>
            <w:r>
              <w:rPr>
                <w:rFonts w:ascii="宋体" w:hAnsi="宋体" w:cs="宋体" w:eastAsia="宋体" w:hint="default"/>
                <w:sz w:val="18"/>
                <w:szCs w:val="18"/>
              </w:rPr>
              <w:t>履 行 完 毕</w:t>
            </w:r>
          </w:p>
        </w:tc>
        <w:tc>
          <w:tcPr>
            <w:tcW w:w="485"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r>
      <w:tr>
        <w:trPr>
          <w:trHeight w:val="2586" w:hRule="exact"/>
        </w:trPr>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22" w:right="165"/>
              <w:jc w:val="both"/>
              <w:rPr>
                <w:rFonts w:ascii="宋体" w:hAnsi="宋体" w:cs="宋体" w:eastAsia="宋体" w:hint="default"/>
                <w:sz w:val="18"/>
                <w:szCs w:val="18"/>
              </w:rPr>
            </w:pPr>
            <w:r>
              <w:rPr>
                <w:rFonts w:ascii="宋体" w:hAnsi="宋体" w:cs="宋体" w:eastAsia="宋体" w:hint="default"/>
                <w:sz w:val="18"/>
                <w:szCs w:val="18"/>
              </w:rPr>
              <w:t>深圳 劲嘉 集团 股份 有限 公司</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9"/>
              <w:ind w:left="22" w:right="137"/>
              <w:jc w:val="left"/>
              <w:rPr>
                <w:rFonts w:ascii="宋体" w:hAnsi="宋体" w:cs="宋体" w:eastAsia="宋体" w:hint="default"/>
                <w:sz w:val="18"/>
                <w:szCs w:val="18"/>
              </w:rPr>
            </w:pPr>
            <w:r>
              <w:rPr>
                <w:rFonts w:ascii="宋体" w:hAnsi="宋体" w:cs="宋体" w:eastAsia="宋体" w:hint="default"/>
                <w:sz w:val="18"/>
                <w:szCs w:val="18"/>
              </w:rPr>
              <w:t>上海仁彩印 务有限公司</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56"/>
              <w:ind w:left="22" w:right="136"/>
              <w:jc w:val="both"/>
              <w:rPr>
                <w:rFonts w:ascii="宋体" w:hAnsi="宋体" w:cs="宋体" w:eastAsia="宋体" w:hint="default"/>
                <w:sz w:val="18"/>
                <w:szCs w:val="18"/>
              </w:rPr>
            </w:pPr>
            <w:r>
              <w:rPr>
                <w:rFonts w:ascii="宋体" w:hAnsi="宋体" w:cs="宋体" w:eastAsia="宋体" w:hint="default"/>
                <w:sz w:val="18"/>
                <w:szCs w:val="18"/>
              </w:rPr>
              <w:t>贵州省仁 怀市申仁 包装印务 有限责任 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股权</w:t>
            </w:r>
          </w:p>
        </w:tc>
        <w:tc>
          <w:tcPr>
            <w:tcW w:w="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5"/>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66" w:type="dxa"/>
            <w:tcBorders>
              <w:top w:val="single" w:sz="4" w:space="0" w:color="000000"/>
              <w:left w:val="single" w:sz="4" w:space="0" w:color="000000"/>
              <w:bottom w:val="single" w:sz="4" w:space="0" w:color="000000"/>
              <w:right w:val="single" w:sz="4" w:space="0" w:color="000000"/>
            </w:tcBorders>
          </w:tcPr>
          <w:p>
            <w:pPr/>
          </w:p>
        </w:tc>
        <w:tc>
          <w:tcPr>
            <w:tcW w:w="596" w:type="dxa"/>
            <w:tcBorders>
              <w:top w:val="single" w:sz="4" w:space="0" w:color="000000"/>
              <w:left w:val="single" w:sz="4" w:space="0" w:color="000000"/>
              <w:bottom w:val="single" w:sz="4" w:space="0" w:color="000000"/>
              <w:right w:val="single" w:sz="4" w:space="0" w:color="000000"/>
            </w:tcBorders>
          </w:tcPr>
          <w:p>
            <w:pPr/>
          </w:p>
        </w:tc>
        <w:tc>
          <w:tcPr>
            <w:tcW w:w="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493" w:type="dxa"/>
            <w:tcBorders>
              <w:top w:val="single" w:sz="4" w:space="0" w:color="000000"/>
              <w:left w:val="single" w:sz="4" w:space="0" w:color="000000"/>
              <w:bottom w:val="single" w:sz="4" w:space="0" w:color="000000"/>
              <w:right w:val="single" w:sz="4" w:space="0" w:color="000000"/>
            </w:tcBorders>
          </w:tcPr>
          <w:p>
            <w:pPr/>
          </w:p>
        </w:tc>
        <w:tc>
          <w:tcPr>
            <w:tcW w:w="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9" w:lineRule="auto"/>
              <w:ind w:left="22" w:right="54"/>
              <w:jc w:val="both"/>
              <w:rPr>
                <w:rFonts w:ascii="宋体" w:hAnsi="宋体" w:cs="宋体" w:eastAsia="宋体" w:hint="default"/>
                <w:sz w:val="18"/>
                <w:szCs w:val="18"/>
              </w:rPr>
            </w:pPr>
            <w:r>
              <w:rPr>
                <w:rFonts w:ascii="宋体" w:hAnsi="宋体" w:cs="宋体" w:eastAsia="宋体" w:hint="default"/>
                <w:sz w:val="18"/>
                <w:szCs w:val="18"/>
              </w:rPr>
              <w:t>双 方 协 商</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19"/>
              <w:jc w:val="right"/>
              <w:rPr>
                <w:rFonts w:ascii="Times New Roman" w:hAnsi="Times New Roman" w:cs="Times New Roman" w:eastAsia="Times New Roman" w:hint="default"/>
                <w:sz w:val="18"/>
                <w:szCs w:val="18"/>
              </w:rPr>
            </w:pPr>
            <w:r>
              <w:rPr>
                <w:rFonts w:ascii="Times New Roman"/>
                <w:sz w:val="18"/>
              </w:rPr>
              <w:t>22,620</w:t>
            </w:r>
          </w:p>
        </w:tc>
        <w:tc>
          <w:tcPr>
            <w:tcW w:w="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5"/>
              <w:ind w:left="22" w:right="131"/>
              <w:jc w:val="both"/>
              <w:rPr>
                <w:rFonts w:ascii="宋体" w:hAnsi="宋体" w:cs="宋体" w:eastAsia="宋体" w:hint="default"/>
                <w:sz w:val="18"/>
                <w:szCs w:val="18"/>
              </w:rPr>
            </w:pPr>
            <w:r>
              <w:rPr>
                <w:rFonts w:ascii="宋体" w:hAnsi="宋体" w:cs="宋体" w:eastAsia="宋体" w:hint="default"/>
                <w:sz w:val="18"/>
                <w:szCs w:val="18"/>
              </w:rPr>
              <w:t>正 在 履 行 中</w:t>
            </w:r>
          </w:p>
        </w:tc>
        <w:tc>
          <w:tcPr>
            <w:tcW w:w="4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pacing w:val="-9"/>
                <w:sz w:val="18"/>
                <w:szCs w:val="18"/>
              </w:rPr>
              <w:t>刊登于《证券时</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30"/>
                <w:sz w:val="18"/>
                <w:szCs w:val="18"/>
              </w:rPr>
              <w:t>报》、《中国证券</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30"/>
                <w:sz w:val="18"/>
                <w:szCs w:val="18"/>
              </w:rPr>
              <w:t>报》、《上海证券</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26"/>
                <w:sz w:val="18"/>
                <w:szCs w:val="18"/>
              </w:rPr>
              <w:t>报》、《证券日</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9"/>
                <w:sz w:val="18"/>
                <w:szCs w:val="18"/>
              </w:rPr>
              <w:t>报》以及巨潮资</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9"/>
                <w:sz w:val="18"/>
                <w:szCs w:val="18"/>
              </w:rPr>
              <w:t>讯网的《关于签</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订股权收购协 议的公告》</w:t>
            </w:r>
          </w:p>
        </w:tc>
      </w:tr>
      <w:tr>
        <w:trPr>
          <w:trHeight w:val="2586" w:hRule="exact"/>
        </w:trPr>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22" w:right="165"/>
              <w:jc w:val="both"/>
              <w:rPr>
                <w:rFonts w:ascii="宋体" w:hAnsi="宋体" w:cs="宋体" w:eastAsia="宋体" w:hint="default"/>
                <w:sz w:val="18"/>
                <w:szCs w:val="18"/>
              </w:rPr>
            </w:pPr>
            <w:r>
              <w:rPr>
                <w:rFonts w:ascii="宋体" w:hAnsi="宋体" w:cs="宋体" w:eastAsia="宋体" w:hint="default"/>
                <w:sz w:val="18"/>
                <w:szCs w:val="18"/>
              </w:rPr>
              <w:t>深圳 劲嘉 集团 股份 有限 公司</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5"/>
              <w:ind w:left="22" w:right="20"/>
              <w:jc w:val="left"/>
              <w:rPr>
                <w:rFonts w:ascii="宋体" w:hAnsi="宋体" w:cs="宋体" w:eastAsia="宋体" w:hint="default"/>
                <w:sz w:val="18"/>
                <w:szCs w:val="18"/>
              </w:rPr>
            </w:pPr>
            <w:r>
              <w:rPr>
                <w:rFonts w:ascii="宋体" w:hAnsi="宋体" w:cs="宋体" w:eastAsia="宋体" w:hint="default"/>
                <w:spacing w:val="-11"/>
                <w:sz w:val="18"/>
                <w:szCs w:val="18"/>
              </w:rPr>
              <w:t>梅曙南、杨幼</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11"/>
                <w:sz w:val="18"/>
                <w:szCs w:val="18"/>
              </w:rPr>
              <w:t>妮、金晶、张</w:t>
            </w:r>
            <w:r>
              <w:rPr>
                <w:rFonts w:ascii="宋体" w:hAnsi="宋体" w:cs="宋体" w:eastAsia="宋体" w:hint="default"/>
                <w:sz w:val="18"/>
                <w:szCs w:val="18"/>
              </w:rPr>
              <w:t> </w:t>
            </w:r>
            <w:r>
              <w:rPr>
                <w:rFonts w:ascii="宋体" w:hAnsi="宋体" w:cs="宋体" w:eastAsia="宋体" w:hint="default"/>
                <w:spacing w:val="-11"/>
                <w:sz w:val="18"/>
                <w:szCs w:val="18"/>
              </w:rPr>
              <w:t>寅元、上海石</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龙实业有限 公司</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9" w:lineRule="auto"/>
              <w:ind w:left="22" w:right="90"/>
              <w:jc w:val="both"/>
              <w:rPr>
                <w:rFonts w:ascii="宋体" w:hAnsi="宋体" w:cs="宋体" w:eastAsia="宋体" w:hint="default"/>
                <w:sz w:val="18"/>
                <w:szCs w:val="18"/>
              </w:rPr>
            </w:pPr>
            <w:r>
              <w:rPr>
                <w:rFonts w:ascii="宋体" w:hAnsi="宋体" w:cs="宋体" w:eastAsia="宋体" w:hint="default"/>
                <w:sz w:val="18"/>
                <w:szCs w:val="18"/>
              </w:rPr>
              <w:t>上海丽兴 绿色包装 有限公司 </w:t>
            </w:r>
            <w:r>
              <w:rPr>
                <w:rFonts w:ascii="Times New Roman" w:hAnsi="Times New Roman" w:cs="Times New Roman" w:eastAsia="Times New Roman" w:hint="default"/>
                <w:sz w:val="18"/>
                <w:szCs w:val="18"/>
              </w:rPr>
              <w:t>100%</w:t>
            </w:r>
            <w:r>
              <w:rPr>
                <w:rFonts w:ascii="宋体" w:hAnsi="宋体" w:cs="宋体" w:eastAsia="宋体" w:hint="default"/>
                <w:sz w:val="18"/>
                <w:szCs w:val="18"/>
              </w:rPr>
              <w:t>股权</w:t>
            </w:r>
          </w:p>
        </w:tc>
        <w:tc>
          <w:tcPr>
            <w:tcW w:w="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5"/>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66" w:type="dxa"/>
            <w:tcBorders>
              <w:top w:val="single" w:sz="4" w:space="0" w:color="000000"/>
              <w:left w:val="single" w:sz="4" w:space="0" w:color="000000"/>
              <w:bottom w:val="single" w:sz="4" w:space="0" w:color="000000"/>
              <w:right w:val="single" w:sz="4" w:space="0" w:color="000000"/>
            </w:tcBorders>
          </w:tcPr>
          <w:p>
            <w:pPr/>
          </w:p>
        </w:tc>
        <w:tc>
          <w:tcPr>
            <w:tcW w:w="596" w:type="dxa"/>
            <w:tcBorders>
              <w:top w:val="single" w:sz="4" w:space="0" w:color="000000"/>
              <w:left w:val="single" w:sz="4" w:space="0" w:color="000000"/>
              <w:bottom w:val="single" w:sz="4" w:space="0" w:color="000000"/>
              <w:right w:val="single" w:sz="4" w:space="0" w:color="000000"/>
            </w:tcBorders>
          </w:tcPr>
          <w:p>
            <w:pPr/>
          </w:p>
        </w:tc>
        <w:tc>
          <w:tcPr>
            <w:tcW w:w="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493" w:type="dxa"/>
            <w:tcBorders>
              <w:top w:val="single" w:sz="4" w:space="0" w:color="000000"/>
              <w:left w:val="single" w:sz="4" w:space="0" w:color="000000"/>
              <w:bottom w:val="single" w:sz="4" w:space="0" w:color="000000"/>
              <w:right w:val="single" w:sz="4" w:space="0" w:color="000000"/>
            </w:tcBorders>
          </w:tcPr>
          <w:p>
            <w:pPr/>
          </w:p>
        </w:tc>
        <w:tc>
          <w:tcPr>
            <w:tcW w:w="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9" w:lineRule="auto"/>
              <w:ind w:left="22" w:right="54"/>
              <w:jc w:val="both"/>
              <w:rPr>
                <w:rFonts w:ascii="宋体" w:hAnsi="宋体" w:cs="宋体" w:eastAsia="宋体" w:hint="default"/>
                <w:sz w:val="18"/>
                <w:szCs w:val="18"/>
              </w:rPr>
            </w:pPr>
            <w:r>
              <w:rPr>
                <w:rFonts w:ascii="宋体" w:hAnsi="宋体" w:cs="宋体" w:eastAsia="宋体" w:hint="default"/>
                <w:sz w:val="18"/>
                <w:szCs w:val="18"/>
              </w:rPr>
              <w:t>双 方 协 商</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19"/>
              <w:jc w:val="right"/>
              <w:rPr>
                <w:rFonts w:ascii="Times New Roman" w:hAnsi="Times New Roman" w:cs="Times New Roman" w:eastAsia="Times New Roman" w:hint="default"/>
                <w:sz w:val="18"/>
                <w:szCs w:val="18"/>
              </w:rPr>
            </w:pPr>
            <w:r>
              <w:rPr>
                <w:rFonts w:ascii="Times New Roman"/>
                <w:sz w:val="18"/>
              </w:rPr>
              <w:t>5,340</w:t>
            </w:r>
          </w:p>
        </w:tc>
        <w:tc>
          <w:tcPr>
            <w:tcW w:w="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9" w:lineRule="auto"/>
              <w:ind w:left="22" w:right="131"/>
              <w:jc w:val="both"/>
              <w:rPr>
                <w:rFonts w:ascii="宋体" w:hAnsi="宋体" w:cs="宋体" w:eastAsia="宋体" w:hint="default"/>
                <w:sz w:val="18"/>
                <w:szCs w:val="18"/>
              </w:rPr>
            </w:pPr>
            <w:r>
              <w:rPr>
                <w:rFonts w:ascii="宋体" w:hAnsi="宋体" w:cs="宋体" w:eastAsia="宋体" w:hint="default"/>
                <w:sz w:val="18"/>
                <w:szCs w:val="18"/>
              </w:rPr>
              <w:t>履 行 完 毕</w:t>
            </w:r>
          </w:p>
        </w:tc>
        <w:tc>
          <w:tcPr>
            <w:tcW w:w="4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pacing w:val="-9"/>
                <w:sz w:val="18"/>
                <w:szCs w:val="18"/>
              </w:rPr>
              <w:t>刊登于《证券时</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30"/>
                <w:sz w:val="18"/>
                <w:szCs w:val="18"/>
              </w:rPr>
              <w:t>报》、《中国证券</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30"/>
                <w:sz w:val="18"/>
                <w:szCs w:val="18"/>
              </w:rPr>
              <w:t>报》、《上海证券</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26"/>
                <w:sz w:val="18"/>
                <w:szCs w:val="18"/>
              </w:rPr>
              <w:t>报》、《证券日</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9"/>
                <w:sz w:val="18"/>
                <w:szCs w:val="18"/>
              </w:rPr>
              <w:t>报》以及巨潮资</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9"/>
                <w:sz w:val="18"/>
                <w:szCs w:val="18"/>
              </w:rPr>
              <w:t>讯网的《关于签</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订股权收购协 议的公告》</w:t>
            </w:r>
          </w:p>
        </w:tc>
      </w:tr>
      <w:tr>
        <w:trPr>
          <w:trHeight w:val="402" w:hRule="exact"/>
        </w:trPr>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中华</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pacing w:val="-11"/>
                <w:sz w:val="18"/>
                <w:szCs w:val="18"/>
              </w:rPr>
              <w:t>沈小靖、梅曙</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香港润伟</w:t>
            </w:r>
          </w:p>
        </w:tc>
        <w:tc>
          <w:tcPr>
            <w:tcW w:w="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23" w:right="0"/>
              <w:jc w:val="left"/>
              <w:rPr>
                <w:rFonts w:ascii="Times New Roman" w:hAnsi="Times New Roman" w:cs="Times New Roman" w:eastAsia="Times New Roman" w:hint="default"/>
                <w:sz w:val="18"/>
                <w:szCs w:val="18"/>
              </w:rPr>
            </w:pPr>
            <w:r>
              <w:rPr>
                <w:rFonts w:ascii="Times New Roman"/>
                <w:sz w:val="18"/>
              </w:rPr>
              <w:t>2017</w:t>
            </w:r>
          </w:p>
        </w:tc>
        <w:tc>
          <w:tcPr>
            <w:tcW w:w="766" w:type="dxa"/>
            <w:tcBorders>
              <w:top w:val="single" w:sz="4" w:space="0" w:color="000000"/>
              <w:left w:val="single" w:sz="4" w:space="0" w:color="000000"/>
              <w:bottom w:val="single" w:sz="4" w:space="0" w:color="000000"/>
              <w:right w:val="single" w:sz="4" w:space="0" w:color="000000"/>
            </w:tcBorders>
          </w:tcPr>
          <w:p>
            <w:pPr/>
          </w:p>
        </w:tc>
        <w:tc>
          <w:tcPr>
            <w:tcW w:w="596" w:type="dxa"/>
            <w:tcBorders>
              <w:top w:val="single" w:sz="4" w:space="0" w:color="000000"/>
              <w:left w:val="single" w:sz="4" w:space="0" w:color="000000"/>
              <w:bottom w:val="single" w:sz="4" w:space="0" w:color="000000"/>
              <w:right w:val="single" w:sz="4" w:space="0" w:color="000000"/>
            </w:tcBorders>
          </w:tcPr>
          <w:p>
            <w:pPr/>
          </w:p>
        </w:tc>
        <w:tc>
          <w:tcPr>
            <w:tcW w:w="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493" w:type="dxa"/>
            <w:tcBorders>
              <w:top w:val="single" w:sz="4" w:space="0" w:color="000000"/>
              <w:left w:val="single" w:sz="4" w:space="0" w:color="000000"/>
              <w:bottom w:val="single" w:sz="4" w:space="0" w:color="000000"/>
              <w:right w:val="single" w:sz="4" w:space="0" w:color="000000"/>
            </w:tcBorders>
          </w:tcPr>
          <w:p>
            <w:pPr/>
          </w:p>
        </w:tc>
        <w:tc>
          <w:tcPr>
            <w:tcW w:w="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双</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9,612</w:t>
            </w:r>
          </w:p>
        </w:tc>
        <w:tc>
          <w:tcPr>
            <w:tcW w:w="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履</w:t>
            </w:r>
          </w:p>
        </w:tc>
        <w:tc>
          <w:tcPr>
            <w:tcW w:w="4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22" w:right="0"/>
              <w:jc w:val="left"/>
              <w:rPr>
                <w:rFonts w:ascii="Times New Roman" w:hAnsi="Times New Roman" w:cs="Times New Roman" w:eastAsia="Times New Roman" w:hint="default"/>
                <w:sz w:val="18"/>
                <w:szCs w:val="18"/>
              </w:rPr>
            </w:pPr>
            <w:r>
              <w:rPr>
                <w:rFonts w:ascii="Times New Roman"/>
                <w:sz w:val="18"/>
              </w:rPr>
              <w:t>2017</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pacing w:val="-9"/>
                <w:sz w:val="18"/>
                <w:szCs w:val="18"/>
              </w:rPr>
              <w:t>刊登于《证券时</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560"/>
        <w:gridCol w:w="1072"/>
        <w:gridCol w:w="905"/>
        <w:gridCol w:w="486"/>
        <w:gridCol w:w="766"/>
        <w:gridCol w:w="596"/>
        <w:gridCol w:w="504"/>
        <w:gridCol w:w="493"/>
        <w:gridCol w:w="269"/>
        <w:gridCol w:w="736"/>
        <w:gridCol w:w="290"/>
        <w:gridCol w:w="900"/>
        <w:gridCol w:w="346"/>
        <w:gridCol w:w="485"/>
        <w:gridCol w:w="1260"/>
      </w:tblGrid>
      <w:tr>
        <w:trPr>
          <w:trHeight w:val="2235" w:hRule="exact"/>
        </w:trPr>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65"/>
              <w:jc w:val="both"/>
              <w:rPr>
                <w:rFonts w:ascii="宋体" w:hAnsi="宋体" w:cs="宋体" w:eastAsia="宋体" w:hint="default"/>
                <w:sz w:val="18"/>
                <w:szCs w:val="18"/>
              </w:rPr>
            </w:pPr>
            <w:r>
              <w:rPr>
                <w:rFonts w:ascii="宋体" w:hAnsi="宋体" w:cs="宋体" w:eastAsia="宋体" w:hint="default"/>
                <w:sz w:val="18"/>
                <w:szCs w:val="18"/>
              </w:rPr>
              <w:t>香港 国际 烟草 集团 有限 公司</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南、张家振</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10"/>
              <w:ind w:left="22" w:right="136"/>
              <w:jc w:val="both"/>
              <w:rPr>
                <w:rFonts w:ascii="宋体" w:hAnsi="宋体" w:cs="宋体" w:eastAsia="宋体" w:hint="default"/>
                <w:sz w:val="18"/>
                <w:szCs w:val="18"/>
              </w:rPr>
            </w:pPr>
            <w:r>
              <w:rPr>
                <w:rFonts w:ascii="宋体" w:hAnsi="宋体" w:cs="宋体" w:eastAsia="宋体" w:hint="default"/>
                <w:sz w:val="18"/>
                <w:szCs w:val="18"/>
              </w:rPr>
              <w:t>实业有限 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股权</w:t>
            </w:r>
          </w:p>
        </w:tc>
        <w:tc>
          <w:tcPr>
            <w:tcW w:w="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66" w:type="dxa"/>
            <w:tcBorders>
              <w:top w:val="single" w:sz="4" w:space="0" w:color="000000"/>
              <w:left w:val="single" w:sz="4" w:space="0" w:color="000000"/>
              <w:bottom w:val="single" w:sz="4" w:space="0" w:color="000000"/>
              <w:right w:val="single" w:sz="4" w:space="0" w:color="000000"/>
            </w:tcBorders>
          </w:tcPr>
          <w:p>
            <w:pPr/>
          </w:p>
        </w:tc>
        <w:tc>
          <w:tcPr>
            <w:tcW w:w="596" w:type="dxa"/>
            <w:tcBorders>
              <w:top w:val="single" w:sz="4" w:space="0" w:color="000000"/>
              <w:left w:val="single" w:sz="4" w:space="0" w:color="000000"/>
              <w:bottom w:val="single" w:sz="4" w:space="0" w:color="000000"/>
              <w:right w:val="single" w:sz="4" w:space="0" w:color="000000"/>
            </w:tcBorders>
          </w:tcPr>
          <w:p>
            <w:pPr/>
          </w:p>
        </w:tc>
        <w:tc>
          <w:tcPr>
            <w:tcW w:w="504"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26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54"/>
              <w:jc w:val="both"/>
              <w:rPr>
                <w:rFonts w:ascii="宋体" w:hAnsi="宋体" w:cs="宋体" w:eastAsia="宋体" w:hint="default"/>
                <w:sz w:val="18"/>
                <w:szCs w:val="18"/>
              </w:rPr>
            </w:pPr>
            <w:r>
              <w:rPr>
                <w:rFonts w:ascii="宋体" w:hAnsi="宋体" w:cs="宋体" w:eastAsia="宋体" w:hint="default"/>
                <w:sz w:val="18"/>
                <w:szCs w:val="18"/>
              </w:rPr>
              <w:t>方 协 商</w:t>
            </w:r>
          </w:p>
        </w:tc>
        <w:tc>
          <w:tcPr>
            <w:tcW w:w="736" w:type="dxa"/>
            <w:tcBorders>
              <w:top w:val="single" w:sz="4" w:space="0" w:color="000000"/>
              <w:left w:val="single" w:sz="4" w:space="0" w:color="000000"/>
              <w:bottom w:val="single" w:sz="4" w:space="0" w:color="000000"/>
              <w:right w:val="single" w:sz="4" w:space="0" w:color="000000"/>
            </w:tcBorders>
          </w:tcPr>
          <w:p>
            <w:pPr/>
          </w:p>
        </w:tc>
        <w:tc>
          <w:tcPr>
            <w:tcW w:w="29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34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31"/>
              <w:jc w:val="both"/>
              <w:rPr>
                <w:rFonts w:ascii="宋体" w:hAnsi="宋体" w:cs="宋体" w:eastAsia="宋体" w:hint="default"/>
                <w:sz w:val="18"/>
                <w:szCs w:val="18"/>
              </w:rPr>
            </w:pPr>
            <w:r>
              <w:rPr>
                <w:rFonts w:ascii="宋体" w:hAnsi="宋体" w:cs="宋体" w:eastAsia="宋体" w:hint="default"/>
                <w:sz w:val="18"/>
                <w:szCs w:val="18"/>
              </w:rPr>
              <w:t>行 完 毕</w:t>
            </w:r>
          </w:p>
        </w:tc>
        <w:tc>
          <w:tcPr>
            <w:tcW w:w="4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21"/>
              <w:jc w:val="left"/>
              <w:rPr>
                <w:rFonts w:ascii="宋体" w:hAnsi="宋体" w:cs="宋体" w:eastAsia="宋体" w:hint="default"/>
                <w:sz w:val="18"/>
                <w:szCs w:val="18"/>
              </w:rPr>
            </w:pPr>
            <w:r>
              <w:rPr>
                <w:rFonts w:ascii="宋体" w:hAnsi="宋体" w:cs="宋体" w:eastAsia="宋体" w:hint="default"/>
                <w:spacing w:val="-30"/>
                <w:sz w:val="18"/>
                <w:szCs w:val="18"/>
              </w:rPr>
              <w:t>报》、《中国证券</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30"/>
                <w:sz w:val="18"/>
                <w:szCs w:val="18"/>
              </w:rPr>
              <w:t>报》、《上海证券</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26"/>
                <w:sz w:val="18"/>
                <w:szCs w:val="18"/>
              </w:rPr>
              <w:t>报》、《证券日</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9"/>
                <w:sz w:val="18"/>
                <w:szCs w:val="18"/>
              </w:rPr>
              <w:t>报》以及巨潮资</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9"/>
                <w:sz w:val="18"/>
                <w:szCs w:val="18"/>
              </w:rPr>
              <w:t>讯网的《关于签</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订股权收购协 议的公告》</w:t>
            </w:r>
          </w:p>
        </w:tc>
      </w:tr>
      <w:tr>
        <w:trPr>
          <w:trHeight w:val="2274" w:hRule="exact"/>
        </w:trPr>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中丰 田光 电科 </w:t>
            </w:r>
            <w:r>
              <w:rPr>
                <w:rFonts w:ascii="宋体" w:hAnsi="宋体" w:cs="宋体" w:eastAsia="宋体" w:hint="default"/>
                <w:spacing w:val="-13"/>
                <w:sz w:val="18"/>
                <w:szCs w:val="18"/>
              </w:rPr>
              <w:t>技（珠</w:t>
            </w:r>
            <w:r>
              <w:rPr>
                <w:rFonts w:ascii="宋体" w:hAnsi="宋体" w:cs="宋体" w:eastAsia="宋体" w:hint="default"/>
                <w:sz w:val="18"/>
                <w:szCs w:val="18"/>
              </w:rPr>
              <w:t> </w:t>
            </w:r>
            <w:r>
              <w:rPr>
                <w:rFonts w:ascii="宋体" w:hAnsi="宋体" w:cs="宋体" w:eastAsia="宋体" w:hint="default"/>
                <w:spacing w:val="-13"/>
                <w:sz w:val="18"/>
                <w:szCs w:val="18"/>
              </w:rPr>
              <w:t>海）有</w:t>
            </w:r>
            <w:r>
              <w:rPr>
                <w:rFonts w:ascii="宋体" w:hAnsi="宋体" w:cs="宋体" w:eastAsia="宋体" w:hint="default"/>
                <w:sz w:val="18"/>
                <w:szCs w:val="18"/>
              </w:rPr>
              <w:t> 限公 司</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6" w:lineRule="auto"/>
              <w:ind w:left="22" w:right="137"/>
              <w:jc w:val="both"/>
              <w:rPr>
                <w:rFonts w:ascii="宋体" w:hAnsi="宋体" w:cs="宋体" w:eastAsia="宋体" w:hint="default"/>
                <w:sz w:val="18"/>
                <w:szCs w:val="18"/>
              </w:rPr>
            </w:pPr>
            <w:r>
              <w:rPr>
                <w:rFonts w:ascii="宋体" w:hAnsi="宋体" w:cs="宋体" w:eastAsia="宋体" w:hint="default"/>
                <w:sz w:val="18"/>
                <w:szCs w:val="18"/>
              </w:rPr>
              <w:t>河南省建筑 安装工程有 限公司</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50"/>
              <w:jc w:val="left"/>
              <w:rPr>
                <w:rFonts w:ascii="宋体" w:hAnsi="宋体" w:cs="宋体" w:eastAsia="宋体" w:hint="default"/>
                <w:sz w:val="18"/>
                <w:szCs w:val="18"/>
              </w:rPr>
            </w:pPr>
            <w:r>
              <w:rPr>
                <w:rFonts w:ascii="宋体" w:hAnsi="宋体" w:cs="宋体" w:eastAsia="宋体" w:hint="default"/>
                <w:sz w:val="18"/>
                <w:szCs w:val="18"/>
              </w:rPr>
              <w:t>中丰田工 业园 </w:t>
            </w:r>
            <w:r>
              <w:rPr>
                <w:rFonts w:ascii="Times New Roman" w:hAnsi="Times New Roman" w:cs="Times New Roman" w:eastAsia="Times New Roman" w:hint="default"/>
                <w:sz w:val="18"/>
                <w:szCs w:val="18"/>
              </w:rPr>
              <w:t>1#2#3#</w:t>
            </w:r>
            <w:r>
              <w:rPr>
                <w:rFonts w:ascii="宋体" w:hAnsi="宋体" w:cs="宋体" w:eastAsia="宋体" w:hint="default"/>
                <w:sz w:val="18"/>
                <w:szCs w:val="18"/>
              </w:rPr>
              <w:t>厂</w:t>
            </w:r>
          </w:p>
          <w:p>
            <w:pPr>
              <w:pStyle w:val="TableParagraph"/>
              <w:spacing w:line="319" w:lineRule="auto"/>
              <w:ind w:left="22" w:right="20"/>
              <w:jc w:val="left"/>
              <w:rPr>
                <w:rFonts w:ascii="宋体" w:hAnsi="宋体" w:cs="宋体" w:eastAsia="宋体" w:hint="default"/>
                <w:sz w:val="18"/>
                <w:szCs w:val="18"/>
              </w:rPr>
            </w:pPr>
            <w:r>
              <w:rPr>
                <w:rFonts w:ascii="宋体" w:hAnsi="宋体" w:cs="宋体" w:eastAsia="宋体" w:hint="default"/>
                <w:spacing w:val="-11"/>
                <w:sz w:val="18"/>
                <w:szCs w:val="18"/>
              </w:rPr>
              <w:t>房拆建（改</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扩）工程</w:t>
            </w:r>
          </w:p>
        </w:tc>
        <w:tc>
          <w:tcPr>
            <w:tcW w:w="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3"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4"/>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66" w:type="dxa"/>
            <w:tcBorders>
              <w:top w:val="single" w:sz="4" w:space="0" w:color="000000"/>
              <w:left w:val="single" w:sz="4" w:space="0" w:color="000000"/>
              <w:bottom w:val="single" w:sz="4" w:space="0" w:color="000000"/>
              <w:right w:val="single" w:sz="4" w:space="0" w:color="000000"/>
            </w:tcBorders>
          </w:tcPr>
          <w:p>
            <w:pPr/>
          </w:p>
        </w:tc>
        <w:tc>
          <w:tcPr>
            <w:tcW w:w="596" w:type="dxa"/>
            <w:tcBorders>
              <w:top w:val="single" w:sz="4" w:space="0" w:color="000000"/>
              <w:left w:val="single" w:sz="4" w:space="0" w:color="000000"/>
              <w:bottom w:val="single" w:sz="4" w:space="0" w:color="000000"/>
              <w:right w:val="single" w:sz="4" w:space="0" w:color="000000"/>
            </w:tcBorders>
          </w:tcPr>
          <w:p>
            <w:pPr/>
          </w:p>
        </w:tc>
        <w:tc>
          <w:tcPr>
            <w:tcW w:w="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493" w:type="dxa"/>
            <w:tcBorders>
              <w:top w:val="single" w:sz="4" w:space="0" w:color="000000"/>
              <w:left w:val="single" w:sz="4" w:space="0" w:color="000000"/>
              <w:bottom w:val="single" w:sz="4" w:space="0" w:color="000000"/>
              <w:right w:val="single" w:sz="4" w:space="0" w:color="000000"/>
            </w:tcBorders>
          </w:tcPr>
          <w:p>
            <w:pPr/>
          </w:p>
        </w:tc>
        <w:tc>
          <w:tcPr>
            <w:tcW w:w="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2" w:right="54"/>
              <w:jc w:val="both"/>
              <w:rPr>
                <w:rFonts w:ascii="宋体" w:hAnsi="宋体" w:cs="宋体" w:eastAsia="宋体" w:hint="default"/>
                <w:sz w:val="18"/>
                <w:szCs w:val="18"/>
              </w:rPr>
            </w:pPr>
            <w:r>
              <w:rPr>
                <w:rFonts w:ascii="宋体" w:hAnsi="宋体" w:cs="宋体" w:eastAsia="宋体" w:hint="default"/>
                <w:sz w:val="18"/>
                <w:szCs w:val="18"/>
              </w:rPr>
              <w:t>双 方 协 商</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5,150</w:t>
            </w:r>
          </w:p>
        </w:tc>
        <w:tc>
          <w:tcPr>
            <w:tcW w:w="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31"/>
              <w:jc w:val="both"/>
              <w:rPr>
                <w:rFonts w:ascii="宋体" w:hAnsi="宋体" w:cs="宋体" w:eastAsia="宋体" w:hint="default"/>
                <w:sz w:val="18"/>
                <w:szCs w:val="18"/>
              </w:rPr>
            </w:pPr>
            <w:r>
              <w:rPr>
                <w:rFonts w:ascii="宋体" w:hAnsi="宋体" w:cs="宋体" w:eastAsia="宋体" w:hint="default"/>
                <w:sz w:val="18"/>
                <w:szCs w:val="18"/>
              </w:rPr>
              <w:t>正 在 履 行 中</w:t>
            </w:r>
          </w:p>
        </w:tc>
        <w:tc>
          <w:tcPr>
            <w:tcW w:w="485"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r>
      <w:tr>
        <w:trPr>
          <w:trHeight w:val="3210" w:hRule="exact"/>
        </w:trPr>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6" w:lineRule="auto"/>
              <w:ind w:left="22" w:right="165"/>
              <w:jc w:val="both"/>
              <w:rPr>
                <w:rFonts w:ascii="宋体" w:hAnsi="宋体" w:cs="宋体" w:eastAsia="宋体" w:hint="default"/>
                <w:sz w:val="18"/>
                <w:szCs w:val="18"/>
              </w:rPr>
            </w:pPr>
            <w:r>
              <w:rPr>
                <w:rFonts w:ascii="宋体" w:hAnsi="宋体" w:cs="宋体" w:eastAsia="宋体" w:hint="default"/>
                <w:sz w:val="18"/>
                <w:szCs w:val="18"/>
              </w:rPr>
              <w:t>深圳 劲嘉 集团 股份 有限 公司</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362" w:lineRule="auto"/>
              <w:ind w:left="22" w:right="248"/>
              <w:jc w:val="left"/>
              <w:rPr>
                <w:rFonts w:ascii="Times New Roman" w:hAnsi="Times New Roman" w:cs="Times New Roman" w:eastAsia="Times New Roman" w:hint="default"/>
                <w:sz w:val="18"/>
                <w:szCs w:val="18"/>
              </w:rPr>
            </w:pPr>
            <w:r>
              <w:rPr>
                <w:rFonts w:ascii="Times New Roman"/>
                <w:spacing w:val="-6"/>
                <w:sz w:val="18"/>
              </w:rPr>
              <w:t>WANG</w:t>
            </w:r>
            <w:r>
              <w:rPr>
                <w:rFonts w:ascii="Times New Roman"/>
                <w:w w:val="99"/>
                <w:sz w:val="18"/>
              </w:rPr>
              <w:t> </w:t>
            </w:r>
            <w:r>
              <w:rPr>
                <w:rFonts w:ascii="Times New Roman"/>
                <w:sz w:val="18"/>
              </w:rPr>
              <w:t>WEIXING</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4" w:lineRule="auto"/>
              <w:ind w:left="22" w:right="136"/>
              <w:jc w:val="both"/>
              <w:rPr>
                <w:rFonts w:ascii="宋体" w:hAnsi="宋体" w:cs="宋体" w:eastAsia="宋体" w:hint="default"/>
                <w:sz w:val="18"/>
                <w:szCs w:val="18"/>
              </w:rPr>
            </w:pPr>
            <w:r>
              <w:rPr>
                <w:rFonts w:ascii="宋体" w:hAnsi="宋体" w:cs="宋体" w:eastAsia="宋体" w:hint="default"/>
                <w:sz w:val="18"/>
                <w:szCs w:val="18"/>
              </w:rPr>
              <w:t>深圳劲嘉 健康产业 管理有限 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49% </w:t>
            </w:r>
            <w:r>
              <w:rPr>
                <w:rFonts w:ascii="宋体" w:hAnsi="宋体" w:cs="宋体" w:eastAsia="宋体" w:hint="default"/>
                <w:sz w:val="18"/>
                <w:szCs w:val="18"/>
              </w:rPr>
              <w:t>股权</w:t>
            </w:r>
          </w:p>
        </w:tc>
        <w:tc>
          <w:tcPr>
            <w:tcW w:w="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4"/>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66" w:type="dxa"/>
            <w:tcBorders>
              <w:top w:val="single" w:sz="4" w:space="0" w:color="000000"/>
              <w:left w:val="single" w:sz="4" w:space="0" w:color="000000"/>
              <w:bottom w:val="single" w:sz="4" w:space="0" w:color="000000"/>
              <w:right w:val="single" w:sz="4" w:space="0" w:color="000000"/>
            </w:tcBorders>
          </w:tcPr>
          <w:p>
            <w:pPr/>
          </w:p>
        </w:tc>
        <w:tc>
          <w:tcPr>
            <w:tcW w:w="596" w:type="dxa"/>
            <w:tcBorders>
              <w:top w:val="single" w:sz="4" w:space="0" w:color="000000"/>
              <w:left w:val="single" w:sz="4" w:space="0" w:color="000000"/>
              <w:bottom w:val="single" w:sz="4" w:space="0" w:color="000000"/>
              <w:right w:val="single" w:sz="4" w:space="0" w:color="000000"/>
            </w:tcBorders>
          </w:tcPr>
          <w:p>
            <w:pPr/>
          </w:p>
        </w:tc>
        <w:tc>
          <w:tcPr>
            <w:tcW w:w="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493" w:type="dxa"/>
            <w:tcBorders>
              <w:top w:val="single" w:sz="4" w:space="0" w:color="000000"/>
              <w:left w:val="single" w:sz="4" w:space="0" w:color="000000"/>
              <w:bottom w:val="single" w:sz="4" w:space="0" w:color="000000"/>
              <w:right w:val="single" w:sz="4" w:space="0" w:color="000000"/>
            </w:tcBorders>
          </w:tcPr>
          <w:p>
            <w:pPr/>
          </w:p>
        </w:tc>
        <w:tc>
          <w:tcPr>
            <w:tcW w:w="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9"/>
              <w:ind w:left="22" w:right="54"/>
              <w:jc w:val="both"/>
              <w:rPr>
                <w:rFonts w:ascii="宋体" w:hAnsi="宋体" w:cs="宋体" w:eastAsia="宋体" w:hint="default"/>
                <w:sz w:val="18"/>
                <w:szCs w:val="18"/>
              </w:rPr>
            </w:pPr>
            <w:r>
              <w:rPr>
                <w:rFonts w:ascii="宋体" w:hAnsi="宋体" w:cs="宋体" w:eastAsia="宋体" w:hint="default"/>
                <w:sz w:val="18"/>
                <w:szCs w:val="18"/>
              </w:rPr>
              <w:t>双 方 协 商</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2"/>
                <w:szCs w:val="2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1,470</w:t>
            </w:r>
          </w:p>
        </w:tc>
        <w:tc>
          <w:tcPr>
            <w:tcW w:w="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9"/>
              <w:ind w:left="24" w:right="144"/>
              <w:jc w:val="both"/>
              <w:rPr>
                <w:rFonts w:ascii="宋体" w:hAnsi="宋体" w:cs="宋体" w:eastAsia="宋体" w:hint="default"/>
                <w:sz w:val="18"/>
                <w:szCs w:val="18"/>
              </w:rPr>
            </w:pPr>
            <w:r>
              <w:rPr>
                <w:rFonts w:ascii="宋体" w:hAnsi="宋体" w:cs="宋体" w:eastAsia="宋体" w:hint="default"/>
                <w:sz w:val="18"/>
                <w:szCs w:val="18"/>
              </w:rPr>
              <w:t>过去十二 个月内担 任公司副 总经理</w:t>
            </w:r>
          </w:p>
        </w:tc>
        <w:tc>
          <w:tcPr>
            <w:tcW w:w="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9"/>
              <w:ind w:left="22" w:right="131"/>
              <w:jc w:val="both"/>
              <w:rPr>
                <w:rFonts w:ascii="宋体" w:hAnsi="宋体" w:cs="宋体" w:eastAsia="宋体" w:hint="default"/>
                <w:sz w:val="18"/>
                <w:szCs w:val="18"/>
              </w:rPr>
            </w:pPr>
            <w:r>
              <w:rPr>
                <w:rFonts w:ascii="宋体" w:hAnsi="宋体" w:cs="宋体" w:eastAsia="宋体" w:hint="default"/>
                <w:sz w:val="18"/>
                <w:szCs w:val="18"/>
              </w:rPr>
              <w:t>履 行 完 毕</w:t>
            </w:r>
          </w:p>
        </w:tc>
        <w:tc>
          <w:tcPr>
            <w:tcW w:w="4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33"/>
              <w:jc w:val="left"/>
              <w:rPr>
                <w:rFonts w:ascii="宋体" w:hAnsi="宋体" w:cs="宋体" w:eastAsia="宋体" w:hint="default"/>
                <w:sz w:val="18"/>
                <w:szCs w:val="18"/>
              </w:rPr>
            </w:pPr>
            <w:r>
              <w:rPr>
                <w:rFonts w:ascii="宋体" w:hAnsi="宋体" w:cs="宋体" w:eastAsia="宋体" w:hint="default"/>
                <w:spacing w:val="-9"/>
                <w:sz w:val="18"/>
                <w:szCs w:val="18"/>
              </w:rPr>
              <w:t>刊登于《证券时</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30"/>
                <w:sz w:val="18"/>
                <w:szCs w:val="18"/>
              </w:rPr>
              <w:t>报》、《中国证券</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30"/>
                <w:sz w:val="18"/>
                <w:szCs w:val="18"/>
              </w:rPr>
              <w:t>报》、《上海证券</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26"/>
                <w:sz w:val="18"/>
                <w:szCs w:val="18"/>
              </w:rPr>
              <w:t>报》、《证券日</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9"/>
                <w:sz w:val="18"/>
                <w:szCs w:val="18"/>
              </w:rPr>
              <w:t>报》以及巨潮资</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9"/>
                <w:sz w:val="18"/>
                <w:szCs w:val="18"/>
              </w:rPr>
              <w:t>讯网的《关于收</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购控股子公司 股权暨投资设 立合资公司的 关联交易公告》</w:t>
            </w:r>
          </w:p>
        </w:tc>
      </w:tr>
      <w:tr>
        <w:trPr>
          <w:trHeight w:val="3834" w:hRule="exact"/>
        </w:trPr>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9"/>
              <w:ind w:left="22" w:right="165"/>
              <w:jc w:val="both"/>
              <w:rPr>
                <w:rFonts w:ascii="宋体" w:hAnsi="宋体" w:cs="宋体" w:eastAsia="宋体" w:hint="default"/>
                <w:sz w:val="18"/>
                <w:szCs w:val="18"/>
              </w:rPr>
            </w:pPr>
            <w:r>
              <w:rPr>
                <w:rFonts w:ascii="宋体" w:hAnsi="宋体" w:cs="宋体" w:eastAsia="宋体" w:hint="default"/>
                <w:sz w:val="18"/>
                <w:szCs w:val="18"/>
              </w:rPr>
              <w:t>深圳 劲嘉 集团 股份 有限 公司</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8"/>
              <w:ind w:left="22" w:right="20"/>
              <w:jc w:val="left"/>
              <w:rPr>
                <w:rFonts w:ascii="宋体" w:hAnsi="宋体" w:cs="宋体" w:eastAsia="宋体" w:hint="default"/>
                <w:sz w:val="18"/>
                <w:szCs w:val="18"/>
              </w:rPr>
            </w:pPr>
            <w:r>
              <w:rPr>
                <w:rFonts w:ascii="宋体" w:hAnsi="宋体" w:cs="宋体" w:eastAsia="宋体" w:hint="default"/>
                <w:sz w:val="18"/>
                <w:szCs w:val="18"/>
              </w:rPr>
              <w:t>贵州茅台酒 厂集团技术 </w:t>
            </w:r>
            <w:r>
              <w:rPr>
                <w:rFonts w:ascii="宋体" w:hAnsi="宋体" w:cs="宋体" w:eastAsia="宋体" w:hint="default"/>
                <w:spacing w:val="-11"/>
                <w:sz w:val="18"/>
                <w:szCs w:val="18"/>
              </w:rPr>
              <w:t>开发公司、上</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海仁彩印务 有限公司</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8"/>
              <w:ind w:left="22" w:right="150"/>
              <w:jc w:val="both"/>
              <w:rPr>
                <w:rFonts w:ascii="宋体" w:hAnsi="宋体" w:cs="宋体" w:eastAsia="宋体" w:hint="default"/>
                <w:sz w:val="18"/>
                <w:szCs w:val="18"/>
              </w:rPr>
            </w:pPr>
            <w:r>
              <w:rPr>
                <w:rFonts w:ascii="宋体" w:hAnsi="宋体" w:cs="宋体" w:eastAsia="宋体" w:hint="default"/>
                <w:sz w:val="18"/>
                <w:szCs w:val="18"/>
              </w:rPr>
              <w:t>贵州省仁 怀市申仁 包装有限 责任公司 增资扩股</w:t>
            </w:r>
          </w:p>
        </w:tc>
        <w:tc>
          <w:tcPr>
            <w:tcW w:w="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4"/>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66" w:type="dxa"/>
            <w:tcBorders>
              <w:top w:val="single" w:sz="4" w:space="0" w:color="000000"/>
              <w:left w:val="single" w:sz="4" w:space="0" w:color="000000"/>
              <w:bottom w:val="single" w:sz="4" w:space="0" w:color="000000"/>
              <w:right w:val="single" w:sz="4" w:space="0" w:color="000000"/>
            </w:tcBorders>
          </w:tcPr>
          <w:p>
            <w:pPr/>
          </w:p>
        </w:tc>
        <w:tc>
          <w:tcPr>
            <w:tcW w:w="596" w:type="dxa"/>
            <w:tcBorders>
              <w:top w:val="single" w:sz="4" w:space="0" w:color="000000"/>
              <w:left w:val="single" w:sz="4" w:space="0" w:color="000000"/>
              <w:bottom w:val="single" w:sz="4" w:space="0" w:color="000000"/>
              <w:right w:val="single" w:sz="4" w:space="0" w:color="000000"/>
            </w:tcBorders>
          </w:tcPr>
          <w:p>
            <w:pPr/>
          </w:p>
        </w:tc>
        <w:tc>
          <w:tcPr>
            <w:tcW w:w="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1"/>
              <w:ind w:left="2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493" w:type="dxa"/>
            <w:tcBorders>
              <w:top w:val="single" w:sz="4" w:space="0" w:color="000000"/>
              <w:left w:val="single" w:sz="4" w:space="0" w:color="000000"/>
              <w:bottom w:val="single" w:sz="4" w:space="0" w:color="000000"/>
              <w:right w:val="single" w:sz="4" w:space="0" w:color="000000"/>
            </w:tcBorders>
          </w:tcPr>
          <w:p>
            <w:pPr/>
          </w:p>
        </w:tc>
        <w:tc>
          <w:tcPr>
            <w:tcW w:w="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316" w:lineRule="auto"/>
              <w:ind w:left="22" w:right="54"/>
              <w:jc w:val="both"/>
              <w:rPr>
                <w:rFonts w:ascii="宋体" w:hAnsi="宋体" w:cs="宋体" w:eastAsia="宋体" w:hint="default"/>
                <w:sz w:val="18"/>
                <w:szCs w:val="18"/>
              </w:rPr>
            </w:pPr>
            <w:r>
              <w:rPr>
                <w:rFonts w:ascii="宋体" w:hAnsi="宋体" w:cs="宋体" w:eastAsia="宋体" w:hint="default"/>
                <w:sz w:val="18"/>
                <w:szCs w:val="18"/>
              </w:rPr>
              <w:t>双 方 协 商</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1"/>
              <w:ind w:right="19"/>
              <w:jc w:val="right"/>
              <w:rPr>
                <w:rFonts w:ascii="Times New Roman" w:hAnsi="Times New Roman" w:cs="Times New Roman" w:eastAsia="Times New Roman" w:hint="default"/>
                <w:sz w:val="18"/>
                <w:szCs w:val="18"/>
              </w:rPr>
            </w:pPr>
            <w:r>
              <w:rPr>
                <w:rFonts w:ascii="Times New Roman"/>
                <w:sz w:val="18"/>
              </w:rPr>
              <w:t>8,320</w:t>
            </w:r>
          </w:p>
        </w:tc>
        <w:tc>
          <w:tcPr>
            <w:tcW w:w="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1"/>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900" w:type="dxa"/>
            <w:tcBorders>
              <w:top w:val="single" w:sz="4" w:space="0" w:color="000000"/>
              <w:left w:val="single" w:sz="4" w:space="0" w:color="000000"/>
              <w:bottom w:val="single" w:sz="4" w:space="0" w:color="000000"/>
              <w:right w:val="single" w:sz="9" w:space="0" w:color="FFFFFF"/>
            </w:tcBorders>
          </w:tcPr>
          <w:p>
            <w:pPr>
              <w:pStyle w:val="TableParagraph"/>
              <w:spacing w:line="316" w:lineRule="auto" w:before="51"/>
              <w:ind w:left="24" w:right="-40"/>
              <w:jc w:val="left"/>
              <w:rPr>
                <w:rFonts w:ascii="宋体" w:hAnsi="宋体" w:cs="宋体" w:eastAsia="宋体" w:hint="default"/>
                <w:sz w:val="18"/>
                <w:szCs w:val="18"/>
              </w:rPr>
            </w:pPr>
            <w:r>
              <w:rPr>
                <w:rFonts w:ascii="宋体" w:hAnsi="宋体" w:cs="宋体" w:eastAsia="宋体" w:hint="default"/>
                <w:sz w:val="18"/>
                <w:szCs w:val="18"/>
              </w:rPr>
              <w:t>公司董事 长乔鲁予 先生及副 总经理黄 华先生在 申仁包装 担任董事， 公司副总 经理黄华 在上海仁 彩担任董</w:t>
            </w:r>
          </w:p>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事</w:t>
            </w:r>
          </w:p>
        </w:tc>
        <w:tc>
          <w:tcPr>
            <w:tcW w:w="346" w:type="dxa"/>
            <w:tcBorders>
              <w:top w:val="single" w:sz="4" w:space="0" w:color="000000"/>
              <w:left w:val="single" w:sz="9" w:space="0" w:color="FFFFFF"/>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316" w:lineRule="auto"/>
              <w:ind w:left="16" w:right="131"/>
              <w:jc w:val="both"/>
              <w:rPr>
                <w:rFonts w:ascii="宋体" w:hAnsi="宋体" w:cs="宋体" w:eastAsia="宋体" w:hint="default"/>
                <w:sz w:val="18"/>
                <w:szCs w:val="18"/>
              </w:rPr>
            </w:pPr>
            <w:r>
              <w:rPr>
                <w:rFonts w:ascii="宋体" w:hAnsi="宋体" w:cs="宋体" w:eastAsia="宋体" w:hint="default"/>
                <w:sz w:val="18"/>
                <w:szCs w:val="18"/>
              </w:rPr>
              <w:t>履 行 完 毕</w:t>
            </w:r>
          </w:p>
        </w:tc>
        <w:tc>
          <w:tcPr>
            <w:tcW w:w="4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2" w:right="21"/>
              <w:jc w:val="left"/>
              <w:rPr>
                <w:rFonts w:ascii="宋体" w:hAnsi="宋体" w:cs="宋体" w:eastAsia="宋体" w:hint="default"/>
                <w:sz w:val="18"/>
                <w:szCs w:val="18"/>
              </w:rPr>
            </w:pPr>
            <w:r>
              <w:rPr>
                <w:rFonts w:ascii="宋体" w:hAnsi="宋体" w:cs="宋体" w:eastAsia="宋体" w:hint="default"/>
                <w:spacing w:val="-9"/>
                <w:sz w:val="18"/>
                <w:szCs w:val="18"/>
              </w:rPr>
              <w:t>刊登于《证券时</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30"/>
                <w:sz w:val="18"/>
                <w:szCs w:val="18"/>
              </w:rPr>
              <w:t>报》、《中国证券</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30"/>
                <w:sz w:val="18"/>
                <w:szCs w:val="18"/>
              </w:rPr>
              <w:t>报》、《上海证券</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26"/>
                <w:sz w:val="18"/>
                <w:szCs w:val="18"/>
              </w:rPr>
              <w:t>报》、《证券日</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9"/>
                <w:sz w:val="18"/>
                <w:szCs w:val="18"/>
              </w:rPr>
              <w:t>报》以及巨潮资</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9"/>
                <w:sz w:val="18"/>
                <w:szCs w:val="18"/>
              </w:rPr>
              <w:t>讯网的《关于向</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参股子公司增 资暨关联交易 的公告》</w:t>
            </w:r>
          </w:p>
        </w:tc>
      </w:tr>
      <w:tr>
        <w:trPr>
          <w:trHeight w:val="1962" w:hRule="exact"/>
        </w:trPr>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65"/>
              <w:jc w:val="both"/>
              <w:rPr>
                <w:rFonts w:ascii="宋体" w:hAnsi="宋体" w:cs="宋体" w:eastAsia="宋体" w:hint="default"/>
                <w:sz w:val="18"/>
                <w:szCs w:val="18"/>
              </w:rPr>
            </w:pPr>
            <w:r>
              <w:rPr>
                <w:rFonts w:ascii="宋体" w:hAnsi="宋体" w:cs="宋体" w:eastAsia="宋体" w:hint="default"/>
                <w:sz w:val="18"/>
                <w:szCs w:val="18"/>
              </w:rPr>
              <w:t>深圳 劲嘉 集团 股份 有限 公司</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9" w:lineRule="auto"/>
              <w:ind w:left="22" w:right="137"/>
              <w:jc w:val="left"/>
              <w:rPr>
                <w:rFonts w:ascii="宋体" w:hAnsi="宋体" w:cs="宋体" w:eastAsia="宋体" w:hint="default"/>
                <w:sz w:val="18"/>
                <w:szCs w:val="18"/>
              </w:rPr>
            </w:pPr>
            <w:r>
              <w:rPr>
                <w:rFonts w:ascii="宋体" w:hAnsi="宋体" w:cs="宋体" w:eastAsia="宋体" w:hint="default"/>
                <w:sz w:val="18"/>
                <w:szCs w:val="18"/>
              </w:rPr>
              <w:t>海德堡中国 有限公司</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22" w:right="150"/>
              <w:jc w:val="both"/>
              <w:rPr>
                <w:rFonts w:ascii="宋体" w:hAnsi="宋体" w:cs="宋体" w:eastAsia="宋体" w:hint="default"/>
                <w:sz w:val="18"/>
                <w:szCs w:val="18"/>
              </w:rPr>
            </w:pPr>
            <w:r>
              <w:rPr>
                <w:rFonts w:ascii="宋体" w:hAnsi="宋体" w:cs="宋体" w:eastAsia="宋体" w:hint="default"/>
                <w:sz w:val="18"/>
                <w:szCs w:val="18"/>
              </w:rPr>
              <w:t>海德堡速 霸八色平 张纸胶印 机</w:t>
            </w:r>
          </w:p>
        </w:tc>
        <w:tc>
          <w:tcPr>
            <w:tcW w:w="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4"/>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66" w:type="dxa"/>
            <w:tcBorders>
              <w:top w:val="single" w:sz="4" w:space="0" w:color="000000"/>
              <w:left w:val="single" w:sz="4" w:space="0" w:color="000000"/>
              <w:bottom w:val="single" w:sz="4" w:space="0" w:color="000000"/>
              <w:right w:val="single" w:sz="4" w:space="0" w:color="000000"/>
            </w:tcBorders>
          </w:tcPr>
          <w:p>
            <w:pPr/>
          </w:p>
        </w:tc>
        <w:tc>
          <w:tcPr>
            <w:tcW w:w="596" w:type="dxa"/>
            <w:tcBorders>
              <w:top w:val="single" w:sz="4" w:space="0" w:color="000000"/>
              <w:left w:val="single" w:sz="4" w:space="0" w:color="000000"/>
              <w:bottom w:val="single" w:sz="4" w:space="0" w:color="000000"/>
              <w:right w:val="single" w:sz="4" w:space="0" w:color="000000"/>
            </w:tcBorders>
          </w:tcPr>
          <w:p>
            <w:pPr/>
          </w:p>
        </w:tc>
        <w:tc>
          <w:tcPr>
            <w:tcW w:w="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493" w:type="dxa"/>
            <w:tcBorders>
              <w:top w:val="single" w:sz="4" w:space="0" w:color="000000"/>
              <w:left w:val="single" w:sz="4" w:space="0" w:color="000000"/>
              <w:bottom w:val="single" w:sz="4" w:space="0" w:color="000000"/>
              <w:right w:val="single" w:sz="4" w:space="0" w:color="000000"/>
            </w:tcBorders>
          </w:tcPr>
          <w:p>
            <w:pPr/>
          </w:p>
        </w:tc>
        <w:tc>
          <w:tcPr>
            <w:tcW w:w="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22" w:right="54"/>
              <w:jc w:val="both"/>
              <w:rPr>
                <w:rFonts w:ascii="宋体" w:hAnsi="宋体" w:cs="宋体" w:eastAsia="宋体" w:hint="default"/>
                <w:sz w:val="18"/>
                <w:szCs w:val="18"/>
              </w:rPr>
            </w:pPr>
            <w:r>
              <w:rPr>
                <w:rFonts w:ascii="宋体" w:hAnsi="宋体" w:cs="宋体" w:eastAsia="宋体" w:hint="default"/>
                <w:sz w:val="18"/>
                <w:szCs w:val="18"/>
              </w:rPr>
              <w:t>双 方 协 商</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1,998.78</w:t>
            </w:r>
          </w:p>
        </w:tc>
        <w:tc>
          <w:tcPr>
            <w:tcW w:w="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22" w:right="131"/>
              <w:jc w:val="both"/>
              <w:rPr>
                <w:rFonts w:ascii="宋体" w:hAnsi="宋体" w:cs="宋体" w:eastAsia="宋体" w:hint="default"/>
                <w:sz w:val="18"/>
                <w:szCs w:val="18"/>
              </w:rPr>
            </w:pPr>
            <w:r>
              <w:rPr>
                <w:rFonts w:ascii="宋体" w:hAnsi="宋体" w:cs="宋体" w:eastAsia="宋体" w:hint="default"/>
                <w:sz w:val="18"/>
                <w:szCs w:val="18"/>
              </w:rPr>
              <w:t>履 行 完 毕</w:t>
            </w:r>
          </w:p>
        </w:tc>
        <w:tc>
          <w:tcPr>
            <w:tcW w:w="485"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贵州</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贵州宏瑞达</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贵州劲嘉</w:t>
            </w:r>
          </w:p>
        </w:tc>
        <w:tc>
          <w:tcPr>
            <w:tcW w:w="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23" w:right="0"/>
              <w:jc w:val="left"/>
              <w:rPr>
                <w:rFonts w:ascii="Times New Roman" w:hAnsi="Times New Roman" w:cs="Times New Roman" w:eastAsia="Times New Roman" w:hint="default"/>
                <w:sz w:val="18"/>
                <w:szCs w:val="18"/>
              </w:rPr>
            </w:pPr>
            <w:r>
              <w:rPr>
                <w:rFonts w:ascii="Times New Roman"/>
                <w:sz w:val="18"/>
              </w:rPr>
              <w:t>2018</w:t>
            </w:r>
          </w:p>
        </w:tc>
        <w:tc>
          <w:tcPr>
            <w:tcW w:w="766" w:type="dxa"/>
            <w:tcBorders>
              <w:top w:val="single" w:sz="4" w:space="0" w:color="000000"/>
              <w:left w:val="single" w:sz="4" w:space="0" w:color="000000"/>
              <w:bottom w:val="single" w:sz="4" w:space="0" w:color="000000"/>
              <w:right w:val="single" w:sz="4" w:space="0" w:color="000000"/>
            </w:tcBorders>
          </w:tcPr>
          <w:p>
            <w:pPr/>
          </w:p>
        </w:tc>
        <w:tc>
          <w:tcPr>
            <w:tcW w:w="596" w:type="dxa"/>
            <w:tcBorders>
              <w:top w:val="single" w:sz="4" w:space="0" w:color="000000"/>
              <w:left w:val="single" w:sz="4" w:space="0" w:color="000000"/>
              <w:bottom w:val="single" w:sz="4" w:space="0" w:color="000000"/>
              <w:right w:val="single" w:sz="4" w:space="0" w:color="000000"/>
            </w:tcBorders>
          </w:tcPr>
          <w:p>
            <w:pPr/>
          </w:p>
        </w:tc>
        <w:tc>
          <w:tcPr>
            <w:tcW w:w="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493" w:type="dxa"/>
            <w:tcBorders>
              <w:top w:val="single" w:sz="4" w:space="0" w:color="000000"/>
              <w:left w:val="single" w:sz="4" w:space="0" w:color="000000"/>
              <w:bottom w:val="single" w:sz="4" w:space="0" w:color="000000"/>
              <w:right w:val="single" w:sz="4" w:space="0" w:color="000000"/>
            </w:tcBorders>
          </w:tcPr>
          <w:p>
            <w:pPr/>
          </w:p>
        </w:tc>
        <w:tc>
          <w:tcPr>
            <w:tcW w:w="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双</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2,350</w:t>
            </w:r>
          </w:p>
        </w:tc>
        <w:tc>
          <w:tcPr>
            <w:tcW w:w="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正</w:t>
            </w:r>
          </w:p>
        </w:tc>
        <w:tc>
          <w:tcPr>
            <w:tcW w:w="485"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560"/>
        <w:gridCol w:w="1072"/>
        <w:gridCol w:w="905"/>
        <w:gridCol w:w="486"/>
        <w:gridCol w:w="766"/>
        <w:gridCol w:w="596"/>
        <w:gridCol w:w="504"/>
        <w:gridCol w:w="493"/>
        <w:gridCol w:w="269"/>
        <w:gridCol w:w="736"/>
        <w:gridCol w:w="290"/>
        <w:gridCol w:w="900"/>
        <w:gridCol w:w="346"/>
        <w:gridCol w:w="485"/>
        <w:gridCol w:w="1260"/>
      </w:tblGrid>
      <w:tr>
        <w:trPr>
          <w:trHeight w:val="1923" w:hRule="exact"/>
        </w:trPr>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65"/>
              <w:jc w:val="both"/>
              <w:rPr>
                <w:rFonts w:ascii="宋体" w:hAnsi="宋体" w:cs="宋体" w:eastAsia="宋体" w:hint="default"/>
                <w:sz w:val="18"/>
                <w:szCs w:val="18"/>
              </w:rPr>
            </w:pPr>
            <w:r>
              <w:rPr>
                <w:rFonts w:ascii="宋体" w:hAnsi="宋体" w:cs="宋体" w:eastAsia="宋体" w:hint="default"/>
                <w:sz w:val="18"/>
                <w:szCs w:val="18"/>
              </w:rPr>
              <w:t>劲嘉 新型 包装 材料 有限 公司</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37"/>
              <w:jc w:val="left"/>
              <w:rPr>
                <w:rFonts w:ascii="宋体" w:hAnsi="宋体" w:cs="宋体" w:eastAsia="宋体" w:hint="default"/>
                <w:sz w:val="18"/>
                <w:szCs w:val="18"/>
              </w:rPr>
            </w:pPr>
            <w:r>
              <w:rPr>
                <w:rFonts w:ascii="宋体" w:hAnsi="宋体" w:cs="宋体" w:eastAsia="宋体" w:hint="default"/>
                <w:sz w:val="18"/>
                <w:szCs w:val="18"/>
              </w:rPr>
              <w:t>建筑工程有 限公司</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10"/>
              <w:ind w:left="22" w:right="107"/>
              <w:jc w:val="both"/>
              <w:rPr>
                <w:rFonts w:ascii="宋体" w:hAnsi="宋体" w:cs="宋体" w:eastAsia="宋体" w:hint="default"/>
                <w:sz w:val="18"/>
                <w:szCs w:val="18"/>
              </w:rPr>
            </w:pPr>
            <w:r>
              <w:rPr>
                <w:rFonts w:ascii="宋体" w:hAnsi="宋体" w:cs="宋体" w:eastAsia="宋体" w:hint="default"/>
                <w:sz w:val="18"/>
                <w:szCs w:val="18"/>
              </w:rPr>
              <w:t>工业园</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厂房扩建 工程</w:t>
            </w:r>
          </w:p>
        </w:tc>
        <w:tc>
          <w:tcPr>
            <w:tcW w:w="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66" w:type="dxa"/>
            <w:tcBorders>
              <w:top w:val="single" w:sz="4" w:space="0" w:color="000000"/>
              <w:left w:val="single" w:sz="4" w:space="0" w:color="000000"/>
              <w:bottom w:val="single" w:sz="4" w:space="0" w:color="000000"/>
              <w:right w:val="single" w:sz="4" w:space="0" w:color="000000"/>
            </w:tcBorders>
          </w:tcPr>
          <w:p>
            <w:pPr/>
          </w:p>
        </w:tc>
        <w:tc>
          <w:tcPr>
            <w:tcW w:w="596" w:type="dxa"/>
            <w:tcBorders>
              <w:top w:val="single" w:sz="4" w:space="0" w:color="000000"/>
              <w:left w:val="single" w:sz="4" w:space="0" w:color="000000"/>
              <w:bottom w:val="single" w:sz="4" w:space="0" w:color="000000"/>
              <w:right w:val="single" w:sz="4" w:space="0" w:color="000000"/>
            </w:tcBorders>
          </w:tcPr>
          <w:p>
            <w:pPr/>
          </w:p>
        </w:tc>
        <w:tc>
          <w:tcPr>
            <w:tcW w:w="504"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26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54"/>
              <w:jc w:val="both"/>
              <w:rPr>
                <w:rFonts w:ascii="宋体" w:hAnsi="宋体" w:cs="宋体" w:eastAsia="宋体" w:hint="default"/>
                <w:sz w:val="18"/>
                <w:szCs w:val="18"/>
              </w:rPr>
            </w:pPr>
            <w:r>
              <w:rPr>
                <w:rFonts w:ascii="宋体" w:hAnsi="宋体" w:cs="宋体" w:eastAsia="宋体" w:hint="default"/>
                <w:sz w:val="18"/>
                <w:szCs w:val="18"/>
              </w:rPr>
              <w:t>方 协 商</w:t>
            </w:r>
          </w:p>
        </w:tc>
        <w:tc>
          <w:tcPr>
            <w:tcW w:w="736" w:type="dxa"/>
            <w:tcBorders>
              <w:top w:val="single" w:sz="4" w:space="0" w:color="000000"/>
              <w:left w:val="single" w:sz="4" w:space="0" w:color="000000"/>
              <w:bottom w:val="single" w:sz="4" w:space="0" w:color="000000"/>
              <w:right w:val="single" w:sz="4" w:space="0" w:color="000000"/>
            </w:tcBorders>
          </w:tcPr>
          <w:p>
            <w:pPr/>
          </w:p>
        </w:tc>
        <w:tc>
          <w:tcPr>
            <w:tcW w:w="29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34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31"/>
              <w:jc w:val="both"/>
              <w:rPr>
                <w:rFonts w:ascii="宋体" w:hAnsi="宋体" w:cs="宋体" w:eastAsia="宋体" w:hint="default"/>
                <w:sz w:val="18"/>
                <w:szCs w:val="18"/>
              </w:rPr>
            </w:pPr>
            <w:r>
              <w:rPr>
                <w:rFonts w:ascii="宋体" w:hAnsi="宋体" w:cs="宋体" w:eastAsia="宋体" w:hint="default"/>
                <w:sz w:val="18"/>
                <w:szCs w:val="18"/>
              </w:rPr>
              <w:t>在 履 行 中</w:t>
            </w:r>
          </w:p>
        </w:tc>
        <w:tc>
          <w:tcPr>
            <w:tcW w:w="485"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r>
      <w:tr>
        <w:trPr>
          <w:trHeight w:val="2274" w:hRule="exact"/>
        </w:trPr>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65"/>
              <w:jc w:val="both"/>
              <w:rPr>
                <w:rFonts w:ascii="宋体" w:hAnsi="宋体" w:cs="宋体" w:eastAsia="宋体" w:hint="default"/>
                <w:sz w:val="18"/>
                <w:szCs w:val="18"/>
              </w:rPr>
            </w:pPr>
            <w:r>
              <w:rPr>
                <w:rFonts w:ascii="宋体" w:hAnsi="宋体" w:cs="宋体" w:eastAsia="宋体" w:hint="default"/>
                <w:sz w:val="18"/>
                <w:szCs w:val="18"/>
              </w:rPr>
              <w:t>安徽 安泰 新型 包装 材料 有限 公司</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6" w:lineRule="auto"/>
              <w:ind w:left="22" w:right="137"/>
              <w:jc w:val="left"/>
              <w:rPr>
                <w:rFonts w:ascii="宋体" w:hAnsi="宋体" w:cs="宋体" w:eastAsia="宋体" w:hint="default"/>
                <w:sz w:val="18"/>
                <w:szCs w:val="18"/>
              </w:rPr>
            </w:pPr>
            <w:r>
              <w:rPr>
                <w:rFonts w:ascii="宋体" w:hAnsi="宋体" w:cs="宋体" w:eastAsia="宋体" w:hint="default"/>
                <w:sz w:val="18"/>
                <w:szCs w:val="18"/>
              </w:rPr>
              <w:t>海德堡中国 有限公司</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2" w:right="150"/>
              <w:jc w:val="both"/>
              <w:rPr>
                <w:rFonts w:ascii="宋体" w:hAnsi="宋体" w:cs="宋体" w:eastAsia="宋体" w:hint="default"/>
                <w:sz w:val="18"/>
                <w:szCs w:val="18"/>
              </w:rPr>
            </w:pPr>
            <w:r>
              <w:rPr>
                <w:rFonts w:ascii="宋体" w:hAnsi="宋体" w:cs="宋体" w:eastAsia="宋体" w:hint="default"/>
                <w:sz w:val="18"/>
                <w:szCs w:val="18"/>
              </w:rPr>
              <w:t>海德堡速 霸八色平 张纸胶印 机</w:t>
            </w:r>
          </w:p>
        </w:tc>
        <w:tc>
          <w:tcPr>
            <w:tcW w:w="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3"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4"/>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66" w:type="dxa"/>
            <w:tcBorders>
              <w:top w:val="single" w:sz="4" w:space="0" w:color="000000"/>
              <w:left w:val="single" w:sz="4" w:space="0" w:color="000000"/>
              <w:bottom w:val="single" w:sz="4" w:space="0" w:color="000000"/>
              <w:right w:val="single" w:sz="4" w:space="0" w:color="000000"/>
            </w:tcBorders>
          </w:tcPr>
          <w:p>
            <w:pPr/>
          </w:p>
        </w:tc>
        <w:tc>
          <w:tcPr>
            <w:tcW w:w="596" w:type="dxa"/>
            <w:tcBorders>
              <w:top w:val="single" w:sz="4" w:space="0" w:color="000000"/>
              <w:left w:val="single" w:sz="4" w:space="0" w:color="000000"/>
              <w:bottom w:val="single" w:sz="4" w:space="0" w:color="000000"/>
              <w:right w:val="single" w:sz="4" w:space="0" w:color="000000"/>
            </w:tcBorders>
          </w:tcPr>
          <w:p>
            <w:pPr/>
          </w:p>
        </w:tc>
        <w:tc>
          <w:tcPr>
            <w:tcW w:w="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493" w:type="dxa"/>
            <w:tcBorders>
              <w:top w:val="single" w:sz="4" w:space="0" w:color="000000"/>
              <w:left w:val="single" w:sz="4" w:space="0" w:color="000000"/>
              <w:bottom w:val="single" w:sz="4" w:space="0" w:color="000000"/>
              <w:right w:val="single" w:sz="4" w:space="0" w:color="000000"/>
            </w:tcBorders>
          </w:tcPr>
          <w:p>
            <w:pPr/>
          </w:p>
        </w:tc>
        <w:tc>
          <w:tcPr>
            <w:tcW w:w="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2" w:right="54"/>
              <w:jc w:val="both"/>
              <w:rPr>
                <w:rFonts w:ascii="宋体" w:hAnsi="宋体" w:cs="宋体" w:eastAsia="宋体" w:hint="default"/>
                <w:sz w:val="18"/>
                <w:szCs w:val="18"/>
              </w:rPr>
            </w:pPr>
            <w:r>
              <w:rPr>
                <w:rFonts w:ascii="宋体" w:hAnsi="宋体" w:cs="宋体" w:eastAsia="宋体" w:hint="default"/>
                <w:sz w:val="18"/>
                <w:szCs w:val="18"/>
              </w:rPr>
              <w:t>双 方 协 商</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1,683.18</w:t>
            </w:r>
          </w:p>
        </w:tc>
        <w:tc>
          <w:tcPr>
            <w:tcW w:w="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31"/>
              <w:jc w:val="both"/>
              <w:rPr>
                <w:rFonts w:ascii="宋体" w:hAnsi="宋体" w:cs="宋体" w:eastAsia="宋体" w:hint="default"/>
                <w:sz w:val="18"/>
                <w:szCs w:val="18"/>
              </w:rPr>
            </w:pPr>
            <w:r>
              <w:rPr>
                <w:rFonts w:ascii="宋体" w:hAnsi="宋体" w:cs="宋体" w:eastAsia="宋体" w:hint="default"/>
                <w:sz w:val="18"/>
                <w:szCs w:val="18"/>
              </w:rPr>
              <w:t>正 在 履 行 中</w:t>
            </w:r>
          </w:p>
        </w:tc>
        <w:tc>
          <w:tcPr>
            <w:tcW w:w="485"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r>
      <w:tr>
        <w:trPr>
          <w:trHeight w:val="2274" w:hRule="exact"/>
        </w:trPr>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中丰 田光 电科 </w:t>
            </w:r>
            <w:r>
              <w:rPr>
                <w:rFonts w:ascii="宋体" w:hAnsi="宋体" w:cs="宋体" w:eastAsia="宋体" w:hint="default"/>
                <w:spacing w:val="-13"/>
                <w:sz w:val="18"/>
                <w:szCs w:val="18"/>
              </w:rPr>
              <w:t>技（珠</w:t>
            </w:r>
            <w:r>
              <w:rPr>
                <w:rFonts w:ascii="宋体" w:hAnsi="宋体" w:cs="宋体" w:eastAsia="宋体" w:hint="default"/>
                <w:sz w:val="18"/>
                <w:szCs w:val="18"/>
              </w:rPr>
              <w:t> </w:t>
            </w:r>
            <w:r>
              <w:rPr>
                <w:rFonts w:ascii="宋体" w:hAnsi="宋体" w:cs="宋体" w:eastAsia="宋体" w:hint="default"/>
                <w:spacing w:val="-13"/>
                <w:sz w:val="18"/>
                <w:szCs w:val="18"/>
              </w:rPr>
              <w:t>海）有</w:t>
            </w:r>
            <w:r>
              <w:rPr>
                <w:rFonts w:ascii="宋体" w:hAnsi="宋体" w:cs="宋体" w:eastAsia="宋体" w:hint="default"/>
                <w:sz w:val="18"/>
                <w:szCs w:val="18"/>
              </w:rPr>
              <w:t> 限公 司</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6" w:lineRule="auto"/>
              <w:ind w:left="22" w:right="137"/>
              <w:jc w:val="both"/>
              <w:rPr>
                <w:rFonts w:ascii="宋体" w:hAnsi="宋体" w:cs="宋体" w:eastAsia="宋体" w:hint="default"/>
                <w:sz w:val="18"/>
                <w:szCs w:val="18"/>
              </w:rPr>
            </w:pPr>
            <w:r>
              <w:rPr>
                <w:rFonts w:ascii="宋体" w:hAnsi="宋体" w:cs="宋体" w:eastAsia="宋体" w:hint="default"/>
                <w:sz w:val="18"/>
                <w:szCs w:val="18"/>
              </w:rPr>
              <w:t>河南省建筑 安装工程有 限公司</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50"/>
              <w:jc w:val="both"/>
              <w:rPr>
                <w:rFonts w:ascii="宋体" w:hAnsi="宋体" w:cs="宋体" w:eastAsia="宋体" w:hint="default"/>
                <w:sz w:val="18"/>
                <w:szCs w:val="18"/>
              </w:rPr>
            </w:pPr>
            <w:r>
              <w:rPr>
                <w:rFonts w:ascii="宋体" w:hAnsi="宋体" w:cs="宋体" w:eastAsia="宋体" w:hint="default"/>
                <w:sz w:val="18"/>
                <w:szCs w:val="18"/>
              </w:rPr>
              <w:t>中丰田工 业园室外 道路管网 及景观改 造工程</w:t>
            </w:r>
          </w:p>
        </w:tc>
        <w:tc>
          <w:tcPr>
            <w:tcW w:w="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3"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4"/>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66" w:type="dxa"/>
            <w:tcBorders>
              <w:top w:val="single" w:sz="4" w:space="0" w:color="000000"/>
              <w:left w:val="single" w:sz="4" w:space="0" w:color="000000"/>
              <w:bottom w:val="single" w:sz="4" w:space="0" w:color="000000"/>
              <w:right w:val="single" w:sz="4" w:space="0" w:color="000000"/>
            </w:tcBorders>
          </w:tcPr>
          <w:p>
            <w:pPr/>
          </w:p>
        </w:tc>
        <w:tc>
          <w:tcPr>
            <w:tcW w:w="596" w:type="dxa"/>
            <w:tcBorders>
              <w:top w:val="single" w:sz="4" w:space="0" w:color="000000"/>
              <w:left w:val="single" w:sz="4" w:space="0" w:color="000000"/>
              <w:bottom w:val="single" w:sz="4" w:space="0" w:color="000000"/>
              <w:right w:val="single" w:sz="4" w:space="0" w:color="000000"/>
            </w:tcBorders>
          </w:tcPr>
          <w:p>
            <w:pPr/>
          </w:p>
        </w:tc>
        <w:tc>
          <w:tcPr>
            <w:tcW w:w="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493" w:type="dxa"/>
            <w:tcBorders>
              <w:top w:val="single" w:sz="4" w:space="0" w:color="000000"/>
              <w:left w:val="single" w:sz="4" w:space="0" w:color="000000"/>
              <w:bottom w:val="single" w:sz="4" w:space="0" w:color="000000"/>
              <w:right w:val="single" w:sz="4" w:space="0" w:color="000000"/>
            </w:tcBorders>
          </w:tcPr>
          <w:p>
            <w:pPr/>
          </w:p>
        </w:tc>
        <w:tc>
          <w:tcPr>
            <w:tcW w:w="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2" w:right="54"/>
              <w:jc w:val="both"/>
              <w:rPr>
                <w:rFonts w:ascii="宋体" w:hAnsi="宋体" w:cs="宋体" w:eastAsia="宋体" w:hint="default"/>
                <w:sz w:val="18"/>
                <w:szCs w:val="18"/>
              </w:rPr>
            </w:pPr>
            <w:r>
              <w:rPr>
                <w:rFonts w:ascii="宋体" w:hAnsi="宋体" w:cs="宋体" w:eastAsia="宋体" w:hint="default"/>
                <w:sz w:val="18"/>
                <w:szCs w:val="18"/>
              </w:rPr>
              <w:t>双 方 协 商</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1,330</w:t>
            </w:r>
          </w:p>
        </w:tc>
        <w:tc>
          <w:tcPr>
            <w:tcW w:w="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31"/>
              <w:jc w:val="both"/>
              <w:rPr>
                <w:rFonts w:ascii="宋体" w:hAnsi="宋体" w:cs="宋体" w:eastAsia="宋体" w:hint="default"/>
                <w:sz w:val="18"/>
                <w:szCs w:val="18"/>
              </w:rPr>
            </w:pPr>
            <w:r>
              <w:rPr>
                <w:rFonts w:ascii="宋体" w:hAnsi="宋体" w:cs="宋体" w:eastAsia="宋体" w:hint="default"/>
                <w:sz w:val="18"/>
                <w:szCs w:val="18"/>
              </w:rPr>
              <w:t>正 在 履 行 中</w:t>
            </w:r>
          </w:p>
        </w:tc>
        <w:tc>
          <w:tcPr>
            <w:tcW w:w="485"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r>
      <w:tr>
        <w:trPr>
          <w:trHeight w:val="1962" w:hRule="exact"/>
        </w:trPr>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65"/>
              <w:jc w:val="both"/>
              <w:rPr>
                <w:rFonts w:ascii="宋体" w:hAnsi="宋体" w:cs="宋体" w:eastAsia="宋体" w:hint="default"/>
                <w:sz w:val="18"/>
                <w:szCs w:val="18"/>
              </w:rPr>
            </w:pPr>
            <w:r>
              <w:rPr>
                <w:rFonts w:ascii="宋体" w:hAnsi="宋体" w:cs="宋体" w:eastAsia="宋体" w:hint="default"/>
                <w:sz w:val="18"/>
                <w:szCs w:val="18"/>
              </w:rPr>
              <w:t>深圳 劲嘉 集团 股份 有限 公司</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316" w:lineRule="auto"/>
              <w:ind w:left="22" w:right="137"/>
              <w:jc w:val="left"/>
              <w:rPr>
                <w:rFonts w:ascii="宋体" w:hAnsi="宋体" w:cs="宋体" w:eastAsia="宋体" w:hint="default"/>
                <w:sz w:val="18"/>
                <w:szCs w:val="18"/>
              </w:rPr>
            </w:pPr>
            <w:r>
              <w:rPr>
                <w:rFonts w:ascii="宋体" w:hAnsi="宋体" w:cs="宋体" w:eastAsia="宋体" w:hint="default"/>
                <w:sz w:val="18"/>
                <w:szCs w:val="18"/>
              </w:rPr>
              <w:t>海德堡中国 有限公司</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50"/>
              <w:jc w:val="both"/>
              <w:rPr>
                <w:rFonts w:ascii="宋体" w:hAnsi="宋体" w:cs="宋体" w:eastAsia="宋体" w:hint="default"/>
                <w:sz w:val="18"/>
                <w:szCs w:val="18"/>
              </w:rPr>
            </w:pPr>
            <w:r>
              <w:rPr>
                <w:rFonts w:ascii="宋体" w:hAnsi="宋体" w:cs="宋体" w:eastAsia="宋体" w:hint="default"/>
                <w:sz w:val="18"/>
                <w:szCs w:val="18"/>
              </w:rPr>
              <w:t>海德堡速 霸六色平 张纸胶印 机</w:t>
            </w:r>
          </w:p>
        </w:tc>
        <w:tc>
          <w:tcPr>
            <w:tcW w:w="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4"/>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66" w:type="dxa"/>
            <w:tcBorders>
              <w:top w:val="single" w:sz="4" w:space="0" w:color="000000"/>
              <w:left w:val="single" w:sz="4" w:space="0" w:color="000000"/>
              <w:bottom w:val="single" w:sz="4" w:space="0" w:color="000000"/>
              <w:right w:val="single" w:sz="4" w:space="0" w:color="000000"/>
            </w:tcBorders>
          </w:tcPr>
          <w:p>
            <w:pPr/>
          </w:p>
        </w:tc>
        <w:tc>
          <w:tcPr>
            <w:tcW w:w="596" w:type="dxa"/>
            <w:tcBorders>
              <w:top w:val="single" w:sz="4" w:space="0" w:color="000000"/>
              <w:left w:val="single" w:sz="4" w:space="0" w:color="000000"/>
              <w:bottom w:val="single" w:sz="4" w:space="0" w:color="000000"/>
              <w:right w:val="single" w:sz="4" w:space="0" w:color="000000"/>
            </w:tcBorders>
          </w:tcPr>
          <w:p>
            <w:pPr/>
          </w:p>
        </w:tc>
        <w:tc>
          <w:tcPr>
            <w:tcW w:w="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493" w:type="dxa"/>
            <w:tcBorders>
              <w:top w:val="single" w:sz="4" w:space="0" w:color="000000"/>
              <w:left w:val="single" w:sz="4" w:space="0" w:color="000000"/>
              <w:bottom w:val="single" w:sz="4" w:space="0" w:color="000000"/>
              <w:right w:val="single" w:sz="4" w:space="0" w:color="000000"/>
            </w:tcBorders>
          </w:tcPr>
          <w:p>
            <w:pPr/>
          </w:p>
        </w:tc>
        <w:tc>
          <w:tcPr>
            <w:tcW w:w="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54"/>
              <w:jc w:val="both"/>
              <w:rPr>
                <w:rFonts w:ascii="宋体" w:hAnsi="宋体" w:cs="宋体" w:eastAsia="宋体" w:hint="default"/>
                <w:sz w:val="18"/>
                <w:szCs w:val="18"/>
              </w:rPr>
            </w:pPr>
            <w:r>
              <w:rPr>
                <w:rFonts w:ascii="宋体" w:hAnsi="宋体" w:cs="宋体" w:eastAsia="宋体" w:hint="default"/>
                <w:sz w:val="18"/>
                <w:szCs w:val="18"/>
              </w:rPr>
              <w:t>双 方 协 商</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1,120</w:t>
            </w:r>
          </w:p>
        </w:tc>
        <w:tc>
          <w:tcPr>
            <w:tcW w:w="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131"/>
              <w:jc w:val="both"/>
              <w:rPr>
                <w:rFonts w:ascii="宋体" w:hAnsi="宋体" w:cs="宋体" w:eastAsia="宋体" w:hint="default"/>
                <w:sz w:val="18"/>
                <w:szCs w:val="18"/>
              </w:rPr>
            </w:pPr>
            <w:r>
              <w:rPr>
                <w:rFonts w:ascii="宋体" w:hAnsi="宋体" w:cs="宋体" w:eastAsia="宋体" w:hint="default"/>
                <w:sz w:val="18"/>
                <w:szCs w:val="18"/>
              </w:rPr>
              <w:t>正 在 履 行 中</w:t>
            </w:r>
          </w:p>
        </w:tc>
        <w:tc>
          <w:tcPr>
            <w:tcW w:w="485"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r>
      <w:tr>
        <w:trPr>
          <w:trHeight w:val="2274" w:hRule="exact"/>
        </w:trPr>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65"/>
              <w:jc w:val="both"/>
              <w:rPr>
                <w:rFonts w:ascii="宋体" w:hAnsi="宋体" w:cs="宋体" w:eastAsia="宋体" w:hint="default"/>
                <w:sz w:val="18"/>
                <w:szCs w:val="18"/>
              </w:rPr>
            </w:pPr>
            <w:r>
              <w:rPr>
                <w:rFonts w:ascii="宋体" w:hAnsi="宋体" w:cs="宋体" w:eastAsia="宋体" w:hint="default"/>
                <w:sz w:val="18"/>
                <w:szCs w:val="18"/>
              </w:rPr>
              <w:t>深圳 劲嘉 新型 智能 包装 有限 公司</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6" w:lineRule="auto"/>
              <w:ind w:left="22" w:right="137"/>
              <w:jc w:val="left"/>
              <w:rPr>
                <w:rFonts w:ascii="宋体" w:hAnsi="宋体" w:cs="宋体" w:eastAsia="宋体" w:hint="default"/>
                <w:sz w:val="18"/>
                <w:szCs w:val="18"/>
              </w:rPr>
            </w:pPr>
            <w:r>
              <w:rPr>
                <w:rFonts w:ascii="宋体" w:hAnsi="宋体" w:cs="宋体" w:eastAsia="宋体" w:hint="default"/>
                <w:sz w:val="18"/>
                <w:szCs w:val="18"/>
              </w:rPr>
              <w:t>海德堡中国 有限公司</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2" w:right="150"/>
              <w:jc w:val="both"/>
              <w:rPr>
                <w:rFonts w:ascii="宋体" w:hAnsi="宋体" w:cs="宋体" w:eastAsia="宋体" w:hint="default"/>
                <w:sz w:val="18"/>
                <w:szCs w:val="18"/>
              </w:rPr>
            </w:pPr>
            <w:r>
              <w:rPr>
                <w:rFonts w:ascii="宋体" w:hAnsi="宋体" w:cs="宋体" w:eastAsia="宋体" w:hint="default"/>
                <w:sz w:val="18"/>
                <w:szCs w:val="18"/>
              </w:rPr>
              <w:t>海德堡速 霸七色平 张纸胶印 机</w:t>
            </w:r>
          </w:p>
        </w:tc>
        <w:tc>
          <w:tcPr>
            <w:tcW w:w="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3"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4"/>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66" w:type="dxa"/>
            <w:tcBorders>
              <w:top w:val="single" w:sz="4" w:space="0" w:color="000000"/>
              <w:left w:val="single" w:sz="4" w:space="0" w:color="000000"/>
              <w:bottom w:val="single" w:sz="4" w:space="0" w:color="000000"/>
              <w:right w:val="single" w:sz="4" w:space="0" w:color="000000"/>
            </w:tcBorders>
          </w:tcPr>
          <w:p>
            <w:pPr/>
          </w:p>
        </w:tc>
        <w:tc>
          <w:tcPr>
            <w:tcW w:w="596" w:type="dxa"/>
            <w:tcBorders>
              <w:top w:val="single" w:sz="4" w:space="0" w:color="000000"/>
              <w:left w:val="single" w:sz="4" w:space="0" w:color="000000"/>
              <w:bottom w:val="single" w:sz="4" w:space="0" w:color="000000"/>
              <w:right w:val="single" w:sz="4" w:space="0" w:color="000000"/>
            </w:tcBorders>
          </w:tcPr>
          <w:p>
            <w:pPr/>
          </w:p>
        </w:tc>
        <w:tc>
          <w:tcPr>
            <w:tcW w:w="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493" w:type="dxa"/>
            <w:tcBorders>
              <w:top w:val="single" w:sz="4" w:space="0" w:color="000000"/>
              <w:left w:val="single" w:sz="4" w:space="0" w:color="000000"/>
              <w:bottom w:val="single" w:sz="4" w:space="0" w:color="000000"/>
              <w:right w:val="single" w:sz="4" w:space="0" w:color="000000"/>
            </w:tcBorders>
          </w:tcPr>
          <w:p>
            <w:pPr/>
          </w:p>
        </w:tc>
        <w:tc>
          <w:tcPr>
            <w:tcW w:w="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2" w:right="54"/>
              <w:jc w:val="both"/>
              <w:rPr>
                <w:rFonts w:ascii="宋体" w:hAnsi="宋体" w:cs="宋体" w:eastAsia="宋体" w:hint="default"/>
                <w:sz w:val="18"/>
                <w:szCs w:val="18"/>
              </w:rPr>
            </w:pPr>
            <w:r>
              <w:rPr>
                <w:rFonts w:ascii="宋体" w:hAnsi="宋体" w:cs="宋体" w:eastAsia="宋体" w:hint="default"/>
                <w:sz w:val="18"/>
                <w:szCs w:val="18"/>
              </w:rPr>
              <w:t>双 方 协 商</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1,390</w:t>
            </w:r>
          </w:p>
        </w:tc>
        <w:tc>
          <w:tcPr>
            <w:tcW w:w="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31"/>
              <w:jc w:val="both"/>
              <w:rPr>
                <w:rFonts w:ascii="宋体" w:hAnsi="宋体" w:cs="宋体" w:eastAsia="宋体" w:hint="default"/>
                <w:sz w:val="18"/>
                <w:szCs w:val="18"/>
              </w:rPr>
            </w:pPr>
            <w:r>
              <w:rPr>
                <w:rFonts w:ascii="宋体" w:hAnsi="宋体" w:cs="宋体" w:eastAsia="宋体" w:hint="default"/>
                <w:sz w:val="18"/>
                <w:szCs w:val="18"/>
              </w:rPr>
              <w:t>正 在 履 行 中</w:t>
            </w:r>
          </w:p>
        </w:tc>
        <w:tc>
          <w:tcPr>
            <w:tcW w:w="485"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7"/>
        <w:rPr>
          <w:rFonts w:ascii="Times New Roman" w:hAnsi="Times New Roman" w:cs="Times New Roman" w:eastAsia="Times New Roman" w:hint="default"/>
          <w:sz w:val="20"/>
          <w:szCs w:val="20"/>
        </w:rPr>
      </w:pPr>
    </w:p>
    <w:p>
      <w:pPr>
        <w:pStyle w:val="Heading2"/>
        <w:spacing w:line="240" w:lineRule="auto" w:before="26"/>
        <w:ind w:right="0"/>
        <w:jc w:val="left"/>
        <w:rPr>
          <w:b w:val="0"/>
          <w:bCs w:val="0"/>
        </w:rPr>
      </w:pPr>
      <w:bookmarkStart w:name="十八、社会责任情况" w:id="98"/>
      <w:bookmarkEnd w:id="98"/>
      <w:r>
        <w:rPr>
          <w:b w:val="0"/>
          <w:bCs w:val="0"/>
        </w:rPr>
      </w:r>
      <w:r>
        <w:rPr/>
        <w:t>十八、社会责任情况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履行社会责任情况" w:id="99"/>
      <w:bookmarkEnd w:id="99"/>
      <w:r>
        <w:rPr>
          <w:b w:val="0"/>
          <w:bCs w:val="0"/>
        </w:rPr>
      </w:r>
      <w:r>
        <w:rPr>
          <w:rFonts w:ascii="Times New Roman" w:hAnsi="Times New Roman" w:cs="Times New Roman" w:eastAsia="Times New Roman" w:hint="default"/>
        </w:rPr>
        <w:t>1</w:t>
      </w:r>
      <w:r>
        <w:rPr/>
        <w:t>、履行社会责任情况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（一）报告期内公司履行社会责任的情况</w:t>
      </w:r>
    </w:p>
    <w:p>
      <w:pPr>
        <w:pStyle w:val="BodyText"/>
        <w:spacing w:line="312" w:lineRule="auto" w:before="115"/>
        <w:ind w:right="0" w:firstLine="360"/>
        <w:jc w:val="left"/>
      </w:pPr>
      <w:r>
        <w:rPr>
          <w:rFonts w:ascii="Times New Roman" w:hAnsi="Times New Roman" w:cs="Times New Roman" w:eastAsia="Times New Roman" w:hint="default"/>
        </w:rPr>
        <w:t>1</w:t>
      </w:r>
      <w:r>
        <w:rPr/>
        <w:t>、公司严格按照《公司法》、《证券法》、《上市公司治理准则》、《深圳证券交易所股票上市规则》、《深圳证券 </w:t>
      </w:r>
      <w:r>
        <w:rPr>
          <w:spacing w:val="-4"/>
        </w:rPr>
        <w:t>交易所中小企业板上市公司规范运作指引》及中国证监会有关法律法规的要求，不断完善公司法人治理结构，规范公司运作。</w:t>
      </w:r>
      <w:r>
        <w:rPr>
          <w:spacing w:val="-44"/>
        </w:rPr>
        <w:t> </w:t>
      </w:r>
      <w:r>
        <w:rPr>
          <w:spacing w:val="-44"/>
        </w:rPr>
      </w:r>
      <w:r>
        <w:rPr>
          <w:spacing w:val="-2"/>
        </w:rPr>
        <w:t>公司设立了股东大会、董事会、监事会，董事会下设战略委员会、审计委员会、提名委员会、薪酬与考核委员会四个专门委</w:t>
      </w:r>
      <w:r>
        <w:rPr>
          <w:spacing w:val="-67"/>
        </w:rPr>
        <w:t> </w:t>
      </w:r>
      <w:r>
        <w:rPr>
          <w:spacing w:val="-67"/>
        </w:rPr>
      </w:r>
      <w:r>
        <w:rPr/>
        <w:t>员会，形成科学有效的职责分工和制衡机制。</w:t>
      </w:r>
    </w:p>
    <w:p>
      <w:pPr>
        <w:spacing w:after="0" w:line="312"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2" w:lineRule="auto" w:before="44"/>
        <w:ind w:left="214" w:right="1032" w:firstLine="360"/>
        <w:jc w:val="left"/>
      </w:pPr>
      <w:r>
        <w:rPr>
          <w:rFonts w:ascii="Times New Roman" w:hAnsi="Times New Roman" w:cs="Times New Roman" w:eastAsia="Times New Roman" w:hint="default"/>
          <w:spacing w:val="-2"/>
        </w:rPr>
        <w:t>2</w:t>
      </w:r>
      <w:r>
        <w:rPr>
          <w:spacing w:val="-2"/>
        </w:rPr>
        <w:t>、公司严格按照《公司法》、《证券法》、《股票上市规则》以及《公司章程》等有关法律法规的要求，及时、真实、</w:t>
      </w:r>
      <w:r>
        <w:rPr/>
        <w:t> </w:t>
      </w:r>
      <w:r>
        <w:rPr>
          <w:spacing w:val="-2"/>
        </w:rPr>
        <w:t>准确、完整地进行常规信息披露，确保公司所有股东能够以平等的机会获得公司信息，并不断提高信息披露质量，保障全体</w:t>
      </w:r>
      <w:r>
        <w:rPr>
          <w:spacing w:val="-66"/>
        </w:rPr>
        <w:t> </w:t>
      </w:r>
      <w:r>
        <w:rPr>
          <w:spacing w:val="-66"/>
        </w:rPr>
      </w:r>
      <w:r>
        <w:rPr>
          <w:spacing w:val="-2"/>
        </w:rPr>
        <w:t>股东的合法权益。同时，通过公司网站、投资者电话、传真、电子邮箱等多种方式与投资者进行沟通交流，建立了良好的互</w:t>
      </w:r>
      <w:r>
        <w:rPr>
          <w:spacing w:val="-68"/>
        </w:rPr>
        <w:t> </w:t>
      </w:r>
      <w:r>
        <w:rPr>
          <w:spacing w:val="-68"/>
        </w:rPr>
      </w:r>
      <w:r>
        <w:rPr/>
        <w:t>动，提高了公司的透明度和诚信度。</w:t>
      </w:r>
    </w:p>
    <w:p>
      <w:pPr>
        <w:pStyle w:val="BodyText"/>
        <w:spacing w:line="300" w:lineRule="auto" w:before="61"/>
        <w:ind w:left="214" w:right="1139" w:firstLine="360"/>
        <w:jc w:val="both"/>
      </w:pPr>
      <w:r>
        <w:rPr>
          <w:rFonts w:ascii="Times New Roman" w:hAnsi="Times New Roman" w:cs="Times New Roman" w:eastAsia="Times New Roman" w:hint="default"/>
        </w:rPr>
        <w:t>3</w:t>
      </w:r>
      <w:r>
        <w:rPr/>
        <w:t>、公司始终重视对投资者的合理投资回报，在不影响公司正常经营和持续发展的前提下，公司采取积极的利润分配方 案</w:t>
      </w:r>
      <w:r>
        <w:rPr>
          <w:rFonts w:ascii="Times New Roman" w:hAnsi="Times New Roman" w:cs="Times New Roman" w:eastAsia="Times New Roman" w:hint="default"/>
        </w:rPr>
        <w:t>,</w:t>
      </w:r>
      <w:r>
        <w:rPr/>
        <w:t>原则上将采取以股票和现金分红相结合的分配方式，在满足现金分配条件情况下，公司将优先采用现金分红进行利润分 配。</w:t>
      </w:r>
    </w:p>
    <w:p>
      <w:pPr>
        <w:pStyle w:val="BodyText"/>
        <w:spacing w:line="312" w:lineRule="auto" w:before="71"/>
        <w:ind w:left="214" w:right="1133" w:firstLine="360"/>
        <w:jc w:val="both"/>
      </w:pPr>
      <w:r>
        <w:rPr>
          <w:rFonts w:ascii="Times New Roman" w:hAnsi="Times New Roman" w:cs="Times New Roman" w:eastAsia="Times New Roman" w:hint="default"/>
        </w:rPr>
        <w:t>4</w:t>
      </w:r>
      <w:r>
        <w:rPr/>
        <w:t>、人才是公司最核心的宝贵财产。公司以人为本，把人才战略作为企业发展的重点，公司严格遵守《劳动法》、《劳 </w:t>
      </w:r>
      <w:r>
        <w:rPr>
          <w:spacing w:val="-2"/>
        </w:rPr>
        <w:t>动合同法》等相关法律法规，尊重和维护员工的个人权益，进一步规范和完善了公司的激励、社保等薪酬和福利制度，切实</w:t>
      </w:r>
      <w:r>
        <w:rPr>
          <w:spacing w:val="-66"/>
        </w:rPr>
        <w:t> </w:t>
      </w:r>
      <w:r>
        <w:rPr>
          <w:spacing w:val="-66"/>
        </w:rPr>
      </w:r>
      <w:r>
        <w:rPr>
          <w:spacing w:val="-2"/>
        </w:rPr>
        <w:t>关注员工健康、安全和满意度，重视人才培养，实现员工与企业的共同成长，不断将企业的发展成果惠及全体员工，构建和</w:t>
      </w:r>
      <w:r>
        <w:rPr>
          <w:spacing w:val="-66"/>
        </w:rPr>
        <w:t> </w:t>
      </w:r>
      <w:r>
        <w:rPr>
          <w:spacing w:val="-66"/>
        </w:rPr>
      </w:r>
      <w:r>
        <w:rPr/>
        <w:t>谐稳定的劳资关系。</w:t>
      </w:r>
    </w:p>
    <w:p>
      <w:pPr>
        <w:pStyle w:val="BodyText"/>
        <w:spacing w:line="309" w:lineRule="auto" w:before="61"/>
        <w:ind w:left="214" w:right="1133" w:firstLine="360"/>
        <w:jc w:val="both"/>
      </w:pPr>
      <w:r>
        <w:rPr>
          <w:rFonts w:ascii="Times New Roman" w:hAnsi="Times New Roman" w:cs="Times New Roman" w:eastAsia="Times New Roman" w:hint="default"/>
        </w:rPr>
        <w:t>5</w:t>
      </w:r>
      <w:r>
        <w:rPr/>
        <w:t>、公司一直遵循</w:t>
      </w:r>
      <w:r>
        <w:rPr>
          <w:rFonts w:ascii="Times New Roman" w:hAnsi="Times New Roman" w:cs="Times New Roman" w:eastAsia="Times New Roman" w:hint="default"/>
        </w:rPr>
        <w:t>“</w:t>
      </w:r>
      <w:r>
        <w:rPr/>
        <w:t>自愿、平等、互利</w:t>
      </w:r>
      <w:r>
        <w:rPr>
          <w:rFonts w:ascii="Times New Roman" w:hAnsi="Times New Roman" w:cs="Times New Roman" w:eastAsia="Times New Roman" w:hint="default"/>
        </w:rPr>
        <w:t>”</w:t>
      </w:r>
      <w:r>
        <w:rPr/>
        <w:t>的原则，积极构建和发展与供应商、客户的战略合作伙伴关系，注重与各相关方 </w:t>
      </w:r>
      <w:r>
        <w:rPr>
          <w:spacing w:val="-2"/>
        </w:rPr>
        <w:t>的沟通与协调，共同构筑信任与合作的平台，切实履行公司对供应商、对客户、对消费者的社会责任。公司与供应商和客户</w:t>
      </w:r>
      <w:r>
        <w:rPr>
          <w:spacing w:val="-66"/>
        </w:rPr>
        <w:t> </w:t>
      </w:r>
      <w:r>
        <w:rPr>
          <w:spacing w:val="-66"/>
        </w:rPr>
      </w:r>
      <w:r>
        <w:rPr/>
        <w:t>合同履约良好，各方的权益都得到了应有的保护。</w:t>
      </w:r>
    </w:p>
    <w:p>
      <w:pPr>
        <w:pStyle w:val="BodyText"/>
        <w:spacing w:line="302" w:lineRule="auto" w:before="62"/>
        <w:ind w:left="214" w:right="1131" w:firstLine="360"/>
        <w:jc w:val="both"/>
      </w:pPr>
      <w:r>
        <w:rPr>
          <w:rFonts w:ascii="Times New Roman" w:hAnsi="Times New Roman" w:cs="Times New Roman" w:eastAsia="Times New Roman" w:hint="default"/>
          <w:spacing w:val="-1"/>
        </w:rPr>
        <w:t>6</w:t>
      </w:r>
      <w:r>
        <w:rPr>
          <w:spacing w:val="-1"/>
        </w:rPr>
        <w:t>、公司重视履行社会责任，积极回馈社会，制定了《对外捐赠管理制度》</w:t>
      </w:r>
      <w:r>
        <w:rPr>
          <w:rFonts w:ascii="Times New Roman" w:hAnsi="Times New Roman" w:cs="Times New Roman" w:eastAsia="Times New Roman" w:hint="default"/>
          <w:spacing w:val="-1"/>
        </w:rPr>
        <w:t>,</w:t>
      </w:r>
      <w:r>
        <w:rPr>
          <w:spacing w:val="-1"/>
        </w:rPr>
        <w:t>加强对外捐赠事宜的管理，明确对外捐赠的</w:t>
      </w:r>
      <w:r>
        <w:rPr/>
        <w:t> 决策及规则，对外捐赠的款项主要用于发展慈善事业，使得公司更好地践行社会责任。</w:t>
      </w:r>
    </w:p>
    <w:p>
      <w:pPr>
        <w:pStyle w:val="BodyText"/>
        <w:spacing w:line="357" w:lineRule="auto" w:before="70"/>
        <w:ind w:left="574" w:right="1032" w:hanging="360"/>
        <w:jc w:val="left"/>
      </w:pPr>
      <w:r>
        <w:rPr/>
        <w:t>（二）报告期环境保护与可持续发展 公司始终将环境保护与节能减排作为公司可持续发展战略的重要内容。根据生产特点，公司建立了环境保护管理体系，</w:t>
      </w:r>
    </w:p>
    <w:p>
      <w:pPr>
        <w:pStyle w:val="BodyText"/>
        <w:spacing w:line="357" w:lineRule="auto"/>
        <w:ind w:left="574" w:right="1032" w:hanging="360"/>
        <w:jc w:val="left"/>
      </w:pPr>
      <w:r>
        <w:rPr/>
        <w:t>委派专人负责，为持续改善环境保护和节能减排工作提供了较多的人力、物力以及财力支持。 </w:t>
      </w:r>
      <w:r>
        <w:rPr>
          <w:spacing w:val="-2"/>
        </w:rPr>
        <w:t>公司严格遵照环境保护的规章规定，建立专业的环境保护设施，达到废水达标排放、固体废物交付专业的环保公司回收</w:t>
      </w:r>
    </w:p>
    <w:p>
      <w:pPr>
        <w:pStyle w:val="BodyText"/>
        <w:spacing w:line="224" w:lineRule="exact"/>
        <w:ind w:left="214" w:right="0"/>
        <w:jc w:val="left"/>
      </w:pPr>
      <w:r>
        <w:rPr/>
        <w:t>处理，努力降低产品生产和员工生活对自然环境造成的不利影响。同时，公司将环保理念贯穿到员工的日常工作和生活中，</w:t>
      </w:r>
    </w:p>
    <w:p>
      <w:pPr>
        <w:pStyle w:val="BodyText"/>
        <w:spacing w:line="319" w:lineRule="auto" w:before="77"/>
        <w:ind w:left="214" w:right="1032"/>
        <w:jc w:val="left"/>
      </w:pPr>
      <w:r>
        <w:rPr>
          <w:spacing w:val="-2"/>
        </w:rPr>
        <w:t>督促和培养员工树立节约用电、用水、减少纸张使用等节能低碳的意识和生活方式，共同为生态环境的可持续性利用做出积</w:t>
      </w:r>
      <w:r>
        <w:rPr>
          <w:spacing w:val="-66"/>
        </w:rPr>
        <w:t> </w:t>
      </w:r>
      <w:r>
        <w:rPr>
          <w:spacing w:val="-66"/>
        </w:rPr>
      </w:r>
      <w:r>
        <w:rPr/>
        <w:t>极的努力。</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13"/>
          <w:szCs w:val="13"/>
        </w:rPr>
      </w:pPr>
    </w:p>
    <w:p>
      <w:pPr>
        <w:pStyle w:val="Heading3"/>
        <w:spacing w:line="240" w:lineRule="auto"/>
        <w:ind w:left="214" w:right="1032"/>
        <w:jc w:val="left"/>
        <w:rPr>
          <w:b w:val="0"/>
          <w:bCs w:val="0"/>
        </w:rPr>
      </w:pPr>
      <w:bookmarkStart w:name="2、履行精准扶贫社会责任情况" w:id="100"/>
      <w:bookmarkEnd w:id="100"/>
      <w:r>
        <w:rPr>
          <w:b w:val="0"/>
          <w:bCs w:val="0"/>
        </w:rPr>
      </w:r>
      <w:r>
        <w:rPr>
          <w:rFonts w:ascii="Times New Roman" w:hAnsi="Times New Roman" w:cs="Times New Roman" w:eastAsia="Times New Roman" w:hint="default"/>
        </w:rPr>
        <w:t>2</w:t>
      </w:r>
      <w:r>
        <w:rPr/>
        <w:t>、履行精准扶贫社会责任情况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214" w:right="1032"/>
        <w:jc w:val="left"/>
      </w:pPr>
      <w:r>
        <w:rPr/>
        <w:t>公司报告年度暂无开展精准扶贫工作，也暂无后续精准扶贫计划。</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7"/>
          <w:szCs w:val="17"/>
        </w:rPr>
      </w:pPr>
    </w:p>
    <w:p>
      <w:pPr>
        <w:pStyle w:val="Heading3"/>
        <w:spacing w:line="240" w:lineRule="auto"/>
        <w:ind w:left="214" w:right="1032"/>
        <w:jc w:val="left"/>
        <w:rPr>
          <w:b w:val="0"/>
          <w:bCs w:val="0"/>
        </w:rPr>
      </w:pPr>
      <w:bookmarkStart w:name="3、环境保护相关的情况" w:id="101"/>
      <w:bookmarkEnd w:id="101"/>
      <w:r>
        <w:rPr>
          <w:b w:val="0"/>
          <w:bCs w:val="0"/>
        </w:rPr>
      </w:r>
      <w:r>
        <w:rPr>
          <w:rFonts w:ascii="Times New Roman" w:hAnsi="Times New Roman" w:cs="Times New Roman" w:eastAsia="Times New Roman" w:hint="default"/>
        </w:rPr>
        <w:t>3</w:t>
      </w:r>
      <w:r>
        <w:rPr/>
        <w:t>、环境保护相关的情况</w:t>
      </w:r>
      <w:r>
        <w:rPr>
          <w:b w:val="0"/>
          <w:bCs w:val="0"/>
        </w:rPr>
      </w:r>
    </w:p>
    <w:p>
      <w:pPr>
        <w:spacing w:line="240" w:lineRule="auto" w:before="8"/>
        <w:rPr>
          <w:rFonts w:ascii="宋体" w:hAnsi="宋体" w:cs="宋体" w:eastAsia="宋体" w:hint="default"/>
          <w:b/>
          <w:bCs/>
          <w:sz w:val="26"/>
          <w:szCs w:val="26"/>
        </w:rPr>
      </w:pPr>
    </w:p>
    <w:p>
      <w:pPr>
        <w:pStyle w:val="Heading4"/>
        <w:spacing w:line="357" w:lineRule="auto"/>
        <w:ind w:left="214" w:right="5270"/>
        <w:jc w:val="left"/>
        <w:rPr>
          <w:rFonts w:ascii="宋体" w:hAnsi="宋体" w:cs="宋体" w:eastAsia="宋体" w:hint="default"/>
          <w:b w:val="0"/>
          <w:bCs w:val="0"/>
        </w:rPr>
      </w:pPr>
      <w:r>
        <w:rPr>
          <w:w w:val="95"/>
        </w:rPr>
        <w:t>（一）上市公司及其子公司是否属于环境保护部门公布的重点排污单位  </w:t>
      </w:r>
      <w:r>
        <w:rPr>
          <w:spacing w:val="14"/>
          <w:w w:val="95"/>
        </w:rPr>
        <w:t> </w:t>
      </w:r>
      <w:r>
        <w:rPr>
          <w:spacing w:val="14"/>
          <w:w w:val="95"/>
        </w:rPr>
      </w:r>
      <w:r>
        <w:rPr>
          <w:rFonts w:ascii="宋体" w:hAnsi="宋体" w:cs="宋体" w:eastAsia="宋体" w:hint="default"/>
          <w:b w:val="0"/>
          <w:bCs w:val="0"/>
        </w:rPr>
        <w:t>是</w:t>
      </w:r>
    </w:p>
    <w:p>
      <w:pPr>
        <w:pStyle w:val="BodyText"/>
        <w:spacing w:line="319" w:lineRule="auto" w:before="28"/>
        <w:ind w:left="214" w:right="1132"/>
        <w:jc w:val="both"/>
      </w:pPr>
      <w:r>
        <w:rPr>
          <w:spacing w:val="-2"/>
        </w:rPr>
        <w:t>报告期内，在公司合并报表范围内，公司被列入环保部门公布的大气环境重点排污单位名录和水环境重点排污单位名录，公</w:t>
      </w:r>
      <w:r>
        <w:rPr>
          <w:spacing w:val="-66"/>
        </w:rPr>
        <w:t> </w:t>
      </w:r>
      <w:r>
        <w:rPr>
          <w:spacing w:val="-66"/>
        </w:rPr>
      </w:r>
      <w:r>
        <w:rPr>
          <w:spacing w:val="-2"/>
        </w:rPr>
        <w:t>司全资子公司安徽安泰被列入环保部门公布的大气环境重点排污单位名录。除上述单位外，公司合并报表范围内的其他单位</w:t>
      </w:r>
      <w:r>
        <w:rPr>
          <w:spacing w:val="-64"/>
        </w:rPr>
        <w:t> </w:t>
      </w:r>
      <w:r>
        <w:rPr>
          <w:spacing w:val="-64"/>
        </w:rPr>
      </w:r>
      <w:r>
        <w:rPr/>
        <w:t>无被列入环保部门重点排污单位名录的情况。</w:t>
      </w:r>
    </w:p>
    <w:p>
      <w:pPr>
        <w:pStyle w:val="BodyText"/>
        <w:tabs>
          <w:tab w:pos="934" w:val="left" w:leader="none"/>
        </w:tabs>
        <w:spacing w:line="240" w:lineRule="auto" w:before="56"/>
        <w:ind w:left="214" w:right="1032"/>
        <w:jc w:val="left"/>
      </w:pPr>
      <w:r>
        <w:rPr/>
        <w:t>（</w:t>
      </w:r>
      <w:r>
        <w:rPr>
          <w:rFonts w:ascii="宋体" w:hAnsi="宋体" w:cs="宋体" w:eastAsia="宋体" w:hint="default"/>
        </w:rPr>
        <w:t>1</w:t>
      </w:r>
      <w:r>
        <w:rPr/>
        <w:t>）</w:t>
        <w:tab/>
        <w:t>公司及安徽安泰属于环境保护部门公布的重点排污单位，主要污染物排放情况如下表所示：</w:t>
      </w:r>
    </w:p>
    <w:p>
      <w:pPr>
        <w:spacing w:line="240" w:lineRule="auto" w:before="0"/>
        <w:rPr>
          <w:rFonts w:ascii="宋体" w:hAnsi="宋体" w:cs="宋体" w:eastAsia="宋体" w:hint="default"/>
          <w:sz w:val="8"/>
          <w:szCs w:val="8"/>
        </w:rPr>
      </w:pPr>
    </w:p>
    <w:tbl>
      <w:tblPr>
        <w:tblW w:w="0" w:type="auto"/>
        <w:jc w:val="left"/>
        <w:tblInd w:w="101" w:type="dxa"/>
        <w:tblLayout w:type="fixed"/>
        <w:tblCellMar>
          <w:top w:w="0" w:type="dxa"/>
          <w:left w:w="0" w:type="dxa"/>
          <w:bottom w:w="0" w:type="dxa"/>
          <w:right w:w="0" w:type="dxa"/>
        </w:tblCellMar>
        <w:tblLook w:val="01E0"/>
      </w:tblPr>
      <w:tblGrid>
        <w:gridCol w:w="862"/>
        <w:gridCol w:w="858"/>
        <w:gridCol w:w="858"/>
        <w:gridCol w:w="860"/>
        <w:gridCol w:w="857"/>
        <w:gridCol w:w="857"/>
        <w:gridCol w:w="1133"/>
        <w:gridCol w:w="998"/>
        <w:gridCol w:w="858"/>
        <w:gridCol w:w="859"/>
        <w:gridCol w:w="856"/>
      </w:tblGrid>
      <w:tr>
        <w:trPr>
          <w:trHeight w:val="1026" w:hRule="exact"/>
        </w:trPr>
        <w:tc>
          <w:tcPr>
            <w:tcW w:w="86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52"/>
              <w:ind w:left="156" w:right="154"/>
              <w:jc w:val="both"/>
              <w:rPr>
                <w:rFonts w:ascii="宋体" w:hAnsi="宋体" w:cs="宋体" w:eastAsia="宋体" w:hint="default"/>
                <w:sz w:val="18"/>
                <w:szCs w:val="18"/>
              </w:rPr>
            </w:pPr>
            <w:r>
              <w:rPr>
                <w:rFonts w:ascii="宋体" w:hAnsi="宋体" w:cs="宋体" w:eastAsia="宋体" w:hint="default"/>
                <w:sz w:val="18"/>
                <w:szCs w:val="18"/>
              </w:rPr>
              <w:t>公司或 子公司 名称</w:t>
            </w:r>
          </w:p>
        </w:tc>
        <w:tc>
          <w:tcPr>
            <w:tcW w:w="85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52"/>
              <w:ind w:left="243" w:right="152" w:hanging="90"/>
              <w:jc w:val="left"/>
              <w:rPr>
                <w:rFonts w:ascii="宋体" w:hAnsi="宋体" w:cs="宋体" w:eastAsia="宋体" w:hint="default"/>
                <w:sz w:val="18"/>
                <w:szCs w:val="18"/>
              </w:rPr>
            </w:pPr>
            <w:r>
              <w:rPr>
                <w:rFonts w:ascii="宋体" w:hAnsi="宋体" w:cs="宋体" w:eastAsia="宋体" w:hint="default"/>
                <w:sz w:val="18"/>
                <w:szCs w:val="18"/>
              </w:rPr>
              <w:t>主要污 染物</w:t>
            </w:r>
          </w:p>
        </w:tc>
        <w:tc>
          <w:tcPr>
            <w:tcW w:w="85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52"/>
              <w:ind w:left="243" w:right="152" w:hanging="90"/>
              <w:jc w:val="left"/>
              <w:rPr>
                <w:rFonts w:ascii="宋体" w:hAnsi="宋体" w:cs="宋体" w:eastAsia="宋体" w:hint="default"/>
                <w:sz w:val="18"/>
                <w:szCs w:val="18"/>
              </w:rPr>
            </w:pPr>
            <w:r>
              <w:rPr>
                <w:rFonts w:ascii="宋体" w:hAnsi="宋体" w:cs="宋体" w:eastAsia="宋体" w:hint="default"/>
                <w:sz w:val="18"/>
                <w:szCs w:val="18"/>
              </w:rPr>
              <w:t>污染物 种类</w:t>
            </w:r>
          </w:p>
        </w:tc>
        <w:tc>
          <w:tcPr>
            <w:tcW w:w="86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52"/>
              <w:ind w:left="334" w:right="155" w:hanging="180"/>
              <w:jc w:val="left"/>
              <w:rPr>
                <w:rFonts w:ascii="宋体" w:hAnsi="宋体" w:cs="宋体" w:eastAsia="宋体" w:hint="default"/>
                <w:sz w:val="18"/>
                <w:szCs w:val="18"/>
              </w:rPr>
            </w:pPr>
            <w:r>
              <w:rPr>
                <w:rFonts w:ascii="宋体" w:hAnsi="宋体" w:cs="宋体" w:eastAsia="宋体" w:hint="default"/>
                <w:sz w:val="18"/>
                <w:szCs w:val="18"/>
              </w:rPr>
              <w:t>排放方 式</w:t>
            </w:r>
          </w:p>
        </w:tc>
        <w:tc>
          <w:tcPr>
            <w:tcW w:w="85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52"/>
              <w:ind w:left="243" w:right="153" w:hanging="90"/>
              <w:jc w:val="left"/>
              <w:rPr>
                <w:rFonts w:ascii="宋体" w:hAnsi="宋体" w:cs="宋体" w:eastAsia="宋体" w:hint="default"/>
                <w:sz w:val="18"/>
                <w:szCs w:val="18"/>
              </w:rPr>
            </w:pPr>
            <w:r>
              <w:rPr>
                <w:rFonts w:ascii="宋体" w:hAnsi="宋体" w:cs="宋体" w:eastAsia="宋体" w:hint="default"/>
                <w:sz w:val="18"/>
                <w:szCs w:val="18"/>
              </w:rPr>
              <w:t>排放口 数量</w:t>
            </w:r>
          </w:p>
        </w:tc>
        <w:tc>
          <w:tcPr>
            <w:tcW w:w="85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52"/>
              <w:ind w:left="153" w:right="151"/>
              <w:jc w:val="center"/>
              <w:rPr>
                <w:rFonts w:ascii="宋体" w:hAnsi="宋体" w:cs="宋体" w:eastAsia="宋体" w:hint="default"/>
                <w:sz w:val="18"/>
                <w:szCs w:val="18"/>
              </w:rPr>
            </w:pPr>
            <w:r>
              <w:rPr>
                <w:rFonts w:ascii="宋体" w:hAnsi="宋体" w:cs="宋体" w:eastAsia="宋体" w:hint="default"/>
                <w:sz w:val="18"/>
                <w:szCs w:val="18"/>
              </w:rPr>
              <w:t>排放口 分布情 况</w:t>
            </w:r>
          </w:p>
        </w:tc>
        <w:tc>
          <w:tcPr>
            <w:tcW w:w="113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00" w:right="0"/>
              <w:jc w:val="left"/>
              <w:rPr>
                <w:rFonts w:ascii="宋体" w:hAnsi="宋体" w:cs="宋体" w:eastAsia="宋体" w:hint="default"/>
                <w:sz w:val="18"/>
                <w:szCs w:val="18"/>
              </w:rPr>
            </w:pPr>
            <w:r>
              <w:rPr>
                <w:rFonts w:ascii="宋体" w:hAnsi="宋体" w:cs="宋体" w:eastAsia="宋体" w:hint="default"/>
                <w:sz w:val="18"/>
                <w:szCs w:val="18"/>
              </w:rPr>
              <w:t>排放浓度</w:t>
            </w:r>
          </w:p>
        </w:tc>
        <w:tc>
          <w:tcPr>
            <w:tcW w:w="99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52"/>
              <w:ind w:left="133" w:right="132"/>
              <w:jc w:val="center"/>
              <w:rPr>
                <w:rFonts w:ascii="宋体" w:hAnsi="宋体" w:cs="宋体" w:eastAsia="宋体" w:hint="default"/>
                <w:sz w:val="18"/>
                <w:szCs w:val="18"/>
              </w:rPr>
            </w:pPr>
            <w:r>
              <w:rPr>
                <w:rFonts w:ascii="宋体" w:hAnsi="宋体" w:cs="宋体" w:eastAsia="宋体" w:hint="default"/>
                <w:sz w:val="18"/>
                <w:szCs w:val="18"/>
              </w:rPr>
              <w:t>执行的污 染物排放 标准</w:t>
            </w:r>
          </w:p>
        </w:tc>
        <w:tc>
          <w:tcPr>
            <w:tcW w:w="85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52"/>
              <w:ind w:left="333" w:right="152" w:hanging="180"/>
              <w:jc w:val="left"/>
              <w:rPr>
                <w:rFonts w:ascii="宋体" w:hAnsi="宋体" w:cs="宋体" w:eastAsia="宋体" w:hint="default"/>
                <w:sz w:val="18"/>
                <w:szCs w:val="18"/>
              </w:rPr>
            </w:pPr>
            <w:r>
              <w:rPr>
                <w:rFonts w:ascii="宋体" w:hAnsi="宋体" w:cs="宋体" w:eastAsia="宋体" w:hint="default"/>
                <w:sz w:val="18"/>
                <w:szCs w:val="18"/>
              </w:rPr>
              <w:t>排放总 量</w:t>
            </w:r>
          </w:p>
        </w:tc>
        <w:tc>
          <w:tcPr>
            <w:tcW w:w="85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52"/>
              <w:ind w:left="154" w:right="152"/>
              <w:jc w:val="center"/>
              <w:rPr>
                <w:rFonts w:ascii="宋体" w:hAnsi="宋体" w:cs="宋体" w:eastAsia="宋体" w:hint="default"/>
                <w:sz w:val="18"/>
                <w:szCs w:val="18"/>
              </w:rPr>
            </w:pPr>
            <w:r>
              <w:rPr>
                <w:rFonts w:ascii="宋体" w:hAnsi="宋体" w:cs="宋体" w:eastAsia="宋体" w:hint="default"/>
                <w:sz w:val="18"/>
                <w:szCs w:val="18"/>
              </w:rPr>
              <w:t>核定的 排放总 量</w:t>
            </w:r>
          </w:p>
        </w:tc>
        <w:tc>
          <w:tcPr>
            <w:tcW w:w="85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52"/>
              <w:ind w:left="152" w:right="151"/>
              <w:jc w:val="left"/>
              <w:rPr>
                <w:rFonts w:ascii="宋体" w:hAnsi="宋体" w:cs="宋体" w:eastAsia="宋体" w:hint="default"/>
                <w:sz w:val="18"/>
                <w:szCs w:val="18"/>
              </w:rPr>
            </w:pPr>
            <w:r>
              <w:rPr>
                <w:rFonts w:ascii="宋体" w:hAnsi="宋体" w:cs="宋体" w:eastAsia="宋体" w:hint="default"/>
                <w:sz w:val="18"/>
                <w:szCs w:val="18"/>
              </w:rPr>
              <w:t>超标排 放情况</w:t>
            </w:r>
          </w:p>
        </w:tc>
      </w:tr>
      <w:tr>
        <w:trPr>
          <w:trHeight w:val="403" w:hRule="exact"/>
        </w:trPr>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深圳劲</w:t>
            </w:r>
          </w:p>
        </w:tc>
        <w:tc>
          <w:tcPr>
            <w:tcW w:w="858" w:type="dxa"/>
            <w:tcBorders>
              <w:top w:val="single" w:sz="4" w:space="0" w:color="000000"/>
              <w:left w:val="single" w:sz="4" w:space="0" w:color="000000"/>
              <w:bottom w:val="nil" w:sz="6" w:space="0" w:color="auto"/>
              <w:right w:val="single" w:sz="4" w:space="0" w:color="000000"/>
            </w:tcBorders>
          </w:tcPr>
          <w:p>
            <w:pPr/>
          </w:p>
        </w:tc>
        <w:tc>
          <w:tcPr>
            <w:tcW w:w="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3" w:right="0"/>
              <w:jc w:val="left"/>
              <w:rPr>
                <w:rFonts w:ascii="Times New Roman" w:hAnsi="Times New Roman" w:cs="Times New Roman" w:eastAsia="Times New Roman" w:hint="default"/>
                <w:sz w:val="18"/>
                <w:szCs w:val="18"/>
              </w:rPr>
            </w:pPr>
            <w:r>
              <w:rPr>
                <w:rFonts w:ascii="Times New Roman"/>
                <w:sz w:val="18"/>
              </w:rPr>
              <w:t>PH</w:t>
            </w:r>
          </w:p>
        </w:tc>
        <w:tc>
          <w:tcPr>
            <w:tcW w:w="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处理后</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3" w:right="0"/>
              <w:jc w:val="left"/>
              <w:rPr>
                <w:rFonts w:ascii="Times New Roman" w:hAnsi="Times New Roman" w:cs="Times New Roman" w:eastAsia="Times New Roman" w:hint="default"/>
                <w:sz w:val="18"/>
                <w:szCs w:val="18"/>
              </w:rPr>
            </w:pPr>
            <w:r>
              <w:rPr>
                <w:rFonts w:ascii="Times New Roman"/>
                <w:sz w:val="18"/>
              </w:rPr>
              <w:t>1</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污水处</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3" w:right="0"/>
              <w:jc w:val="left"/>
              <w:rPr>
                <w:rFonts w:ascii="Times New Roman" w:hAnsi="Times New Roman" w:cs="Times New Roman" w:eastAsia="Times New Roman" w:hint="default"/>
                <w:sz w:val="18"/>
                <w:szCs w:val="18"/>
              </w:rPr>
            </w:pPr>
            <w:r>
              <w:rPr>
                <w:rFonts w:ascii="Times New Roman"/>
                <w:sz w:val="18"/>
              </w:rPr>
              <w:t>6.95</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3" w:right="0"/>
              <w:jc w:val="left"/>
              <w:rPr>
                <w:rFonts w:ascii="Times New Roman" w:hAnsi="Times New Roman" w:cs="Times New Roman" w:eastAsia="Times New Roman" w:hint="default"/>
                <w:sz w:val="18"/>
                <w:szCs w:val="18"/>
              </w:rPr>
            </w:pPr>
            <w:r>
              <w:rPr>
                <w:rFonts w:ascii="Times New Roman"/>
                <w:sz w:val="18"/>
              </w:rPr>
              <w:t>6-9</w:t>
            </w:r>
          </w:p>
        </w:tc>
        <w:tc>
          <w:tcPr>
            <w:tcW w:w="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1" w:right="0"/>
              <w:jc w:val="left"/>
              <w:rPr>
                <w:rFonts w:ascii="Times New Roman" w:hAnsi="Times New Roman" w:cs="Times New Roman" w:eastAsia="Times New Roman" w:hint="default"/>
                <w:sz w:val="18"/>
                <w:szCs w:val="18"/>
              </w:rPr>
            </w:pPr>
            <w:r>
              <w:rPr>
                <w:rFonts w:ascii="Times New Roman"/>
                <w:sz w:val="18"/>
              </w:rPr>
              <w:t>/</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3" w:right="0"/>
              <w:jc w:val="left"/>
              <w:rPr>
                <w:rFonts w:ascii="Times New Roman" w:hAnsi="Times New Roman" w:cs="Times New Roman" w:eastAsia="Times New Roman" w:hint="default"/>
                <w:sz w:val="18"/>
                <w:szCs w:val="18"/>
              </w:rPr>
            </w:pPr>
            <w:r>
              <w:rPr>
                <w:rFonts w:ascii="Times New Roman"/>
                <w:sz w:val="18"/>
              </w:rPr>
              <w:t>/</w:t>
            </w:r>
          </w:p>
        </w:tc>
        <w:tc>
          <w:tcPr>
            <w:tcW w:w="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after="0" w:line="240" w:lineRule="auto"/>
        <w:jc w:val="left"/>
        <w:rPr>
          <w:rFonts w:ascii="宋体" w:hAnsi="宋体" w:cs="宋体" w:eastAsia="宋体" w:hint="default"/>
          <w:sz w:val="18"/>
          <w:szCs w:val="18"/>
        </w:rPr>
        <w:sectPr>
          <w:pgSz w:w="11910" w:h="16840"/>
          <w:pgMar w:header="747" w:footer="979" w:top="1060" w:bottom="1160" w:left="92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01" w:type="dxa"/>
        <w:tblLayout w:type="fixed"/>
        <w:tblCellMar>
          <w:top w:w="0" w:type="dxa"/>
          <w:left w:w="0" w:type="dxa"/>
          <w:bottom w:w="0" w:type="dxa"/>
          <w:right w:w="0" w:type="dxa"/>
        </w:tblCellMar>
        <w:tblLook w:val="01E0"/>
      </w:tblPr>
      <w:tblGrid>
        <w:gridCol w:w="862"/>
        <w:gridCol w:w="858"/>
        <w:gridCol w:w="858"/>
        <w:gridCol w:w="860"/>
        <w:gridCol w:w="857"/>
        <w:gridCol w:w="857"/>
        <w:gridCol w:w="1133"/>
        <w:gridCol w:w="998"/>
        <w:gridCol w:w="858"/>
        <w:gridCol w:w="859"/>
        <w:gridCol w:w="856"/>
      </w:tblGrid>
      <w:tr>
        <w:trPr>
          <w:trHeight w:val="674" w:hRule="exact"/>
        </w:trPr>
        <w:tc>
          <w:tcPr>
            <w:tcW w:w="862" w:type="dxa"/>
            <w:vMerge w:val="restart"/>
            <w:tcBorders>
              <w:top w:val="single" w:sz="4" w:space="0" w:color="000000"/>
              <w:left w:val="single" w:sz="4" w:space="0" w:color="000000"/>
              <w:right w:val="single" w:sz="4" w:space="0" w:color="000000"/>
            </w:tcBorders>
          </w:tcPr>
          <w:p>
            <w:pPr>
              <w:pStyle w:val="TableParagraph"/>
              <w:spacing w:line="319" w:lineRule="auto" w:before="10"/>
              <w:ind w:left="103" w:right="207"/>
              <w:jc w:val="both"/>
              <w:rPr>
                <w:rFonts w:ascii="宋体" w:hAnsi="宋体" w:cs="宋体" w:eastAsia="宋体" w:hint="default"/>
                <w:sz w:val="18"/>
                <w:szCs w:val="18"/>
              </w:rPr>
            </w:pPr>
            <w:r>
              <w:rPr>
                <w:rFonts w:ascii="宋体" w:hAnsi="宋体" w:cs="宋体" w:eastAsia="宋体" w:hint="default"/>
                <w:sz w:val="18"/>
                <w:szCs w:val="18"/>
              </w:rPr>
              <w:t>嘉集团 股份有 限公司</w:t>
            </w:r>
          </w:p>
        </w:tc>
        <w:tc>
          <w:tcPr>
            <w:tcW w:w="85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319" w:lineRule="auto"/>
              <w:ind w:left="103" w:right="203"/>
              <w:jc w:val="left"/>
              <w:rPr>
                <w:rFonts w:ascii="宋体" w:hAnsi="宋体" w:cs="宋体" w:eastAsia="宋体" w:hint="default"/>
                <w:sz w:val="18"/>
                <w:szCs w:val="18"/>
              </w:rPr>
            </w:pPr>
            <w:r>
              <w:rPr>
                <w:rFonts w:ascii="宋体" w:hAnsi="宋体" w:cs="宋体" w:eastAsia="宋体" w:hint="default"/>
                <w:sz w:val="18"/>
                <w:szCs w:val="18"/>
              </w:rPr>
              <w:t>工业废 水</w:t>
            </w:r>
          </w:p>
        </w:tc>
        <w:tc>
          <w:tcPr>
            <w:tcW w:w="858" w:type="dxa"/>
            <w:tcBorders>
              <w:top w:val="single" w:sz="4" w:space="0" w:color="000000"/>
              <w:left w:val="single" w:sz="4" w:space="0" w:color="000000"/>
              <w:bottom w:val="single" w:sz="4" w:space="0" w:color="000000"/>
              <w:right w:val="single" w:sz="4" w:space="0" w:color="000000"/>
            </w:tcBorders>
          </w:tcPr>
          <w:p>
            <w:pPr/>
          </w:p>
        </w:tc>
        <w:tc>
          <w:tcPr>
            <w:tcW w:w="86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103" w:right="205"/>
              <w:jc w:val="left"/>
              <w:rPr>
                <w:rFonts w:ascii="宋体" w:hAnsi="宋体" w:cs="宋体" w:eastAsia="宋体" w:hint="default"/>
                <w:sz w:val="18"/>
                <w:szCs w:val="18"/>
              </w:rPr>
            </w:pPr>
            <w:r>
              <w:rPr>
                <w:rFonts w:ascii="宋体" w:hAnsi="宋体" w:cs="宋体" w:eastAsia="宋体" w:hint="default"/>
                <w:sz w:val="18"/>
                <w:szCs w:val="18"/>
              </w:rPr>
              <w:t>达标排 放</w:t>
            </w:r>
          </w:p>
        </w:tc>
        <w:tc>
          <w:tcPr>
            <w:tcW w:w="857"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理站</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楼</w:t>
            </w:r>
          </w:p>
        </w:tc>
        <w:tc>
          <w:tcPr>
            <w:tcW w:w="1133" w:type="dxa"/>
            <w:tcBorders>
              <w:top w:val="single" w:sz="4" w:space="0" w:color="000000"/>
              <w:left w:val="single" w:sz="4" w:space="0" w:color="000000"/>
              <w:bottom w:val="single" w:sz="4" w:space="0" w:color="000000"/>
              <w:right w:val="single" w:sz="4" w:space="0" w:color="000000"/>
            </w:tcBorders>
          </w:tcPr>
          <w:p>
            <w:pPr/>
          </w:p>
        </w:tc>
        <w:tc>
          <w:tcPr>
            <w:tcW w:w="998" w:type="dxa"/>
            <w:tcBorders>
              <w:top w:val="single" w:sz="4" w:space="0" w:color="000000"/>
              <w:left w:val="single" w:sz="4" w:space="0" w:color="000000"/>
              <w:bottom w:val="single" w:sz="4" w:space="0" w:color="000000"/>
              <w:right w:val="single" w:sz="4" w:space="0" w:color="000000"/>
            </w:tcBorders>
          </w:tcPr>
          <w:p>
            <w:pPr/>
          </w:p>
        </w:tc>
        <w:tc>
          <w:tcPr>
            <w:tcW w:w="858" w:type="dxa"/>
            <w:tcBorders>
              <w:top w:val="single" w:sz="4" w:space="0" w:color="000000"/>
              <w:left w:val="single" w:sz="4" w:space="0" w:color="000000"/>
              <w:bottom w:val="single" w:sz="4" w:space="0" w:color="000000"/>
              <w:right w:val="single" w:sz="4" w:space="0" w:color="000000"/>
            </w:tcBorders>
          </w:tcPr>
          <w:p>
            <w:pPr/>
          </w:p>
        </w:tc>
        <w:tc>
          <w:tcPr>
            <w:tcW w:w="859" w:type="dxa"/>
            <w:tcBorders>
              <w:top w:val="single" w:sz="4" w:space="0" w:color="000000"/>
              <w:left w:val="single" w:sz="4" w:space="0" w:color="000000"/>
              <w:bottom w:val="single" w:sz="4" w:space="0" w:color="000000"/>
              <w:right w:val="single" w:sz="4" w:space="0" w:color="000000"/>
            </w:tcBorders>
          </w:tcPr>
          <w:p>
            <w:pPr/>
          </w:p>
        </w:tc>
        <w:tc>
          <w:tcPr>
            <w:tcW w:w="856"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862" w:type="dxa"/>
            <w:vMerge/>
            <w:tcBorders>
              <w:left w:val="single" w:sz="4" w:space="0" w:color="000000"/>
              <w:right w:val="single" w:sz="4" w:space="0" w:color="000000"/>
            </w:tcBorders>
          </w:tcPr>
          <w:p>
            <w:pPr/>
          </w:p>
        </w:tc>
        <w:tc>
          <w:tcPr>
            <w:tcW w:w="858" w:type="dxa"/>
            <w:vMerge/>
            <w:tcBorders>
              <w:left w:val="single" w:sz="4" w:space="0" w:color="000000"/>
              <w:right w:val="single" w:sz="4" w:space="0" w:color="000000"/>
            </w:tcBorders>
          </w:tcPr>
          <w:p>
            <w:pPr/>
          </w:p>
        </w:tc>
        <w:tc>
          <w:tcPr>
            <w:tcW w:w="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色度</w:t>
            </w:r>
          </w:p>
        </w:tc>
        <w:tc>
          <w:tcPr>
            <w:tcW w:w="86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205"/>
              <w:jc w:val="both"/>
              <w:rPr>
                <w:rFonts w:ascii="宋体" w:hAnsi="宋体" w:cs="宋体" w:eastAsia="宋体" w:hint="default"/>
                <w:sz w:val="18"/>
                <w:szCs w:val="18"/>
              </w:rPr>
            </w:pPr>
            <w:r>
              <w:rPr>
                <w:rFonts w:ascii="宋体" w:hAnsi="宋体" w:cs="宋体" w:eastAsia="宋体" w:hint="default"/>
                <w:sz w:val="18"/>
                <w:szCs w:val="18"/>
              </w:rPr>
              <w:t>处理后 达标排 放</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1</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103" w:right="203"/>
              <w:jc w:val="both"/>
              <w:rPr>
                <w:rFonts w:ascii="宋体" w:hAnsi="宋体" w:cs="宋体" w:eastAsia="宋体" w:hint="default"/>
                <w:sz w:val="18"/>
                <w:szCs w:val="18"/>
              </w:rPr>
            </w:pPr>
            <w:r>
              <w:rPr>
                <w:rFonts w:ascii="宋体" w:hAnsi="宋体" w:cs="宋体" w:eastAsia="宋体" w:hint="default"/>
                <w:sz w:val="18"/>
                <w:szCs w:val="18"/>
              </w:rPr>
              <w:t>污水处 理站</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楼</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倍</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倍</w:t>
            </w:r>
          </w:p>
        </w:tc>
        <w:tc>
          <w:tcPr>
            <w:tcW w:w="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1" w:right="0"/>
              <w:jc w:val="left"/>
              <w:rPr>
                <w:rFonts w:ascii="Times New Roman" w:hAnsi="Times New Roman" w:cs="Times New Roman" w:eastAsia="Times New Roman" w:hint="default"/>
                <w:sz w:val="18"/>
                <w:szCs w:val="18"/>
              </w:rPr>
            </w:pPr>
            <w:r>
              <w:rPr>
                <w:rFonts w:ascii="Times New Roman"/>
                <w:sz w:val="18"/>
              </w:rPr>
              <w:t>/</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w:t>
            </w:r>
          </w:p>
        </w:tc>
        <w:tc>
          <w:tcPr>
            <w:tcW w:w="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1026" w:hRule="exact"/>
        </w:trPr>
        <w:tc>
          <w:tcPr>
            <w:tcW w:w="862" w:type="dxa"/>
            <w:vMerge/>
            <w:tcBorders>
              <w:left w:val="single" w:sz="4" w:space="0" w:color="000000"/>
              <w:right w:val="single" w:sz="4" w:space="0" w:color="000000"/>
            </w:tcBorders>
          </w:tcPr>
          <w:p>
            <w:pPr/>
          </w:p>
        </w:tc>
        <w:tc>
          <w:tcPr>
            <w:tcW w:w="858" w:type="dxa"/>
            <w:vMerge/>
            <w:tcBorders>
              <w:left w:val="single" w:sz="4" w:space="0" w:color="000000"/>
              <w:right w:val="single" w:sz="4" w:space="0" w:color="000000"/>
            </w:tcBorders>
          </w:tcPr>
          <w:p>
            <w:pPr/>
          </w:p>
        </w:tc>
        <w:tc>
          <w:tcPr>
            <w:tcW w:w="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悬浮物</w:t>
            </w:r>
          </w:p>
        </w:tc>
        <w:tc>
          <w:tcPr>
            <w:tcW w:w="8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205"/>
              <w:jc w:val="both"/>
              <w:rPr>
                <w:rFonts w:ascii="宋体" w:hAnsi="宋体" w:cs="宋体" w:eastAsia="宋体" w:hint="default"/>
                <w:sz w:val="18"/>
                <w:szCs w:val="18"/>
              </w:rPr>
            </w:pPr>
            <w:r>
              <w:rPr>
                <w:rFonts w:ascii="宋体" w:hAnsi="宋体" w:cs="宋体" w:eastAsia="宋体" w:hint="default"/>
                <w:sz w:val="18"/>
                <w:szCs w:val="18"/>
              </w:rPr>
              <w:t>处理后 达标排 放</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1</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103" w:right="203"/>
              <w:jc w:val="both"/>
              <w:rPr>
                <w:rFonts w:ascii="宋体" w:hAnsi="宋体" w:cs="宋体" w:eastAsia="宋体" w:hint="default"/>
                <w:sz w:val="18"/>
                <w:szCs w:val="18"/>
              </w:rPr>
            </w:pPr>
            <w:r>
              <w:rPr>
                <w:rFonts w:ascii="宋体" w:hAnsi="宋体" w:cs="宋体" w:eastAsia="宋体" w:hint="default"/>
                <w:sz w:val="18"/>
                <w:szCs w:val="18"/>
              </w:rPr>
              <w:t>污水处 理站</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楼</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22mg/L</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60</w:t>
            </w:r>
            <w:r>
              <w:rPr>
                <w:rFonts w:ascii="Times New Roman"/>
                <w:spacing w:val="-1"/>
                <w:sz w:val="18"/>
              </w:rPr>
              <w:t> </w:t>
            </w:r>
            <w:r>
              <w:rPr>
                <w:rFonts w:ascii="Times New Roman"/>
                <w:sz w:val="18"/>
              </w:rPr>
              <w:t>mg/L</w:t>
            </w:r>
          </w:p>
        </w:tc>
        <w:tc>
          <w:tcPr>
            <w:tcW w:w="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1" w:right="0"/>
              <w:jc w:val="left"/>
              <w:rPr>
                <w:rFonts w:ascii="Times New Roman" w:hAnsi="Times New Roman" w:cs="Times New Roman" w:eastAsia="Times New Roman" w:hint="default"/>
                <w:sz w:val="18"/>
                <w:szCs w:val="18"/>
              </w:rPr>
            </w:pPr>
            <w:r>
              <w:rPr>
                <w:rFonts w:ascii="Times New Roman"/>
                <w:sz w:val="18"/>
              </w:rPr>
              <w:t>0.05</w:t>
            </w:r>
            <w:r>
              <w:rPr>
                <w:rFonts w:ascii="Times New Roman"/>
                <w:spacing w:val="-4"/>
                <w:sz w:val="18"/>
              </w:rPr>
              <w:t> </w:t>
            </w:r>
            <w:r>
              <w:rPr>
                <w:rFonts w:ascii="Times New Roman"/>
                <w:sz w:val="18"/>
              </w:rPr>
              <w:t>T</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0.27</w:t>
            </w:r>
            <w:r>
              <w:rPr>
                <w:rFonts w:ascii="Times New Roman"/>
                <w:spacing w:val="-4"/>
                <w:sz w:val="18"/>
              </w:rPr>
              <w:t> </w:t>
            </w:r>
            <w:r>
              <w:rPr>
                <w:rFonts w:ascii="Times New Roman"/>
                <w:sz w:val="18"/>
              </w:rPr>
              <w:t>T</w:t>
            </w:r>
          </w:p>
        </w:tc>
        <w:tc>
          <w:tcPr>
            <w:tcW w:w="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1026" w:hRule="exact"/>
        </w:trPr>
        <w:tc>
          <w:tcPr>
            <w:tcW w:w="862" w:type="dxa"/>
            <w:vMerge/>
            <w:tcBorders>
              <w:left w:val="single" w:sz="4" w:space="0" w:color="000000"/>
              <w:right w:val="single" w:sz="4" w:space="0" w:color="000000"/>
            </w:tcBorders>
          </w:tcPr>
          <w:p>
            <w:pPr/>
          </w:p>
        </w:tc>
        <w:tc>
          <w:tcPr>
            <w:tcW w:w="858" w:type="dxa"/>
            <w:vMerge/>
            <w:tcBorders>
              <w:left w:val="single" w:sz="4" w:space="0" w:color="000000"/>
              <w:right w:val="single" w:sz="4" w:space="0" w:color="000000"/>
            </w:tcBorders>
          </w:tcPr>
          <w:p>
            <w:pPr/>
          </w:p>
        </w:tc>
        <w:tc>
          <w:tcPr>
            <w:tcW w:w="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BOD</w:t>
            </w:r>
          </w:p>
        </w:tc>
        <w:tc>
          <w:tcPr>
            <w:tcW w:w="8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205"/>
              <w:jc w:val="both"/>
              <w:rPr>
                <w:rFonts w:ascii="宋体" w:hAnsi="宋体" w:cs="宋体" w:eastAsia="宋体" w:hint="default"/>
                <w:sz w:val="18"/>
                <w:szCs w:val="18"/>
              </w:rPr>
            </w:pPr>
            <w:r>
              <w:rPr>
                <w:rFonts w:ascii="宋体" w:hAnsi="宋体" w:cs="宋体" w:eastAsia="宋体" w:hint="default"/>
                <w:sz w:val="18"/>
                <w:szCs w:val="18"/>
              </w:rPr>
              <w:t>处理后 达标排 放</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1</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103" w:right="203"/>
              <w:jc w:val="both"/>
              <w:rPr>
                <w:rFonts w:ascii="宋体" w:hAnsi="宋体" w:cs="宋体" w:eastAsia="宋体" w:hint="default"/>
                <w:sz w:val="18"/>
                <w:szCs w:val="18"/>
              </w:rPr>
            </w:pPr>
            <w:r>
              <w:rPr>
                <w:rFonts w:ascii="宋体" w:hAnsi="宋体" w:cs="宋体" w:eastAsia="宋体" w:hint="default"/>
                <w:sz w:val="18"/>
                <w:szCs w:val="18"/>
              </w:rPr>
              <w:t>污水处 理站</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楼</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16.5</w:t>
            </w:r>
            <w:r>
              <w:rPr>
                <w:rFonts w:ascii="Times New Roman"/>
                <w:spacing w:val="-1"/>
                <w:sz w:val="18"/>
              </w:rPr>
              <w:t> </w:t>
            </w:r>
            <w:r>
              <w:rPr>
                <w:rFonts w:ascii="Times New Roman"/>
                <w:sz w:val="18"/>
              </w:rPr>
              <w:t>mg/L</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20</w:t>
            </w:r>
            <w:r>
              <w:rPr>
                <w:rFonts w:ascii="Times New Roman"/>
                <w:spacing w:val="-1"/>
                <w:sz w:val="18"/>
              </w:rPr>
              <w:t> </w:t>
            </w:r>
            <w:r>
              <w:rPr>
                <w:rFonts w:ascii="Times New Roman"/>
                <w:sz w:val="18"/>
              </w:rPr>
              <w:t>mg/L</w:t>
            </w:r>
          </w:p>
        </w:tc>
        <w:tc>
          <w:tcPr>
            <w:tcW w:w="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1" w:right="0"/>
              <w:jc w:val="left"/>
              <w:rPr>
                <w:rFonts w:ascii="Times New Roman" w:hAnsi="Times New Roman" w:cs="Times New Roman" w:eastAsia="Times New Roman" w:hint="default"/>
                <w:sz w:val="18"/>
                <w:szCs w:val="18"/>
              </w:rPr>
            </w:pPr>
            <w:r>
              <w:rPr>
                <w:rFonts w:ascii="Times New Roman"/>
                <w:sz w:val="18"/>
              </w:rPr>
              <w:t>0.01</w:t>
            </w:r>
            <w:r>
              <w:rPr>
                <w:rFonts w:ascii="Times New Roman"/>
                <w:spacing w:val="-4"/>
                <w:sz w:val="18"/>
              </w:rPr>
              <w:t> </w:t>
            </w:r>
            <w:r>
              <w:rPr>
                <w:rFonts w:ascii="Times New Roman"/>
                <w:sz w:val="18"/>
              </w:rPr>
              <w:t>T</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0.09</w:t>
            </w:r>
            <w:r>
              <w:rPr>
                <w:rFonts w:ascii="Times New Roman"/>
                <w:spacing w:val="-4"/>
                <w:sz w:val="18"/>
              </w:rPr>
              <w:t> </w:t>
            </w:r>
            <w:r>
              <w:rPr>
                <w:rFonts w:ascii="Times New Roman"/>
                <w:sz w:val="18"/>
              </w:rPr>
              <w:t>T</w:t>
            </w:r>
          </w:p>
        </w:tc>
        <w:tc>
          <w:tcPr>
            <w:tcW w:w="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1026" w:hRule="exact"/>
        </w:trPr>
        <w:tc>
          <w:tcPr>
            <w:tcW w:w="862" w:type="dxa"/>
            <w:vMerge/>
            <w:tcBorders>
              <w:left w:val="single" w:sz="4" w:space="0" w:color="000000"/>
              <w:right w:val="single" w:sz="4" w:space="0" w:color="000000"/>
            </w:tcBorders>
          </w:tcPr>
          <w:p>
            <w:pPr/>
          </w:p>
        </w:tc>
        <w:tc>
          <w:tcPr>
            <w:tcW w:w="858" w:type="dxa"/>
            <w:vMerge/>
            <w:tcBorders>
              <w:left w:val="single" w:sz="4" w:space="0" w:color="000000"/>
              <w:right w:val="single" w:sz="4" w:space="0" w:color="000000"/>
            </w:tcBorders>
          </w:tcPr>
          <w:p>
            <w:pPr/>
          </w:p>
        </w:tc>
        <w:tc>
          <w:tcPr>
            <w:tcW w:w="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COD</w:t>
            </w:r>
          </w:p>
        </w:tc>
        <w:tc>
          <w:tcPr>
            <w:tcW w:w="8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205"/>
              <w:jc w:val="both"/>
              <w:rPr>
                <w:rFonts w:ascii="宋体" w:hAnsi="宋体" w:cs="宋体" w:eastAsia="宋体" w:hint="default"/>
                <w:sz w:val="18"/>
                <w:szCs w:val="18"/>
              </w:rPr>
            </w:pPr>
            <w:r>
              <w:rPr>
                <w:rFonts w:ascii="宋体" w:hAnsi="宋体" w:cs="宋体" w:eastAsia="宋体" w:hint="default"/>
                <w:sz w:val="18"/>
                <w:szCs w:val="18"/>
              </w:rPr>
              <w:t>处理后 达标排 放</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1</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103" w:right="203"/>
              <w:jc w:val="both"/>
              <w:rPr>
                <w:rFonts w:ascii="宋体" w:hAnsi="宋体" w:cs="宋体" w:eastAsia="宋体" w:hint="default"/>
                <w:sz w:val="18"/>
                <w:szCs w:val="18"/>
              </w:rPr>
            </w:pPr>
            <w:r>
              <w:rPr>
                <w:rFonts w:ascii="宋体" w:hAnsi="宋体" w:cs="宋体" w:eastAsia="宋体" w:hint="default"/>
                <w:sz w:val="18"/>
                <w:szCs w:val="18"/>
              </w:rPr>
              <w:t>污水处 理站</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楼</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76</w:t>
            </w:r>
            <w:r>
              <w:rPr>
                <w:rFonts w:ascii="Times New Roman"/>
                <w:spacing w:val="-1"/>
                <w:sz w:val="18"/>
              </w:rPr>
              <w:t> </w:t>
            </w:r>
            <w:r>
              <w:rPr>
                <w:rFonts w:ascii="Times New Roman"/>
                <w:sz w:val="18"/>
              </w:rPr>
              <w:t>mg/L</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90</w:t>
            </w:r>
            <w:r>
              <w:rPr>
                <w:rFonts w:ascii="Times New Roman"/>
                <w:spacing w:val="-1"/>
                <w:sz w:val="18"/>
              </w:rPr>
              <w:t> </w:t>
            </w:r>
            <w:r>
              <w:rPr>
                <w:rFonts w:ascii="Times New Roman"/>
                <w:sz w:val="18"/>
              </w:rPr>
              <w:t>mg/L</w:t>
            </w:r>
          </w:p>
        </w:tc>
        <w:tc>
          <w:tcPr>
            <w:tcW w:w="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1" w:right="0"/>
              <w:jc w:val="left"/>
              <w:rPr>
                <w:rFonts w:ascii="Times New Roman" w:hAnsi="Times New Roman" w:cs="Times New Roman" w:eastAsia="Times New Roman" w:hint="default"/>
                <w:sz w:val="18"/>
                <w:szCs w:val="18"/>
              </w:rPr>
            </w:pPr>
            <w:r>
              <w:rPr>
                <w:rFonts w:ascii="Times New Roman"/>
                <w:sz w:val="18"/>
              </w:rPr>
              <w:t>0.09</w:t>
            </w:r>
            <w:r>
              <w:rPr>
                <w:rFonts w:ascii="Times New Roman"/>
                <w:spacing w:val="-4"/>
                <w:sz w:val="18"/>
              </w:rPr>
              <w:t> </w:t>
            </w:r>
            <w:r>
              <w:rPr>
                <w:rFonts w:ascii="Times New Roman"/>
                <w:sz w:val="18"/>
              </w:rPr>
              <w:t>T</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0.41T</w:t>
            </w:r>
          </w:p>
        </w:tc>
        <w:tc>
          <w:tcPr>
            <w:tcW w:w="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1026" w:hRule="exact"/>
        </w:trPr>
        <w:tc>
          <w:tcPr>
            <w:tcW w:w="862" w:type="dxa"/>
            <w:vMerge/>
            <w:tcBorders>
              <w:left w:val="single" w:sz="4" w:space="0" w:color="000000"/>
              <w:right w:val="single" w:sz="4" w:space="0" w:color="000000"/>
            </w:tcBorders>
          </w:tcPr>
          <w:p>
            <w:pPr/>
          </w:p>
        </w:tc>
        <w:tc>
          <w:tcPr>
            <w:tcW w:w="858" w:type="dxa"/>
            <w:vMerge/>
            <w:tcBorders>
              <w:left w:val="single" w:sz="4" w:space="0" w:color="000000"/>
              <w:right w:val="single" w:sz="4" w:space="0" w:color="000000"/>
            </w:tcBorders>
          </w:tcPr>
          <w:p>
            <w:pPr/>
          </w:p>
        </w:tc>
        <w:tc>
          <w:tcPr>
            <w:tcW w:w="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氨氮</w:t>
            </w:r>
          </w:p>
        </w:tc>
        <w:tc>
          <w:tcPr>
            <w:tcW w:w="8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205"/>
              <w:jc w:val="both"/>
              <w:rPr>
                <w:rFonts w:ascii="宋体" w:hAnsi="宋体" w:cs="宋体" w:eastAsia="宋体" w:hint="default"/>
                <w:sz w:val="18"/>
                <w:szCs w:val="18"/>
              </w:rPr>
            </w:pPr>
            <w:r>
              <w:rPr>
                <w:rFonts w:ascii="宋体" w:hAnsi="宋体" w:cs="宋体" w:eastAsia="宋体" w:hint="default"/>
                <w:sz w:val="18"/>
                <w:szCs w:val="18"/>
              </w:rPr>
              <w:t>处理后 达标排 放</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1</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103" w:right="203"/>
              <w:jc w:val="both"/>
              <w:rPr>
                <w:rFonts w:ascii="宋体" w:hAnsi="宋体" w:cs="宋体" w:eastAsia="宋体" w:hint="default"/>
                <w:sz w:val="18"/>
                <w:szCs w:val="18"/>
              </w:rPr>
            </w:pPr>
            <w:r>
              <w:rPr>
                <w:rFonts w:ascii="宋体" w:hAnsi="宋体" w:cs="宋体" w:eastAsia="宋体" w:hint="default"/>
                <w:sz w:val="18"/>
                <w:szCs w:val="18"/>
              </w:rPr>
              <w:t>污水处 理站</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楼</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0.166</w:t>
            </w:r>
            <w:r>
              <w:rPr>
                <w:rFonts w:ascii="Times New Roman"/>
                <w:spacing w:val="-1"/>
                <w:sz w:val="18"/>
              </w:rPr>
              <w:t> </w:t>
            </w:r>
            <w:r>
              <w:rPr>
                <w:rFonts w:ascii="Times New Roman"/>
                <w:sz w:val="18"/>
              </w:rPr>
              <w:t>mg/L</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10</w:t>
            </w:r>
            <w:r>
              <w:rPr>
                <w:rFonts w:ascii="Times New Roman"/>
                <w:spacing w:val="-1"/>
                <w:sz w:val="18"/>
              </w:rPr>
              <w:t> </w:t>
            </w:r>
            <w:r>
              <w:rPr>
                <w:rFonts w:ascii="Times New Roman"/>
                <w:sz w:val="18"/>
              </w:rPr>
              <w:t>mg/L</w:t>
            </w:r>
          </w:p>
        </w:tc>
        <w:tc>
          <w:tcPr>
            <w:tcW w:w="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1" w:right="0"/>
              <w:jc w:val="left"/>
              <w:rPr>
                <w:rFonts w:ascii="Times New Roman" w:hAnsi="Times New Roman" w:cs="Times New Roman" w:eastAsia="Times New Roman" w:hint="default"/>
                <w:sz w:val="18"/>
                <w:szCs w:val="18"/>
              </w:rPr>
            </w:pPr>
            <w:r>
              <w:rPr>
                <w:rFonts w:ascii="Times New Roman"/>
                <w:sz w:val="18"/>
              </w:rPr>
              <w:t>0.01</w:t>
            </w:r>
            <w:r>
              <w:rPr>
                <w:rFonts w:ascii="Times New Roman"/>
                <w:spacing w:val="-4"/>
                <w:sz w:val="18"/>
              </w:rPr>
              <w:t> </w:t>
            </w:r>
            <w:r>
              <w:rPr>
                <w:rFonts w:ascii="Times New Roman"/>
                <w:sz w:val="18"/>
              </w:rPr>
              <w:t>T</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0.05</w:t>
            </w:r>
            <w:r>
              <w:rPr>
                <w:rFonts w:ascii="Times New Roman"/>
                <w:spacing w:val="-4"/>
                <w:sz w:val="18"/>
              </w:rPr>
              <w:t> </w:t>
            </w:r>
            <w:r>
              <w:rPr>
                <w:rFonts w:ascii="Times New Roman"/>
                <w:sz w:val="18"/>
              </w:rPr>
              <w:t>T</w:t>
            </w:r>
          </w:p>
        </w:tc>
        <w:tc>
          <w:tcPr>
            <w:tcW w:w="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1026" w:hRule="exact"/>
        </w:trPr>
        <w:tc>
          <w:tcPr>
            <w:tcW w:w="862" w:type="dxa"/>
            <w:vMerge/>
            <w:tcBorders>
              <w:left w:val="single" w:sz="4" w:space="0" w:color="000000"/>
              <w:right w:val="single" w:sz="4" w:space="0" w:color="000000"/>
            </w:tcBorders>
          </w:tcPr>
          <w:p>
            <w:pPr/>
          </w:p>
        </w:tc>
        <w:tc>
          <w:tcPr>
            <w:tcW w:w="858" w:type="dxa"/>
            <w:vMerge/>
            <w:tcBorders>
              <w:left w:val="single" w:sz="4" w:space="0" w:color="000000"/>
              <w:bottom w:val="single" w:sz="4" w:space="0" w:color="000000"/>
              <w:right w:val="single" w:sz="4" w:space="0" w:color="000000"/>
            </w:tcBorders>
          </w:tcPr>
          <w:p>
            <w:pPr/>
          </w:p>
        </w:tc>
        <w:tc>
          <w:tcPr>
            <w:tcW w:w="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石油类</w:t>
            </w:r>
          </w:p>
        </w:tc>
        <w:tc>
          <w:tcPr>
            <w:tcW w:w="8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205"/>
              <w:jc w:val="both"/>
              <w:rPr>
                <w:rFonts w:ascii="宋体" w:hAnsi="宋体" w:cs="宋体" w:eastAsia="宋体" w:hint="default"/>
                <w:sz w:val="18"/>
                <w:szCs w:val="18"/>
              </w:rPr>
            </w:pPr>
            <w:r>
              <w:rPr>
                <w:rFonts w:ascii="宋体" w:hAnsi="宋体" w:cs="宋体" w:eastAsia="宋体" w:hint="default"/>
                <w:sz w:val="18"/>
                <w:szCs w:val="18"/>
              </w:rPr>
              <w:t>处理后 达标排 放</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1</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103" w:right="203"/>
              <w:jc w:val="both"/>
              <w:rPr>
                <w:rFonts w:ascii="宋体" w:hAnsi="宋体" w:cs="宋体" w:eastAsia="宋体" w:hint="default"/>
                <w:sz w:val="18"/>
                <w:szCs w:val="18"/>
              </w:rPr>
            </w:pPr>
            <w:r>
              <w:rPr>
                <w:rFonts w:ascii="宋体" w:hAnsi="宋体" w:cs="宋体" w:eastAsia="宋体" w:hint="default"/>
                <w:sz w:val="18"/>
                <w:szCs w:val="18"/>
              </w:rPr>
              <w:t>污水处 理站</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楼</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0.06</w:t>
            </w:r>
            <w:r>
              <w:rPr>
                <w:rFonts w:ascii="Times New Roman"/>
                <w:spacing w:val="-1"/>
                <w:sz w:val="18"/>
              </w:rPr>
              <w:t> </w:t>
            </w:r>
            <w:r>
              <w:rPr>
                <w:rFonts w:ascii="Times New Roman"/>
                <w:sz w:val="18"/>
              </w:rPr>
              <w:t>mg/L</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5.0</w:t>
            </w:r>
            <w:r>
              <w:rPr>
                <w:rFonts w:ascii="Times New Roman"/>
                <w:spacing w:val="-1"/>
                <w:sz w:val="18"/>
              </w:rPr>
              <w:t> </w:t>
            </w:r>
            <w:r>
              <w:rPr>
                <w:rFonts w:ascii="Times New Roman"/>
                <w:sz w:val="18"/>
              </w:rPr>
              <w:t>mg/L</w:t>
            </w:r>
          </w:p>
        </w:tc>
        <w:tc>
          <w:tcPr>
            <w:tcW w:w="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1" w:right="0"/>
              <w:jc w:val="left"/>
              <w:rPr>
                <w:rFonts w:ascii="Times New Roman" w:hAnsi="Times New Roman" w:cs="Times New Roman" w:eastAsia="Times New Roman" w:hint="default"/>
                <w:sz w:val="18"/>
                <w:szCs w:val="18"/>
              </w:rPr>
            </w:pPr>
            <w:r>
              <w:rPr>
                <w:rFonts w:ascii="Times New Roman"/>
                <w:sz w:val="18"/>
              </w:rPr>
              <w:t>0.01T</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0.02</w:t>
            </w:r>
            <w:r>
              <w:rPr>
                <w:rFonts w:ascii="Times New Roman"/>
                <w:spacing w:val="-4"/>
                <w:sz w:val="18"/>
              </w:rPr>
              <w:t> </w:t>
            </w:r>
            <w:r>
              <w:rPr>
                <w:rFonts w:ascii="Times New Roman"/>
                <w:sz w:val="18"/>
              </w:rPr>
              <w:t>T</w:t>
            </w:r>
          </w:p>
        </w:tc>
        <w:tc>
          <w:tcPr>
            <w:tcW w:w="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1066" w:hRule="exact"/>
        </w:trPr>
        <w:tc>
          <w:tcPr>
            <w:tcW w:w="862" w:type="dxa"/>
            <w:vMerge/>
            <w:tcBorders>
              <w:left w:val="single" w:sz="4" w:space="0" w:color="000000"/>
              <w:bottom w:val="single" w:sz="4" w:space="0" w:color="000000"/>
              <w:right w:val="single" w:sz="4" w:space="0" w:color="000000"/>
            </w:tcBorders>
          </w:tcPr>
          <w:p>
            <w:pPr/>
          </w:p>
        </w:tc>
        <w:tc>
          <w:tcPr>
            <w:tcW w:w="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319" w:lineRule="auto"/>
              <w:ind w:left="103" w:right="53"/>
              <w:jc w:val="left"/>
              <w:rPr>
                <w:rFonts w:ascii="宋体" w:hAnsi="宋体" w:cs="宋体" w:eastAsia="宋体" w:hint="default"/>
                <w:sz w:val="18"/>
                <w:szCs w:val="18"/>
              </w:rPr>
            </w:pPr>
            <w:r>
              <w:rPr>
                <w:rFonts w:ascii="宋体" w:hAnsi="宋体" w:cs="宋体" w:eastAsia="宋体" w:hint="default"/>
                <w:spacing w:val="33"/>
                <w:sz w:val="18"/>
                <w:szCs w:val="18"/>
              </w:rPr>
              <w:t>工业废</w:t>
            </w:r>
            <w:r>
              <w:rPr>
                <w:rFonts w:ascii="宋体" w:hAnsi="宋体" w:cs="宋体" w:eastAsia="宋体" w:hint="default"/>
                <w:spacing w:val="-40"/>
                <w:sz w:val="18"/>
                <w:szCs w:val="18"/>
              </w:rPr>
              <w:t> </w:t>
            </w:r>
            <w:r>
              <w:rPr>
                <w:rFonts w:ascii="宋体" w:hAnsi="宋体" w:cs="宋体" w:eastAsia="宋体" w:hint="default"/>
                <w:sz w:val="18"/>
                <w:szCs w:val="18"/>
              </w:rPr>
              <w:t>气</w:t>
            </w:r>
          </w:p>
        </w:tc>
        <w:tc>
          <w:tcPr>
            <w:tcW w:w="8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203"/>
              <w:jc w:val="left"/>
              <w:rPr>
                <w:rFonts w:ascii="宋体" w:hAnsi="宋体" w:cs="宋体" w:eastAsia="宋体" w:hint="default"/>
                <w:sz w:val="18"/>
                <w:szCs w:val="18"/>
              </w:rPr>
            </w:pPr>
            <w:r>
              <w:rPr>
                <w:rFonts w:ascii="宋体" w:hAnsi="宋体" w:cs="宋体" w:eastAsia="宋体" w:hint="default"/>
                <w:sz w:val="18"/>
                <w:szCs w:val="18"/>
              </w:rPr>
              <w:t>非甲烷 总烃</w:t>
            </w:r>
          </w:p>
        </w:tc>
        <w:tc>
          <w:tcPr>
            <w:tcW w:w="8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205"/>
              <w:jc w:val="both"/>
              <w:rPr>
                <w:rFonts w:ascii="宋体" w:hAnsi="宋体" w:cs="宋体" w:eastAsia="宋体" w:hint="default"/>
                <w:sz w:val="18"/>
                <w:szCs w:val="18"/>
              </w:rPr>
            </w:pPr>
            <w:r>
              <w:rPr>
                <w:rFonts w:ascii="宋体" w:hAnsi="宋体" w:cs="宋体" w:eastAsia="宋体" w:hint="default"/>
                <w:sz w:val="18"/>
                <w:szCs w:val="18"/>
              </w:rPr>
              <w:t>处理后 达标排 放</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1</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103" w:right="20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生产 楼楼顶</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24.5mg/</w:t>
            </w:r>
            <w:r>
              <w:rPr>
                <w:rFonts w:ascii="Times New Roman"/>
                <w:spacing w:val="-2"/>
                <w:sz w:val="18"/>
              </w:rPr>
              <w:t> </w:t>
            </w:r>
            <w:r>
              <w:rPr>
                <w:rFonts w:ascii="Times New Roman"/>
                <w:sz w:val="18"/>
              </w:rPr>
              <w:t>m3</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120 g/</w:t>
            </w:r>
            <w:r>
              <w:rPr>
                <w:rFonts w:ascii="Times New Roman"/>
                <w:spacing w:val="-1"/>
                <w:sz w:val="18"/>
              </w:rPr>
              <w:t> </w:t>
            </w:r>
            <w:r>
              <w:rPr>
                <w:rFonts w:ascii="Times New Roman"/>
                <w:sz w:val="18"/>
              </w:rPr>
              <w:t>m3</w:t>
            </w:r>
          </w:p>
        </w:tc>
        <w:tc>
          <w:tcPr>
            <w:tcW w:w="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1" w:right="0"/>
              <w:jc w:val="left"/>
              <w:rPr>
                <w:rFonts w:ascii="Times New Roman" w:hAnsi="Times New Roman" w:cs="Times New Roman" w:eastAsia="Times New Roman" w:hint="default"/>
                <w:sz w:val="18"/>
                <w:szCs w:val="18"/>
              </w:rPr>
            </w:pPr>
            <w:r>
              <w:rPr>
                <w:rFonts w:ascii="Times New Roman"/>
                <w:sz w:val="18"/>
              </w:rPr>
              <w:t>18.36T</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32.13</w:t>
            </w:r>
            <w:r>
              <w:rPr>
                <w:rFonts w:ascii="Times New Roman"/>
                <w:spacing w:val="-4"/>
                <w:sz w:val="18"/>
              </w:rPr>
              <w:t> </w:t>
            </w:r>
            <w:r>
              <w:rPr>
                <w:rFonts w:ascii="Times New Roman"/>
                <w:sz w:val="18"/>
              </w:rPr>
              <w:t>T</w:t>
            </w:r>
          </w:p>
        </w:tc>
        <w:tc>
          <w:tcPr>
            <w:tcW w:w="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1026" w:hRule="exact"/>
        </w:trPr>
        <w:tc>
          <w:tcPr>
            <w:tcW w:w="862" w:type="dxa"/>
            <w:vMerge w:val="restart"/>
            <w:tcBorders>
              <w:top w:val="single" w:sz="4" w:space="0" w:color="000000"/>
              <w:left w:val="single" w:sz="4" w:space="0" w:color="000000"/>
              <w:right w:val="single" w:sz="4" w:space="0" w:color="000000"/>
            </w:tcBorders>
          </w:tcPr>
          <w:p>
            <w:pPr>
              <w:pStyle w:val="TableParagraph"/>
              <w:spacing w:line="319" w:lineRule="auto" w:before="51"/>
              <w:ind w:left="103" w:right="207"/>
              <w:jc w:val="both"/>
              <w:rPr>
                <w:rFonts w:ascii="宋体" w:hAnsi="宋体" w:cs="宋体" w:eastAsia="宋体" w:hint="default"/>
                <w:sz w:val="18"/>
                <w:szCs w:val="18"/>
              </w:rPr>
            </w:pPr>
            <w:r>
              <w:rPr>
                <w:rFonts w:ascii="宋体" w:hAnsi="宋体" w:cs="宋体" w:eastAsia="宋体" w:hint="default"/>
                <w:sz w:val="18"/>
                <w:szCs w:val="18"/>
              </w:rPr>
              <w:t>安徽安 泰新型 包装材 料有限 公司</w:t>
            </w:r>
          </w:p>
        </w:tc>
        <w:tc>
          <w:tcPr>
            <w:tcW w:w="858" w:type="dxa"/>
            <w:vMerge w:val="restart"/>
            <w:tcBorders>
              <w:top w:val="single" w:sz="4" w:space="0" w:color="000000"/>
              <w:left w:val="single" w:sz="4" w:space="0" w:color="000000"/>
              <w:right w:val="single" w:sz="4" w:space="0" w:color="000000"/>
            </w:tcBorders>
          </w:tcPr>
          <w:p>
            <w:pPr>
              <w:pStyle w:val="TableParagraph"/>
              <w:spacing w:line="319" w:lineRule="auto" w:before="51"/>
              <w:ind w:left="103" w:right="53"/>
              <w:jc w:val="left"/>
              <w:rPr>
                <w:rFonts w:ascii="宋体" w:hAnsi="宋体" w:cs="宋体" w:eastAsia="宋体" w:hint="default"/>
                <w:sz w:val="18"/>
                <w:szCs w:val="18"/>
              </w:rPr>
            </w:pPr>
            <w:r>
              <w:rPr>
                <w:rFonts w:ascii="宋体" w:hAnsi="宋体" w:cs="宋体" w:eastAsia="宋体" w:hint="default"/>
                <w:spacing w:val="33"/>
                <w:sz w:val="18"/>
                <w:szCs w:val="18"/>
              </w:rPr>
              <w:t>工业废</w:t>
            </w:r>
            <w:r>
              <w:rPr>
                <w:rFonts w:ascii="宋体" w:hAnsi="宋体" w:cs="宋体" w:eastAsia="宋体" w:hint="default"/>
                <w:spacing w:val="-40"/>
                <w:sz w:val="18"/>
                <w:szCs w:val="18"/>
              </w:rPr>
              <w:t> </w:t>
            </w:r>
            <w:r>
              <w:rPr>
                <w:rFonts w:ascii="宋体" w:hAnsi="宋体" w:cs="宋体" w:eastAsia="宋体" w:hint="default"/>
                <w:sz w:val="18"/>
                <w:szCs w:val="18"/>
              </w:rPr>
              <w:t>气</w:t>
            </w:r>
          </w:p>
        </w:tc>
        <w:tc>
          <w:tcPr>
            <w:tcW w:w="85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203"/>
              <w:jc w:val="left"/>
              <w:rPr>
                <w:rFonts w:ascii="宋体" w:hAnsi="宋体" w:cs="宋体" w:eastAsia="宋体" w:hint="default"/>
                <w:sz w:val="18"/>
                <w:szCs w:val="18"/>
              </w:rPr>
            </w:pPr>
            <w:r>
              <w:rPr>
                <w:rFonts w:ascii="宋体" w:hAnsi="宋体" w:cs="宋体" w:eastAsia="宋体" w:hint="default"/>
                <w:sz w:val="18"/>
                <w:szCs w:val="18"/>
              </w:rPr>
              <w:t>氮氧化 物</w:t>
            </w:r>
          </w:p>
        </w:tc>
        <w:tc>
          <w:tcPr>
            <w:tcW w:w="86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205"/>
              <w:jc w:val="both"/>
              <w:rPr>
                <w:rFonts w:ascii="宋体" w:hAnsi="宋体" w:cs="宋体" w:eastAsia="宋体" w:hint="default"/>
                <w:sz w:val="18"/>
                <w:szCs w:val="18"/>
              </w:rPr>
            </w:pPr>
            <w:r>
              <w:rPr>
                <w:rFonts w:ascii="宋体" w:hAnsi="宋体" w:cs="宋体" w:eastAsia="宋体" w:hint="default"/>
                <w:sz w:val="18"/>
                <w:szCs w:val="18"/>
              </w:rPr>
              <w:t>处理后 达标排 放</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1</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203"/>
              <w:jc w:val="left"/>
              <w:rPr>
                <w:rFonts w:ascii="宋体" w:hAnsi="宋体" w:cs="宋体" w:eastAsia="宋体" w:hint="default"/>
                <w:sz w:val="18"/>
                <w:szCs w:val="18"/>
              </w:rPr>
            </w:pPr>
            <w:r>
              <w:rPr>
                <w:rFonts w:ascii="宋体" w:hAnsi="宋体" w:cs="宋体" w:eastAsia="宋体" w:hint="default"/>
                <w:sz w:val="18"/>
                <w:szCs w:val="18"/>
              </w:rPr>
              <w:t>生产车 间</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54mg/m3</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240mg/m3</w:t>
            </w:r>
          </w:p>
        </w:tc>
        <w:tc>
          <w:tcPr>
            <w:tcW w:w="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1" w:right="0"/>
              <w:jc w:val="left"/>
              <w:rPr>
                <w:rFonts w:ascii="Times New Roman" w:hAnsi="Times New Roman" w:cs="Times New Roman" w:eastAsia="Times New Roman" w:hint="default"/>
                <w:sz w:val="18"/>
                <w:szCs w:val="18"/>
              </w:rPr>
            </w:pPr>
            <w:r>
              <w:rPr>
                <w:rFonts w:ascii="Times New Roman"/>
                <w:sz w:val="18"/>
              </w:rPr>
              <w:t>0.56T</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2.51T</w:t>
            </w:r>
          </w:p>
        </w:tc>
        <w:tc>
          <w:tcPr>
            <w:tcW w:w="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1026" w:hRule="exact"/>
        </w:trPr>
        <w:tc>
          <w:tcPr>
            <w:tcW w:w="862" w:type="dxa"/>
            <w:vMerge/>
            <w:tcBorders>
              <w:left w:val="single" w:sz="4" w:space="0" w:color="000000"/>
              <w:right w:val="single" w:sz="4" w:space="0" w:color="000000"/>
            </w:tcBorders>
          </w:tcPr>
          <w:p>
            <w:pPr/>
          </w:p>
        </w:tc>
        <w:tc>
          <w:tcPr>
            <w:tcW w:w="858" w:type="dxa"/>
            <w:vMerge/>
            <w:tcBorders>
              <w:left w:val="single" w:sz="4" w:space="0" w:color="000000"/>
              <w:right w:val="single" w:sz="4" w:space="0" w:color="000000"/>
            </w:tcBorders>
          </w:tcPr>
          <w:p>
            <w:pPr/>
          </w:p>
        </w:tc>
        <w:tc>
          <w:tcPr>
            <w:tcW w:w="85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203"/>
              <w:jc w:val="left"/>
              <w:rPr>
                <w:rFonts w:ascii="宋体" w:hAnsi="宋体" w:cs="宋体" w:eastAsia="宋体" w:hint="default"/>
                <w:sz w:val="18"/>
                <w:szCs w:val="18"/>
              </w:rPr>
            </w:pPr>
            <w:r>
              <w:rPr>
                <w:rFonts w:ascii="宋体" w:hAnsi="宋体" w:cs="宋体" w:eastAsia="宋体" w:hint="default"/>
                <w:sz w:val="18"/>
                <w:szCs w:val="18"/>
              </w:rPr>
              <w:t>二氧化 硫</w:t>
            </w:r>
          </w:p>
        </w:tc>
        <w:tc>
          <w:tcPr>
            <w:tcW w:w="86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205"/>
              <w:jc w:val="both"/>
              <w:rPr>
                <w:rFonts w:ascii="宋体" w:hAnsi="宋体" w:cs="宋体" w:eastAsia="宋体" w:hint="default"/>
                <w:sz w:val="18"/>
                <w:szCs w:val="18"/>
              </w:rPr>
            </w:pPr>
            <w:r>
              <w:rPr>
                <w:rFonts w:ascii="宋体" w:hAnsi="宋体" w:cs="宋体" w:eastAsia="宋体" w:hint="default"/>
                <w:sz w:val="18"/>
                <w:szCs w:val="18"/>
              </w:rPr>
              <w:t>处理后 达标排 放</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1</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203"/>
              <w:jc w:val="left"/>
              <w:rPr>
                <w:rFonts w:ascii="宋体" w:hAnsi="宋体" w:cs="宋体" w:eastAsia="宋体" w:hint="default"/>
                <w:sz w:val="18"/>
                <w:szCs w:val="18"/>
              </w:rPr>
            </w:pPr>
            <w:r>
              <w:rPr>
                <w:rFonts w:ascii="宋体" w:hAnsi="宋体" w:cs="宋体" w:eastAsia="宋体" w:hint="default"/>
                <w:sz w:val="18"/>
                <w:szCs w:val="18"/>
              </w:rPr>
              <w:t>生产车 间</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19mg/m3</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550mg/m3</w:t>
            </w:r>
          </w:p>
        </w:tc>
        <w:tc>
          <w:tcPr>
            <w:tcW w:w="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1" w:right="0"/>
              <w:jc w:val="left"/>
              <w:rPr>
                <w:rFonts w:ascii="Times New Roman" w:hAnsi="Times New Roman" w:cs="Times New Roman" w:eastAsia="Times New Roman" w:hint="default"/>
                <w:sz w:val="18"/>
                <w:szCs w:val="18"/>
              </w:rPr>
            </w:pPr>
            <w:r>
              <w:rPr>
                <w:rFonts w:ascii="Times New Roman"/>
                <w:sz w:val="18"/>
              </w:rPr>
              <w:t>0.2T</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5.75T</w:t>
            </w:r>
          </w:p>
        </w:tc>
        <w:tc>
          <w:tcPr>
            <w:tcW w:w="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1026" w:hRule="exact"/>
        </w:trPr>
        <w:tc>
          <w:tcPr>
            <w:tcW w:w="862" w:type="dxa"/>
            <w:vMerge/>
            <w:tcBorders>
              <w:left w:val="single" w:sz="4" w:space="0" w:color="000000"/>
              <w:right w:val="single" w:sz="4" w:space="0" w:color="000000"/>
            </w:tcBorders>
          </w:tcPr>
          <w:p>
            <w:pPr/>
          </w:p>
        </w:tc>
        <w:tc>
          <w:tcPr>
            <w:tcW w:w="858" w:type="dxa"/>
            <w:vMerge/>
            <w:tcBorders>
              <w:left w:val="single" w:sz="4" w:space="0" w:color="000000"/>
              <w:right w:val="single" w:sz="4" w:space="0" w:color="000000"/>
            </w:tcBorders>
          </w:tcPr>
          <w:p>
            <w:pPr/>
          </w:p>
        </w:tc>
        <w:tc>
          <w:tcPr>
            <w:tcW w:w="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粉尘</w:t>
            </w:r>
          </w:p>
        </w:tc>
        <w:tc>
          <w:tcPr>
            <w:tcW w:w="86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205"/>
              <w:jc w:val="both"/>
              <w:rPr>
                <w:rFonts w:ascii="宋体" w:hAnsi="宋体" w:cs="宋体" w:eastAsia="宋体" w:hint="default"/>
                <w:sz w:val="18"/>
                <w:szCs w:val="18"/>
              </w:rPr>
            </w:pPr>
            <w:r>
              <w:rPr>
                <w:rFonts w:ascii="宋体" w:hAnsi="宋体" w:cs="宋体" w:eastAsia="宋体" w:hint="default"/>
                <w:sz w:val="18"/>
                <w:szCs w:val="18"/>
              </w:rPr>
              <w:t>处理后 达标排 放</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1</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203"/>
              <w:jc w:val="left"/>
              <w:rPr>
                <w:rFonts w:ascii="宋体" w:hAnsi="宋体" w:cs="宋体" w:eastAsia="宋体" w:hint="default"/>
                <w:sz w:val="18"/>
                <w:szCs w:val="18"/>
              </w:rPr>
            </w:pPr>
            <w:r>
              <w:rPr>
                <w:rFonts w:ascii="宋体" w:hAnsi="宋体" w:cs="宋体" w:eastAsia="宋体" w:hint="default"/>
                <w:sz w:val="18"/>
                <w:szCs w:val="18"/>
              </w:rPr>
              <w:t>生产车 间</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2.16mg/m3</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120mg/m3</w:t>
            </w:r>
          </w:p>
        </w:tc>
        <w:tc>
          <w:tcPr>
            <w:tcW w:w="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1" w:right="0"/>
              <w:jc w:val="left"/>
              <w:rPr>
                <w:rFonts w:ascii="Times New Roman" w:hAnsi="Times New Roman" w:cs="Times New Roman" w:eastAsia="Times New Roman" w:hint="default"/>
                <w:sz w:val="18"/>
                <w:szCs w:val="18"/>
              </w:rPr>
            </w:pPr>
            <w:r>
              <w:rPr>
                <w:rFonts w:ascii="Times New Roman"/>
                <w:sz w:val="18"/>
              </w:rPr>
              <w:t>0.02T</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1.25T</w:t>
            </w:r>
          </w:p>
        </w:tc>
        <w:tc>
          <w:tcPr>
            <w:tcW w:w="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1026" w:hRule="exact"/>
        </w:trPr>
        <w:tc>
          <w:tcPr>
            <w:tcW w:w="862" w:type="dxa"/>
            <w:vMerge/>
            <w:tcBorders>
              <w:left w:val="single" w:sz="4" w:space="0" w:color="000000"/>
              <w:right w:val="single" w:sz="4" w:space="0" w:color="000000"/>
            </w:tcBorders>
          </w:tcPr>
          <w:p>
            <w:pPr/>
          </w:p>
        </w:tc>
        <w:tc>
          <w:tcPr>
            <w:tcW w:w="858" w:type="dxa"/>
            <w:vMerge/>
            <w:tcBorders>
              <w:left w:val="single" w:sz="4" w:space="0" w:color="000000"/>
              <w:right w:val="single" w:sz="4" w:space="0" w:color="000000"/>
            </w:tcBorders>
          </w:tcPr>
          <w:p>
            <w:pPr/>
          </w:p>
        </w:tc>
        <w:tc>
          <w:tcPr>
            <w:tcW w:w="85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203"/>
              <w:jc w:val="left"/>
              <w:rPr>
                <w:rFonts w:ascii="宋体" w:hAnsi="宋体" w:cs="宋体" w:eastAsia="宋体" w:hint="default"/>
                <w:sz w:val="18"/>
                <w:szCs w:val="18"/>
              </w:rPr>
            </w:pPr>
            <w:r>
              <w:rPr>
                <w:rFonts w:ascii="宋体" w:hAnsi="宋体" w:cs="宋体" w:eastAsia="宋体" w:hint="default"/>
                <w:sz w:val="18"/>
                <w:szCs w:val="18"/>
              </w:rPr>
              <w:t>非甲烷 总烃</w:t>
            </w:r>
          </w:p>
        </w:tc>
        <w:tc>
          <w:tcPr>
            <w:tcW w:w="86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205"/>
              <w:jc w:val="both"/>
              <w:rPr>
                <w:rFonts w:ascii="宋体" w:hAnsi="宋体" w:cs="宋体" w:eastAsia="宋体" w:hint="default"/>
                <w:sz w:val="18"/>
                <w:szCs w:val="18"/>
              </w:rPr>
            </w:pPr>
            <w:r>
              <w:rPr>
                <w:rFonts w:ascii="宋体" w:hAnsi="宋体" w:cs="宋体" w:eastAsia="宋体" w:hint="default"/>
                <w:sz w:val="18"/>
                <w:szCs w:val="18"/>
              </w:rPr>
              <w:t>处理后 达标排 放</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4</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203"/>
              <w:jc w:val="left"/>
              <w:rPr>
                <w:rFonts w:ascii="宋体" w:hAnsi="宋体" w:cs="宋体" w:eastAsia="宋体" w:hint="default"/>
                <w:sz w:val="18"/>
                <w:szCs w:val="18"/>
              </w:rPr>
            </w:pPr>
            <w:r>
              <w:rPr>
                <w:rFonts w:ascii="宋体" w:hAnsi="宋体" w:cs="宋体" w:eastAsia="宋体" w:hint="default"/>
                <w:sz w:val="18"/>
                <w:szCs w:val="18"/>
              </w:rPr>
              <w:t>生产车 间</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5.96mg/m3</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120mg/m3</w:t>
            </w:r>
          </w:p>
        </w:tc>
        <w:tc>
          <w:tcPr>
            <w:tcW w:w="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1" w:right="0"/>
              <w:jc w:val="left"/>
              <w:rPr>
                <w:rFonts w:ascii="Times New Roman" w:hAnsi="Times New Roman" w:cs="Times New Roman" w:eastAsia="Times New Roman" w:hint="default"/>
                <w:sz w:val="18"/>
                <w:szCs w:val="18"/>
              </w:rPr>
            </w:pPr>
            <w:r>
              <w:rPr>
                <w:rFonts w:ascii="Times New Roman"/>
                <w:sz w:val="18"/>
              </w:rPr>
              <w:t>0.84T</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16.86T</w:t>
            </w:r>
          </w:p>
        </w:tc>
        <w:tc>
          <w:tcPr>
            <w:tcW w:w="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1026" w:hRule="exact"/>
        </w:trPr>
        <w:tc>
          <w:tcPr>
            <w:tcW w:w="862" w:type="dxa"/>
            <w:vMerge/>
            <w:tcBorders>
              <w:left w:val="single" w:sz="4" w:space="0" w:color="000000"/>
              <w:right w:val="single" w:sz="4" w:space="0" w:color="000000"/>
            </w:tcBorders>
          </w:tcPr>
          <w:p>
            <w:pPr/>
          </w:p>
        </w:tc>
        <w:tc>
          <w:tcPr>
            <w:tcW w:w="858" w:type="dxa"/>
            <w:vMerge/>
            <w:tcBorders>
              <w:left w:val="single" w:sz="4" w:space="0" w:color="000000"/>
              <w:right w:val="single" w:sz="4" w:space="0" w:color="000000"/>
            </w:tcBorders>
          </w:tcPr>
          <w:p>
            <w:pPr/>
          </w:p>
        </w:tc>
        <w:tc>
          <w:tcPr>
            <w:tcW w:w="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苯</w:t>
            </w:r>
          </w:p>
        </w:tc>
        <w:tc>
          <w:tcPr>
            <w:tcW w:w="86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205"/>
              <w:jc w:val="both"/>
              <w:rPr>
                <w:rFonts w:ascii="宋体" w:hAnsi="宋体" w:cs="宋体" w:eastAsia="宋体" w:hint="default"/>
                <w:sz w:val="18"/>
                <w:szCs w:val="18"/>
              </w:rPr>
            </w:pPr>
            <w:r>
              <w:rPr>
                <w:rFonts w:ascii="宋体" w:hAnsi="宋体" w:cs="宋体" w:eastAsia="宋体" w:hint="default"/>
                <w:sz w:val="18"/>
                <w:szCs w:val="18"/>
              </w:rPr>
              <w:t>处理后 达标排 放</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4</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203"/>
              <w:jc w:val="left"/>
              <w:rPr>
                <w:rFonts w:ascii="宋体" w:hAnsi="宋体" w:cs="宋体" w:eastAsia="宋体" w:hint="default"/>
                <w:sz w:val="18"/>
                <w:szCs w:val="18"/>
              </w:rPr>
            </w:pPr>
            <w:r>
              <w:rPr>
                <w:rFonts w:ascii="宋体" w:hAnsi="宋体" w:cs="宋体" w:eastAsia="宋体" w:hint="default"/>
                <w:sz w:val="18"/>
                <w:szCs w:val="18"/>
              </w:rPr>
              <w:t>生产车 间</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3.16mg/m3</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17mg/m3</w:t>
            </w:r>
          </w:p>
        </w:tc>
        <w:tc>
          <w:tcPr>
            <w:tcW w:w="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1" w:right="0"/>
              <w:jc w:val="left"/>
              <w:rPr>
                <w:rFonts w:ascii="Times New Roman" w:hAnsi="Times New Roman" w:cs="Times New Roman" w:eastAsia="Times New Roman" w:hint="default"/>
                <w:sz w:val="18"/>
                <w:szCs w:val="18"/>
              </w:rPr>
            </w:pPr>
            <w:r>
              <w:rPr>
                <w:rFonts w:ascii="Times New Roman"/>
                <w:sz w:val="18"/>
              </w:rPr>
              <w:t>0.44T</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2.39T</w:t>
            </w:r>
          </w:p>
        </w:tc>
        <w:tc>
          <w:tcPr>
            <w:tcW w:w="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714" w:hRule="exact"/>
        </w:trPr>
        <w:tc>
          <w:tcPr>
            <w:tcW w:w="862" w:type="dxa"/>
            <w:vMerge/>
            <w:tcBorders>
              <w:left w:val="single" w:sz="4" w:space="0" w:color="000000"/>
              <w:bottom w:val="single" w:sz="4" w:space="0" w:color="000000"/>
              <w:right w:val="single" w:sz="4" w:space="0" w:color="000000"/>
            </w:tcBorders>
          </w:tcPr>
          <w:p>
            <w:pPr/>
          </w:p>
        </w:tc>
        <w:tc>
          <w:tcPr>
            <w:tcW w:w="858" w:type="dxa"/>
            <w:vMerge/>
            <w:tcBorders>
              <w:left w:val="single" w:sz="4" w:space="0" w:color="000000"/>
              <w:bottom w:val="single" w:sz="4" w:space="0" w:color="000000"/>
              <w:right w:val="single" w:sz="4" w:space="0" w:color="000000"/>
            </w:tcBorders>
          </w:tcPr>
          <w:p>
            <w:pPr/>
          </w:p>
        </w:tc>
        <w:tc>
          <w:tcPr>
            <w:tcW w:w="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甲苯</w:t>
            </w:r>
          </w:p>
        </w:tc>
        <w:tc>
          <w:tcPr>
            <w:tcW w:w="8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205"/>
              <w:jc w:val="left"/>
              <w:rPr>
                <w:rFonts w:ascii="宋体" w:hAnsi="宋体" w:cs="宋体" w:eastAsia="宋体" w:hint="default"/>
                <w:sz w:val="18"/>
                <w:szCs w:val="18"/>
              </w:rPr>
            </w:pPr>
            <w:r>
              <w:rPr>
                <w:rFonts w:ascii="宋体" w:hAnsi="宋体" w:cs="宋体" w:eastAsia="宋体" w:hint="default"/>
                <w:sz w:val="18"/>
                <w:szCs w:val="18"/>
              </w:rPr>
              <w:t>处理后 达标排</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4</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203"/>
              <w:jc w:val="left"/>
              <w:rPr>
                <w:rFonts w:ascii="宋体" w:hAnsi="宋体" w:cs="宋体" w:eastAsia="宋体" w:hint="default"/>
                <w:sz w:val="18"/>
                <w:szCs w:val="18"/>
              </w:rPr>
            </w:pPr>
            <w:r>
              <w:rPr>
                <w:rFonts w:ascii="宋体" w:hAnsi="宋体" w:cs="宋体" w:eastAsia="宋体" w:hint="default"/>
                <w:sz w:val="18"/>
                <w:szCs w:val="18"/>
              </w:rPr>
              <w:t>生产车 间</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0.874mg/m3</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60mg/m3</w:t>
            </w:r>
          </w:p>
        </w:tc>
        <w:tc>
          <w:tcPr>
            <w:tcW w:w="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1" w:right="0"/>
              <w:jc w:val="left"/>
              <w:rPr>
                <w:rFonts w:ascii="Times New Roman" w:hAnsi="Times New Roman" w:cs="Times New Roman" w:eastAsia="Times New Roman" w:hint="default"/>
                <w:sz w:val="18"/>
                <w:szCs w:val="18"/>
              </w:rPr>
            </w:pPr>
            <w:r>
              <w:rPr>
                <w:rFonts w:ascii="Times New Roman"/>
                <w:sz w:val="18"/>
              </w:rPr>
              <w:t>0.12T</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8.43T</w:t>
            </w:r>
          </w:p>
        </w:tc>
        <w:tc>
          <w:tcPr>
            <w:tcW w:w="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after="0" w:line="240" w:lineRule="auto"/>
        <w:jc w:val="left"/>
        <w:rPr>
          <w:rFonts w:ascii="宋体" w:hAnsi="宋体" w:cs="宋体" w:eastAsia="宋体" w:hint="default"/>
          <w:sz w:val="18"/>
          <w:szCs w:val="18"/>
        </w:rPr>
        <w:sectPr>
          <w:pgSz w:w="11910" w:h="16840"/>
          <w:pgMar w:header="747" w:footer="979" w:top="1060" w:bottom="1160" w:left="92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01" w:type="dxa"/>
        <w:tblLayout w:type="fixed"/>
        <w:tblCellMar>
          <w:top w:w="0" w:type="dxa"/>
          <w:left w:w="0" w:type="dxa"/>
          <w:bottom w:w="0" w:type="dxa"/>
          <w:right w:w="0" w:type="dxa"/>
        </w:tblCellMar>
        <w:tblLook w:val="01E0"/>
      </w:tblPr>
      <w:tblGrid>
        <w:gridCol w:w="862"/>
        <w:gridCol w:w="858"/>
        <w:gridCol w:w="858"/>
        <w:gridCol w:w="860"/>
        <w:gridCol w:w="857"/>
        <w:gridCol w:w="857"/>
        <w:gridCol w:w="1133"/>
        <w:gridCol w:w="998"/>
        <w:gridCol w:w="858"/>
        <w:gridCol w:w="859"/>
        <w:gridCol w:w="858"/>
      </w:tblGrid>
      <w:tr>
        <w:trPr>
          <w:trHeight w:val="362" w:hRule="exact"/>
        </w:trPr>
        <w:tc>
          <w:tcPr>
            <w:tcW w:w="862" w:type="dxa"/>
            <w:vMerge w:val="restart"/>
            <w:tcBorders>
              <w:top w:val="single" w:sz="4" w:space="0" w:color="000000"/>
              <w:left w:val="single" w:sz="4" w:space="0" w:color="000000"/>
              <w:right w:val="single" w:sz="4" w:space="0" w:color="000000"/>
            </w:tcBorders>
          </w:tcPr>
          <w:p>
            <w:pPr/>
          </w:p>
        </w:tc>
        <w:tc>
          <w:tcPr>
            <w:tcW w:w="858" w:type="dxa"/>
            <w:vMerge w:val="restart"/>
            <w:tcBorders>
              <w:top w:val="single" w:sz="4" w:space="0" w:color="000000"/>
              <w:left w:val="single" w:sz="4" w:space="0" w:color="000000"/>
              <w:right w:val="single" w:sz="4" w:space="0" w:color="000000"/>
            </w:tcBorders>
          </w:tcPr>
          <w:p>
            <w:pPr/>
          </w:p>
        </w:tc>
        <w:tc>
          <w:tcPr>
            <w:tcW w:w="858" w:type="dxa"/>
            <w:tcBorders>
              <w:top w:val="single" w:sz="4" w:space="0" w:color="000000"/>
              <w:left w:val="single" w:sz="4" w:space="0" w:color="000000"/>
              <w:bottom w:val="single" w:sz="4" w:space="0" w:color="000000"/>
              <w:right w:val="single" w:sz="4" w:space="0" w:color="000000"/>
            </w:tcBorders>
          </w:tcPr>
          <w:p>
            <w:pPr/>
          </w:p>
        </w:tc>
        <w:tc>
          <w:tcPr>
            <w:tcW w:w="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放</w:t>
            </w:r>
          </w:p>
        </w:tc>
        <w:tc>
          <w:tcPr>
            <w:tcW w:w="857"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998" w:type="dxa"/>
            <w:tcBorders>
              <w:top w:val="single" w:sz="4" w:space="0" w:color="000000"/>
              <w:left w:val="single" w:sz="4" w:space="0" w:color="000000"/>
              <w:bottom w:val="single" w:sz="4" w:space="0" w:color="000000"/>
              <w:right w:val="single" w:sz="4" w:space="0" w:color="000000"/>
            </w:tcBorders>
          </w:tcPr>
          <w:p>
            <w:pPr/>
          </w:p>
        </w:tc>
        <w:tc>
          <w:tcPr>
            <w:tcW w:w="858" w:type="dxa"/>
            <w:tcBorders>
              <w:top w:val="single" w:sz="4" w:space="0" w:color="000000"/>
              <w:left w:val="single" w:sz="4" w:space="0" w:color="000000"/>
              <w:bottom w:val="single" w:sz="4" w:space="0" w:color="000000"/>
              <w:right w:val="single" w:sz="4" w:space="0" w:color="000000"/>
            </w:tcBorders>
          </w:tcPr>
          <w:p>
            <w:pPr/>
          </w:p>
        </w:tc>
        <w:tc>
          <w:tcPr>
            <w:tcW w:w="859" w:type="dxa"/>
            <w:tcBorders>
              <w:top w:val="single" w:sz="4" w:space="0" w:color="000000"/>
              <w:left w:val="single" w:sz="4" w:space="0" w:color="000000"/>
              <w:bottom w:val="single" w:sz="4" w:space="0" w:color="000000"/>
              <w:right w:val="single" w:sz="4" w:space="0" w:color="000000"/>
            </w:tcBorders>
          </w:tcPr>
          <w:p>
            <w:pPr/>
          </w:p>
        </w:tc>
        <w:tc>
          <w:tcPr>
            <w:tcW w:w="85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862" w:type="dxa"/>
            <w:vMerge/>
            <w:tcBorders>
              <w:left w:val="single" w:sz="4" w:space="0" w:color="000000"/>
              <w:bottom w:val="single" w:sz="4" w:space="0" w:color="000000"/>
              <w:right w:val="single" w:sz="4" w:space="0" w:color="000000"/>
            </w:tcBorders>
          </w:tcPr>
          <w:p>
            <w:pPr/>
          </w:p>
        </w:tc>
        <w:tc>
          <w:tcPr>
            <w:tcW w:w="858" w:type="dxa"/>
            <w:vMerge/>
            <w:tcBorders>
              <w:left w:val="single" w:sz="4" w:space="0" w:color="000000"/>
              <w:bottom w:val="single" w:sz="4" w:space="0" w:color="000000"/>
              <w:right w:val="single" w:sz="4" w:space="0" w:color="000000"/>
            </w:tcBorders>
          </w:tcPr>
          <w:p>
            <w:pPr/>
          </w:p>
        </w:tc>
        <w:tc>
          <w:tcPr>
            <w:tcW w:w="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二甲苯</w:t>
            </w:r>
          </w:p>
        </w:tc>
        <w:tc>
          <w:tcPr>
            <w:tcW w:w="8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205"/>
              <w:jc w:val="both"/>
              <w:rPr>
                <w:rFonts w:ascii="宋体" w:hAnsi="宋体" w:cs="宋体" w:eastAsia="宋体" w:hint="default"/>
                <w:sz w:val="18"/>
                <w:szCs w:val="18"/>
              </w:rPr>
            </w:pPr>
            <w:r>
              <w:rPr>
                <w:rFonts w:ascii="宋体" w:hAnsi="宋体" w:cs="宋体" w:eastAsia="宋体" w:hint="default"/>
                <w:sz w:val="18"/>
                <w:szCs w:val="18"/>
              </w:rPr>
              <w:t>处理后 达标排 放</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4</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203"/>
              <w:jc w:val="left"/>
              <w:rPr>
                <w:rFonts w:ascii="宋体" w:hAnsi="宋体" w:cs="宋体" w:eastAsia="宋体" w:hint="default"/>
                <w:sz w:val="18"/>
                <w:szCs w:val="18"/>
              </w:rPr>
            </w:pPr>
            <w:r>
              <w:rPr>
                <w:rFonts w:ascii="宋体" w:hAnsi="宋体" w:cs="宋体" w:eastAsia="宋体" w:hint="default"/>
                <w:sz w:val="18"/>
                <w:szCs w:val="18"/>
              </w:rPr>
              <w:t>生产车 间</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1.1mg/m3</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90mg/m3</w:t>
            </w:r>
          </w:p>
        </w:tc>
        <w:tc>
          <w:tcPr>
            <w:tcW w:w="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1" w:right="0"/>
              <w:jc w:val="left"/>
              <w:rPr>
                <w:rFonts w:ascii="Times New Roman" w:hAnsi="Times New Roman" w:cs="Times New Roman" w:eastAsia="Times New Roman" w:hint="default"/>
                <w:sz w:val="18"/>
                <w:szCs w:val="18"/>
              </w:rPr>
            </w:pPr>
            <w:r>
              <w:rPr>
                <w:rFonts w:ascii="Times New Roman"/>
                <w:sz w:val="18"/>
              </w:rPr>
              <w:t>0.16T</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12.65T</w:t>
            </w:r>
          </w:p>
        </w:tc>
        <w:tc>
          <w:tcPr>
            <w:tcW w:w="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326" w:lineRule="auto" w:before="51"/>
        <w:ind w:left="214" w:right="1032"/>
        <w:jc w:val="left"/>
      </w:pPr>
      <w:r>
        <w:rPr/>
        <w:t>（</w:t>
      </w:r>
      <w:r>
        <w:rPr>
          <w:rFonts w:ascii="Times New Roman" w:hAnsi="Times New Roman" w:cs="Times New Roman" w:eastAsia="Times New Roman" w:hint="default"/>
        </w:rPr>
        <w:t>2</w:t>
      </w:r>
      <w:r>
        <w:rPr/>
        <w:t>）防治污染设施的建设和运行情况 </w:t>
      </w:r>
      <w:r>
        <w:rPr>
          <w:spacing w:val="-2"/>
        </w:rPr>
        <w:t>公司及安徽安泰不断完善环境保护及防治污染相关的制度，并严格按照相关法律法规要求建设防治污染相关的设施，持续加</w:t>
      </w:r>
      <w:r>
        <w:rPr>
          <w:spacing w:val="-64"/>
        </w:rPr>
        <w:t> </w:t>
      </w:r>
      <w:r>
        <w:rPr>
          <w:spacing w:val="-64"/>
        </w:rPr>
      </w:r>
      <w:r>
        <w:rPr>
          <w:spacing w:val="-2"/>
        </w:rPr>
        <w:t>强环保设施运维管理，定期开展环保设施运行状态检查。报告期内，公司及安徽安泰环保设施运行高效，未发生重大环境污</w:t>
      </w:r>
      <w:r>
        <w:rPr>
          <w:spacing w:val="-66"/>
        </w:rPr>
        <w:t> </w:t>
      </w:r>
      <w:r>
        <w:rPr>
          <w:spacing w:val="-66"/>
        </w:rPr>
      </w:r>
      <w:r>
        <w:rPr/>
        <w:t>染事故。</w:t>
      </w:r>
    </w:p>
    <w:p>
      <w:pPr>
        <w:pStyle w:val="BodyText"/>
        <w:spacing w:line="328" w:lineRule="auto" w:before="51"/>
        <w:ind w:left="214" w:right="1032"/>
        <w:jc w:val="left"/>
      </w:pPr>
      <w:r>
        <w:rPr/>
        <w:t>（</w:t>
      </w:r>
      <w:r>
        <w:rPr>
          <w:rFonts w:ascii="Times New Roman" w:hAnsi="Times New Roman" w:cs="Times New Roman" w:eastAsia="Times New Roman" w:hint="default"/>
        </w:rPr>
        <w:t>3</w:t>
      </w:r>
      <w:r>
        <w:rPr/>
        <w:t>）建设项目环境影响评价及其他环境保护行政许可情况 </w:t>
      </w:r>
      <w:r>
        <w:rPr>
          <w:spacing w:val="-2"/>
        </w:rPr>
        <w:t>公司及安徽安泰的所有建设项目均按照法规要求开展环境影响评价，并依法取得项目环境影响评价批复；报告期内，公司及</w:t>
      </w:r>
      <w:r>
        <w:rPr>
          <w:spacing w:val="-66"/>
        </w:rPr>
        <w:t> </w:t>
      </w:r>
      <w:r>
        <w:rPr>
          <w:spacing w:val="-66"/>
        </w:rPr>
      </w:r>
      <w:r>
        <w:rPr/>
        <w:t>安徽安泰的《排放污染物许可证》均在有效期内。</w:t>
      </w:r>
    </w:p>
    <w:p>
      <w:pPr>
        <w:pStyle w:val="BodyText"/>
        <w:spacing w:line="338" w:lineRule="auto" w:before="50"/>
        <w:ind w:left="214" w:right="1032"/>
        <w:jc w:val="left"/>
      </w:pPr>
      <w:r>
        <w:rPr/>
        <w:t>（</w:t>
      </w:r>
      <w:r>
        <w:rPr>
          <w:rFonts w:ascii="Times New Roman" w:hAnsi="Times New Roman" w:cs="Times New Roman" w:eastAsia="Times New Roman" w:hint="default"/>
        </w:rPr>
        <w:t>4</w:t>
      </w:r>
      <w:r>
        <w:rPr/>
        <w:t>）突发环境事件应急预案 </w:t>
      </w:r>
      <w:r>
        <w:rPr>
          <w:spacing w:val="-2"/>
        </w:rPr>
        <w:t>公司编制了突发环境事件应急预案备案，该应急预案已在深圳市环保监察支队完成备案；安徽安泰编制了突发环境事件应急</w:t>
      </w:r>
      <w:r>
        <w:rPr>
          <w:spacing w:val="-64"/>
        </w:rPr>
        <w:t> </w:t>
      </w:r>
      <w:r>
        <w:rPr>
          <w:spacing w:val="-64"/>
        </w:rPr>
      </w:r>
      <w:r>
        <w:rPr/>
        <w:t>预案备案，该应急预案已在合肥市环保局经济技术开发区分局完成备案。 公司及安徽安泰定期组织突发环境事件相关的培训及演练，不断提高应急响应能力，报告期内均未发生突发环境事件。</w:t>
      </w:r>
    </w:p>
    <w:p>
      <w:pPr>
        <w:pStyle w:val="BodyText"/>
        <w:spacing w:line="328" w:lineRule="auto" w:before="43"/>
        <w:ind w:left="214" w:right="1032"/>
        <w:jc w:val="left"/>
      </w:pPr>
      <w:r>
        <w:rPr/>
        <w:t>（</w:t>
      </w:r>
      <w:r>
        <w:rPr>
          <w:rFonts w:ascii="Times New Roman" w:hAnsi="Times New Roman" w:cs="Times New Roman" w:eastAsia="Times New Roman" w:hint="default"/>
        </w:rPr>
        <w:t>5</w:t>
      </w:r>
      <w:r>
        <w:rPr/>
        <w:t>）环境自行监测方案 </w:t>
      </w:r>
      <w:r>
        <w:rPr>
          <w:spacing w:val="-2"/>
        </w:rPr>
        <w:t>公司及安徽安泰每年度委托具有资质的第三方检测机构进行环境监测，并在日常生产中进行严格标准的自行监测，报告期内</w:t>
      </w:r>
      <w:r>
        <w:rPr>
          <w:spacing w:val="-64"/>
        </w:rPr>
        <w:t> </w:t>
      </w:r>
      <w:r>
        <w:rPr>
          <w:spacing w:val="-64"/>
        </w:rPr>
      </w:r>
      <w:r>
        <w:rPr/>
        <w:t>监测结果均达标。</w:t>
      </w:r>
    </w:p>
    <w:p>
      <w:pPr>
        <w:pStyle w:val="BodyText"/>
        <w:spacing w:line="328" w:lineRule="auto" w:before="49"/>
        <w:ind w:left="214" w:right="1032"/>
        <w:jc w:val="left"/>
      </w:pPr>
      <w:r>
        <w:rPr/>
        <w:t>（</w:t>
      </w:r>
      <w:r>
        <w:rPr>
          <w:rFonts w:ascii="Times New Roman" w:hAnsi="Times New Roman" w:cs="Times New Roman" w:eastAsia="Times New Roman" w:hint="default"/>
        </w:rPr>
        <w:t>6</w:t>
      </w:r>
      <w:r>
        <w:rPr/>
        <w:t>）其他应当公开的环境信息 </w:t>
      </w:r>
      <w:r>
        <w:rPr>
          <w:spacing w:val="-2"/>
        </w:rPr>
        <w:t>报告期内，公司及安徽安泰均严格执行环保相关法律法规，对可能影响环境的因素进行了有效管理和控制，不存在超标排放</w:t>
      </w:r>
      <w:r>
        <w:rPr>
          <w:spacing w:val="-66"/>
        </w:rPr>
        <w:t> </w:t>
      </w:r>
      <w:r>
        <w:rPr>
          <w:spacing w:val="-66"/>
        </w:rPr>
      </w:r>
      <w:r>
        <w:rPr/>
        <w:t>的情形。</w:t>
      </w: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12"/>
          <w:szCs w:val="12"/>
        </w:rPr>
      </w:pPr>
    </w:p>
    <w:p>
      <w:pPr>
        <w:pStyle w:val="Heading4"/>
        <w:spacing w:line="240" w:lineRule="auto"/>
        <w:ind w:left="214" w:right="1032"/>
        <w:jc w:val="left"/>
        <w:rPr>
          <w:b w:val="0"/>
          <w:bCs w:val="0"/>
        </w:rPr>
      </w:pPr>
      <w:r>
        <w:rPr/>
        <w:t>（二）被列入其他重点监管企业名录的情况</w:t>
      </w:r>
      <w:r>
        <w:rPr>
          <w:b w:val="0"/>
          <w:bCs w:val="0"/>
        </w:rPr>
      </w:r>
    </w:p>
    <w:p>
      <w:pPr>
        <w:pStyle w:val="BodyText"/>
        <w:spacing w:line="309" w:lineRule="auto" w:before="116"/>
        <w:ind w:left="214" w:right="1130"/>
        <w:jc w:val="both"/>
      </w:pPr>
      <w:r>
        <w:rPr>
          <w:spacing w:val="-3"/>
        </w:rPr>
        <w:t>公司及公司全资子公司中丰田被广东省环境保护厅列入《广东省固定污染源挥发性有机物重点监管企业名录（</w:t>
      </w:r>
      <w:r>
        <w:rPr>
          <w:rFonts w:ascii="Times New Roman" w:hAnsi="Times New Roman" w:cs="Times New Roman" w:eastAsia="Times New Roman" w:hint="default"/>
          <w:spacing w:val="-3"/>
        </w:rPr>
        <w:t>2016</w:t>
      </w:r>
      <w:r>
        <w:rPr>
          <w:rFonts w:ascii="Times New Roman" w:hAnsi="Times New Roman" w:cs="Times New Roman" w:eastAsia="Times New Roman" w:hint="default"/>
          <w:spacing w:val="12"/>
        </w:rPr>
        <w:t> </w:t>
      </w:r>
      <w:r>
        <w:rPr>
          <w:spacing w:val="-33"/>
        </w:rPr>
        <w:t>年版）（已</w:t>
      </w:r>
      <w:r>
        <w:rPr>
          <w:spacing w:val="-88"/>
        </w:rPr>
        <w:t> </w:t>
      </w:r>
      <w:r>
        <w:rPr>
          <w:spacing w:val="-88"/>
        </w:rPr>
      </w:r>
      <w:r>
        <w:rPr>
          <w:spacing w:val="-4"/>
        </w:rPr>
        <w:t>治理）》，公司及中丰田严格遵照《广东省环境保护厅关于重点行业挥发性有机物综合整治的实施方案（</w:t>
      </w:r>
      <w:r>
        <w:rPr>
          <w:rFonts w:ascii="Times New Roman" w:hAnsi="Times New Roman" w:cs="Times New Roman" w:eastAsia="Times New Roman" w:hint="default"/>
          <w:spacing w:val="-4"/>
        </w:rPr>
        <w:t>2014-2017</w:t>
      </w:r>
      <w:r>
        <w:rPr>
          <w:rFonts w:ascii="Times New Roman" w:hAnsi="Times New Roman" w:cs="Times New Roman" w:eastAsia="Times New Roman" w:hint="default"/>
          <w:spacing w:val="27"/>
        </w:rPr>
        <w:t> </w:t>
      </w:r>
      <w:r>
        <w:rPr>
          <w:spacing w:val="-37"/>
        </w:rPr>
        <w:t>年》、《广</w:t>
      </w:r>
      <w:r>
        <w:rPr>
          <w:spacing w:val="-83"/>
        </w:rPr>
        <w:t> </w:t>
      </w:r>
      <w:r>
        <w:rPr>
          <w:spacing w:val="-83"/>
        </w:rPr>
      </w:r>
      <w:r>
        <w:rPr>
          <w:spacing w:val="-2"/>
        </w:rPr>
        <w:t>东省环境保护厅关于开展固定污染源挥发性有机物排放重点监管企业综合整治工作指引》及行业治理技术指南有关要求，开</w:t>
      </w:r>
      <w:r>
        <w:rPr>
          <w:spacing w:val="-64"/>
        </w:rPr>
        <w:t> </w:t>
      </w:r>
      <w:r>
        <w:rPr>
          <w:spacing w:val="-64"/>
        </w:rPr>
      </w:r>
      <w:r>
        <w:rPr>
          <w:spacing w:val="-2"/>
        </w:rPr>
        <w:t>展排放评估工作，有针对性地开展固定污染源挥发性有机物治理改造，增强污染排放过程控制和车间收集效率，投资新建相</w:t>
      </w:r>
      <w:r>
        <w:rPr>
          <w:spacing w:val="-66"/>
        </w:rPr>
        <w:t> </w:t>
      </w:r>
      <w:r>
        <w:rPr>
          <w:spacing w:val="-66"/>
        </w:rPr>
      </w:r>
      <w:r>
        <w:rPr/>
        <w:t>关环保处理设施，定期聘请有资质的第三方出具排放情况监测报告，确保主要污染物稳定达标排放。</w:t>
      </w:r>
    </w:p>
    <w:p>
      <w:pPr>
        <w:pStyle w:val="BodyText"/>
        <w:spacing w:line="357" w:lineRule="auto" w:before="64"/>
        <w:ind w:left="214" w:right="2472"/>
        <w:jc w:val="left"/>
      </w:pPr>
      <w:r>
        <w:rPr/>
        <w:t>截至本报告披露之日，公司及中丰田经已完成固定污染源挥发性有机物排放重点监管企业综合整治工作。 中丰田主要大气污染物排放情况如下表所示：</w:t>
      </w:r>
    </w:p>
    <w:tbl>
      <w:tblPr>
        <w:tblW w:w="0" w:type="auto"/>
        <w:jc w:val="left"/>
        <w:tblInd w:w="101" w:type="dxa"/>
        <w:tblLayout w:type="fixed"/>
        <w:tblCellMar>
          <w:top w:w="0" w:type="dxa"/>
          <w:left w:w="0" w:type="dxa"/>
          <w:bottom w:w="0" w:type="dxa"/>
          <w:right w:w="0" w:type="dxa"/>
        </w:tblCellMar>
        <w:tblLook w:val="01E0"/>
      </w:tblPr>
      <w:tblGrid>
        <w:gridCol w:w="898"/>
        <w:gridCol w:w="893"/>
        <w:gridCol w:w="893"/>
        <w:gridCol w:w="895"/>
        <w:gridCol w:w="893"/>
        <w:gridCol w:w="893"/>
        <w:gridCol w:w="895"/>
        <w:gridCol w:w="897"/>
        <w:gridCol w:w="911"/>
        <w:gridCol w:w="895"/>
        <w:gridCol w:w="893"/>
      </w:tblGrid>
      <w:tr>
        <w:trPr>
          <w:trHeight w:val="1338" w:hRule="exact"/>
        </w:trPr>
        <w:tc>
          <w:tcPr>
            <w:tcW w:w="89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51"/>
              <w:ind w:left="174" w:right="172"/>
              <w:jc w:val="both"/>
              <w:rPr>
                <w:rFonts w:ascii="宋体" w:hAnsi="宋体" w:cs="宋体" w:eastAsia="宋体" w:hint="default"/>
                <w:sz w:val="18"/>
                <w:szCs w:val="18"/>
              </w:rPr>
            </w:pPr>
            <w:r>
              <w:rPr>
                <w:rFonts w:ascii="宋体" w:hAnsi="宋体" w:cs="宋体" w:eastAsia="宋体" w:hint="default"/>
                <w:sz w:val="18"/>
                <w:szCs w:val="18"/>
              </w:rPr>
              <w:t>公司或 子公司 名称</w:t>
            </w:r>
          </w:p>
        </w:tc>
        <w:tc>
          <w:tcPr>
            <w:tcW w:w="89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51"/>
              <w:ind w:left="260" w:right="170" w:hanging="90"/>
              <w:jc w:val="left"/>
              <w:rPr>
                <w:rFonts w:ascii="宋体" w:hAnsi="宋体" w:cs="宋体" w:eastAsia="宋体" w:hint="default"/>
                <w:sz w:val="18"/>
                <w:szCs w:val="18"/>
              </w:rPr>
            </w:pPr>
            <w:r>
              <w:rPr>
                <w:rFonts w:ascii="宋体" w:hAnsi="宋体" w:cs="宋体" w:eastAsia="宋体" w:hint="default"/>
                <w:sz w:val="18"/>
                <w:szCs w:val="18"/>
              </w:rPr>
              <w:t>主要污 染物</w:t>
            </w:r>
          </w:p>
        </w:tc>
        <w:tc>
          <w:tcPr>
            <w:tcW w:w="89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51"/>
              <w:ind w:left="261" w:right="169" w:hanging="90"/>
              <w:jc w:val="left"/>
              <w:rPr>
                <w:rFonts w:ascii="宋体" w:hAnsi="宋体" w:cs="宋体" w:eastAsia="宋体" w:hint="default"/>
                <w:sz w:val="18"/>
                <w:szCs w:val="18"/>
              </w:rPr>
            </w:pPr>
            <w:r>
              <w:rPr>
                <w:rFonts w:ascii="宋体" w:hAnsi="宋体" w:cs="宋体" w:eastAsia="宋体" w:hint="default"/>
                <w:sz w:val="18"/>
                <w:szCs w:val="18"/>
              </w:rPr>
              <w:t>污染物 种类</w:t>
            </w:r>
          </w:p>
        </w:tc>
        <w:tc>
          <w:tcPr>
            <w:tcW w:w="89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51"/>
              <w:ind w:left="352" w:right="170" w:hanging="180"/>
              <w:jc w:val="left"/>
              <w:rPr>
                <w:rFonts w:ascii="宋体" w:hAnsi="宋体" w:cs="宋体" w:eastAsia="宋体" w:hint="default"/>
                <w:sz w:val="18"/>
                <w:szCs w:val="18"/>
              </w:rPr>
            </w:pPr>
            <w:r>
              <w:rPr>
                <w:rFonts w:ascii="宋体" w:hAnsi="宋体" w:cs="宋体" w:eastAsia="宋体" w:hint="default"/>
                <w:sz w:val="18"/>
                <w:szCs w:val="18"/>
              </w:rPr>
              <w:t>排放方 式</w:t>
            </w:r>
          </w:p>
        </w:tc>
        <w:tc>
          <w:tcPr>
            <w:tcW w:w="89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51"/>
              <w:ind w:left="261" w:right="171" w:hanging="91"/>
              <w:jc w:val="left"/>
              <w:rPr>
                <w:rFonts w:ascii="宋体" w:hAnsi="宋体" w:cs="宋体" w:eastAsia="宋体" w:hint="default"/>
                <w:sz w:val="18"/>
                <w:szCs w:val="18"/>
              </w:rPr>
            </w:pPr>
            <w:r>
              <w:rPr>
                <w:rFonts w:ascii="宋体" w:hAnsi="宋体" w:cs="宋体" w:eastAsia="宋体" w:hint="default"/>
                <w:sz w:val="18"/>
                <w:szCs w:val="18"/>
              </w:rPr>
              <w:t>排放口 数量</w:t>
            </w:r>
          </w:p>
        </w:tc>
        <w:tc>
          <w:tcPr>
            <w:tcW w:w="89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51"/>
              <w:ind w:left="171" w:right="169"/>
              <w:jc w:val="center"/>
              <w:rPr>
                <w:rFonts w:ascii="宋体" w:hAnsi="宋体" w:cs="宋体" w:eastAsia="宋体" w:hint="default"/>
                <w:sz w:val="18"/>
                <w:szCs w:val="18"/>
              </w:rPr>
            </w:pPr>
            <w:r>
              <w:rPr>
                <w:rFonts w:ascii="宋体" w:hAnsi="宋体" w:cs="宋体" w:eastAsia="宋体" w:hint="default"/>
                <w:sz w:val="18"/>
                <w:szCs w:val="18"/>
              </w:rPr>
              <w:t>排放口 分布情 况</w:t>
            </w:r>
          </w:p>
        </w:tc>
        <w:tc>
          <w:tcPr>
            <w:tcW w:w="89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51"/>
              <w:ind w:left="352" w:right="170" w:hanging="180"/>
              <w:jc w:val="left"/>
              <w:rPr>
                <w:rFonts w:ascii="宋体" w:hAnsi="宋体" w:cs="宋体" w:eastAsia="宋体" w:hint="default"/>
                <w:sz w:val="18"/>
                <w:szCs w:val="18"/>
              </w:rPr>
            </w:pPr>
            <w:r>
              <w:rPr>
                <w:rFonts w:ascii="宋体" w:hAnsi="宋体" w:cs="宋体" w:eastAsia="宋体" w:hint="default"/>
                <w:sz w:val="18"/>
                <w:szCs w:val="18"/>
              </w:rPr>
              <w:t>排放浓 度</w:t>
            </w:r>
          </w:p>
        </w:tc>
        <w:tc>
          <w:tcPr>
            <w:tcW w:w="89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51"/>
              <w:ind w:left="172" w:right="172"/>
              <w:jc w:val="center"/>
              <w:rPr>
                <w:rFonts w:ascii="宋体" w:hAnsi="宋体" w:cs="宋体" w:eastAsia="宋体" w:hint="default"/>
                <w:sz w:val="18"/>
                <w:szCs w:val="18"/>
              </w:rPr>
            </w:pPr>
            <w:r>
              <w:rPr>
                <w:rFonts w:ascii="宋体" w:hAnsi="宋体" w:cs="宋体" w:eastAsia="宋体" w:hint="default"/>
                <w:sz w:val="18"/>
                <w:szCs w:val="18"/>
              </w:rPr>
              <w:t>执行的 污染物 排放标 准</w:t>
            </w:r>
          </w:p>
        </w:tc>
        <w:tc>
          <w:tcPr>
            <w:tcW w:w="91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51"/>
              <w:ind w:left="358" w:right="180" w:hanging="180"/>
              <w:jc w:val="left"/>
              <w:rPr>
                <w:rFonts w:ascii="宋体" w:hAnsi="宋体" w:cs="宋体" w:eastAsia="宋体" w:hint="default"/>
                <w:sz w:val="18"/>
                <w:szCs w:val="18"/>
              </w:rPr>
            </w:pPr>
            <w:r>
              <w:rPr>
                <w:rFonts w:ascii="宋体" w:hAnsi="宋体" w:cs="宋体" w:eastAsia="宋体" w:hint="default"/>
                <w:sz w:val="18"/>
                <w:szCs w:val="18"/>
              </w:rPr>
              <w:t>排放总 量</w:t>
            </w:r>
          </w:p>
        </w:tc>
        <w:tc>
          <w:tcPr>
            <w:tcW w:w="89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51"/>
              <w:ind w:left="172" w:right="170"/>
              <w:jc w:val="center"/>
              <w:rPr>
                <w:rFonts w:ascii="宋体" w:hAnsi="宋体" w:cs="宋体" w:eastAsia="宋体" w:hint="default"/>
                <w:sz w:val="18"/>
                <w:szCs w:val="18"/>
              </w:rPr>
            </w:pPr>
            <w:r>
              <w:rPr>
                <w:rFonts w:ascii="宋体" w:hAnsi="宋体" w:cs="宋体" w:eastAsia="宋体" w:hint="default"/>
                <w:sz w:val="18"/>
                <w:szCs w:val="18"/>
              </w:rPr>
              <w:t>核定的 排放总 量</w:t>
            </w:r>
          </w:p>
        </w:tc>
        <w:tc>
          <w:tcPr>
            <w:tcW w:w="89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51"/>
              <w:ind w:left="170" w:right="170"/>
              <w:jc w:val="left"/>
              <w:rPr>
                <w:rFonts w:ascii="宋体" w:hAnsi="宋体" w:cs="宋体" w:eastAsia="宋体" w:hint="default"/>
                <w:sz w:val="18"/>
                <w:szCs w:val="18"/>
              </w:rPr>
            </w:pPr>
            <w:r>
              <w:rPr>
                <w:rFonts w:ascii="宋体" w:hAnsi="宋体" w:cs="宋体" w:eastAsia="宋体" w:hint="default"/>
                <w:sz w:val="18"/>
                <w:szCs w:val="18"/>
              </w:rPr>
              <w:t>超标排 放情况</w:t>
            </w:r>
          </w:p>
        </w:tc>
      </w:tr>
      <w:tr>
        <w:trPr>
          <w:trHeight w:val="1378" w:hRule="exact"/>
        </w:trPr>
        <w:tc>
          <w:tcPr>
            <w:tcW w:w="898" w:type="dxa"/>
            <w:vMerge w:val="restart"/>
            <w:tcBorders>
              <w:top w:val="single" w:sz="4" w:space="0" w:color="000000"/>
              <w:left w:val="single" w:sz="4" w:space="0" w:color="000000"/>
              <w:right w:val="single" w:sz="4" w:space="0" w:color="000000"/>
            </w:tcBorders>
          </w:tcPr>
          <w:p>
            <w:pPr/>
          </w:p>
        </w:tc>
        <w:tc>
          <w:tcPr>
            <w:tcW w:w="893" w:type="dxa"/>
            <w:vMerge w:val="restart"/>
            <w:tcBorders>
              <w:top w:val="single" w:sz="4" w:space="0" w:color="000000"/>
              <w:left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32"/>
              <w:jc w:val="left"/>
              <w:rPr>
                <w:rFonts w:ascii="宋体" w:hAnsi="宋体" w:cs="宋体" w:eastAsia="宋体" w:hint="default"/>
                <w:sz w:val="18"/>
                <w:szCs w:val="18"/>
              </w:rPr>
            </w:pPr>
            <w:r>
              <w:rPr>
                <w:rFonts w:ascii="宋体" w:hAnsi="宋体" w:cs="宋体" w:eastAsia="宋体" w:hint="default"/>
                <w:spacing w:val="45"/>
                <w:sz w:val="18"/>
                <w:szCs w:val="18"/>
              </w:rPr>
              <w:t>非甲烷</w:t>
            </w:r>
            <w:r>
              <w:rPr>
                <w:rFonts w:ascii="宋体" w:hAnsi="宋体" w:cs="宋体" w:eastAsia="宋体" w:hint="default"/>
                <w:spacing w:val="-22"/>
                <w:sz w:val="18"/>
                <w:szCs w:val="18"/>
              </w:rPr>
              <w:t> </w:t>
            </w:r>
            <w:r>
              <w:rPr>
                <w:rFonts w:ascii="宋体" w:hAnsi="宋体" w:cs="宋体" w:eastAsia="宋体" w:hint="default"/>
                <w:sz w:val="18"/>
                <w:szCs w:val="18"/>
              </w:rPr>
              <w:t>总烃</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240"/>
              <w:jc w:val="both"/>
              <w:rPr>
                <w:rFonts w:ascii="宋体" w:hAnsi="宋体" w:cs="宋体" w:eastAsia="宋体" w:hint="default"/>
                <w:sz w:val="18"/>
                <w:szCs w:val="18"/>
              </w:rPr>
            </w:pPr>
            <w:r>
              <w:rPr>
                <w:rFonts w:ascii="宋体" w:hAnsi="宋体" w:cs="宋体" w:eastAsia="宋体" w:hint="default"/>
                <w:sz w:val="18"/>
                <w:szCs w:val="18"/>
              </w:rPr>
              <w:t>处理后 达标排 放</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8</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32"/>
              <w:jc w:val="left"/>
              <w:rPr>
                <w:rFonts w:ascii="宋体" w:hAnsi="宋体" w:cs="宋体" w:eastAsia="宋体" w:hint="default"/>
                <w:sz w:val="18"/>
                <w:szCs w:val="18"/>
              </w:rPr>
            </w:pPr>
            <w:r>
              <w:rPr>
                <w:rFonts w:ascii="宋体" w:hAnsi="宋体" w:cs="宋体" w:eastAsia="宋体" w:hint="default"/>
                <w:spacing w:val="45"/>
                <w:sz w:val="18"/>
                <w:szCs w:val="18"/>
              </w:rPr>
              <w:t>复合车</w:t>
            </w:r>
            <w:r>
              <w:rPr>
                <w:rFonts w:ascii="宋体" w:hAnsi="宋体" w:cs="宋体" w:eastAsia="宋体" w:hint="default"/>
                <w:spacing w:val="-22"/>
                <w:sz w:val="18"/>
                <w:szCs w:val="18"/>
              </w:rPr>
              <w:t> </w:t>
            </w:r>
            <w:r>
              <w:rPr>
                <w:rFonts w:ascii="宋体" w:hAnsi="宋体" w:cs="宋体" w:eastAsia="宋体" w:hint="default"/>
                <w:sz w:val="18"/>
                <w:szCs w:val="18"/>
              </w:rPr>
              <w:t>间</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0.95</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hAnsi="Times New Roman"/>
                <w:sz w:val="18"/>
              </w:rPr>
              <w:t>mg/m³</w:t>
            </w:r>
          </w:p>
        </w:tc>
        <w:tc>
          <w:tcPr>
            <w:tcW w:w="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120</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hAnsi="Times New Roman"/>
                <w:sz w:val="18"/>
              </w:rPr>
              <w:t>mg/m³</w:t>
            </w:r>
          </w:p>
        </w:tc>
        <w:tc>
          <w:tcPr>
            <w:tcW w:w="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0.15150T</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1026" w:hRule="exact"/>
        </w:trPr>
        <w:tc>
          <w:tcPr>
            <w:tcW w:w="898" w:type="dxa"/>
            <w:vMerge/>
            <w:tcBorders>
              <w:left w:val="single" w:sz="4" w:space="0" w:color="000000"/>
              <w:bottom w:val="single" w:sz="4" w:space="0" w:color="000000"/>
              <w:right w:val="single" w:sz="4" w:space="0" w:color="000000"/>
            </w:tcBorders>
          </w:tcPr>
          <w:p>
            <w:pPr/>
          </w:p>
        </w:tc>
        <w:tc>
          <w:tcPr>
            <w:tcW w:w="893" w:type="dxa"/>
            <w:vMerge/>
            <w:tcBorders>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苯</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31"/>
              <w:jc w:val="both"/>
              <w:rPr>
                <w:rFonts w:ascii="宋体" w:hAnsi="宋体" w:cs="宋体" w:eastAsia="宋体" w:hint="default"/>
                <w:sz w:val="18"/>
                <w:szCs w:val="18"/>
              </w:rPr>
            </w:pPr>
            <w:r>
              <w:rPr>
                <w:rFonts w:ascii="宋体" w:hAnsi="宋体" w:cs="宋体" w:eastAsia="宋体" w:hint="default"/>
                <w:spacing w:val="46"/>
                <w:sz w:val="18"/>
                <w:szCs w:val="18"/>
              </w:rPr>
              <w:t>处理后</w:t>
            </w:r>
            <w:r>
              <w:rPr>
                <w:rFonts w:ascii="宋体" w:hAnsi="宋体" w:cs="宋体" w:eastAsia="宋体" w:hint="default"/>
                <w:spacing w:val="-21"/>
                <w:sz w:val="18"/>
                <w:szCs w:val="18"/>
              </w:rPr>
              <w:t> </w:t>
            </w:r>
            <w:r>
              <w:rPr>
                <w:rFonts w:ascii="宋体" w:hAnsi="宋体" w:cs="宋体" w:eastAsia="宋体" w:hint="default"/>
                <w:spacing w:val="46"/>
                <w:sz w:val="18"/>
                <w:szCs w:val="18"/>
              </w:rPr>
              <w:t>达标排</w:t>
            </w:r>
            <w:r>
              <w:rPr>
                <w:rFonts w:ascii="宋体" w:hAnsi="宋体" w:cs="宋体" w:eastAsia="宋体" w:hint="default"/>
                <w:spacing w:val="-21"/>
                <w:sz w:val="18"/>
                <w:szCs w:val="18"/>
              </w:rPr>
              <w:t> </w:t>
            </w:r>
            <w:r>
              <w:rPr>
                <w:rFonts w:ascii="宋体" w:hAnsi="宋体" w:cs="宋体" w:eastAsia="宋体" w:hint="default"/>
                <w:sz w:val="18"/>
                <w:szCs w:val="18"/>
              </w:rPr>
              <w:t>放</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8</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32"/>
              <w:jc w:val="left"/>
              <w:rPr>
                <w:rFonts w:ascii="宋体" w:hAnsi="宋体" w:cs="宋体" w:eastAsia="宋体" w:hint="default"/>
                <w:sz w:val="18"/>
                <w:szCs w:val="18"/>
              </w:rPr>
            </w:pPr>
            <w:r>
              <w:rPr>
                <w:rFonts w:ascii="宋体" w:hAnsi="宋体" w:cs="宋体" w:eastAsia="宋体" w:hint="default"/>
                <w:spacing w:val="45"/>
                <w:sz w:val="18"/>
                <w:szCs w:val="18"/>
              </w:rPr>
              <w:t>复合车</w:t>
            </w:r>
            <w:r>
              <w:rPr>
                <w:rFonts w:ascii="宋体" w:hAnsi="宋体" w:cs="宋体" w:eastAsia="宋体" w:hint="default"/>
                <w:spacing w:val="-22"/>
                <w:sz w:val="18"/>
                <w:szCs w:val="18"/>
              </w:rPr>
              <w:t> </w:t>
            </w:r>
            <w:r>
              <w:rPr>
                <w:rFonts w:ascii="宋体" w:hAnsi="宋体" w:cs="宋体" w:eastAsia="宋体" w:hint="default"/>
                <w:sz w:val="18"/>
                <w:szCs w:val="18"/>
              </w:rPr>
              <w:t>间</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0.0015L</w:t>
            </w:r>
          </w:p>
        </w:tc>
        <w:tc>
          <w:tcPr>
            <w:tcW w:w="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12</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hAnsi="Times New Roman"/>
                <w:sz w:val="18"/>
              </w:rPr>
              <w:t>mg/m³</w:t>
            </w:r>
          </w:p>
        </w:tc>
        <w:tc>
          <w:tcPr>
            <w:tcW w:w="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0.00024T</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after="0" w:line="240" w:lineRule="auto"/>
        <w:jc w:val="left"/>
        <w:rPr>
          <w:rFonts w:ascii="宋体" w:hAnsi="宋体" w:cs="宋体" w:eastAsia="宋体" w:hint="default"/>
          <w:sz w:val="18"/>
          <w:szCs w:val="18"/>
        </w:rPr>
        <w:sectPr>
          <w:pgSz w:w="11910" w:h="16840"/>
          <w:pgMar w:header="747" w:footer="979" w:top="1060" w:bottom="1160" w:left="920" w:right="0"/>
        </w:sectPr>
      </w:pPr>
    </w:p>
    <w:p>
      <w:pPr>
        <w:spacing w:line="240" w:lineRule="auto" w:before="6"/>
        <w:rPr>
          <w:rFonts w:ascii="宋体" w:hAnsi="宋体" w:cs="宋体" w:eastAsia="宋体" w:hint="default"/>
          <w:sz w:val="28"/>
          <w:szCs w:val="28"/>
        </w:rPr>
      </w:pPr>
    </w:p>
    <w:tbl>
      <w:tblPr>
        <w:tblW w:w="0" w:type="auto"/>
        <w:jc w:val="left"/>
        <w:tblInd w:w="101" w:type="dxa"/>
        <w:tblLayout w:type="fixed"/>
        <w:tblCellMar>
          <w:top w:w="0" w:type="dxa"/>
          <w:left w:w="0" w:type="dxa"/>
          <w:bottom w:w="0" w:type="dxa"/>
          <w:right w:w="0" w:type="dxa"/>
        </w:tblCellMar>
        <w:tblLook w:val="01E0"/>
      </w:tblPr>
      <w:tblGrid>
        <w:gridCol w:w="898"/>
        <w:gridCol w:w="893"/>
        <w:gridCol w:w="893"/>
        <w:gridCol w:w="895"/>
        <w:gridCol w:w="893"/>
        <w:gridCol w:w="893"/>
        <w:gridCol w:w="895"/>
        <w:gridCol w:w="897"/>
        <w:gridCol w:w="911"/>
        <w:gridCol w:w="895"/>
        <w:gridCol w:w="893"/>
      </w:tblGrid>
      <w:tr>
        <w:trPr>
          <w:trHeight w:val="1026" w:hRule="exact"/>
        </w:trPr>
        <w:tc>
          <w:tcPr>
            <w:tcW w:w="89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103" w:right="30"/>
              <w:jc w:val="left"/>
              <w:rPr>
                <w:rFonts w:ascii="宋体" w:hAnsi="宋体" w:cs="宋体" w:eastAsia="宋体" w:hint="default"/>
                <w:sz w:val="18"/>
                <w:szCs w:val="18"/>
              </w:rPr>
            </w:pPr>
            <w:r>
              <w:rPr>
                <w:rFonts w:ascii="宋体" w:hAnsi="宋体" w:cs="宋体" w:eastAsia="宋体" w:hint="default"/>
                <w:spacing w:val="46"/>
                <w:sz w:val="18"/>
                <w:szCs w:val="18"/>
              </w:rPr>
              <w:t>中丰田</w:t>
            </w:r>
            <w:r>
              <w:rPr>
                <w:rFonts w:ascii="宋体" w:hAnsi="宋体" w:cs="宋体" w:eastAsia="宋体" w:hint="default"/>
                <w:spacing w:val="-88"/>
                <w:sz w:val="18"/>
                <w:szCs w:val="18"/>
              </w:rPr>
              <w:t> </w:t>
            </w:r>
            <w:r>
              <w:rPr>
                <w:rFonts w:ascii="宋体" w:hAnsi="宋体" w:cs="宋体" w:eastAsia="宋体" w:hint="default"/>
                <w:spacing w:val="46"/>
                <w:sz w:val="18"/>
                <w:szCs w:val="18"/>
              </w:rPr>
              <w:t>光电科</w:t>
            </w:r>
            <w:r>
              <w:rPr>
                <w:rFonts w:ascii="宋体" w:hAnsi="宋体" w:cs="宋体" w:eastAsia="宋体" w:hint="default"/>
                <w:spacing w:val="-88"/>
                <w:sz w:val="18"/>
                <w:szCs w:val="18"/>
              </w:rPr>
              <w:t> </w:t>
            </w:r>
            <w:r>
              <w:rPr>
                <w:rFonts w:ascii="宋体" w:hAnsi="宋体" w:cs="宋体" w:eastAsia="宋体" w:hint="default"/>
                <w:spacing w:val="46"/>
                <w:sz w:val="18"/>
                <w:szCs w:val="18"/>
              </w:rPr>
              <w:t>技（珠</w:t>
            </w:r>
            <w:r>
              <w:rPr>
                <w:rFonts w:ascii="宋体" w:hAnsi="宋体" w:cs="宋体" w:eastAsia="宋体" w:hint="default"/>
                <w:spacing w:val="-88"/>
                <w:sz w:val="18"/>
                <w:szCs w:val="18"/>
              </w:rPr>
              <w:t> </w:t>
            </w:r>
            <w:r>
              <w:rPr>
                <w:rFonts w:ascii="宋体" w:hAnsi="宋体" w:cs="宋体" w:eastAsia="宋体" w:hint="default"/>
                <w:spacing w:val="-10"/>
                <w:sz w:val="18"/>
                <w:szCs w:val="18"/>
              </w:rPr>
              <w:t>海）有限</w:t>
            </w:r>
            <w:r>
              <w:rPr>
                <w:rFonts w:ascii="宋体" w:hAnsi="宋体" w:cs="宋体" w:eastAsia="宋体" w:hint="default"/>
                <w:sz w:val="18"/>
                <w:szCs w:val="18"/>
              </w:rPr>
              <w:t> </w:t>
            </w:r>
            <w:r>
              <w:rPr>
                <w:rFonts w:ascii="宋体" w:hAnsi="宋体" w:cs="宋体" w:eastAsia="宋体" w:hint="default"/>
                <w:spacing w:val="46"/>
                <w:sz w:val="18"/>
                <w:szCs w:val="18"/>
              </w:rPr>
              <w:t>责任公</w:t>
            </w:r>
            <w:r>
              <w:rPr>
                <w:rFonts w:ascii="宋体" w:hAnsi="宋体" w:cs="宋体" w:eastAsia="宋体" w:hint="default"/>
                <w:spacing w:val="-88"/>
                <w:sz w:val="18"/>
                <w:szCs w:val="18"/>
              </w:rPr>
              <w:t> </w:t>
            </w:r>
            <w:r>
              <w:rPr>
                <w:rFonts w:ascii="宋体" w:hAnsi="宋体" w:cs="宋体" w:eastAsia="宋体" w:hint="default"/>
                <w:sz w:val="18"/>
                <w:szCs w:val="18"/>
              </w:rPr>
              <w:t>司</w:t>
            </w:r>
          </w:p>
        </w:tc>
        <w:tc>
          <w:tcPr>
            <w:tcW w:w="89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319" w:lineRule="auto"/>
              <w:ind w:left="102" w:right="35"/>
              <w:jc w:val="left"/>
              <w:rPr>
                <w:rFonts w:ascii="宋体" w:hAnsi="宋体" w:cs="宋体" w:eastAsia="宋体" w:hint="default"/>
                <w:sz w:val="18"/>
                <w:szCs w:val="18"/>
              </w:rPr>
            </w:pPr>
            <w:r>
              <w:rPr>
                <w:rFonts w:ascii="宋体" w:hAnsi="宋体" w:cs="宋体" w:eastAsia="宋体" w:hint="default"/>
                <w:spacing w:val="45"/>
                <w:sz w:val="18"/>
                <w:szCs w:val="18"/>
              </w:rPr>
              <w:t>工业废</w:t>
            </w:r>
            <w:r>
              <w:rPr>
                <w:rFonts w:ascii="宋体" w:hAnsi="宋体" w:cs="宋体" w:eastAsia="宋体" w:hint="default"/>
                <w:spacing w:val="-22"/>
                <w:sz w:val="18"/>
                <w:szCs w:val="18"/>
              </w:rPr>
              <w:t> </w:t>
            </w:r>
            <w:r>
              <w:rPr>
                <w:rFonts w:ascii="宋体" w:hAnsi="宋体" w:cs="宋体" w:eastAsia="宋体" w:hint="default"/>
                <w:sz w:val="18"/>
                <w:szCs w:val="18"/>
              </w:rPr>
              <w:t>气</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甲苯</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31"/>
              <w:jc w:val="both"/>
              <w:rPr>
                <w:rFonts w:ascii="宋体" w:hAnsi="宋体" w:cs="宋体" w:eastAsia="宋体" w:hint="default"/>
                <w:sz w:val="18"/>
                <w:szCs w:val="18"/>
              </w:rPr>
            </w:pPr>
            <w:r>
              <w:rPr>
                <w:rFonts w:ascii="宋体" w:hAnsi="宋体" w:cs="宋体" w:eastAsia="宋体" w:hint="default"/>
                <w:spacing w:val="46"/>
                <w:sz w:val="18"/>
                <w:szCs w:val="18"/>
              </w:rPr>
              <w:t>处理后</w:t>
            </w:r>
            <w:r>
              <w:rPr>
                <w:rFonts w:ascii="宋体" w:hAnsi="宋体" w:cs="宋体" w:eastAsia="宋体" w:hint="default"/>
                <w:spacing w:val="-21"/>
                <w:sz w:val="18"/>
                <w:szCs w:val="18"/>
              </w:rPr>
              <w:t> </w:t>
            </w:r>
            <w:r>
              <w:rPr>
                <w:rFonts w:ascii="宋体" w:hAnsi="宋体" w:cs="宋体" w:eastAsia="宋体" w:hint="default"/>
                <w:spacing w:val="46"/>
                <w:sz w:val="18"/>
                <w:szCs w:val="18"/>
              </w:rPr>
              <w:t>达标排</w:t>
            </w:r>
            <w:r>
              <w:rPr>
                <w:rFonts w:ascii="宋体" w:hAnsi="宋体" w:cs="宋体" w:eastAsia="宋体" w:hint="default"/>
                <w:spacing w:val="-21"/>
                <w:sz w:val="18"/>
                <w:szCs w:val="18"/>
              </w:rPr>
              <w:t> </w:t>
            </w:r>
            <w:r>
              <w:rPr>
                <w:rFonts w:ascii="宋体" w:hAnsi="宋体" w:cs="宋体" w:eastAsia="宋体" w:hint="default"/>
                <w:sz w:val="18"/>
                <w:szCs w:val="18"/>
              </w:rPr>
              <w:t>放</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8</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32"/>
              <w:jc w:val="left"/>
              <w:rPr>
                <w:rFonts w:ascii="宋体" w:hAnsi="宋体" w:cs="宋体" w:eastAsia="宋体" w:hint="default"/>
                <w:sz w:val="18"/>
                <w:szCs w:val="18"/>
              </w:rPr>
            </w:pPr>
            <w:r>
              <w:rPr>
                <w:rFonts w:ascii="宋体" w:hAnsi="宋体" w:cs="宋体" w:eastAsia="宋体" w:hint="default"/>
                <w:spacing w:val="45"/>
                <w:sz w:val="18"/>
                <w:szCs w:val="18"/>
              </w:rPr>
              <w:t>复合车</w:t>
            </w:r>
            <w:r>
              <w:rPr>
                <w:rFonts w:ascii="宋体" w:hAnsi="宋体" w:cs="宋体" w:eastAsia="宋体" w:hint="default"/>
                <w:spacing w:val="-22"/>
                <w:sz w:val="18"/>
                <w:szCs w:val="18"/>
              </w:rPr>
              <w:t> </w:t>
            </w:r>
            <w:r>
              <w:rPr>
                <w:rFonts w:ascii="宋体" w:hAnsi="宋体" w:cs="宋体" w:eastAsia="宋体" w:hint="default"/>
                <w:sz w:val="18"/>
                <w:szCs w:val="18"/>
              </w:rPr>
              <w:t>间</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0.0801</w:t>
            </w:r>
          </w:p>
        </w:tc>
        <w:tc>
          <w:tcPr>
            <w:tcW w:w="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40</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hAnsi="Times New Roman"/>
                <w:sz w:val="18"/>
              </w:rPr>
              <w:t>mg/m³</w:t>
            </w:r>
          </w:p>
        </w:tc>
        <w:tc>
          <w:tcPr>
            <w:tcW w:w="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0.01273T</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1026" w:hRule="exact"/>
        </w:trPr>
        <w:tc>
          <w:tcPr>
            <w:tcW w:w="898" w:type="dxa"/>
            <w:vMerge/>
            <w:tcBorders>
              <w:left w:val="single" w:sz="4" w:space="0" w:color="000000"/>
              <w:right w:val="single" w:sz="4" w:space="0" w:color="000000"/>
            </w:tcBorders>
          </w:tcPr>
          <w:p>
            <w:pPr/>
          </w:p>
        </w:tc>
        <w:tc>
          <w:tcPr>
            <w:tcW w:w="893" w:type="dxa"/>
            <w:vMerge/>
            <w:tcBorders>
              <w:left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二甲苯</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31"/>
              <w:jc w:val="both"/>
              <w:rPr>
                <w:rFonts w:ascii="宋体" w:hAnsi="宋体" w:cs="宋体" w:eastAsia="宋体" w:hint="default"/>
                <w:sz w:val="18"/>
                <w:szCs w:val="18"/>
              </w:rPr>
            </w:pPr>
            <w:r>
              <w:rPr>
                <w:rFonts w:ascii="宋体" w:hAnsi="宋体" w:cs="宋体" w:eastAsia="宋体" w:hint="default"/>
                <w:spacing w:val="46"/>
                <w:sz w:val="18"/>
                <w:szCs w:val="18"/>
              </w:rPr>
              <w:t>处理后</w:t>
            </w:r>
            <w:r>
              <w:rPr>
                <w:rFonts w:ascii="宋体" w:hAnsi="宋体" w:cs="宋体" w:eastAsia="宋体" w:hint="default"/>
                <w:spacing w:val="-21"/>
                <w:sz w:val="18"/>
                <w:szCs w:val="18"/>
              </w:rPr>
              <w:t> </w:t>
            </w:r>
            <w:r>
              <w:rPr>
                <w:rFonts w:ascii="宋体" w:hAnsi="宋体" w:cs="宋体" w:eastAsia="宋体" w:hint="default"/>
                <w:spacing w:val="46"/>
                <w:sz w:val="18"/>
                <w:szCs w:val="18"/>
              </w:rPr>
              <w:t>达标排</w:t>
            </w:r>
            <w:r>
              <w:rPr>
                <w:rFonts w:ascii="宋体" w:hAnsi="宋体" w:cs="宋体" w:eastAsia="宋体" w:hint="default"/>
                <w:spacing w:val="-21"/>
                <w:sz w:val="18"/>
                <w:szCs w:val="18"/>
              </w:rPr>
              <w:t> </w:t>
            </w:r>
            <w:r>
              <w:rPr>
                <w:rFonts w:ascii="宋体" w:hAnsi="宋体" w:cs="宋体" w:eastAsia="宋体" w:hint="default"/>
                <w:sz w:val="18"/>
                <w:szCs w:val="18"/>
              </w:rPr>
              <w:t>放</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8</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32"/>
              <w:jc w:val="left"/>
              <w:rPr>
                <w:rFonts w:ascii="宋体" w:hAnsi="宋体" w:cs="宋体" w:eastAsia="宋体" w:hint="default"/>
                <w:sz w:val="18"/>
                <w:szCs w:val="18"/>
              </w:rPr>
            </w:pPr>
            <w:r>
              <w:rPr>
                <w:rFonts w:ascii="宋体" w:hAnsi="宋体" w:cs="宋体" w:eastAsia="宋体" w:hint="default"/>
                <w:spacing w:val="45"/>
                <w:sz w:val="18"/>
                <w:szCs w:val="18"/>
              </w:rPr>
              <w:t>复合车</w:t>
            </w:r>
            <w:r>
              <w:rPr>
                <w:rFonts w:ascii="宋体" w:hAnsi="宋体" w:cs="宋体" w:eastAsia="宋体" w:hint="default"/>
                <w:spacing w:val="-22"/>
                <w:sz w:val="18"/>
                <w:szCs w:val="18"/>
              </w:rPr>
              <w:t> </w:t>
            </w:r>
            <w:r>
              <w:rPr>
                <w:rFonts w:ascii="宋体" w:hAnsi="宋体" w:cs="宋体" w:eastAsia="宋体" w:hint="default"/>
                <w:sz w:val="18"/>
                <w:szCs w:val="18"/>
              </w:rPr>
              <w:t>间</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0.0015L</w:t>
            </w:r>
          </w:p>
        </w:tc>
        <w:tc>
          <w:tcPr>
            <w:tcW w:w="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70</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hAnsi="Times New Roman"/>
                <w:sz w:val="18"/>
              </w:rPr>
              <w:t>mg/m³</w:t>
            </w:r>
          </w:p>
        </w:tc>
        <w:tc>
          <w:tcPr>
            <w:tcW w:w="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0.00024T</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1026" w:hRule="exact"/>
        </w:trPr>
        <w:tc>
          <w:tcPr>
            <w:tcW w:w="898" w:type="dxa"/>
            <w:vMerge/>
            <w:tcBorders>
              <w:left w:val="single" w:sz="4" w:space="0" w:color="000000"/>
              <w:right w:val="single" w:sz="4" w:space="0" w:color="000000"/>
            </w:tcBorders>
          </w:tcPr>
          <w:p>
            <w:pPr/>
          </w:p>
        </w:tc>
        <w:tc>
          <w:tcPr>
            <w:tcW w:w="893" w:type="dxa"/>
            <w:vMerge/>
            <w:tcBorders>
              <w:left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32"/>
              <w:jc w:val="left"/>
              <w:rPr>
                <w:rFonts w:ascii="宋体" w:hAnsi="宋体" w:cs="宋体" w:eastAsia="宋体" w:hint="default"/>
                <w:sz w:val="18"/>
                <w:szCs w:val="18"/>
              </w:rPr>
            </w:pPr>
            <w:r>
              <w:rPr>
                <w:rFonts w:ascii="宋体" w:hAnsi="宋体" w:cs="宋体" w:eastAsia="宋体" w:hint="default"/>
                <w:spacing w:val="45"/>
                <w:sz w:val="18"/>
                <w:szCs w:val="18"/>
              </w:rPr>
              <w:t>非甲烷</w:t>
            </w:r>
            <w:r>
              <w:rPr>
                <w:rFonts w:ascii="宋体" w:hAnsi="宋体" w:cs="宋体" w:eastAsia="宋体" w:hint="default"/>
                <w:spacing w:val="-22"/>
                <w:sz w:val="18"/>
                <w:szCs w:val="18"/>
              </w:rPr>
              <w:t> </w:t>
            </w:r>
            <w:r>
              <w:rPr>
                <w:rFonts w:ascii="宋体" w:hAnsi="宋体" w:cs="宋体" w:eastAsia="宋体" w:hint="default"/>
                <w:sz w:val="18"/>
                <w:szCs w:val="18"/>
              </w:rPr>
              <w:t>总烃</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31"/>
              <w:jc w:val="both"/>
              <w:rPr>
                <w:rFonts w:ascii="宋体" w:hAnsi="宋体" w:cs="宋体" w:eastAsia="宋体" w:hint="default"/>
                <w:sz w:val="18"/>
                <w:szCs w:val="18"/>
              </w:rPr>
            </w:pPr>
            <w:r>
              <w:rPr>
                <w:rFonts w:ascii="宋体" w:hAnsi="宋体" w:cs="宋体" w:eastAsia="宋体" w:hint="default"/>
                <w:spacing w:val="46"/>
                <w:sz w:val="18"/>
                <w:szCs w:val="18"/>
              </w:rPr>
              <w:t>处理后</w:t>
            </w:r>
            <w:r>
              <w:rPr>
                <w:rFonts w:ascii="宋体" w:hAnsi="宋体" w:cs="宋体" w:eastAsia="宋体" w:hint="default"/>
                <w:spacing w:val="-21"/>
                <w:sz w:val="18"/>
                <w:szCs w:val="18"/>
              </w:rPr>
              <w:t> </w:t>
            </w:r>
            <w:r>
              <w:rPr>
                <w:rFonts w:ascii="宋体" w:hAnsi="宋体" w:cs="宋体" w:eastAsia="宋体" w:hint="default"/>
                <w:spacing w:val="46"/>
                <w:sz w:val="18"/>
                <w:szCs w:val="18"/>
              </w:rPr>
              <w:t>达标排</w:t>
            </w:r>
            <w:r>
              <w:rPr>
                <w:rFonts w:ascii="宋体" w:hAnsi="宋体" w:cs="宋体" w:eastAsia="宋体" w:hint="default"/>
                <w:spacing w:val="-21"/>
                <w:sz w:val="18"/>
                <w:szCs w:val="18"/>
              </w:rPr>
              <w:t> </w:t>
            </w:r>
            <w:r>
              <w:rPr>
                <w:rFonts w:ascii="宋体" w:hAnsi="宋体" w:cs="宋体" w:eastAsia="宋体" w:hint="default"/>
                <w:sz w:val="18"/>
                <w:szCs w:val="18"/>
              </w:rPr>
              <w:t>放</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4</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103" w:right="47"/>
              <w:jc w:val="left"/>
              <w:rPr>
                <w:rFonts w:ascii="宋体" w:hAnsi="宋体" w:cs="宋体" w:eastAsia="宋体" w:hint="default"/>
                <w:sz w:val="18"/>
                <w:szCs w:val="18"/>
              </w:rPr>
            </w:pPr>
            <w:r>
              <w:rPr>
                <w:rFonts w:ascii="Times New Roman" w:hAnsi="Times New Roman" w:cs="Times New Roman" w:eastAsia="Times New Roman" w:hint="default"/>
                <w:sz w:val="18"/>
                <w:szCs w:val="18"/>
              </w:rPr>
              <w:t>FT</w:t>
            </w:r>
            <w:r>
              <w:rPr>
                <w:rFonts w:ascii="Times New Roman" w:hAnsi="Times New Roman" w:cs="Times New Roman" w:eastAsia="Times New Roman" w:hint="default"/>
                <w:spacing w:val="8"/>
                <w:sz w:val="18"/>
                <w:szCs w:val="18"/>
              </w:rPr>
              <w:t> </w:t>
            </w:r>
            <w:r>
              <w:rPr>
                <w:rFonts w:ascii="宋体" w:hAnsi="宋体" w:cs="宋体" w:eastAsia="宋体" w:hint="default"/>
                <w:spacing w:val="27"/>
                <w:sz w:val="18"/>
                <w:szCs w:val="18"/>
              </w:rPr>
              <w:t>膜压</w:t>
            </w:r>
            <w:r>
              <w:rPr>
                <w:rFonts w:ascii="宋体" w:hAnsi="宋体" w:cs="宋体" w:eastAsia="宋体" w:hint="default"/>
                <w:spacing w:val="-36"/>
                <w:sz w:val="18"/>
                <w:szCs w:val="18"/>
              </w:rPr>
              <w:t> </w:t>
            </w:r>
            <w:r>
              <w:rPr>
                <w:rFonts w:ascii="宋体" w:hAnsi="宋体" w:cs="宋体" w:eastAsia="宋体" w:hint="default"/>
                <w:sz w:val="18"/>
                <w:szCs w:val="18"/>
              </w:rPr>
              <w:t>车间</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0.66</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hAnsi="Times New Roman"/>
                <w:sz w:val="18"/>
              </w:rPr>
              <w:t>mg/m³</w:t>
            </w:r>
          </w:p>
        </w:tc>
        <w:tc>
          <w:tcPr>
            <w:tcW w:w="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120</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hAnsi="Times New Roman"/>
                <w:sz w:val="18"/>
              </w:rPr>
              <w:t>mg/m³</w:t>
            </w:r>
          </w:p>
        </w:tc>
        <w:tc>
          <w:tcPr>
            <w:tcW w:w="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0.06314T</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1026" w:hRule="exact"/>
        </w:trPr>
        <w:tc>
          <w:tcPr>
            <w:tcW w:w="898" w:type="dxa"/>
            <w:vMerge/>
            <w:tcBorders>
              <w:left w:val="single" w:sz="4" w:space="0" w:color="000000"/>
              <w:right w:val="single" w:sz="4" w:space="0" w:color="000000"/>
            </w:tcBorders>
          </w:tcPr>
          <w:p>
            <w:pPr/>
          </w:p>
        </w:tc>
        <w:tc>
          <w:tcPr>
            <w:tcW w:w="893" w:type="dxa"/>
            <w:vMerge/>
            <w:tcBorders>
              <w:left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苯</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31"/>
              <w:jc w:val="both"/>
              <w:rPr>
                <w:rFonts w:ascii="宋体" w:hAnsi="宋体" w:cs="宋体" w:eastAsia="宋体" w:hint="default"/>
                <w:sz w:val="18"/>
                <w:szCs w:val="18"/>
              </w:rPr>
            </w:pPr>
            <w:r>
              <w:rPr>
                <w:rFonts w:ascii="宋体" w:hAnsi="宋体" w:cs="宋体" w:eastAsia="宋体" w:hint="default"/>
                <w:spacing w:val="46"/>
                <w:sz w:val="18"/>
                <w:szCs w:val="18"/>
              </w:rPr>
              <w:t>处理后</w:t>
            </w:r>
            <w:r>
              <w:rPr>
                <w:rFonts w:ascii="宋体" w:hAnsi="宋体" w:cs="宋体" w:eastAsia="宋体" w:hint="default"/>
                <w:spacing w:val="-21"/>
                <w:sz w:val="18"/>
                <w:szCs w:val="18"/>
              </w:rPr>
              <w:t> </w:t>
            </w:r>
            <w:r>
              <w:rPr>
                <w:rFonts w:ascii="宋体" w:hAnsi="宋体" w:cs="宋体" w:eastAsia="宋体" w:hint="default"/>
                <w:spacing w:val="46"/>
                <w:sz w:val="18"/>
                <w:szCs w:val="18"/>
              </w:rPr>
              <w:t>达标排</w:t>
            </w:r>
            <w:r>
              <w:rPr>
                <w:rFonts w:ascii="宋体" w:hAnsi="宋体" w:cs="宋体" w:eastAsia="宋体" w:hint="default"/>
                <w:spacing w:val="-21"/>
                <w:sz w:val="18"/>
                <w:szCs w:val="18"/>
              </w:rPr>
              <w:t> </w:t>
            </w:r>
            <w:r>
              <w:rPr>
                <w:rFonts w:ascii="宋体" w:hAnsi="宋体" w:cs="宋体" w:eastAsia="宋体" w:hint="default"/>
                <w:sz w:val="18"/>
                <w:szCs w:val="18"/>
              </w:rPr>
              <w:t>放</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4</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103" w:right="47"/>
              <w:jc w:val="left"/>
              <w:rPr>
                <w:rFonts w:ascii="宋体" w:hAnsi="宋体" w:cs="宋体" w:eastAsia="宋体" w:hint="default"/>
                <w:sz w:val="18"/>
                <w:szCs w:val="18"/>
              </w:rPr>
            </w:pPr>
            <w:r>
              <w:rPr>
                <w:rFonts w:ascii="Times New Roman" w:hAnsi="Times New Roman" w:cs="Times New Roman" w:eastAsia="Times New Roman" w:hint="default"/>
                <w:sz w:val="18"/>
                <w:szCs w:val="18"/>
              </w:rPr>
              <w:t>FT</w:t>
            </w:r>
            <w:r>
              <w:rPr>
                <w:rFonts w:ascii="Times New Roman" w:hAnsi="Times New Roman" w:cs="Times New Roman" w:eastAsia="Times New Roman" w:hint="default"/>
                <w:spacing w:val="8"/>
                <w:sz w:val="18"/>
                <w:szCs w:val="18"/>
              </w:rPr>
              <w:t> </w:t>
            </w:r>
            <w:r>
              <w:rPr>
                <w:rFonts w:ascii="宋体" w:hAnsi="宋体" w:cs="宋体" w:eastAsia="宋体" w:hint="default"/>
                <w:spacing w:val="27"/>
                <w:sz w:val="18"/>
                <w:szCs w:val="18"/>
              </w:rPr>
              <w:t>膜压</w:t>
            </w:r>
            <w:r>
              <w:rPr>
                <w:rFonts w:ascii="宋体" w:hAnsi="宋体" w:cs="宋体" w:eastAsia="宋体" w:hint="default"/>
                <w:spacing w:val="-36"/>
                <w:sz w:val="18"/>
                <w:szCs w:val="18"/>
              </w:rPr>
              <w:t> </w:t>
            </w:r>
            <w:r>
              <w:rPr>
                <w:rFonts w:ascii="宋体" w:hAnsi="宋体" w:cs="宋体" w:eastAsia="宋体" w:hint="default"/>
                <w:sz w:val="18"/>
                <w:szCs w:val="18"/>
              </w:rPr>
              <w:t>车间</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0.0015L</w:t>
            </w:r>
          </w:p>
        </w:tc>
        <w:tc>
          <w:tcPr>
            <w:tcW w:w="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12</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hAnsi="Times New Roman"/>
                <w:sz w:val="18"/>
              </w:rPr>
              <w:t>mg/m³</w:t>
            </w:r>
          </w:p>
        </w:tc>
        <w:tc>
          <w:tcPr>
            <w:tcW w:w="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0.00014T</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1026" w:hRule="exact"/>
        </w:trPr>
        <w:tc>
          <w:tcPr>
            <w:tcW w:w="898" w:type="dxa"/>
            <w:vMerge/>
            <w:tcBorders>
              <w:left w:val="single" w:sz="4" w:space="0" w:color="000000"/>
              <w:right w:val="single" w:sz="4" w:space="0" w:color="000000"/>
            </w:tcBorders>
          </w:tcPr>
          <w:p>
            <w:pPr/>
          </w:p>
        </w:tc>
        <w:tc>
          <w:tcPr>
            <w:tcW w:w="893" w:type="dxa"/>
            <w:vMerge/>
            <w:tcBorders>
              <w:left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甲苯</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31"/>
              <w:jc w:val="both"/>
              <w:rPr>
                <w:rFonts w:ascii="宋体" w:hAnsi="宋体" w:cs="宋体" w:eastAsia="宋体" w:hint="default"/>
                <w:sz w:val="18"/>
                <w:szCs w:val="18"/>
              </w:rPr>
            </w:pPr>
            <w:r>
              <w:rPr>
                <w:rFonts w:ascii="宋体" w:hAnsi="宋体" w:cs="宋体" w:eastAsia="宋体" w:hint="default"/>
                <w:spacing w:val="46"/>
                <w:sz w:val="18"/>
                <w:szCs w:val="18"/>
              </w:rPr>
              <w:t>处理后</w:t>
            </w:r>
            <w:r>
              <w:rPr>
                <w:rFonts w:ascii="宋体" w:hAnsi="宋体" w:cs="宋体" w:eastAsia="宋体" w:hint="default"/>
                <w:spacing w:val="-21"/>
                <w:sz w:val="18"/>
                <w:szCs w:val="18"/>
              </w:rPr>
              <w:t> </w:t>
            </w:r>
            <w:r>
              <w:rPr>
                <w:rFonts w:ascii="宋体" w:hAnsi="宋体" w:cs="宋体" w:eastAsia="宋体" w:hint="default"/>
                <w:spacing w:val="46"/>
                <w:sz w:val="18"/>
                <w:szCs w:val="18"/>
              </w:rPr>
              <w:t>达标排</w:t>
            </w:r>
            <w:r>
              <w:rPr>
                <w:rFonts w:ascii="宋体" w:hAnsi="宋体" w:cs="宋体" w:eastAsia="宋体" w:hint="default"/>
                <w:spacing w:val="-21"/>
                <w:sz w:val="18"/>
                <w:szCs w:val="18"/>
              </w:rPr>
              <w:t> </w:t>
            </w:r>
            <w:r>
              <w:rPr>
                <w:rFonts w:ascii="宋体" w:hAnsi="宋体" w:cs="宋体" w:eastAsia="宋体" w:hint="default"/>
                <w:sz w:val="18"/>
                <w:szCs w:val="18"/>
              </w:rPr>
              <w:t>放</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4</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103" w:right="47"/>
              <w:jc w:val="left"/>
              <w:rPr>
                <w:rFonts w:ascii="宋体" w:hAnsi="宋体" w:cs="宋体" w:eastAsia="宋体" w:hint="default"/>
                <w:sz w:val="18"/>
                <w:szCs w:val="18"/>
              </w:rPr>
            </w:pPr>
            <w:r>
              <w:rPr>
                <w:rFonts w:ascii="Times New Roman" w:hAnsi="Times New Roman" w:cs="Times New Roman" w:eastAsia="Times New Roman" w:hint="default"/>
                <w:sz w:val="18"/>
                <w:szCs w:val="18"/>
              </w:rPr>
              <w:t>FT</w:t>
            </w:r>
            <w:r>
              <w:rPr>
                <w:rFonts w:ascii="Times New Roman" w:hAnsi="Times New Roman" w:cs="Times New Roman" w:eastAsia="Times New Roman" w:hint="default"/>
                <w:spacing w:val="8"/>
                <w:sz w:val="18"/>
                <w:szCs w:val="18"/>
              </w:rPr>
              <w:t> </w:t>
            </w:r>
            <w:r>
              <w:rPr>
                <w:rFonts w:ascii="宋体" w:hAnsi="宋体" w:cs="宋体" w:eastAsia="宋体" w:hint="default"/>
                <w:spacing w:val="27"/>
                <w:sz w:val="18"/>
                <w:szCs w:val="18"/>
              </w:rPr>
              <w:t>膜压</w:t>
            </w:r>
            <w:r>
              <w:rPr>
                <w:rFonts w:ascii="宋体" w:hAnsi="宋体" w:cs="宋体" w:eastAsia="宋体" w:hint="default"/>
                <w:spacing w:val="-36"/>
                <w:sz w:val="18"/>
                <w:szCs w:val="18"/>
              </w:rPr>
              <w:t> </w:t>
            </w:r>
            <w:r>
              <w:rPr>
                <w:rFonts w:ascii="宋体" w:hAnsi="宋体" w:cs="宋体" w:eastAsia="宋体" w:hint="default"/>
                <w:sz w:val="18"/>
                <w:szCs w:val="18"/>
              </w:rPr>
              <w:t>车间</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0.08254</w:t>
            </w:r>
          </w:p>
        </w:tc>
        <w:tc>
          <w:tcPr>
            <w:tcW w:w="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40</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hAnsi="Times New Roman"/>
                <w:sz w:val="18"/>
              </w:rPr>
              <w:t>mg/m³</w:t>
            </w:r>
          </w:p>
        </w:tc>
        <w:tc>
          <w:tcPr>
            <w:tcW w:w="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0.00790T</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1026" w:hRule="exact"/>
        </w:trPr>
        <w:tc>
          <w:tcPr>
            <w:tcW w:w="898" w:type="dxa"/>
            <w:vMerge/>
            <w:tcBorders>
              <w:left w:val="single" w:sz="4" w:space="0" w:color="000000"/>
              <w:right w:val="single" w:sz="4" w:space="0" w:color="000000"/>
            </w:tcBorders>
          </w:tcPr>
          <w:p>
            <w:pPr/>
          </w:p>
        </w:tc>
        <w:tc>
          <w:tcPr>
            <w:tcW w:w="893" w:type="dxa"/>
            <w:vMerge/>
            <w:tcBorders>
              <w:left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二甲苯</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31"/>
              <w:jc w:val="both"/>
              <w:rPr>
                <w:rFonts w:ascii="宋体" w:hAnsi="宋体" w:cs="宋体" w:eastAsia="宋体" w:hint="default"/>
                <w:sz w:val="18"/>
                <w:szCs w:val="18"/>
              </w:rPr>
            </w:pPr>
            <w:r>
              <w:rPr>
                <w:rFonts w:ascii="宋体" w:hAnsi="宋体" w:cs="宋体" w:eastAsia="宋体" w:hint="default"/>
                <w:spacing w:val="46"/>
                <w:sz w:val="18"/>
                <w:szCs w:val="18"/>
              </w:rPr>
              <w:t>处理后</w:t>
            </w:r>
            <w:r>
              <w:rPr>
                <w:rFonts w:ascii="宋体" w:hAnsi="宋体" w:cs="宋体" w:eastAsia="宋体" w:hint="default"/>
                <w:spacing w:val="-21"/>
                <w:sz w:val="18"/>
                <w:szCs w:val="18"/>
              </w:rPr>
              <w:t> </w:t>
            </w:r>
            <w:r>
              <w:rPr>
                <w:rFonts w:ascii="宋体" w:hAnsi="宋体" w:cs="宋体" w:eastAsia="宋体" w:hint="default"/>
                <w:spacing w:val="46"/>
                <w:sz w:val="18"/>
                <w:szCs w:val="18"/>
              </w:rPr>
              <w:t>达标排</w:t>
            </w:r>
            <w:r>
              <w:rPr>
                <w:rFonts w:ascii="宋体" w:hAnsi="宋体" w:cs="宋体" w:eastAsia="宋体" w:hint="default"/>
                <w:spacing w:val="-21"/>
                <w:sz w:val="18"/>
                <w:szCs w:val="18"/>
              </w:rPr>
              <w:t> </w:t>
            </w:r>
            <w:r>
              <w:rPr>
                <w:rFonts w:ascii="宋体" w:hAnsi="宋体" w:cs="宋体" w:eastAsia="宋体" w:hint="default"/>
                <w:sz w:val="18"/>
                <w:szCs w:val="18"/>
              </w:rPr>
              <w:t>放</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4</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103" w:right="47"/>
              <w:jc w:val="left"/>
              <w:rPr>
                <w:rFonts w:ascii="宋体" w:hAnsi="宋体" w:cs="宋体" w:eastAsia="宋体" w:hint="default"/>
                <w:sz w:val="18"/>
                <w:szCs w:val="18"/>
              </w:rPr>
            </w:pPr>
            <w:r>
              <w:rPr>
                <w:rFonts w:ascii="Times New Roman" w:hAnsi="Times New Roman" w:cs="Times New Roman" w:eastAsia="Times New Roman" w:hint="default"/>
                <w:sz w:val="18"/>
                <w:szCs w:val="18"/>
              </w:rPr>
              <w:t>FT</w:t>
            </w:r>
            <w:r>
              <w:rPr>
                <w:rFonts w:ascii="Times New Roman" w:hAnsi="Times New Roman" w:cs="Times New Roman" w:eastAsia="Times New Roman" w:hint="default"/>
                <w:spacing w:val="8"/>
                <w:sz w:val="18"/>
                <w:szCs w:val="18"/>
              </w:rPr>
              <w:t> </w:t>
            </w:r>
            <w:r>
              <w:rPr>
                <w:rFonts w:ascii="宋体" w:hAnsi="宋体" w:cs="宋体" w:eastAsia="宋体" w:hint="default"/>
                <w:spacing w:val="27"/>
                <w:sz w:val="18"/>
                <w:szCs w:val="18"/>
              </w:rPr>
              <w:t>膜压</w:t>
            </w:r>
            <w:r>
              <w:rPr>
                <w:rFonts w:ascii="宋体" w:hAnsi="宋体" w:cs="宋体" w:eastAsia="宋体" w:hint="default"/>
                <w:spacing w:val="-36"/>
                <w:sz w:val="18"/>
                <w:szCs w:val="18"/>
              </w:rPr>
              <w:t> </w:t>
            </w:r>
            <w:r>
              <w:rPr>
                <w:rFonts w:ascii="宋体" w:hAnsi="宋体" w:cs="宋体" w:eastAsia="宋体" w:hint="default"/>
                <w:sz w:val="18"/>
                <w:szCs w:val="18"/>
              </w:rPr>
              <w:t>车间</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0.0015L</w:t>
            </w:r>
          </w:p>
        </w:tc>
        <w:tc>
          <w:tcPr>
            <w:tcW w:w="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70</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hAnsi="Times New Roman"/>
                <w:sz w:val="18"/>
              </w:rPr>
              <w:t>mg/m³</w:t>
            </w:r>
          </w:p>
        </w:tc>
        <w:tc>
          <w:tcPr>
            <w:tcW w:w="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0.00014T</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1026" w:hRule="exact"/>
        </w:trPr>
        <w:tc>
          <w:tcPr>
            <w:tcW w:w="898" w:type="dxa"/>
            <w:vMerge/>
            <w:tcBorders>
              <w:left w:val="single" w:sz="4" w:space="0" w:color="000000"/>
              <w:right w:val="single" w:sz="4" w:space="0" w:color="000000"/>
            </w:tcBorders>
          </w:tcPr>
          <w:p>
            <w:pPr/>
          </w:p>
        </w:tc>
        <w:tc>
          <w:tcPr>
            <w:tcW w:w="893" w:type="dxa"/>
            <w:vMerge/>
            <w:tcBorders>
              <w:left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32"/>
              <w:jc w:val="left"/>
              <w:rPr>
                <w:rFonts w:ascii="宋体" w:hAnsi="宋体" w:cs="宋体" w:eastAsia="宋体" w:hint="default"/>
                <w:sz w:val="18"/>
                <w:szCs w:val="18"/>
              </w:rPr>
            </w:pPr>
            <w:r>
              <w:rPr>
                <w:rFonts w:ascii="宋体" w:hAnsi="宋体" w:cs="宋体" w:eastAsia="宋体" w:hint="default"/>
                <w:spacing w:val="45"/>
                <w:sz w:val="18"/>
                <w:szCs w:val="18"/>
              </w:rPr>
              <w:t>非甲烷</w:t>
            </w:r>
            <w:r>
              <w:rPr>
                <w:rFonts w:ascii="宋体" w:hAnsi="宋体" w:cs="宋体" w:eastAsia="宋体" w:hint="default"/>
                <w:spacing w:val="-22"/>
                <w:sz w:val="18"/>
                <w:szCs w:val="18"/>
              </w:rPr>
              <w:t> </w:t>
            </w:r>
            <w:r>
              <w:rPr>
                <w:rFonts w:ascii="宋体" w:hAnsi="宋体" w:cs="宋体" w:eastAsia="宋体" w:hint="default"/>
                <w:sz w:val="18"/>
                <w:szCs w:val="18"/>
              </w:rPr>
              <w:t>总烃</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31"/>
              <w:jc w:val="both"/>
              <w:rPr>
                <w:rFonts w:ascii="宋体" w:hAnsi="宋体" w:cs="宋体" w:eastAsia="宋体" w:hint="default"/>
                <w:sz w:val="18"/>
                <w:szCs w:val="18"/>
              </w:rPr>
            </w:pPr>
            <w:r>
              <w:rPr>
                <w:rFonts w:ascii="宋体" w:hAnsi="宋体" w:cs="宋体" w:eastAsia="宋体" w:hint="default"/>
                <w:spacing w:val="46"/>
                <w:sz w:val="18"/>
                <w:szCs w:val="18"/>
              </w:rPr>
              <w:t>处理后</w:t>
            </w:r>
            <w:r>
              <w:rPr>
                <w:rFonts w:ascii="宋体" w:hAnsi="宋体" w:cs="宋体" w:eastAsia="宋体" w:hint="default"/>
                <w:spacing w:val="-21"/>
                <w:sz w:val="18"/>
                <w:szCs w:val="18"/>
              </w:rPr>
              <w:t> </w:t>
            </w:r>
            <w:r>
              <w:rPr>
                <w:rFonts w:ascii="宋体" w:hAnsi="宋体" w:cs="宋体" w:eastAsia="宋体" w:hint="default"/>
                <w:spacing w:val="46"/>
                <w:sz w:val="18"/>
                <w:szCs w:val="18"/>
              </w:rPr>
              <w:t>达标排</w:t>
            </w:r>
            <w:r>
              <w:rPr>
                <w:rFonts w:ascii="宋体" w:hAnsi="宋体" w:cs="宋体" w:eastAsia="宋体" w:hint="default"/>
                <w:spacing w:val="-21"/>
                <w:sz w:val="18"/>
                <w:szCs w:val="18"/>
              </w:rPr>
              <w:t> </w:t>
            </w:r>
            <w:r>
              <w:rPr>
                <w:rFonts w:ascii="宋体" w:hAnsi="宋体" w:cs="宋体" w:eastAsia="宋体" w:hint="default"/>
                <w:sz w:val="18"/>
                <w:szCs w:val="18"/>
              </w:rPr>
              <w:t>放</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1</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32"/>
              <w:jc w:val="left"/>
              <w:rPr>
                <w:rFonts w:ascii="宋体" w:hAnsi="宋体" w:cs="宋体" w:eastAsia="宋体" w:hint="default"/>
                <w:sz w:val="18"/>
                <w:szCs w:val="18"/>
              </w:rPr>
            </w:pPr>
            <w:r>
              <w:rPr>
                <w:rFonts w:ascii="宋体" w:hAnsi="宋体" w:cs="宋体" w:eastAsia="宋体" w:hint="default"/>
                <w:spacing w:val="45"/>
                <w:sz w:val="18"/>
                <w:szCs w:val="18"/>
              </w:rPr>
              <w:t>涂布车</w:t>
            </w:r>
            <w:r>
              <w:rPr>
                <w:rFonts w:ascii="宋体" w:hAnsi="宋体" w:cs="宋体" w:eastAsia="宋体" w:hint="default"/>
                <w:spacing w:val="-22"/>
                <w:sz w:val="18"/>
                <w:szCs w:val="18"/>
              </w:rPr>
              <w:t> </w:t>
            </w:r>
            <w:r>
              <w:rPr>
                <w:rFonts w:ascii="宋体" w:hAnsi="宋体" w:cs="宋体" w:eastAsia="宋体" w:hint="default"/>
                <w:sz w:val="18"/>
                <w:szCs w:val="18"/>
              </w:rPr>
              <w:t>间</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0.7</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hAnsi="Times New Roman"/>
                <w:sz w:val="18"/>
              </w:rPr>
              <w:t>mg/m³</w:t>
            </w:r>
          </w:p>
        </w:tc>
        <w:tc>
          <w:tcPr>
            <w:tcW w:w="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120</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hAnsi="Times New Roman"/>
                <w:sz w:val="18"/>
              </w:rPr>
              <w:t>mg/m³</w:t>
            </w:r>
          </w:p>
        </w:tc>
        <w:tc>
          <w:tcPr>
            <w:tcW w:w="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0.10716T</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1026" w:hRule="exact"/>
        </w:trPr>
        <w:tc>
          <w:tcPr>
            <w:tcW w:w="898" w:type="dxa"/>
            <w:vMerge/>
            <w:tcBorders>
              <w:left w:val="single" w:sz="4" w:space="0" w:color="000000"/>
              <w:right w:val="single" w:sz="4" w:space="0" w:color="000000"/>
            </w:tcBorders>
          </w:tcPr>
          <w:p>
            <w:pPr/>
          </w:p>
        </w:tc>
        <w:tc>
          <w:tcPr>
            <w:tcW w:w="893" w:type="dxa"/>
            <w:vMerge/>
            <w:tcBorders>
              <w:left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苯</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31"/>
              <w:jc w:val="both"/>
              <w:rPr>
                <w:rFonts w:ascii="宋体" w:hAnsi="宋体" w:cs="宋体" w:eastAsia="宋体" w:hint="default"/>
                <w:sz w:val="18"/>
                <w:szCs w:val="18"/>
              </w:rPr>
            </w:pPr>
            <w:r>
              <w:rPr>
                <w:rFonts w:ascii="宋体" w:hAnsi="宋体" w:cs="宋体" w:eastAsia="宋体" w:hint="default"/>
                <w:spacing w:val="46"/>
                <w:sz w:val="18"/>
                <w:szCs w:val="18"/>
              </w:rPr>
              <w:t>处理后</w:t>
            </w:r>
            <w:r>
              <w:rPr>
                <w:rFonts w:ascii="宋体" w:hAnsi="宋体" w:cs="宋体" w:eastAsia="宋体" w:hint="default"/>
                <w:spacing w:val="-21"/>
                <w:sz w:val="18"/>
                <w:szCs w:val="18"/>
              </w:rPr>
              <w:t> </w:t>
            </w:r>
            <w:r>
              <w:rPr>
                <w:rFonts w:ascii="宋体" w:hAnsi="宋体" w:cs="宋体" w:eastAsia="宋体" w:hint="default"/>
                <w:spacing w:val="46"/>
                <w:sz w:val="18"/>
                <w:szCs w:val="18"/>
              </w:rPr>
              <w:t>达标排</w:t>
            </w:r>
            <w:r>
              <w:rPr>
                <w:rFonts w:ascii="宋体" w:hAnsi="宋体" w:cs="宋体" w:eastAsia="宋体" w:hint="default"/>
                <w:spacing w:val="-21"/>
                <w:sz w:val="18"/>
                <w:szCs w:val="18"/>
              </w:rPr>
              <w:t> </w:t>
            </w:r>
            <w:r>
              <w:rPr>
                <w:rFonts w:ascii="宋体" w:hAnsi="宋体" w:cs="宋体" w:eastAsia="宋体" w:hint="default"/>
                <w:sz w:val="18"/>
                <w:szCs w:val="18"/>
              </w:rPr>
              <w:t>放</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1</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32"/>
              <w:jc w:val="left"/>
              <w:rPr>
                <w:rFonts w:ascii="宋体" w:hAnsi="宋体" w:cs="宋体" w:eastAsia="宋体" w:hint="default"/>
                <w:sz w:val="18"/>
                <w:szCs w:val="18"/>
              </w:rPr>
            </w:pPr>
            <w:r>
              <w:rPr>
                <w:rFonts w:ascii="宋体" w:hAnsi="宋体" w:cs="宋体" w:eastAsia="宋体" w:hint="default"/>
                <w:spacing w:val="45"/>
                <w:sz w:val="18"/>
                <w:szCs w:val="18"/>
              </w:rPr>
              <w:t>涂布车</w:t>
            </w:r>
            <w:r>
              <w:rPr>
                <w:rFonts w:ascii="宋体" w:hAnsi="宋体" w:cs="宋体" w:eastAsia="宋体" w:hint="default"/>
                <w:spacing w:val="-22"/>
                <w:sz w:val="18"/>
                <w:szCs w:val="18"/>
              </w:rPr>
              <w:t> </w:t>
            </w:r>
            <w:r>
              <w:rPr>
                <w:rFonts w:ascii="宋体" w:hAnsi="宋体" w:cs="宋体" w:eastAsia="宋体" w:hint="default"/>
                <w:sz w:val="18"/>
                <w:szCs w:val="18"/>
              </w:rPr>
              <w:t>间</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0.0015L</w:t>
            </w:r>
          </w:p>
        </w:tc>
        <w:tc>
          <w:tcPr>
            <w:tcW w:w="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12</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hAnsi="Times New Roman"/>
                <w:sz w:val="18"/>
              </w:rPr>
              <w:t>mg/m³</w:t>
            </w:r>
          </w:p>
        </w:tc>
        <w:tc>
          <w:tcPr>
            <w:tcW w:w="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0.00023T</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1026" w:hRule="exact"/>
        </w:trPr>
        <w:tc>
          <w:tcPr>
            <w:tcW w:w="898" w:type="dxa"/>
            <w:vMerge/>
            <w:tcBorders>
              <w:left w:val="single" w:sz="4" w:space="0" w:color="000000"/>
              <w:right w:val="single" w:sz="4" w:space="0" w:color="000000"/>
            </w:tcBorders>
          </w:tcPr>
          <w:p>
            <w:pPr/>
          </w:p>
        </w:tc>
        <w:tc>
          <w:tcPr>
            <w:tcW w:w="893" w:type="dxa"/>
            <w:vMerge/>
            <w:tcBorders>
              <w:left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甲苯</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31"/>
              <w:jc w:val="both"/>
              <w:rPr>
                <w:rFonts w:ascii="宋体" w:hAnsi="宋体" w:cs="宋体" w:eastAsia="宋体" w:hint="default"/>
                <w:sz w:val="18"/>
                <w:szCs w:val="18"/>
              </w:rPr>
            </w:pPr>
            <w:r>
              <w:rPr>
                <w:rFonts w:ascii="宋体" w:hAnsi="宋体" w:cs="宋体" w:eastAsia="宋体" w:hint="default"/>
                <w:spacing w:val="46"/>
                <w:sz w:val="18"/>
                <w:szCs w:val="18"/>
              </w:rPr>
              <w:t>处理后</w:t>
            </w:r>
            <w:r>
              <w:rPr>
                <w:rFonts w:ascii="宋体" w:hAnsi="宋体" w:cs="宋体" w:eastAsia="宋体" w:hint="default"/>
                <w:spacing w:val="-21"/>
                <w:sz w:val="18"/>
                <w:szCs w:val="18"/>
              </w:rPr>
              <w:t> </w:t>
            </w:r>
            <w:r>
              <w:rPr>
                <w:rFonts w:ascii="宋体" w:hAnsi="宋体" w:cs="宋体" w:eastAsia="宋体" w:hint="default"/>
                <w:spacing w:val="46"/>
                <w:sz w:val="18"/>
                <w:szCs w:val="18"/>
              </w:rPr>
              <w:t>达标排</w:t>
            </w:r>
            <w:r>
              <w:rPr>
                <w:rFonts w:ascii="宋体" w:hAnsi="宋体" w:cs="宋体" w:eastAsia="宋体" w:hint="default"/>
                <w:spacing w:val="-21"/>
                <w:sz w:val="18"/>
                <w:szCs w:val="18"/>
              </w:rPr>
              <w:t> </w:t>
            </w:r>
            <w:r>
              <w:rPr>
                <w:rFonts w:ascii="宋体" w:hAnsi="宋体" w:cs="宋体" w:eastAsia="宋体" w:hint="default"/>
                <w:sz w:val="18"/>
                <w:szCs w:val="18"/>
              </w:rPr>
              <w:t>放</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1</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32"/>
              <w:jc w:val="left"/>
              <w:rPr>
                <w:rFonts w:ascii="宋体" w:hAnsi="宋体" w:cs="宋体" w:eastAsia="宋体" w:hint="default"/>
                <w:sz w:val="18"/>
                <w:szCs w:val="18"/>
              </w:rPr>
            </w:pPr>
            <w:r>
              <w:rPr>
                <w:rFonts w:ascii="宋体" w:hAnsi="宋体" w:cs="宋体" w:eastAsia="宋体" w:hint="default"/>
                <w:spacing w:val="45"/>
                <w:sz w:val="18"/>
                <w:szCs w:val="18"/>
              </w:rPr>
              <w:t>涂布车</w:t>
            </w:r>
            <w:r>
              <w:rPr>
                <w:rFonts w:ascii="宋体" w:hAnsi="宋体" w:cs="宋体" w:eastAsia="宋体" w:hint="default"/>
                <w:spacing w:val="-22"/>
                <w:sz w:val="18"/>
                <w:szCs w:val="18"/>
              </w:rPr>
              <w:t> </w:t>
            </w:r>
            <w:r>
              <w:rPr>
                <w:rFonts w:ascii="宋体" w:hAnsi="宋体" w:cs="宋体" w:eastAsia="宋体" w:hint="default"/>
                <w:sz w:val="18"/>
                <w:szCs w:val="18"/>
              </w:rPr>
              <w:t>间</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0.0015L</w:t>
            </w:r>
          </w:p>
        </w:tc>
        <w:tc>
          <w:tcPr>
            <w:tcW w:w="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40</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hAnsi="Times New Roman"/>
                <w:sz w:val="18"/>
              </w:rPr>
              <w:t>mg/m³</w:t>
            </w:r>
          </w:p>
        </w:tc>
        <w:tc>
          <w:tcPr>
            <w:tcW w:w="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0.00023T</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1026" w:hRule="exact"/>
        </w:trPr>
        <w:tc>
          <w:tcPr>
            <w:tcW w:w="898" w:type="dxa"/>
            <w:vMerge/>
            <w:tcBorders>
              <w:left w:val="single" w:sz="4" w:space="0" w:color="000000"/>
              <w:bottom w:val="single" w:sz="4" w:space="0" w:color="000000"/>
              <w:right w:val="single" w:sz="4" w:space="0" w:color="000000"/>
            </w:tcBorders>
          </w:tcPr>
          <w:p>
            <w:pPr/>
          </w:p>
        </w:tc>
        <w:tc>
          <w:tcPr>
            <w:tcW w:w="893" w:type="dxa"/>
            <w:vMerge/>
            <w:tcBorders>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二甲苯</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31"/>
              <w:jc w:val="both"/>
              <w:rPr>
                <w:rFonts w:ascii="宋体" w:hAnsi="宋体" w:cs="宋体" w:eastAsia="宋体" w:hint="default"/>
                <w:sz w:val="18"/>
                <w:szCs w:val="18"/>
              </w:rPr>
            </w:pPr>
            <w:r>
              <w:rPr>
                <w:rFonts w:ascii="宋体" w:hAnsi="宋体" w:cs="宋体" w:eastAsia="宋体" w:hint="default"/>
                <w:spacing w:val="46"/>
                <w:sz w:val="18"/>
                <w:szCs w:val="18"/>
              </w:rPr>
              <w:t>处理后</w:t>
            </w:r>
            <w:r>
              <w:rPr>
                <w:rFonts w:ascii="宋体" w:hAnsi="宋体" w:cs="宋体" w:eastAsia="宋体" w:hint="default"/>
                <w:spacing w:val="-21"/>
                <w:sz w:val="18"/>
                <w:szCs w:val="18"/>
              </w:rPr>
              <w:t> </w:t>
            </w:r>
            <w:r>
              <w:rPr>
                <w:rFonts w:ascii="宋体" w:hAnsi="宋体" w:cs="宋体" w:eastAsia="宋体" w:hint="default"/>
                <w:spacing w:val="46"/>
                <w:sz w:val="18"/>
                <w:szCs w:val="18"/>
              </w:rPr>
              <w:t>达标排</w:t>
            </w:r>
            <w:r>
              <w:rPr>
                <w:rFonts w:ascii="宋体" w:hAnsi="宋体" w:cs="宋体" w:eastAsia="宋体" w:hint="default"/>
                <w:spacing w:val="-21"/>
                <w:sz w:val="18"/>
                <w:szCs w:val="18"/>
              </w:rPr>
              <w:t> </w:t>
            </w:r>
            <w:r>
              <w:rPr>
                <w:rFonts w:ascii="宋体" w:hAnsi="宋体" w:cs="宋体" w:eastAsia="宋体" w:hint="default"/>
                <w:sz w:val="18"/>
                <w:szCs w:val="18"/>
              </w:rPr>
              <w:t>放</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1</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32"/>
              <w:jc w:val="left"/>
              <w:rPr>
                <w:rFonts w:ascii="宋体" w:hAnsi="宋体" w:cs="宋体" w:eastAsia="宋体" w:hint="default"/>
                <w:sz w:val="18"/>
                <w:szCs w:val="18"/>
              </w:rPr>
            </w:pPr>
            <w:r>
              <w:rPr>
                <w:rFonts w:ascii="宋体" w:hAnsi="宋体" w:cs="宋体" w:eastAsia="宋体" w:hint="default"/>
                <w:spacing w:val="45"/>
                <w:sz w:val="18"/>
                <w:szCs w:val="18"/>
              </w:rPr>
              <w:t>涂布车</w:t>
            </w:r>
            <w:r>
              <w:rPr>
                <w:rFonts w:ascii="宋体" w:hAnsi="宋体" w:cs="宋体" w:eastAsia="宋体" w:hint="default"/>
                <w:spacing w:val="-22"/>
                <w:sz w:val="18"/>
                <w:szCs w:val="18"/>
              </w:rPr>
              <w:t> </w:t>
            </w:r>
            <w:r>
              <w:rPr>
                <w:rFonts w:ascii="宋体" w:hAnsi="宋体" w:cs="宋体" w:eastAsia="宋体" w:hint="default"/>
                <w:sz w:val="18"/>
                <w:szCs w:val="18"/>
              </w:rPr>
              <w:t>间</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0.0015L</w:t>
            </w:r>
          </w:p>
        </w:tc>
        <w:tc>
          <w:tcPr>
            <w:tcW w:w="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70</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hAnsi="Times New Roman"/>
                <w:sz w:val="18"/>
              </w:rPr>
              <w:t>mg/m³</w:t>
            </w:r>
          </w:p>
        </w:tc>
        <w:tc>
          <w:tcPr>
            <w:tcW w:w="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0.00023T</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5"/>
        <w:rPr>
          <w:rFonts w:ascii="宋体" w:hAnsi="宋体" w:cs="宋体" w:eastAsia="宋体" w:hint="default"/>
          <w:sz w:val="24"/>
          <w:szCs w:val="24"/>
        </w:rPr>
      </w:pPr>
    </w:p>
    <w:p>
      <w:pPr>
        <w:pStyle w:val="Heading4"/>
        <w:spacing w:line="240" w:lineRule="auto" w:before="44"/>
        <w:ind w:left="214" w:right="1032"/>
        <w:jc w:val="left"/>
        <w:rPr>
          <w:b w:val="0"/>
          <w:bCs w:val="0"/>
        </w:rPr>
      </w:pPr>
      <w:r>
        <w:rPr/>
        <w:t>（三）其他环保相关信息</w:t>
      </w:r>
      <w:r>
        <w:rPr>
          <w:b w:val="0"/>
          <w:bCs w:val="0"/>
        </w:rPr>
      </w:r>
    </w:p>
    <w:p>
      <w:pPr>
        <w:pStyle w:val="BodyText"/>
        <w:spacing w:line="309" w:lineRule="auto" w:before="116"/>
        <w:ind w:left="214" w:right="1032"/>
        <w:jc w:val="left"/>
      </w:pPr>
      <w:r>
        <w:rPr/>
        <w:t>处罚事项：</w:t>
      </w:r>
      <w:r>
        <w:rPr>
          <w:spacing w:val="-18"/>
        </w:rPr>
        <w:t> </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7</w:t>
      </w:r>
      <w:r>
        <w:rPr/>
        <w:t>日，中丰田收到珠海市环境保护局发出的《行政处罚决定书》（珠环罚字</w:t>
      </w:r>
      <w:r>
        <w:rPr>
          <w:rFonts w:ascii="Times New Roman" w:hAnsi="Times New Roman" w:cs="Times New Roman" w:eastAsia="Times New Roman" w:hint="default"/>
        </w:rPr>
        <w:t>[2018]51</w:t>
      </w:r>
      <w:r>
        <w:rPr/>
        <w:t>号），因中丰田 </w:t>
      </w:r>
      <w:r>
        <w:rPr>
          <w:spacing w:val="-2"/>
        </w:rPr>
        <w:t>超过水污染物排放标准排放水污染物，违反了《中国人民共和国水污染防治法》第十条规定，作出处罚款人民币三十万的行</w:t>
      </w:r>
      <w:r>
        <w:rPr>
          <w:spacing w:val="-66"/>
        </w:rPr>
        <w:t> </w:t>
      </w:r>
      <w:r>
        <w:rPr>
          <w:spacing w:val="-66"/>
        </w:rPr>
      </w:r>
      <w:r>
        <w:rPr/>
        <w:t>政处罚。</w:t>
      </w:r>
    </w:p>
    <w:p>
      <w:pPr>
        <w:pStyle w:val="BodyText"/>
        <w:spacing w:line="302" w:lineRule="auto" w:before="62"/>
        <w:ind w:left="214" w:right="1032"/>
        <w:jc w:val="left"/>
      </w:pPr>
      <w:r>
        <w:rPr>
          <w:spacing w:val="-5"/>
        </w:rPr>
        <w:t>对上述处罚事项整改措施：（</w:t>
      </w:r>
      <w:r>
        <w:rPr>
          <w:rFonts w:ascii="Times New Roman" w:hAnsi="Times New Roman" w:cs="Times New Roman" w:eastAsia="Times New Roman" w:hint="default"/>
          <w:spacing w:val="-5"/>
        </w:rPr>
        <w:t>1</w:t>
      </w:r>
      <w:r>
        <w:rPr>
          <w:spacing w:val="-5"/>
        </w:rPr>
        <w:t>）中丰田已在规定时限内缴纳罚款；（</w:t>
      </w:r>
      <w:r>
        <w:rPr>
          <w:rFonts w:ascii="Times New Roman" w:hAnsi="Times New Roman" w:cs="Times New Roman" w:eastAsia="Times New Roman" w:hint="default"/>
          <w:spacing w:val="-5"/>
        </w:rPr>
        <w:t>2</w:t>
      </w:r>
      <w:r>
        <w:rPr>
          <w:spacing w:val="-5"/>
        </w:rPr>
        <w:t>）加强管理，完善相关制度，追责相关责任人员；（</w:t>
      </w:r>
      <w:r>
        <w:rPr>
          <w:rFonts w:ascii="Times New Roman" w:hAnsi="Times New Roman" w:cs="Times New Roman" w:eastAsia="Times New Roman" w:hint="default"/>
          <w:spacing w:val="-5"/>
        </w:rPr>
        <w:t>3</w:t>
      </w:r>
      <w:r>
        <w:rPr>
          <w:spacing w:val="-5"/>
        </w:rPr>
        <w:t>）</w:t>
      </w:r>
      <w:r>
        <w:rPr>
          <w:spacing w:val="-71"/>
        </w:rPr>
        <w:t> </w:t>
      </w:r>
      <w:r>
        <w:rPr/>
        <w:t>中丰田立即启动环保应急处理预案，积极整改，严格保障污水处理达标；（</w:t>
      </w:r>
      <w:r>
        <w:rPr>
          <w:rFonts w:ascii="Times New Roman" w:hAnsi="Times New Roman" w:cs="Times New Roman" w:eastAsia="Times New Roman" w:hint="default"/>
        </w:rPr>
        <w:t>4</w:t>
      </w:r>
      <w:r>
        <w:rPr/>
        <w:t>）更新污水处理设计方案，新建污水处理站及 相关设施；（</w:t>
      </w:r>
      <w:r>
        <w:rPr>
          <w:rFonts w:ascii="Times New Roman" w:hAnsi="Times New Roman" w:cs="Times New Roman" w:eastAsia="Times New Roman" w:hint="default"/>
        </w:rPr>
        <w:t>5</w:t>
      </w:r>
      <w:r>
        <w:rPr/>
        <w:t>）购进水污染检测设备，培养专业检验人员。</w:t>
      </w:r>
    </w:p>
    <w:p>
      <w:pPr>
        <w:pStyle w:val="BodyText"/>
        <w:spacing w:line="240" w:lineRule="auto" w:before="52"/>
        <w:ind w:left="214" w:right="1032"/>
        <w:jc w:val="left"/>
      </w:pPr>
      <w:r>
        <w:rPr/>
        <w:t>除以上处罚事项外，公司合并报表范围内的其他单位无因环保事项而被处罚的情况。</w:t>
      </w:r>
    </w:p>
    <w:p>
      <w:pPr>
        <w:spacing w:after="0" w:line="240" w:lineRule="auto"/>
        <w:jc w:val="left"/>
        <w:sectPr>
          <w:pgSz w:w="11910" w:h="16840"/>
          <w:pgMar w:header="747" w:footer="979" w:top="1060" w:bottom="1160" w:left="920" w:right="0"/>
        </w:sectPr>
      </w:pPr>
    </w:p>
    <w:p>
      <w:pPr>
        <w:spacing w:line="240" w:lineRule="auto" w:before="9"/>
        <w:rPr>
          <w:rFonts w:ascii="宋体" w:hAnsi="宋体" w:cs="宋体" w:eastAsia="宋体" w:hint="default"/>
          <w:sz w:val="23"/>
          <w:szCs w:val="23"/>
        </w:rPr>
      </w:pPr>
    </w:p>
    <w:p>
      <w:pPr>
        <w:pStyle w:val="Heading2"/>
        <w:spacing w:line="240" w:lineRule="auto" w:before="26"/>
        <w:ind w:right="0"/>
        <w:jc w:val="left"/>
        <w:rPr>
          <w:b w:val="0"/>
          <w:bCs w:val="0"/>
        </w:rPr>
      </w:pPr>
      <w:bookmarkStart w:name="十九、其他重大事项的说明" w:id="102"/>
      <w:bookmarkEnd w:id="102"/>
      <w:r>
        <w:rPr>
          <w:b w:val="0"/>
          <w:bCs w:val="0"/>
        </w:rPr>
      </w:r>
      <w:r>
        <w:rPr/>
        <w:t>十九、其他重大事项的说明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7"/>
          <w:szCs w:val="7"/>
        </w:rPr>
      </w:pPr>
    </w:p>
    <w:tbl>
      <w:tblPr>
        <w:tblW w:w="0" w:type="auto"/>
        <w:jc w:val="left"/>
        <w:tblInd w:w="146" w:type="dxa"/>
        <w:tblLayout w:type="fixed"/>
        <w:tblCellMar>
          <w:top w:w="0" w:type="dxa"/>
          <w:left w:w="0" w:type="dxa"/>
          <w:bottom w:w="0" w:type="dxa"/>
          <w:right w:w="0" w:type="dxa"/>
        </w:tblCellMar>
        <w:tblLook w:val="01E0"/>
      </w:tblPr>
      <w:tblGrid>
        <w:gridCol w:w="1641"/>
        <w:gridCol w:w="1348"/>
        <w:gridCol w:w="3402"/>
        <w:gridCol w:w="3268"/>
      </w:tblGrid>
      <w:tr>
        <w:trPr>
          <w:trHeight w:val="415" w:hRule="exact"/>
        </w:trPr>
        <w:tc>
          <w:tcPr>
            <w:tcW w:w="164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9"/>
              <w:ind w:left="2" w:right="0"/>
              <w:jc w:val="left"/>
              <w:rPr>
                <w:rFonts w:ascii="宋体" w:hAnsi="宋体" w:cs="宋体" w:eastAsia="宋体" w:hint="default"/>
                <w:sz w:val="18"/>
                <w:szCs w:val="18"/>
              </w:rPr>
            </w:pPr>
            <w:r>
              <w:rPr>
                <w:rFonts w:ascii="宋体" w:hAnsi="宋体" w:cs="宋体" w:eastAsia="宋体" w:hint="default"/>
                <w:sz w:val="18"/>
                <w:szCs w:val="18"/>
              </w:rPr>
              <w:t>披露日期</w:t>
            </w:r>
          </w:p>
        </w:tc>
        <w:tc>
          <w:tcPr>
            <w:tcW w:w="134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9"/>
              <w:ind w:left="2" w:right="0"/>
              <w:jc w:val="left"/>
              <w:rPr>
                <w:rFonts w:ascii="宋体" w:hAnsi="宋体" w:cs="宋体" w:eastAsia="宋体" w:hint="default"/>
                <w:sz w:val="18"/>
                <w:szCs w:val="18"/>
              </w:rPr>
            </w:pPr>
            <w:r>
              <w:rPr>
                <w:rFonts w:ascii="宋体" w:hAnsi="宋体" w:cs="宋体" w:eastAsia="宋体" w:hint="default"/>
                <w:sz w:val="18"/>
                <w:szCs w:val="18"/>
              </w:rPr>
              <w:t>公告编号</w:t>
            </w:r>
          </w:p>
        </w:tc>
        <w:tc>
          <w:tcPr>
            <w:tcW w:w="340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9"/>
              <w:ind w:left="2" w:right="0"/>
              <w:jc w:val="left"/>
              <w:rPr>
                <w:rFonts w:ascii="宋体" w:hAnsi="宋体" w:cs="宋体" w:eastAsia="宋体" w:hint="default"/>
                <w:sz w:val="18"/>
                <w:szCs w:val="18"/>
              </w:rPr>
            </w:pPr>
            <w:r>
              <w:rPr>
                <w:rFonts w:ascii="宋体" w:hAnsi="宋体" w:cs="宋体" w:eastAsia="宋体" w:hint="default"/>
                <w:sz w:val="18"/>
                <w:szCs w:val="18"/>
              </w:rPr>
              <w:t>主要内容</w:t>
            </w:r>
          </w:p>
        </w:tc>
        <w:tc>
          <w:tcPr>
            <w:tcW w:w="326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9"/>
              <w:ind w:left="2" w:right="0"/>
              <w:jc w:val="left"/>
              <w:rPr>
                <w:rFonts w:ascii="宋体" w:hAnsi="宋体" w:cs="宋体" w:eastAsia="宋体" w:hint="default"/>
                <w:sz w:val="18"/>
                <w:szCs w:val="18"/>
              </w:rPr>
            </w:pPr>
            <w:r>
              <w:rPr>
                <w:rFonts w:ascii="宋体" w:hAnsi="宋体" w:cs="宋体" w:eastAsia="宋体" w:hint="default"/>
                <w:sz w:val="18"/>
                <w:szCs w:val="18"/>
              </w:rPr>
              <w:t>披露媒体</w:t>
            </w:r>
          </w:p>
        </w:tc>
      </w:tr>
      <w:tr>
        <w:trPr>
          <w:trHeight w:val="739" w:hRule="exact"/>
        </w:trPr>
        <w:tc>
          <w:tcPr>
            <w:tcW w:w="16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227"/>
              <w:jc w:val="righ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宋体" w:hAnsi="宋体" w:cs="宋体" w:eastAsia="宋体" w:hint="default"/>
                <w:sz w:val="18"/>
                <w:szCs w:val="18"/>
              </w:rPr>
              <w:t>年</w:t>
            </w:r>
            <w:r>
              <w:rPr>
                <w:rFonts w:ascii="Times New Roman" w:hAnsi="Times New Roman" w:cs="Times New Roman" w:eastAsia="Times New Roman" w:hint="default"/>
                <w:sz w:val="18"/>
                <w:szCs w:val="18"/>
              </w:rPr>
              <w:t>9</w:t>
            </w:r>
            <w:r>
              <w:rPr>
                <w:rFonts w:ascii="宋体" w:hAnsi="宋体" w:cs="宋体" w:eastAsia="宋体" w:hint="default"/>
                <w:sz w:val="18"/>
                <w:szCs w:val="18"/>
              </w:rPr>
              <w:t>月</w:t>
            </w:r>
            <w:r>
              <w:rPr>
                <w:rFonts w:ascii="Times New Roman" w:hAnsi="Times New Roman" w:cs="Times New Roman" w:eastAsia="Times New Roman" w:hint="default"/>
                <w:sz w:val="18"/>
                <w:szCs w:val="18"/>
              </w:rPr>
              <w:t>11</w:t>
            </w:r>
            <w:r>
              <w:rPr>
                <w:rFonts w:ascii="宋体" w:hAnsi="宋体" w:cs="宋体" w:eastAsia="宋体" w:hint="default"/>
                <w:sz w:val="18"/>
                <w:szCs w:val="18"/>
              </w:rPr>
              <w:t>日</w:t>
            </w:r>
          </w:p>
        </w:tc>
        <w:tc>
          <w:tcPr>
            <w:tcW w:w="13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319"/>
              <w:jc w:val="right"/>
              <w:rPr>
                <w:rFonts w:ascii="Times New Roman" w:hAnsi="Times New Roman" w:cs="Times New Roman" w:eastAsia="Times New Roman" w:hint="default"/>
                <w:sz w:val="18"/>
                <w:szCs w:val="18"/>
              </w:rPr>
            </w:pPr>
            <w:r>
              <w:rPr>
                <w:rFonts w:ascii="Times New Roman"/>
                <w:sz w:val="18"/>
              </w:rPr>
              <w:t>2013-045</w:t>
            </w:r>
          </w:p>
        </w:tc>
        <w:tc>
          <w:tcPr>
            <w:tcW w:w="340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2"/>
              <w:ind w:left="613" w:right="72" w:hanging="540"/>
              <w:jc w:val="left"/>
              <w:rPr>
                <w:rFonts w:ascii="Times New Roman" w:hAnsi="Times New Roman" w:cs="Times New Roman" w:eastAsia="Times New Roman" w:hint="default"/>
                <w:sz w:val="18"/>
                <w:szCs w:val="18"/>
              </w:rPr>
            </w:pPr>
            <w:r>
              <w:rPr>
                <w:rFonts w:ascii="宋体" w:hAnsi="宋体" w:cs="宋体" w:eastAsia="宋体" w:hint="default"/>
                <w:sz w:val="18"/>
                <w:szCs w:val="18"/>
              </w:rPr>
              <w:t>关于向全资子公司青岛嘉颐泽印刷包装有 限公司增加投资的公告</w:t>
            </w:r>
            <w:r>
              <w:rPr>
                <w:rFonts w:ascii="Times New Roman" w:hAnsi="Times New Roman" w:cs="Times New Roman" w:eastAsia="Times New Roman" w:hint="default"/>
                <w:sz w:val="18"/>
                <w:szCs w:val="18"/>
              </w:rPr>
              <w:t>*</w:t>
            </w:r>
            <w:r>
              <w:rPr>
                <w:rFonts w:ascii="宋体" w:hAnsi="宋体" w:cs="宋体" w:eastAsia="宋体" w:hint="default"/>
                <w:sz w:val="18"/>
                <w:szCs w:val="18"/>
              </w:rPr>
              <w:t>注</w:t>
            </w:r>
            <w:r>
              <w:rPr>
                <w:rFonts w:ascii="Times New Roman" w:hAnsi="Times New Roman" w:cs="Times New Roman" w:eastAsia="Times New Roman" w:hint="default"/>
                <w:sz w:val="18"/>
                <w:szCs w:val="18"/>
              </w:rPr>
              <w:t>1</w:t>
            </w:r>
          </w:p>
        </w:tc>
        <w:tc>
          <w:tcPr>
            <w:tcW w:w="326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2"/>
              <w:ind w:left="2" w:right="9"/>
              <w:jc w:val="left"/>
              <w:rPr>
                <w:rFonts w:ascii="宋体" w:hAnsi="宋体" w:cs="宋体" w:eastAsia="宋体" w:hint="default"/>
                <w:sz w:val="18"/>
                <w:szCs w:val="18"/>
              </w:rPr>
            </w:pPr>
            <w:r>
              <w:rPr>
                <w:rFonts w:ascii="宋体" w:hAnsi="宋体" w:cs="宋体" w:eastAsia="宋体" w:hint="default"/>
                <w:sz w:val="18"/>
                <w:szCs w:val="18"/>
              </w:rPr>
              <w:t>《证券日报》、《证券时报》、《中国证 券报》、《上海证券报》及巨潮资讯网</w:t>
            </w:r>
          </w:p>
        </w:tc>
      </w:tr>
      <w:tr>
        <w:trPr>
          <w:trHeight w:val="739" w:hRule="exact"/>
        </w:trPr>
        <w:tc>
          <w:tcPr>
            <w:tcW w:w="16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271"/>
              <w:jc w:val="righ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4</w:t>
            </w:r>
            <w:r>
              <w:rPr>
                <w:rFonts w:ascii="宋体" w:hAnsi="宋体" w:cs="宋体" w:eastAsia="宋体" w:hint="default"/>
                <w:sz w:val="18"/>
                <w:szCs w:val="18"/>
              </w:rPr>
              <w:t>日</w:t>
            </w:r>
          </w:p>
        </w:tc>
        <w:tc>
          <w:tcPr>
            <w:tcW w:w="13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319"/>
              <w:jc w:val="right"/>
              <w:rPr>
                <w:rFonts w:ascii="Times New Roman" w:hAnsi="Times New Roman" w:cs="Times New Roman" w:eastAsia="Times New Roman" w:hint="default"/>
                <w:sz w:val="18"/>
                <w:szCs w:val="18"/>
              </w:rPr>
            </w:pPr>
            <w:r>
              <w:rPr>
                <w:rFonts w:ascii="Times New Roman"/>
                <w:sz w:val="18"/>
              </w:rPr>
              <w:t>2018-003</w:t>
            </w:r>
          </w:p>
        </w:tc>
        <w:tc>
          <w:tcPr>
            <w:tcW w:w="34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关于变更部分募集资金投资项目的公告</w:t>
            </w:r>
            <w:r>
              <w:rPr>
                <w:rFonts w:ascii="Times New Roman" w:hAnsi="Times New Roman" w:cs="Times New Roman" w:eastAsia="Times New Roman" w:hint="default"/>
                <w:sz w:val="18"/>
                <w:szCs w:val="18"/>
              </w:rPr>
              <w:t>*</w:t>
            </w:r>
            <w:r>
              <w:rPr>
                <w:rFonts w:ascii="宋体" w:hAnsi="宋体" w:cs="宋体" w:eastAsia="宋体" w:hint="default"/>
                <w:sz w:val="18"/>
                <w:szCs w:val="18"/>
              </w:rPr>
              <w:t>注</w:t>
            </w:r>
          </w:p>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2</w:t>
            </w:r>
          </w:p>
        </w:tc>
        <w:tc>
          <w:tcPr>
            <w:tcW w:w="326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2"/>
              <w:ind w:left="2" w:right="3"/>
              <w:jc w:val="left"/>
              <w:rPr>
                <w:rFonts w:ascii="宋体" w:hAnsi="宋体" w:cs="宋体" w:eastAsia="宋体" w:hint="default"/>
                <w:sz w:val="18"/>
                <w:szCs w:val="18"/>
              </w:rPr>
            </w:pPr>
            <w:r>
              <w:rPr>
                <w:rFonts w:ascii="宋体" w:hAnsi="宋体" w:cs="宋体" w:eastAsia="宋体" w:hint="default"/>
                <w:sz w:val="18"/>
                <w:szCs w:val="18"/>
              </w:rPr>
              <w:t>《证券日报》、《证券时报》、《中国证</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券报》、《上海证券报》及巨潮资讯网</w:t>
            </w:r>
          </w:p>
        </w:tc>
      </w:tr>
      <w:tr>
        <w:trPr>
          <w:trHeight w:val="739" w:hRule="exact"/>
        </w:trPr>
        <w:tc>
          <w:tcPr>
            <w:tcW w:w="16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271"/>
              <w:jc w:val="righ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4</w:t>
            </w:r>
            <w:r>
              <w:rPr>
                <w:rFonts w:ascii="宋体" w:hAnsi="宋体" w:cs="宋体" w:eastAsia="宋体" w:hint="default"/>
                <w:sz w:val="18"/>
                <w:szCs w:val="18"/>
              </w:rPr>
              <w:t>日</w:t>
            </w:r>
          </w:p>
        </w:tc>
        <w:tc>
          <w:tcPr>
            <w:tcW w:w="13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319"/>
              <w:jc w:val="right"/>
              <w:rPr>
                <w:rFonts w:ascii="Times New Roman" w:hAnsi="Times New Roman" w:cs="Times New Roman" w:eastAsia="Times New Roman" w:hint="default"/>
                <w:sz w:val="18"/>
                <w:szCs w:val="18"/>
              </w:rPr>
            </w:pPr>
            <w:r>
              <w:rPr>
                <w:rFonts w:ascii="Times New Roman"/>
                <w:sz w:val="18"/>
              </w:rPr>
              <w:t>2018-004</w:t>
            </w:r>
          </w:p>
        </w:tc>
        <w:tc>
          <w:tcPr>
            <w:tcW w:w="340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2"/>
              <w:ind w:left="1243" w:right="72" w:hanging="1171"/>
              <w:jc w:val="left"/>
              <w:rPr>
                <w:rFonts w:ascii="Times New Roman" w:hAnsi="Times New Roman" w:cs="Times New Roman" w:eastAsia="Times New Roman" w:hint="default"/>
                <w:sz w:val="18"/>
                <w:szCs w:val="18"/>
              </w:rPr>
            </w:pPr>
            <w:r>
              <w:rPr>
                <w:rFonts w:ascii="宋体" w:hAnsi="宋体" w:cs="宋体" w:eastAsia="宋体" w:hint="default"/>
                <w:sz w:val="18"/>
                <w:szCs w:val="18"/>
              </w:rPr>
              <w:t>关于调整部分募集资金投资项目建设内容 的公告</w:t>
            </w:r>
            <w:r>
              <w:rPr>
                <w:rFonts w:ascii="Times New Roman" w:hAnsi="Times New Roman" w:cs="Times New Roman" w:eastAsia="Times New Roman" w:hint="default"/>
                <w:sz w:val="18"/>
                <w:szCs w:val="18"/>
              </w:rPr>
              <w:t>*</w:t>
            </w:r>
            <w:r>
              <w:rPr>
                <w:rFonts w:ascii="宋体" w:hAnsi="宋体" w:cs="宋体" w:eastAsia="宋体" w:hint="default"/>
                <w:sz w:val="18"/>
                <w:szCs w:val="18"/>
              </w:rPr>
              <w:t>注</w:t>
            </w:r>
            <w:r>
              <w:rPr>
                <w:rFonts w:ascii="Times New Roman" w:hAnsi="Times New Roman" w:cs="Times New Roman" w:eastAsia="Times New Roman" w:hint="default"/>
                <w:sz w:val="18"/>
                <w:szCs w:val="18"/>
              </w:rPr>
              <w:t>3</w:t>
            </w:r>
          </w:p>
        </w:tc>
        <w:tc>
          <w:tcPr>
            <w:tcW w:w="326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2"/>
              <w:ind w:left="2" w:right="3"/>
              <w:jc w:val="left"/>
              <w:rPr>
                <w:rFonts w:ascii="宋体" w:hAnsi="宋体" w:cs="宋体" w:eastAsia="宋体" w:hint="default"/>
                <w:sz w:val="18"/>
                <w:szCs w:val="18"/>
              </w:rPr>
            </w:pPr>
            <w:r>
              <w:rPr>
                <w:rFonts w:ascii="宋体" w:hAnsi="宋体" w:cs="宋体" w:eastAsia="宋体" w:hint="default"/>
                <w:sz w:val="18"/>
                <w:szCs w:val="18"/>
              </w:rPr>
              <w:t>《证券日报》、《证券时报》、《中国证</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券报》、《上海证券报》及巨潮资讯网</w:t>
            </w:r>
          </w:p>
        </w:tc>
      </w:tr>
      <w:tr>
        <w:trPr>
          <w:trHeight w:val="739" w:hRule="exact"/>
        </w:trPr>
        <w:tc>
          <w:tcPr>
            <w:tcW w:w="16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271"/>
              <w:jc w:val="righ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2</w:t>
            </w:r>
            <w:r>
              <w:rPr>
                <w:rFonts w:ascii="宋体" w:hAnsi="宋体" w:cs="宋体" w:eastAsia="宋体" w:hint="default"/>
                <w:sz w:val="18"/>
                <w:szCs w:val="18"/>
              </w:rPr>
              <w:t>月</w:t>
            </w:r>
            <w:r>
              <w:rPr>
                <w:rFonts w:ascii="Times New Roman" w:hAnsi="Times New Roman" w:cs="Times New Roman" w:eastAsia="Times New Roman" w:hint="default"/>
                <w:sz w:val="18"/>
                <w:szCs w:val="18"/>
              </w:rPr>
              <w:t>6</w:t>
            </w:r>
            <w:r>
              <w:rPr>
                <w:rFonts w:ascii="宋体" w:hAnsi="宋体" w:cs="宋体" w:eastAsia="宋体" w:hint="default"/>
                <w:sz w:val="18"/>
                <w:szCs w:val="18"/>
              </w:rPr>
              <w:t>日</w:t>
            </w:r>
          </w:p>
        </w:tc>
        <w:tc>
          <w:tcPr>
            <w:tcW w:w="13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319"/>
              <w:jc w:val="right"/>
              <w:rPr>
                <w:rFonts w:ascii="Times New Roman" w:hAnsi="Times New Roman" w:cs="Times New Roman" w:eastAsia="Times New Roman" w:hint="default"/>
                <w:sz w:val="18"/>
                <w:szCs w:val="18"/>
              </w:rPr>
            </w:pPr>
            <w:r>
              <w:rPr>
                <w:rFonts w:ascii="Times New Roman"/>
                <w:sz w:val="18"/>
              </w:rPr>
              <w:t>2018-011</w:t>
            </w:r>
          </w:p>
        </w:tc>
        <w:tc>
          <w:tcPr>
            <w:tcW w:w="34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43" w:right="0"/>
              <w:jc w:val="left"/>
              <w:rPr>
                <w:rFonts w:ascii="宋体" w:hAnsi="宋体" w:cs="宋体" w:eastAsia="宋体" w:hint="default"/>
                <w:sz w:val="18"/>
                <w:szCs w:val="18"/>
              </w:rPr>
            </w:pPr>
            <w:r>
              <w:rPr>
                <w:rFonts w:ascii="宋体" w:hAnsi="宋体" w:cs="宋体" w:eastAsia="宋体" w:hint="default"/>
                <w:sz w:val="18"/>
                <w:szCs w:val="18"/>
              </w:rPr>
              <w:t>关于股东部分股份解除质押的公告</w:t>
            </w:r>
          </w:p>
        </w:tc>
        <w:tc>
          <w:tcPr>
            <w:tcW w:w="326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2"/>
              <w:ind w:left="2" w:right="3"/>
              <w:jc w:val="left"/>
              <w:rPr>
                <w:rFonts w:ascii="宋体" w:hAnsi="宋体" w:cs="宋体" w:eastAsia="宋体" w:hint="default"/>
                <w:sz w:val="18"/>
                <w:szCs w:val="18"/>
              </w:rPr>
            </w:pPr>
            <w:r>
              <w:rPr>
                <w:rFonts w:ascii="宋体" w:hAnsi="宋体" w:cs="宋体" w:eastAsia="宋体" w:hint="default"/>
                <w:sz w:val="18"/>
                <w:szCs w:val="18"/>
              </w:rPr>
              <w:t>《证券日报》、《证券时报》、《中国证</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券报》、《上海证券报》及巨潮资讯网</w:t>
            </w:r>
          </w:p>
        </w:tc>
      </w:tr>
      <w:tr>
        <w:trPr>
          <w:trHeight w:val="738" w:hRule="exact"/>
        </w:trPr>
        <w:tc>
          <w:tcPr>
            <w:tcW w:w="16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271"/>
              <w:jc w:val="righ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2</w:t>
            </w:r>
            <w:r>
              <w:rPr>
                <w:rFonts w:ascii="宋体" w:hAnsi="宋体" w:cs="宋体" w:eastAsia="宋体" w:hint="default"/>
                <w:sz w:val="18"/>
                <w:szCs w:val="18"/>
              </w:rPr>
              <w:t>月</w:t>
            </w:r>
            <w:r>
              <w:rPr>
                <w:rFonts w:ascii="Times New Roman" w:hAnsi="Times New Roman" w:cs="Times New Roman" w:eastAsia="Times New Roman" w:hint="default"/>
                <w:sz w:val="18"/>
                <w:szCs w:val="18"/>
              </w:rPr>
              <w:t>7</w:t>
            </w:r>
            <w:r>
              <w:rPr>
                <w:rFonts w:ascii="宋体" w:hAnsi="宋体" w:cs="宋体" w:eastAsia="宋体" w:hint="default"/>
                <w:sz w:val="18"/>
                <w:szCs w:val="18"/>
              </w:rPr>
              <w:t>日</w:t>
            </w:r>
          </w:p>
        </w:tc>
        <w:tc>
          <w:tcPr>
            <w:tcW w:w="13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319"/>
              <w:jc w:val="right"/>
              <w:rPr>
                <w:rFonts w:ascii="Times New Roman" w:hAnsi="Times New Roman" w:cs="Times New Roman" w:eastAsia="Times New Roman" w:hint="default"/>
                <w:sz w:val="18"/>
                <w:szCs w:val="18"/>
              </w:rPr>
            </w:pPr>
            <w:r>
              <w:rPr>
                <w:rFonts w:ascii="Times New Roman"/>
                <w:sz w:val="18"/>
              </w:rPr>
              <w:t>2018-012</w:t>
            </w:r>
          </w:p>
        </w:tc>
        <w:tc>
          <w:tcPr>
            <w:tcW w:w="34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6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关于控股股东增持公司股份的公告</w:t>
            </w:r>
            <w:r>
              <w:rPr>
                <w:rFonts w:ascii="Times New Roman" w:hAnsi="Times New Roman" w:cs="Times New Roman" w:eastAsia="Times New Roman" w:hint="default"/>
                <w:sz w:val="18"/>
                <w:szCs w:val="18"/>
              </w:rPr>
              <w:t>*</w:t>
            </w:r>
            <w:r>
              <w:rPr>
                <w:rFonts w:ascii="宋体" w:hAnsi="宋体" w:cs="宋体" w:eastAsia="宋体" w:hint="default"/>
                <w:sz w:val="18"/>
                <w:szCs w:val="18"/>
              </w:rPr>
              <w:t>注</w:t>
            </w:r>
            <w:r>
              <w:rPr>
                <w:rFonts w:ascii="Times New Roman" w:hAnsi="Times New Roman" w:cs="Times New Roman" w:eastAsia="Times New Roman" w:hint="default"/>
                <w:sz w:val="18"/>
                <w:szCs w:val="18"/>
              </w:rPr>
              <w:t>4</w:t>
            </w:r>
          </w:p>
        </w:tc>
        <w:tc>
          <w:tcPr>
            <w:tcW w:w="3268"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61"/>
              <w:ind w:left="2" w:right="3"/>
              <w:jc w:val="left"/>
              <w:rPr>
                <w:rFonts w:ascii="宋体" w:hAnsi="宋体" w:cs="宋体" w:eastAsia="宋体" w:hint="default"/>
                <w:sz w:val="18"/>
                <w:szCs w:val="18"/>
              </w:rPr>
            </w:pPr>
            <w:r>
              <w:rPr>
                <w:rFonts w:ascii="宋体" w:hAnsi="宋体" w:cs="宋体" w:eastAsia="宋体" w:hint="default"/>
                <w:sz w:val="18"/>
                <w:szCs w:val="18"/>
              </w:rPr>
              <w:t>《证券日报》、《证券时报》、《中国证</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券报》、《上海证券报》及巨潮资讯网</w:t>
            </w:r>
          </w:p>
        </w:tc>
      </w:tr>
      <w:tr>
        <w:trPr>
          <w:trHeight w:val="739" w:hRule="exact"/>
        </w:trPr>
        <w:tc>
          <w:tcPr>
            <w:tcW w:w="16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227"/>
              <w:jc w:val="righ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2</w:t>
            </w:r>
            <w:r>
              <w:rPr>
                <w:rFonts w:ascii="宋体" w:hAnsi="宋体" w:cs="宋体" w:eastAsia="宋体" w:hint="default"/>
                <w:sz w:val="18"/>
                <w:szCs w:val="18"/>
              </w:rPr>
              <w:t>月</w:t>
            </w:r>
            <w:r>
              <w:rPr>
                <w:rFonts w:ascii="Times New Roman" w:hAnsi="Times New Roman" w:cs="Times New Roman" w:eastAsia="Times New Roman" w:hint="default"/>
                <w:sz w:val="18"/>
                <w:szCs w:val="18"/>
              </w:rPr>
              <w:t>12</w:t>
            </w:r>
            <w:r>
              <w:rPr>
                <w:rFonts w:ascii="宋体" w:hAnsi="宋体" w:cs="宋体" w:eastAsia="宋体" w:hint="default"/>
                <w:sz w:val="18"/>
                <w:szCs w:val="18"/>
              </w:rPr>
              <w:t>日</w:t>
            </w:r>
          </w:p>
        </w:tc>
        <w:tc>
          <w:tcPr>
            <w:tcW w:w="13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319"/>
              <w:jc w:val="right"/>
              <w:rPr>
                <w:rFonts w:ascii="Times New Roman" w:hAnsi="Times New Roman" w:cs="Times New Roman" w:eastAsia="Times New Roman" w:hint="default"/>
                <w:sz w:val="18"/>
                <w:szCs w:val="18"/>
              </w:rPr>
            </w:pPr>
            <w:r>
              <w:rPr>
                <w:rFonts w:ascii="Times New Roman"/>
                <w:sz w:val="18"/>
              </w:rPr>
              <w:t>2018-014</w:t>
            </w:r>
          </w:p>
        </w:tc>
        <w:tc>
          <w:tcPr>
            <w:tcW w:w="34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6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关于回购部分社会公众股份的预案</w:t>
            </w:r>
            <w:r>
              <w:rPr>
                <w:rFonts w:ascii="Times New Roman" w:hAnsi="Times New Roman" w:cs="Times New Roman" w:eastAsia="Times New Roman" w:hint="default"/>
                <w:sz w:val="18"/>
                <w:szCs w:val="18"/>
              </w:rPr>
              <w:t>*</w:t>
            </w:r>
            <w:r>
              <w:rPr>
                <w:rFonts w:ascii="宋体" w:hAnsi="宋体" w:cs="宋体" w:eastAsia="宋体" w:hint="default"/>
                <w:sz w:val="18"/>
                <w:szCs w:val="18"/>
              </w:rPr>
              <w:t>注</w:t>
            </w:r>
            <w:r>
              <w:rPr>
                <w:rFonts w:ascii="Times New Roman" w:hAnsi="Times New Roman" w:cs="Times New Roman" w:eastAsia="Times New Roman" w:hint="default"/>
                <w:sz w:val="18"/>
                <w:szCs w:val="18"/>
              </w:rPr>
              <w:t>5</w:t>
            </w:r>
          </w:p>
        </w:tc>
        <w:tc>
          <w:tcPr>
            <w:tcW w:w="3268"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62"/>
              <w:ind w:left="2" w:right="3"/>
              <w:jc w:val="left"/>
              <w:rPr>
                <w:rFonts w:ascii="宋体" w:hAnsi="宋体" w:cs="宋体" w:eastAsia="宋体" w:hint="default"/>
                <w:sz w:val="18"/>
                <w:szCs w:val="18"/>
              </w:rPr>
            </w:pPr>
            <w:r>
              <w:rPr>
                <w:rFonts w:ascii="宋体" w:hAnsi="宋体" w:cs="宋体" w:eastAsia="宋体" w:hint="default"/>
                <w:sz w:val="18"/>
                <w:szCs w:val="18"/>
              </w:rPr>
              <w:t>《证券日报》、《证券时报》、《中国证</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券报》、《上海证券报》及巨潮资讯网</w:t>
            </w:r>
          </w:p>
        </w:tc>
      </w:tr>
      <w:tr>
        <w:trPr>
          <w:trHeight w:val="739" w:hRule="exact"/>
        </w:trPr>
        <w:tc>
          <w:tcPr>
            <w:tcW w:w="16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227"/>
              <w:jc w:val="righ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2</w:t>
            </w:r>
            <w:r>
              <w:rPr>
                <w:rFonts w:ascii="宋体" w:hAnsi="宋体" w:cs="宋体" w:eastAsia="宋体" w:hint="default"/>
                <w:sz w:val="18"/>
                <w:szCs w:val="18"/>
              </w:rPr>
              <w:t>月</w:t>
            </w:r>
            <w:r>
              <w:rPr>
                <w:rFonts w:ascii="Times New Roman" w:hAnsi="Times New Roman" w:cs="Times New Roman" w:eastAsia="Times New Roman" w:hint="default"/>
                <w:sz w:val="18"/>
                <w:szCs w:val="18"/>
              </w:rPr>
              <w:t>15</w:t>
            </w:r>
            <w:r>
              <w:rPr>
                <w:rFonts w:ascii="宋体" w:hAnsi="宋体" w:cs="宋体" w:eastAsia="宋体" w:hint="default"/>
                <w:sz w:val="18"/>
                <w:szCs w:val="18"/>
              </w:rPr>
              <w:t>日</w:t>
            </w:r>
          </w:p>
        </w:tc>
        <w:tc>
          <w:tcPr>
            <w:tcW w:w="13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319"/>
              <w:jc w:val="right"/>
              <w:rPr>
                <w:rFonts w:ascii="Times New Roman" w:hAnsi="Times New Roman" w:cs="Times New Roman" w:eastAsia="Times New Roman" w:hint="default"/>
                <w:sz w:val="18"/>
                <w:szCs w:val="18"/>
              </w:rPr>
            </w:pPr>
            <w:r>
              <w:rPr>
                <w:rFonts w:ascii="Times New Roman"/>
                <w:sz w:val="18"/>
              </w:rPr>
              <w:t>2018-016</w:t>
            </w:r>
          </w:p>
        </w:tc>
        <w:tc>
          <w:tcPr>
            <w:tcW w:w="34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73" w:right="0"/>
              <w:jc w:val="left"/>
              <w:rPr>
                <w:rFonts w:ascii="宋体" w:hAnsi="宋体" w:cs="宋体" w:eastAsia="宋体" w:hint="default"/>
                <w:sz w:val="18"/>
                <w:szCs w:val="18"/>
              </w:rPr>
            </w:pPr>
            <w:r>
              <w:rPr>
                <w:rFonts w:ascii="宋体" w:hAnsi="宋体" w:cs="宋体" w:eastAsia="宋体" w:hint="default"/>
                <w:sz w:val="18"/>
                <w:szCs w:val="18"/>
              </w:rPr>
              <w:t>关于股东部分股份解除质押及质押的公告</w:t>
            </w:r>
          </w:p>
        </w:tc>
        <w:tc>
          <w:tcPr>
            <w:tcW w:w="326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2"/>
              <w:ind w:left="2" w:right="3"/>
              <w:jc w:val="left"/>
              <w:rPr>
                <w:rFonts w:ascii="宋体" w:hAnsi="宋体" w:cs="宋体" w:eastAsia="宋体" w:hint="default"/>
                <w:sz w:val="18"/>
                <w:szCs w:val="18"/>
              </w:rPr>
            </w:pPr>
            <w:r>
              <w:rPr>
                <w:rFonts w:ascii="宋体" w:hAnsi="宋体" w:cs="宋体" w:eastAsia="宋体" w:hint="default"/>
                <w:sz w:val="18"/>
                <w:szCs w:val="18"/>
              </w:rPr>
              <w:t>《证券日报》、《证券时报》、《中国证</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券报》、《上海证券报》及巨潮资讯网</w:t>
            </w:r>
          </w:p>
        </w:tc>
      </w:tr>
      <w:tr>
        <w:trPr>
          <w:trHeight w:val="740" w:hRule="exact"/>
        </w:trPr>
        <w:tc>
          <w:tcPr>
            <w:tcW w:w="16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271"/>
              <w:jc w:val="righ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w:t>
            </w:r>
            <w:r>
              <w:rPr>
                <w:rFonts w:ascii="Times New Roman" w:hAnsi="Times New Roman" w:cs="Times New Roman" w:eastAsia="Times New Roman" w:hint="default"/>
                <w:sz w:val="18"/>
                <w:szCs w:val="18"/>
              </w:rPr>
              <w:t>3</w:t>
            </w:r>
            <w:r>
              <w:rPr>
                <w:rFonts w:ascii="宋体" w:hAnsi="宋体" w:cs="宋体" w:eastAsia="宋体" w:hint="default"/>
                <w:sz w:val="18"/>
                <w:szCs w:val="18"/>
              </w:rPr>
              <w:t>日</w:t>
            </w:r>
          </w:p>
        </w:tc>
        <w:tc>
          <w:tcPr>
            <w:tcW w:w="13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319"/>
              <w:jc w:val="right"/>
              <w:rPr>
                <w:rFonts w:ascii="Times New Roman" w:hAnsi="Times New Roman" w:cs="Times New Roman" w:eastAsia="Times New Roman" w:hint="default"/>
                <w:sz w:val="18"/>
                <w:szCs w:val="18"/>
              </w:rPr>
            </w:pPr>
            <w:r>
              <w:rPr>
                <w:rFonts w:ascii="Times New Roman"/>
                <w:sz w:val="18"/>
              </w:rPr>
              <w:t>2018-018</w:t>
            </w:r>
          </w:p>
        </w:tc>
        <w:tc>
          <w:tcPr>
            <w:tcW w:w="3402"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62"/>
              <w:ind w:left="1243" w:right="1" w:hanging="1242"/>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关于部分董事、高级管理人员增持公司股份</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的公告</w:t>
            </w:r>
            <w:r>
              <w:rPr>
                <w:rFonts w:ascii="Times New Roman" w:hAnsi="Times New Roman" w:cs="Times New Roman" w:eastAsia="Times New Roman" w:hint="default"/>
                <w:sz w:val="18"/>
                <w:szCs w:val="18"/>
              </w:rPr>
              <w:t>*</w:t>
            </w:r>
            <w:r>
              <w:rPr>
                <w:rFonts w:ascii="宋体" w:hAnsi="宋体" w:cs="宋体" w:eastAsia="宋体" w:hint="default"/>
                <w:sz w:val="18"/>
                <w:szCs w:val="18"/>
              </w:rPr>
              <w:t>注</w:t>
            </w:r>
            <w:r>
              <w:rPr>
                <w:rFonts w:ascii="Times New Roman" w:hAnsi="Times New Roman" w:cs="Times New Roman" w:eastAsia="Times New Roman" w:hint="default"/>
                <w:sz w:val="18"/>
                <w:szCs w:val="18"/>
              </w:rPr>
              <w:t>6</w:t>
            </w:r>
          </w:p>
        </w:tc>
        <w:tc>
          <w:tcPr>
            <w:tcW w:w="3268"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62"/>
              <w:ind w:left="2" w:right="3"/>
              <w:jc w:val="left"/>
              <w:rPr>
                <w:rFonts w:ascii="宋体" w:hAnsi="宋体" w:cs="宋体" w:eastAsia="宋体" w:hint="default"/>
                <w:sz w:val="18"/>
                <w:szCs w:val="18"/>
              </w:rPr>
            </w:pPr>
            <w:r>
              <w:rPr>
                <w:rFonts w:ascii="宋体" w:hAnsi="宋体" w:cs="宋体" w:eastAsia="宋体" w:hint="default"/>
                <w:sz w:val="18"/>
                <w:szCs w:val="18"/>
              </w:rPr>
              <w:t>《证券日报》、《证券时报》、《中国证</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券报》、《上海证券报》及巨潮资讯网</w:t>
            </w:r>
          </w:p>
        </w:tc>
      </w:tr>
      <w:tr>
        <w:trPr>
          <w:trHeight w:val="739" w:hRule="exact"/>
        </w:trPr>
        <w:tc>
          <w:tcPr>
            <w:tcW w:w="16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227"/>
              <w:jc w:val="righ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w:t>
            </w:r>
            <w:r>
              <w:rPr>
                <w:rFonts w:ascii="Times New Roman" w:hAnsi="Times New Roman" w:cs="Times New Roman" w:eastAsia="Times New Roman" w:hint="default"/>
                <w:sz w:val="18"/>
                <w:szCs w:val="18"/>
              </w:rPr>
              <w:t>10</w:t>
            </w:r>
            <w:r>
              <w:rPr>
                <w:rFonts w:ascii="宋体" w:hAnsi="宋体" w:cs="宋体" w:eastAsia="宋体" w:hint="default"/>
                <w:sz w:val="18"/>
                <w:szCs w:val="18"/>
              </w:rPr>
              <w:t>日</w:t>
            </w:r>
          </w:p>
        </w:tc>
        <w:tc>
          <w:tcPr>
            <w:tcW w:w="13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319"/>
              <w:jc w:val="right"/>
              <w:rPr>
                <w:rFonts w:ascii="Times New Roman" w:hAnsi="Times New Roman" w:cs="Times New Roman" w:eastAsia="Times New Roman" w:hint="default"/>
                <w:sz w:val="18"/>
                <w:szCs w:val="18"/>
              </w:rPr>
            </w:pPr>
            <w:r>
              <w:rPr>
                <w:rFonts w:ascii="Times New Roman"/>
                <w:sz w:val="18"/>
              </w:rPr>
              <w:t>2018-021</w:t>
            </w:r>
          </w:p>
        </w:tc>
        <w:tc>
          <w:tcPr>
            <w:tcW w:w="34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523" w:right="0"/>
              <w:jc w:val="left"/>
              <w:rPr>
                <w:rFonts w:ascii="宋体" w:hAnsi="宋体" w:cs="宋体" w:eastAsia="宋体" w:hint="default"/>
                <w:sz w:val="18"/>
                <w:szCs w:val="18"/>
              </w:rPr>
            </w:pPr>
            <w:r>
              <w:rPr>
                <w:rFonts w:ascii="宋体" w:hAnsi="宋体" w:cs="宋体" w:eastAsia="宋体" w:hint="default"/>
                <w:sz w:val="18"/>
                <w:szCs w:val="18"/>
              </w:rPr>
              <w:t>关于股东部分股份质押的公告</w:t>
            </w:r>
          </w:p>
        </w:tc>
        <w:tc>
          <w:tcPr>
            <w:tcW w:w="326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2"/>
              <w:ind w:left="2" w:right="3"/>
              <w:jc w:val="left"/>
              <w:rPr>
                <w:rFonts w:ascii="宋体" w:hAnsi="宋体" w:cs="宋体" w:eastAsia="宋体" w:hint="default"/>
                <w:sz w:val="18"/>
                <w:szCs w:val="18"/>
              </w:rPr>
            </w:pPr>
            <w:r>
              <w:rPr>
                <w:rFonts w:ascii="宋体" w:hAnsi="宋体" w:cs="宋体" w:eastAsia="宋体" w:hint="default"/>
                <w:sz w:val="18"/>
                <w:szCs w:val="18"/>
              </w:rPr>
              <w:t>《证券日报》、《证券时报》、《中国证</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券报》、《上海证券报》及巨潮资讯网</w:t>
            </w:r>
          </w:p>
        </w:tc>
      </w:tr>
      <w:tr>
        <w:trPr>
          <w:trHeight w:val="739" w:hRule="exact"/>
        </w:trPr>
        <w:tc>
          <w:tcPr>
            <w:tcW w:w="16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227"/>
              <w:jc w:val="righ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w:t>
            </w:r>
            <w:r>
              <w:rPr>
                <w:rFonts w:ascii="Times New Roman" w:hAnsi="Times New Roman" w:cs="Times New Roman" w:eastAsia="Times New Roman" w:hint="default"/>
                <w:sz w:val="18"/>
                <w:szCs w:val="18"/>
              </w:rPr>
              <w:t>12</w:t>
            </w:r>
            <w:r>
              <w:rPr>
                <w:rFonts w:ascii="宋体" w:hAnsi="宋体" w:cs="宋体" w:eastAsia="宋体" w:hint="default"/>
                <w:sz w:val="18"/>
                <w:szCs w:val="18"/>
              </w:rPr>
              <w:t>日</w:t>
            </w:r>
          </w:p>
        </w:tc>
        <w:tc>
          <w:tcPr>
            <w:tcW w:w="13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319"/>
              <w:jc w:val="right"/>
              <w:rPr>
                <w:rFonts w:ascii="Times New Roman" w:hAnsi="Times New Roman" w:cs="Times New Roman" w:eastAsia="Times New Roman" w:hint="default"/>
                <w:sz w:val="18"/>
                <w:szCs w:val="18"/>
              </w:rPr>
            </w:pPr>
            <w:r>
              <w:rPr>
                <w:rFonts w:ascii="Times New Roman"/>
                <w:sz w:val="18"/>
              </w:rPr>
              <w:t>2018-024</w:t>
            </w:r>
          </w:p>
        </w:tc>
        <w:tc>
          <w:tcPr>
            <w:tcW w:w="340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2"/>
              <w:ind w:left="883" w:right="72" w:hanging="811"/>
              <w:jc w:val="left"/>
              <w:rPr>
                <w:rFonts w:ascii="宋体" w:hAnsi="宋体" w:cs="宋体" w:eastAsia="宋体" w:hint="default"/>
                <w:sz w:val="18"/>
                <w:szCs w:val="18"/>
              </w:rPr>
            </w:pPr>
            <w:r>
              <w:rPr>
                <w:rFonts w:ascii="宋体" w:hAnsi="宋体" w:cs="宋体" w:eastAsia="宋体" w:hint="default"/>
                <w:sz w:val="18"/>
                <w:szCs w:val="18"/>
              </w:rPr>
              <w:t>关于收购控股子公司股权暨投资设立合资 公司的关联交易公告</w:t>
            </w:r>
          </w:p>
        </w:tc>
        <w:tc>
          <w:tcPr>
            <w:tcW w:w="326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2"/>
              <w:ind w:left="2" w:right="3"/>
              <w:jc w:val="left"/>
              <w:rPr>
                <w:rFonts w:ascii="宋体" w:hAnsi="宋体" w:cs="宋体" w:eastAsia="宋体" w:hint="default"/>
                <w:sz w:val="18"/>
                <w:szCs w:val="18"/>
              </w:rPr>
            </w:pPr>
            <w:r>
              <w:rPr>
                <w:rFonts w:ascii="宋体" w:hAnsi="宋体" w:cs="宋体" w:eastAsia="宋体" w:hint="default"/>
                <w:sz w:val="18"/>
                <w:szCs w:val="18"/>
              </w:rPr>
              <w:t>《证券日报》、《证券时报》、《中国证</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券报》、《上海证券报》及巨潮资讯网</w:t>
            </w:r>
          </w:p>
        </w:tc>
      </w:tr>
      <w:tr>
        <w:trPr>
          <w:trHeight w:val="738" w:hRule="exact"/>
        </w:trPr>
        <w:tc>
          <w:tcPr>
            <w:tcW w:w="16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227"/>
              <w:jc w:val="righ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w:t>
            </w:r>
            <w:r>
              <w:rPr>
                <w:rFonts w:ascii="Times New Roman" w:hAnsi="Times New Roman" w:cs="Times New Roman" w:eastAsia="Times New Roman" w:hint="default"/>
                <w:sz w:val="18"/>
                <w:szCs w:val="18"/>
              </w:rPr>
              <w:t>12</w:t>
            </w:r>
            <w:r>
              <w:rPr>
                <w:rFonts w:ascii="宋体" w:hAnsi="宋体" w:cs="宋体" w:eastAsia="宋体" w:hint="default"/>
                <w:sz w:val="18"/>
                <w:szCs w:val="18"/>
              </w:rPr>
              <w:t>日</w:t>
            </w:r>
          </w:p>
        </w:tc>
        <w:tc>
          <w:tcPr>
            <w:tcW w:w="13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319"/>
              <w:jc w:val="right"/>
              <w:rPr>
                <w:rFonts w:ascii="Times New Roman" w:hAnsi="Times New Roman" w:cs="Times New Roman" w:eastAsia="Times New Roman" w:hint="default"/>
                <w:sz w:val="18"/>
                <w:szCs w:val="18"/>
              </w:rPr>
            </w:pPr>
            <w:r>
              <w:rPr>
                <w:rFonts w:ascii="Times New Roman"/>
                <w:sz w:val="18"/>
              </w:rPr>
              <w:t>2018-025</w:t>
            </w:r>
          </w:p>
        </w:tc>
        <w:tc>
          <w:tcPr>
            <w:tcW w:w="34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6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关于调整公司部分副总经理的公告</w:t>
            </w:r>
            <w:r>
              <w:rPr>
                <w:rFonts w:ascii="Times New Roman" w:hAnsi="Times New Roman" w:cs="Times New Roman" w:eastAsia="Times New Roman" w:hint="default"/>
                <w:sz w:val="18"/>
                <w:szCs w:val="18"/>
              </w:rPr>
              <w:t>*</w:t>
            </w:r>
            <w:r>
              <w:rPr>
                <w:rFonts w:ascii="宋体" w:hAnsi="宋体" w:cs="宋体" w:eastAsia="宋体" w:hint="default"/>
                <w:sz w:val="18"/>
                <w:szCs w:val="18"/>
              </w:rPr>
              <w:t>注</w:t>
            </w:r>
            <w:r>
              <w:rPr>
                <w:rFonts w:ascii="Times New Roman" w:hAnsi="Times New Roman" w:cs="Times New Roman" w:eastAsia="Times New Roman" w:hint="default"/>
                <w:sz w:val="18"/>
                <w:szCs w:val="18"/>
              </w:rPr>
              <w:t>7</w:t>
            </w:r>
          </w:p>
        </w:tc>
        <w:tc>
          <w:tcPr>
            <w:tcW w:w="3268"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61"/>
              <w:ind w:left="2" w:right="3"/>
              <w:jc w:val="left"/>
              <w:rPr>
                <w:rFonts w:ascii="宋体" w:hAnsi="宋体" w:cs="宋体" w:eastAsia="宋体" w:hint="default"/>
                <w:sz w:val="18"/>
                <w:szCs w:val="18"/>
              </w:rPr>
            </w:pPr>
            <w:r>
              <w:rPr>
                <w:rFonts w:ascii="宋体" w:hAnsi="宋体" w:cs="宋体" w:eastAsia="宋体" w:hint="default"/>
                <w:sz w:val="18"/>
                <w:szCs w:val="18"/>
              </w:rPr>
              <w:t>《证券日报》、《证券时报》、《中国证</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券报》、《上海证券报》及巨潮资讯网</w:t>
            </w:r>
          </w:p>
        </w:tc>
      </w:tr>
      <w:tr>
        <w:trPr>
          <w:trHeight w:val="739" w:hRule="exact"/>
        </w:trPr>
        <w:tc>
          <w:tcPr>
            <w:tcW w:w="16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227"/>
              <w:jc w:val="righ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w:t>
            </w:r>
            <w:r>
              <w:rPr>
                <w:rFonts w:ascii="Times New Roman" w:hAnsi="Times New Roman" w:cs="Times New Roman" w:eastAsia="Times New Roman" w:hint="default"/>
                <w:sz w:val="18"/>
                <w:szCs w:val="18"/>
              </w:rPr>
              <w:t>12</w:t>
            </w:r>
            <w:r>
              <w:rPr>
                <w:rFonts w:ascii="宋体" w:hAnsi="宋体" w:cs="宋体" w:eastAsia="宋体" w:hint="default"/>
                <w:sz w:val="18"/>
                <w:szCs w:val="18"/>
              </w:rPr>
              <w:t>日</w:t>
            </w:r>
          </w:p>
        </w:tc>
        <w:tc>
          <w:tcPr>
            <w:tcW w:w="13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319"/>
              <w:jc w:val="right"/>
              <w:rPr>
                <w:rFonts w:ascii="Times New Roman" w:hAnsi="Times New Roman" w:cs="Times New Roman" w:eastAsia="Times New Roman" w:hint="default"/>
                <w:sz w:val="18"/>
                <w:szCs w:val="18"/>
              </w:rPr>
            </w:pPr>
            <w:r>
              <w:rPr>
                <w:rFonts w:ascii="Times New Roman"/>
                <w:sz w:val="18"/>
              </w:rPr>
              <w:t>2018-026</w:t>
            </w:r>
          </w:p>
        </w:tc>
        <w:tc>
          <w:tcPr>
            <w:tcW w:w="3402"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62"/>
              <w:ind w:left="793" w:right="72" w:hanging="721"/>
              <w:jc w:val="left"/>
              <w:rPr>
                <w:rFonts w:ascii="宋体" w:hAnsi="宋体" w:cs="宋体" w:eastAsia="宋体" w:hint="default"/>
                <w:sz w:val="18"/>
                <w:szCs w:val="18"/>
              </w:rPr>
            </w:pPr>
            <w:r>
              <w:rPr>
                <w:rFonts w:ascii="宋体" w:hAnsi="宋体" w:cs="宋体" w:eastAsia="宋体" w:hint="default"/>
                <w:sz w:val="18"/>
                <w:szCs w:val="18"/>
              </w:rPr>
              <w:t>关于拟签署长春吉星印务有限责任公司股 权转让补充协议的公告</w:t>
            </w:r>
          </w:p>
        </w:tc>
        <w:tc>
          <w:tcPr>
            <w:tcW w:w="3268"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62"/>
              <w:ind w:left="2" w:right="3"/>
              <w:jc w:val="left"/>
              <w:rPr>
                <w:rFonts w:ascii="宋体" w:hAnsi="宋体" w:cs="宋体" w:eastAsia="宋体" w:hint="default"/>
                <w:sz w:val="18"/>
                <w:szCs w:val="18"/>
              </w:rPr>
            </w:pPr>
            <w:r>
              <w:rPr>
                <w:rFonts w:ascii="宋体" w:hAnsi="宋体" w:cs="宋体" w:eastAsia="宋体" w:hint="default"/>
                <w:sz w:val="18"/>
                <w:szCs w:val="18"/>
              </w:rPr>
              <w:t>《证券日报》、《证券时报》、《中国证</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券报》、《上海证券报》及巨潮资讯网</w:t>
            </w:r>
          </w:p>
        </w:tc>
      </w:tr>
      <w:tr>
        <w:trPr>
          <w:trHeight w:val="739" w:hRule="exact"/>
        </w:trPr>
        <w:tc>
          <w:tcPr>
            <w:tcW w:w="16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227"/>
              <w:jc w:val="righ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w:t>
            </w:r>
            <w:r>
              <w:rPr>
                <w:rFonts w:ascii="Times New Roman" w:hAnsi="Times New Roman" w:cs="Times New Roman" w:eastAsia="Times New Roman" w:hint="default"/>
                <w:sz w:val="18"/>
                <w:szCs w:val="18"/>
              </w:rPr>
              <w:t>26</w:t>
            </w:r>
            <w:r>
              <w:rPr>
                <w:rFonts w:ascii="宋体" w:hAnsi="宋体" w:cs="宋体" w:eastAsia="宋体" w:hint="default"/>
                <w:sz w:val="18"/>
                <w:szCs w:val="18"/>
              </w:rPr>
              <w:t>日</w:t>
            </w:r>
          </w:p>
        </w:tc>
        <w:tc>
          <w:tcPr>
            <w:tcW w:w="13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319"/>
              <w:jc w:val="right"/>
              <w:rPr>
                <w:rFonts w:ascii="Times New Roman" w:hAnsi="Times New Roman" w:cs="Times New Roman" w:eastAsia="Times New Roman" w:hint="default"/>
                <w:sz w:val="18"/>
                <w:szCs w:val="18"/>
              </w:rPr>
            </w:pPr>
            <w:r>
              <w:rPr>
                <w:rFonts w:ascii="Times New Roman"/>
                <w:sz w:val="18"/>
              </w:rPr>
              <w:t>2018-056</w:t>
            </w:r>
          </w:p>
        </w:tc>
        <w:tc>
          <w:tcPr>
            <w:tcW w:w="3402"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62"/>
              <w:ind w:left="1513" w:right="72" w:hanging="1441"/>
              <w:jc w:val="left"/>
              <w:rPr>
                <w:rFonts w:ascii="宋体" w:hAnsi="宋体" w:cs="宋体" w:eastAsia="宋体" w:hint="default"/>
                <w:sz w:val="18"/>
                <w:szCs w:val="18"/>
              </w:rPr>
            </w:pPr>
            <w:r>
              <w:rPr>
                <w:rFonts w:ascii="宋体" w:hAnsi="宋体" w:cs="宋体" w:eastAsia="宋体" w:hint="default"/>
                <w:sz w:val="18"/>
                <w:szCs w:val="18"/>
              </w:rPr>
              <w:t>关于</w:t>
            </w:r>
            <w:r>
              <w:rPr>
                <w:rFonts w:ascii="Times New Roman" w:hAnsi="Times New Roman" w:cs="Times New Roman" w:eastAsia="Times New Roman" w:hint="default"/>
                <w:sz w:val="18"/>
                <w:szCs w:val="18"/>
              </w:rPr>
              <w:t>2017</w:t>
            </w:r>
            <w:r>
              <w:rPr>
                <w:rFonts w:ascii="宋体" w:hAnsi="宋体" w:cs="宋体" w:eastAsia="宋体" w:hint="default"/>
                <w:sz w:val="18"/>
                <w:szCs w:val="18"/>
              </w:rPr>
              <w:t>年年度报告环境信息情况的补充 公告</w:t>
            </w:r>
          </w:p>
        </w:tc>
        <w:tc>
          <w:tcPr>
            <w:tcW w:w="326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2"/>
              <w:ind w:left="2" w:right="2"/>
              <w:jc w:val="left"/>
              <w:rPr>
                <w:rFonts w:ascii="宋体" w:hAnsi="宋体" w:cs="宋体" w:eastAsia="宋体" w:hint="default"/>
                <w:sz w:val="18"/>
                <w:szCs w:val="18"/>
              </w:rPr>
            </w:pPr>
            <w:r>
              <w:rPr>
                <w:rFonts w:ascii="宋体" w:hAnsi="宋体" w:cs="宋体" w:eastAsia="宋体" w:hint="default"/>
                <w:sz w:val="18"/>
                <w:szCs w:val="18"/>
              </w:rPr>
              <w:t>《证券日报》、《证券时报》、《中国证</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券报》、《上海证券报》及巨潮资讯网</w:t>
            </w:r>
          </w:p>
        </w:tc>
      </w:tr>
      <w:tr>
        <w:trPr>
          <w:trHeight w:val="739" w:hRule="exact"/>
        </w:trPr>
        <w:tc>
          <w:tcPr>
            <w:tcW w:w="16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227"/>
              <w:jc w:val="righ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6</w:t>
            </w:r>
            <w:r>
              <w:rPr>
                <w:rFonts w:ascii="宋体" w:hAnsi="宋体" w:cs="宋体" w:eastAsia="宋体" w:hint="default"/>
                <w:sz w:val="18"/>
                <w:szCs w:val="18"/>
              </w:rPr>
              <w:t>月</w:t>
            </w:r>
            <w:r>
              <w:rPr>
                <w:rFonts w:ascii="Times New Roman" w:hAnsi="Times New Roman" w:cs="Times New Roman" w:eastAsia="Times New Roman" w:hint="default"/>
                <w:sz w:val="18"/>
                <w:szCs w:val="18"/>
              </w:rPr>
              <w:t>12</w:t>
            </w:r>
            <w:r>
              <w:rPr>
                <w:rFonts w:ascii="宋体" w:hAnsi="宋体" w:cs="宋体" w:eastAsia="宋体" w:hint="default"/>
                <w:sz w:val="18"/>
                <w:szCs w:val="18"/>
              </w:rPr>
              <w:t>日</w:t>
            </w:r>
          </w:p>
        </w:tc>
        <w:tc>
          <w:tcPr>
            <w:tcW w:w="13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319"/>
              <w:jc w:val="right"/>
              <w:rPr>
                <w:rFonts w:ascii="Times New Roman" w:hAnsi="Times New Roman" w:cs="Times New Roman" w:eastAsia="Times New Roman" w:hint="default"/>
                <w:sz w:val="18"/>
                <w:szCs w:val="18"/>
              </w:rPr>
            </w:pPr>
            <w:r>
              <w:rPr>
                <w:rFonts w:ascii="Times New Roman"/>
                <w:sz w:val="18"/>
              </w:rPr>
              <w:t>2018-059</w:t>
            </w:r>
          </w:p>
        </w:tc>
        <w:tc>
          <w:tcPr>
            <w:tcW w:w="3402"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62"/>
              <w:ind w:left="1243" w:right="72" w:hanging="1171"/>
              <w:jc w:val="left"/>
              <w:rPr>
                <w:rFonts w:ascii="宋体" w:hAnsi="宋体" w:cs="宋体" w:eastAsia="宋体" w:hint="default"/>
                <w:sz w:val="18"/>
                <w:szCs w:val="18"/>
              </w:rPr>
            </w:pPr>
            <w:r>
              <w:rPr>
                <w:rFonts w:ascii="宋体" w:hAnsi="宋体" w:cs="宋体" w:eastAsia="宋体" w:hint="default"/>
                <w:sz w:val="18"/>
                <w:szCs w:val="18"/>
              </w:rPr>
              <w:t>关于对深圳证券交易所</w:t>
            </w:r>
            <w:r>
              <w:rPr>
                <w:rFonts w:ascii="Times New Roman" w:hAnsi="Times New Roman" w:cs="Times New Roman" w:eastAsia="Times New Roman" w:hint="default"/>
                <w:sz w:val="18"/>
                <w:szCs w:val="18"/>
              </w:rPr>
              <w:t>2017</w:t>
            </w:r>
            <w:r>
              <w:rPr>
                <w:rFonts w:ascii="宋体" w:hAnsi="宋体" w:cs="宋体" w:eastAsia="宋体" w:hint="default"/>
                <w:sz w:val="18"/>
                <w:szCs w:val="18"/>
              </w:rPr>
              <w:t>年年报问询函 回复的公告</w:t>
            </w:r>
          </w:p>
        </w:tc>
        <w:tc>
          <w:tcPr>
            <w:tcW w:w="326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2"/>
              <w:ind w:left="2" w:right="9"/>
              <w:jc w:val="left"/>
              <w:rPr>
                <w:rFonts w:ascii="宋体" w:hAnsi="宋体" w:cs="宋体" w:eastAsia="宋体" w:hint="default"/>
                <w:sz w:val="18"/>
                <w:szCs w:val="18"/>
              </w:rPr>
            </w:pPr>
            <w:r>
              <w:rPr>
                <w:rFonts w:ascii="宋体" w:hAnsi="宋体" w:cs="宋体" w:eastAsia="宋体" w:hint="default"/>
                <w:sz w:val="18"/>
                <w:szCs w:val="18"/>
              </w:rPr>
              <w:t>《证券日报》、《证券时报》、《中国证 券报》、《上海证券报》及巨潮资讯网</w:t>
            </w:r>
          </w:p>
        </w:tc>
      </w:tr>
      <w:tr>
        <w:trPr>
          <w:trHeight w:val="739" w:hRule="exact"/>
        </w:trPr>
        <w:tc>
          <w:tcPr>
            <w:tcW w:w="16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227"/>
              <w:jc w:val="righ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6</w:t>
            </w:r>
            <w:r>
              <w:rPr>
                <w:rFonts w:ascii="宋体" w:hAnsi="宋体" w:cs="宋体" w:eastAsia="宋体" w:hint="default"/>
                <w:sz w:val="18"/>
                <w:szCs w:val="18"/>
              </w:rPr>
              <w:t>月</w:t>
            </w:r>
            <w:r>
              <w:rPr>
                <w:rFonts w:ascii="Times New Roman" w:hAnsi="Times New Roman" w:cs="Times New Roman" w:eastAsia="Times New Roman" w:hint="default"/>
                <w:sz w:val="18"/>
                <w:szCs w:val="18"/>
              </w:rPr>
              <w:t>29</w:t>
            </w:r>
            <w:r>
              <w:rPr>
                <w:rFonts w:ascii="宋体" w:hAnsi="宋体" w:cs="宋体" w:eastAsia="宋体" w:hint="default"/>
                <w:sz w:val="18"/>
                <w:szCs w:val="18"/>
              </w:rPr>
              <w:t>日</w:t>
            </w:r>
          </w:p>
        </w:tc>
        <w:tc>
          <w:tcPr>
            <w:tcW w:w="13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319"/>
              <w:jc w:val="right"/>
              <w:rPr>
                <w:rFonts w:ascii="Times New Roman" w:hAnsi="Times New Roman" w:cs="Times New Roman" w:eastAsia="Times New Roman" w:hint="default"/>
                <w:sz w:val="18"/>
                <w:szCs w:val="18"/>
              </w:rPr>
            </w:pPr>
            <w:r>
              <w:rPr>
                <w:rFonts w:ascii="Times New Roman"/>
                <w:sz w:val="18"/>
              </w:rPr>
              <w:t>2018-067</w:t>
            </w:r>
          </w:p>
        </w:tc>
        <w:tc>
          <w:tcPr>
            <w:tcW w:w="34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5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年年度权益分派实施公告</w:t>
            </w:r>
          </w:p>
        </w:tc>
        <w:tc>
          <w:tcPr>
            <w:tcW w:w="326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2"/>
              <w:ind w:left="2" w:right="9"/>
              <w:jc w:val="left"/>
              <w:rPr>
                <w:rFonts w:ascii="宋体" w:hAnsi="宋体" w:cs="宋体" w:eastAsia="宋体" w:hint="default"/>
                <w:sz w:val="18"/>
                <w:szCs w:val="18"/>
              </w:rPr>
            </w:pPr>
            <w:r>
              <w:rPr>
                <w:rFonts w:ascii="宋体" w:hAnsi="宋体" w:cs="宋体" w:eastAsia="宋体" w:hint="default"/>
                <w:sz w:val="18"/>
                <w:szCs w:val="18"/>
              </w:rPr>
              <w:t>《证券日报》、《证券时报》、《中国证 券报》、《上海证券报》及巨潮资讯网</w:t>
            </w:r>
          </w:p>
        </w:tc>
      </w:tr>
      <w:tr>
        <w:trPr>
          <w:trHeight w:val="738" w:hRule="exact"/>
        </w:trPr>
        <w:tc>
          <w:tcPr>
            <w:tcW w:w="16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271"/>
              <w:jc w:val="righ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7</w:t>
            </w:r>
            <w:r>
              <w:rPr>
                <w:rFonts w:ascii="宋体" w:hAnsi="宋体" w:cs="宋体" w:eastAsia="宋体" w:hint="default"/>
                <w:sz w:val="18"/>
                <w:szCs w:val="18"/>
              </w:rPr>
              <w:t>月</w:t>
            </w:r>
            <w:r>
              <w:rPr>
                <w:rFonts w:ascii="Times New Roman" w:hAnsi="Times New Roman" w:cs="Times New Roman" w:eastAsia="Times New Roman" w:hint="default"/>
                <w:sz w:val="18"/>
                <w:szCs w:val="18"/>
              </w:rPr>
              <w:t>6</w:t>
            </w:r>
            <w:r>
              <w:rPr>
                <w:rFonts w:ascii="宋体" w:hAnsi="宋体" w:cs="宋体" w:eastAsia="宋体" w:hint="default"/>
                <w:sz w:val="18"/>
                <w:szCs w:val="18"/>
              </w:rPr>
              <w:t>日</w:t>
            </w:r>
          </w:p>
        </w:tc>
        <w:tc>
          <w:tcPr>
            <w:tcW w:w="13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319"/>
              <w:jc w:val="right"/>
              <w:rPr>
                <w:rFonts w:ascii="Times New Roman" w:hAnsi="Times New Roman" w:cs="Times New Roman" w:eastAsia="Times New Roman" w:hint="default"/>
                <w:sz w:val="18"/>
                <w:szCs w:val="18"/>
              </w:rPr>
            </w:pPr>
            <w:r>
              <w:rPr>
                <w:rFonts w:ascii="Times New Roman"/>
                <w:sz w:val="18"/>
              </w:rPr>
              <w:t>2018-069</w:t>
            </w:r>
          </w:p>
        </w:tc>
        <w:tc>
          <w:tcPr>
            <w:tcW w:w="3402"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62"/>
              <w:ind w:left="253" w:right="72" w:hanging="180"/>
              <w:jc w:val="left"/>
              <w:rPr>
                <w:rFonts w:ascii="宋体" w:hAnsi="宋体" w:cs="宋体" w:eastAsia="宋体" w:hint="default"/>
                <w:sz w:val="18"/>
                <w:szCs w:val="18"/>
              </w:rPr>
            </w:pPr>
            <w:r>
              <w:rPr>
                <w:rFonts w:ascii="宋体" w:hAnsi="宋体" w:cs="宋体" w:eastAsia="宋体" w:hint="default"/>
                <w:sz w:val="18"/>
                <w:szCs w:val="18"/>
              </w:rPr>
              <w:t>关于实施</w:t>
            </w:r>
            <w:r>
              <w:rPr>
                <w:rFonts w:ascii="Times New Roman" w:hAnsi="Times New Roman" w:cs="Times New Roman" w:eastAsia="Times New Roman" w:hint="default"/>
                <w:sz w:val="18"/>
                <w:szCs w:val="18"/>
              </w:rPr>
              <w:t>2017</w:t>
            </w:r>
            <w:r>
              <w:rPr>
                <w:rFonts w:ascii="宋体" w:hAnsi="宋体" w:cs="宋体" w:eastAsia="宋体" w:hint="default"/>
                <w:sz w:val="18"/>
                <w:szCs w:val="18"/>
              </w:rPr>
              <w:t>年度利润分配方案后调整回 购部分社会公众股份价格上限的公告</w:t>
            </w:r>
          </w:p>
        </w:tc>
        <w:tc>
          <w:tcPr>
            <w:tcW w:w="326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2"/>
              <w:ind w:left="2" w:right="3"/>
              <w:jc w:val="left"/>
              <w:rPr>
                <w:rFonts w:ascii="宋体" w:hAnsi="宋体" w:cs="宋体" w:eastAsia="宋体" w:hint="default"/>
                <w:sz w:val="18"/>
                <w:szCs w:val="18"/>
              </w:rPr>
            </w:pPr>
            <w:r>
              <w:rPr>
                <w:rFonts w:ascii="宋体" w:hAnsi="宋体" w:cs="宋体" w:eastAsia="宋体" w:hint="default"/>
                <w:sz w:val="18"/>
                <w:szCs w:val="18"/>
              </w:rPr>
              <w:t>《证券日报》、《证券时报》、《中国证</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券报》、《上海证券报》及巨潮资讯网</w:t>
            </w:r>
          </w:p>
        </w:tc>
      </w:tr>
      <w:tr>
        <w:trPr>
          <w:trHeight w:val="428" w:hRule="exact"/>
        </w:trPr>
        <w:tc>
          <w:tcPr>
            <w:tcW w:w="16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227"/>
              <w:jc w:val="righ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7</w:t>
            </w:r>
            <w:r>
              <w:rPr>
                <w:rFonts w:ascii="宋体" w:hAnsi="宋体" w:cs="宋体" w:eastAsia="宋体" w:hint="default"/>
                <w:sz w:val="18"/>
                <w:szCs w:val="18"/>
              </w:rPr>
              <w:t>月</w:t>
            </w:r>
            <w:r>
              <w:rPr>
                <w:rFonts w:ascii="Times New Roman" w:hAnsi="Times New Roman" w:cs="Times New Roman" w:eastAsia="Times New Roman" w:hint="default"/>
                <w:sz w:val="18"/>
                <w:szCs w:val="18"/>
              </w:rPr>
              <w:t>11</w:t>
            </w:r>
            <w:r>
              <w:rPr>
                <w:rFonts w:ascii="宋体" w:hAnsi="宋体" w:cs="宋体" w:eastAsia="宋体" w:hint="default"/>
                <w:sz w:val="18"/>
                <w:szCs w:val="18"/>
              </w:rPr>
              <w:t>日</w:t>
            </w:r>
          </w:p>
        </w:tc>
        <w:tc>
          <w:tcPr>
            <w:tcW w:w="13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319"/>
              <w:jc w:val="right"/>
              <w:rPr>
                <w:rFonts w:ascii="Times New Roman" w:hAnsi="Times New Roman" w:cs="Times New Roman" w:eastAsia="Times New Roman" w:hint="default"/>
                <w:sz w:val="18"/>
                <w:szCs w:val="18"/>
              </w:rPr>
            </w:pPr>
            <w:r>
              <w:rPr>
                <w:rFonts w:ascii="Times New Roman"/>
                <w:sz w:val="18"/>
              </w:rPr>
              <w:t>2018-073</w:t>
            </w:r>
          </w:p>
        </w:tc>
        <w:tc>
          <w:tcPr>
            <w:tcW w:w="34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5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关于公司高管离职的公告</w:t>
            </w:r>
            <w:r>
              <w:rPr>
                <w:rFonts w:ascii="Times New Roman" w:hAnsi="Times New Roman" w:cs="Times New Roman" w:eastAsia="Times New Roman" w:hint="default"/>
                <w:sz w:val="18"/>
                <w:szCs w:val="18"/>
              </w:rPr>
              <w:t>*</w:t>
            </w:r>
            <w:r>
              <w:rPr>
                <w:rFonts w:ascii="宋体" w:hAnsi="宋体" w:cs="宋体" w:eastAsia="宋体" w:hint="default"/>
                <w:sz w:val="18"/>
                <w:szCs w:val="18"/>
              </w:rPr>
              <w:t>注</w:t>
            </w:r>
            <w:r>
              <w:rPr>
                <w:rFonts w:ascii="Times New Roman" w:hAnsi="Times New Roman" w:cs="Times New Roman" w:eastAsia="Times New Roman" w:hint="default"/>
                <w:sz w:val="18"/>
                <w:szCs w:val="18"/>
              </w:rPr>
              <w:t>8</w:t>
            </w:r>
          </w:p>
        </w:tc>
        <w:tc>
          <w:tcPr>
            <w:tcW w:w="3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《证券日报》、《证券时报》、《中国证</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6" w:type="dxa"/>
        <w:tblLayout w:type="fixed"/>
        <w:tblCellMar>
          <w:top w:w="0" w:type="dxa"/>
          <w:left w:w="0" w:type="dxa"/>
          <w:bottom w:w="0" w:type="dxa"/>
          <w:right w:w="0" w:type="dxa"/>
        </w:tblCellMar>
        <w:tblLook w:val="01E0"/>
      </w:tblPr>
      <w:tblGrid>
        <w:gridCol w:w="1641"/>
        <w:gridCol w:w="1348"/>
        <w:gridCol w:w="3402"/>
        <w:gridCol w:w="3268"/>
      </w:tblGrid>
      <w:tr>
        <w:trPr>
          <w:trHeight w:val="386" w:hRule="exact"/>
        </w:trPr>
        <w:tc>
          <w:tcPr>
            <w:tcW w:w="1641" w:type="dxa"/>
            <w:tcBorders>
              <w:top w:val="single" w:sz="6" w:space="0" w:color="000000"/>
              <w:left w:val="single" w:sz="6" w:space="0" w:color="000000"/>
              <w:bottom w:val="single" w:sz="6" w:space="0" w:color="000000"/>
              <w:right w:val="single" w:sz="6" w:space="0" w:color="000000"/>
            </w:tcBorders>
          </w:tcPr>
          <w:p>
            <w:pPr/>
          </w:p>
        </w:tc>
        <w:tc>
          <w:tcPr>
            <w:tcW w:w="1348" w:type="dxa"/>
            <w:tcBorders>
              <w:top w:val="single" w:sz="6" w:space="0" w:color="000000"/>
              <w:left w:val="single" w:sz="6" w:space="0" w:color="000000"/>
              <w:bottom w:val="single" w:sz="6" w:space="0" w:color="000000"/>
              <w:right w:val="single" w:sz="6" w:space="0" w:color="000000"/>
            </w:tcBorders>
          </w:tcPr>
          <w:p>
            <w:pPr/>
          </w:p>
        </w:tc>
        <w:tc>
          <w:tcPr>
            <w:tcW w:w="3402" w:type="dxa"/>
            <w:tcBorders>
              <w:top w:val="single" w:sz="6" w:space="0" w:color="000000"/>
              <w:left w:val="single" w:sz="6" w:space="0" w:color="000000"/>
              <w:bottom w:val="single" w:sz="6" w:space="0" w:color="000000"/>
              <w:right w:val="single" w:sz="6" w:space="0" w:color="000000"/>
            </w:tcBorders>
          </w:tcPr>
          <w:p>
            <w:pPr/>
          </w:p>
        </w:tc>
        <w:tc>
          <w:tcPr>
            <w:tcW w:w="3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2" w:right="0"/>
              <w:jc w:val="left"/>
              <w:rPr>
                <w:rFonts w:ascii="宋体" w:hAnsi="宋体" w:cs="宋体" w:eastAsia="宋体" w:hint="default"/>
                <w:sz w:val="18"/>
                <w:szCs w:val="18"/>
              </w:rPr>
            </w:pPr>
            <w:r>
              <w:rPr>
                <w:rFonts w:ascii="宋体" w:hAnsi="宋体" w:cs="宋体" w:eastAsia="宋体" w:hint="default"/>
                <w:sz w:val="18"/>
                <w:szCs w:val="18"/>
              </w:rPr>
              <w:t>券报》、《上海证券报》及巨潮资讯网</w:t>
            </w:r>
          </w:p>
        </w:tc>
      </w:tr>
      <w:tr>
        <w:trPr>
          <w:trHeight w:val="739" w:hRule="exact"/>
        </w:trPr>
        <w:tc>
          <w:tcPr>
            <w:tcW w:w="16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7</w:t>
            </w:r>
            <w:r>
              <w:rPr>
                <w:rFonts w:ascii="宋体" w:hAnsi="宋体" w:cs="宋体" w:eastAsia="宋体" w:hint="default"/>
                <w:sz w:val="18"/>
                <w:szCs w:val="18"/>
              </w:rPr>
              <w:t>月</w:t>
            </w:r>
            <w:r>
              <w:rPr>
                <w:rFonts w:ascii="Times New Roman" w:hAnsi="Times New Roman" w:cs="Times New Roman" w:eastAsia="Times New Roman" w:hint="default"/>
                <w:sz w:val="18"/>
                <w:szCs w:val="18"/>
              </w:rPr>
              <w:t>25</w:t>
            </w:r>
            <w:r>
              <w:rPr>
                <w:rFonts w:ascii="宋体" w:hAnsi="宋体" w:cs="宋体" w:eastAsia="宋体" w:hint="default"/>
                <w:sz w:val="18"/>
                <w:szCs w:val="18"/>
              </w:rPr>
              <w:t>日</w:t>
            </w:r>
          </w:p>
        </w:tc>
        <w:tc>
          <w:tcPr>
            <w:tcW w:w="13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321" w:right="0"/>
              <w:jc w:val="left"/>
              <w:rPr>
                <w:rFonts w:ascii="Times New Roman" w:hAnsi="Times New Roman" w:cs="Times New Roman" w:eastAsia="Times New Roman" w:hint="default"/>
                <w:sz w:val="18"/>
                <w:szCs w:val="18"/>
              </w:rPr>
            </w:pPr>
            <w:r>
              <w:rPr>
                <w:rFonts w:ascii="Times New Roman"/>
                <w:sz w:val="18"/>
              </w:rPr>
              <w:t>2018-077</w:t>
            </w:r>
          </w:p>
        </w:tc>
        <w:tc>
          <w:tcPr>
            <w:tcW w:w="34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关于股东部分股份解除质押及质押的公告</w:t>
            </w:r>
          </w:p>
        </w:tc>
        <w:tc>
          <w:tcPr>
            <w:tcW w:w="3268"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62"/>
              <w:ind w:left="2" w:right="3"/>
              <w:jc w:val="left"/>
              <w:rPr>
                <w:rFonts w:ascii="宋体" w:hAnsi="宋体" w:cs="宋体" w:eastAsia="宋体" w:hint="default"/>
                <w:sz w:val="18"/>
                <w:szCs w:val="18"/>
              </w:rPr>
            </w:pPr>
            <w:r>
              <w:rPr>
                <w:rFonts w:ascii="宋体" w:hAnsi="宋体" w:cs="宋体" w:eastAsia="宋体" w:hint="default"/>
                <w:sz w:val="18"/>
                <w:szCs w:val="18"/>
              </w:rPr>
              <w:t>《证券日报》、《证券时报》、《中国证</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券报》、《上海证券报》及巨潮资讯网</w:t>
            </w:r>
          </w:p>
        </w:tc>
      </w:tr>
      <w:tr>
        <w:trPr>
          <w:trHeight w:val="740" w:hRule="exact"/>
        </w:trPr>
        <w:tc>
          <w:tcPr>
            <w:tcW w:w="16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8</w:t>
            </w:r>
            <w:r>
              <w:rPr>
                <w:rFonts w:ascii="宋体" w:hAnsi="宋体" w:cs="宋体" w:eastAsia="宋体" w:hint="default"/>
                <w:sz w:val="18"/>
                <w:szCs w:val="18"/>
              </w:rPr>
              <w:t>月</w:t>
            </w:r>
            <w:r>
              <w:rPr>
                <w:rFonts w:ascii="Times New Roman" w:hAnsi="Times New Roman" w:cs="Times New Roman" w:eastAsia="Times New Roman" w:hint="default"/>
                <w:sz w:val="18"/>
                <w:szCs w:val="18"/>
              </w:rPr>
              <w:t>18</w:t>
            </w:r>
            <w:r>
              <w:rPr>
                <w:rFonts w:ascii="宋体" w:hAnsi="宋体" w:cs="宋体" w:eastAsia="宋体" w:hint="default"/>
                <w:sz w:val="18"/>
                <w:szCs w:val="18"/>
              </w:rPr>
              <w:t>日</w:t>
            </w:r>
          </w:p>
        </w:tc>
        <w:tc>
          <w:tcPr>
            <w:tcW w:w="13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321" w:right="0"/>
              <w:jc w:val="left"/>
              <w:rPr>
                <w:rFonts w:ascii="Times New Roman" w:hAnsi="Times New Roman" w:cs="Times New Roman" w:eastAsia="Times New Roman" w:hint="default"/>
                <w:sz w:val="18"/>
                <w:szCs w:val="18"/>
              </w:rPr>
            </w:pPr>
            <w:r>
              <w:rPr>
                <w:rFonts w:ascii="Times New Roman"/>
                <w:sz w:val="18"/>
              </w:rPr>
              <w:t>2018-083</w:t>
            </w:r>
          </w:p>
        </w:tc>
        <w:tc>
          <w:tcPr>
            <w:tcW w:w="340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2"/>
              <w:ind w:left="1423" w:right="72" w:hanging="1351"/>
              <w:jc w:val="left"/>
              <w:rPr>
                <w:rFonts w:ascii="Times New Roman" w:hAnsi="Times New Roman" w:cs="Times New Roman" w:eastAsia="Times New Roman" w:hint="default"/>
                <w:sz w:val="18"/>
                <w:szCs w:val="18"/>
              </w:rPr>
            </w:pPr>
            <w:r>
              <w:rPr>
                <w:rFonts w:ascii="宋体" w:hAnsi="宋体" w:cs="宋体" w:eastAsia="宋体" w:hint="default"/>
                <w:sz w:val="18"/>
                <w:szCs w:val="18"/>
              </w:rPr>
              <w:t>关于调整回购部分社会公众股份事项的公 告</w:t>
            </w:r>
            <w:r>
              <w:rPr>
                <w:rFonts w:ascii="Times New Roman" w:hAnsi="Times New Roman" w:cs="Times New Roman" w:eastAsia="Times New Roman" w:hint="default"/>
                <w:sz w:val="18"/>
                <w:szCs w:val="18"/>
              </w:rPr>
              <w:t>*</w:t>
            </w:r>
            <w:r>
              <w:rPr>
                <w:rFonts w:ascii="宋体" w:hAnsi="宋体" w:cs="宋体" w:eastAsia="宋体" w:hint="default"/>
                <w:sz w:val="18"/>
                <w:szCs w:val="18"/>
              </w:rPr>
              <w:t>注</w:t>
            </w:r>
            <w:r>
              <w:rPr>
                <w:rFonts w:ascii="Times New Roman" w:hAnsi="Times New Roman" w:cs="Times New Roman" w:eastAsia="Times New Roman" w:hint="default"/>
                <w:sz w:val="18"/>
                <w:szCs w:val="18"/>
              </w:rPr>
              <w:t>9</w:t>
            </w:r>
          </w:p>
        </w:tc>
        <w:tc>
          <w:tcPr>
            <w:tcW w:w="326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2"/>
              <w:ind w:left="2" w:right="3"/>
              <w:jc w:val="left"/>
              <w:rPr>
                <w:rFonts w:ascii="宋体" w:hAnsi="宋体" w:cs="宋体" w:eastAsia="宋体" w:hint="default"/>
                <w:sz w:val="18"/>
                <w:szCs w:val="18"/>
              </w:rPr>
            </w:pPr>
            <w:r>
              <w:rPr>
                <w:rFonts w:ascii="宋体" w:hAnsi="宋体" w:cs="宋体" w:eastAsia="宋体" w:hint="default"/>
                <w:sz w:val="18"/>
                <w:szCs w:val="18"/>
              </w:rPr>
              <w:t>《证券日报》、《证券时报》、《中国证</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券报》、《上海证券报》及巨潮资讯网</w:t>
            </w:r>
          </w:p>
        </w:tc>
      </w:tr>
      <w:tr>
        <w:trPr>
          <w:trHeight w:val="739" w:hRule="exact"/>
        </w:trPr>
        <w:tc>
          <w:tcPr>
            <w:tcW w:w="16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8</w:t>
            </w:r>
            <w:r>
              <w:rPr>
                <w:rFonts w:ascii="宋体" w:hAnsi="宋体" w:cs="宋体" w:eastAsia="宋体" w:hint="default"/>
                <w:sz w:val="18"/>
                <w:szCs w:val="18"/>
              </w:rPr>
              <w:t>月</w:t>
            </w:r>
            <w:r>
              <w:rPr>
                <w:rFonts w:ascii="Times New Roman" w:hAnsi="Times New Roman" w:cs="Times New Roman" w:eastAsia="Times New Roman" w:hint="default"/>
                <w:sz w:val="18"/>
                <w:szCs w:val="18"/>
              </w:rPr>
              <w:t>28</w:t>
            </w:r>
            <w:r>
              <w:rPr>
                <w:rFonts w:ascii="宋体" w:hAnsi="宋体" w:cs="宋体" w:eastAsia="宋体" w:hint="default"/>
                <w:sz w:val="18"/>
                <w:szCs w:val="18"/>
              </w:rPr>
              <w:t>日</w:t>
            </w:r>
          </w:p>
        </w:tc>
        <w:tc>
          <w:tcPr>
            <w:tcW w:w="13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321" w:right="0"/>
              <w:jc w:val="left"/>
              <w:rPr>
                <w:rFonts w:ascii="Times New Roman" w:hAnsi="Times New Roman" w:cs="Times New Roman" w:eastAsia="Times New Roman" w:hint="default"/>
                <w:sz w:val="18"/>
                <w:szCs w:val="18"/>
              </w:rPr>
            </w:pPr>
            <w:r>
              <w:rPr>
                <w:rFonts w:ascii="Times New Roman"/>
                <w:sz w:val="18"/>
              </w:rPr>
              <w:t>2018-091</w:t>
            </w:r>
          </w:p>
        </w:tc>
        <w:tc>
          <w:tcPr>
            <w:tcW w:w="340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2"/>
              <w:ind w:left="793" w:right="72" w:hanging="721"/>
              <w:jc w:val="left"/>
              <w:rPr>
                <w:rFonts w:ascii="宋体" w:hAnsi="宋体" w:cs="宋体" w:eastAsia="宋体" w:hint="default"/>
                <w:sz w:val="18"/>
                <w:szCs w:val="18"/>
              </w:rPr>
            </w:pPr>
            <w:r>
              <w:rPr>
                <w:rFonts w:ascii="宋体" w:hAnsi="宋体" w:cs="宋体" w:eastAsia="宋体" w:hint="default"/>
                <w:sz w:val="18"/>
                <w:szCs w:val="18"/>
              </w:rPr>
              <w:t>关于与云南中烟工业有限责任公司签署战 略合作框架协议的公告</w:t>
            </w:r>
          </w:p>
        </w:tc>
        <w:tc>
          <w:tcPr>
            <w:tcW w:w="326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2"/>
              <w:ind w:left="2" w:right="3"/>
              <w:jc w:val="left"/>
              <w:rPr>
                <w:rFonts w:ascii="宋体" w:hAnsi="宋体" w:cs="宋体" w:eastAsia="宋体" w:hint="default"/>
                <w:sz w:val="18"/>
                <w:szCs w:val="18"/>
              </w:rPr>
            </w:pPr>
            <w:r>
              <w:rPr>
                <w:rFonts w:ascii="宋体" w:hAnsi="宋体" w:cs="宋体" w:eastAsia="宋体" w:hint="default"/>
                <w:sz w:val="18"/>
                <w:szCs w:val="18"/>
              </w:rPr>
              <w:t>《证券日报》、《证券时报》、《中国证</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券报》、《上海证券报》及巨潮资讯网</w:t>
            </w:r>
          </w:p>
        </w:tc>
      </w:tr>
      <w:tr>
        <w:trPr>
          <w:trHeight w:val="739" w:hRule="exact"/>
        </w:trPr>
        <w:tc>
          <w:tcPr>
            <w:tcW w:w="16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11</w:t>
            </w:r>
            <w:r>
              <w:rPr>
                <w:rFonts w:ascii="宋体" w:hAnsi="宋体" w:cs="宋体" w:eastAsia="宋体" w:hint="default"/>
                <w:sz w:val="18"/>
                <w:szCs w:val="18"/>
              </w:rPr>
              <w:t>月</w:t>
            </w:r>
            <w:r>
              <w:rPr>
                <w:rFonts w:ascii="Times New Roman" w:hAnsi="Times New Roman" w:cs="Times New Roman" w:eastAsia="Times New Roman" w:hint="default"/>
                <w:sz w:val="18"/>
                <w:szCs w:val="18"/>
              </w:rPr>
              <w:t>30</w:t>
            </w:r>
            <w:r>
              <w:rPr>
                <w:rFonts w:ascii="宋体" w:hAnsi="宋体" w:cs="宋体" w:eastAsia="宋体" w:hint="default"/>
                <w:sz w:val="18"/>
                <w:szCs w:val="18"/>
              </w:rPr>
              <w:t>日</w:t>
            </w:r>
          </w:p>
        </w:tc>
        <w:tc>
          <w:tcPr>
            <w:tcW w:w="13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321" w:right="0"/>
              <w:jc w:val="left"/>
              <w:rPr>
                <w:rFonts w:ascii="Times New Roman" w:hAnsi="Times New Roman" w:cs="Times New Roman" w:eastAsia="Times New Roman" w:hint="default"/>
                <w:sz w:val="18"/>
                <w:szCs w:val="18"/>
              </w:rPr>
            </w:pPr>
            <w:r>
              <w:rPr>
                <w:rFonts w:ascii="Times New Roman"/>
                <w:sz w:val="18"/>
              </w:rPr>
              <w:t>2018-115</w:t>
            </w:r>
          </w:p>
        </w:tc>
        <w:tc>
          <w:tcPr>
            <w:tcW w:w="34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关于股东部分股份解除质押及质押的公告</w:t>
            </w:r>
          </w:p>
        </w:tc>
        <w:tc>
          <w:tcPr>
            <w:tcW w:w="326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2"/>
              <w:ind w:left="2" w:right="3"/>
              <w:jc w:val="left"/>
              <w:rPr>
                <w:rFonts w:ascii="宋体" w:hAnsi="宋体" w:cs="宋体" w:eastAsia="宋体" w:hint="default"/>
                <w:sz w:val="18"/>
                <w:szCs w:val="18"/>
              </w:rPr>
            </w:pPr>
            <w:r>
              <w:rPr>
                <w:rFonts w:ascii="宋体" w:hAnsi="宋体" w:cs="宋体" w:eastAsia="宋体" w:hint="default"/>
                <w:sz w:val="18"/>
                <w:szCs w:val="18"/>
              </w:rPr>
              <w:t>《证券日报》、《证券时报》、《中国证</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券报》、《上海证券报》及巨潮资讯网</w:t>
            </w:r>
          </w:p>
        </w:tc>
      </w:tr>
      <w:tr>
        <w:trPr>
          <w:trHeight w:val="739" w:hRule="exact"/>
        </w:trPr>
        <w:tc>
          <w:tcPr>
            <w:tcW w:w="16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25</w:t>
            </w:r>
            <w:r>
              <w:rPr>
                <w:rFonts w:ascii="宋体" w:hAnsi="宋体" w:cs="宋体" w:eastAsia="宋体" w:hint="default"/>
                <w:sz w:val="18"/>
                <w:szCs w:val="18"/>
              </w:rPr>
              <w:t>日</w:t>
            </w:r>
          </w:p>
        </w:tc>
        <w:tc>
          <w:tcPr>
            <w:tcW w:w="13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321" w:right="0"/>
              <w:jc w:val="left"/>
              <w:rPr>
                <w:rFonts w:ascii="Times New Roman" w:hAnsi="Times New Roman" w:cs="Times New Roman" w:eastAsia="Times New Roman" w:hint="default"/>
                <w:sz w:val="18"/>
                <w:szCs w:val="18"/>
              </w:rPr>
            </w:pPr>
            <w:r>
              <w:rPr>
                <w:rFonts w:ascii="Times New Roman"/>
                <w:sz w:val="18"/>
              </w:rPr>
              <w:t>2018-117</w:t>
            </w:r>
          </w:p>
        </w:tc>
        <w:tc>
          <w:tcPr>
            <w:tcW w:w="34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关于股东部分股份解除质押的公告</w:t>
            </w:r>
          </w:p>
        </w:tc>
        <w:tc>
          <w:tcPr>
            <w:tcW w:w="326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2"/>
              <w:ind w:left="2" w:right="3"/>
              <w:jc w:val="left"/>
              <w:rPr>
                <w:rFonts w:ascii="宋体" w:hAnsi="宋体" w:cs="宋体" w:eastAsia="宋体" w:hint="default"/>
                <w:sz w:val="18"/>
                <w:szCs w:val="18"/>
              </w:rPr>
            </w:pPr>
            <w:r>
              <w:rPr>
                <w:rFonts w:ascii="宋体" w:hAnsi="宋体" w:cs="宋体" w:eastAsia="宋体" w:hint="default"/>
                <w:sz w:val="18"/>
                <w:szCs w:val="18"/>
              </w:rPr>
              <w:t>《证券日报》、《证券时报》、《中国证</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券报》、《上海证券报》及巨潮资讯网</w:t>
            </w:r>
          </w:p>
        </w:tc>
      </w:tr>
    </w:tbl>
    <w:p>
      <w:pPr>
        <w:pStyle w:val="BodyText"/>
        <w:spacing w:line="240" w:lineRule="auto" w:before="51"/>
        <w:ind w:right="0"/>
        <w:jc w:val="left"/>
      </w:pPr>
      <w:r>
        <w:rPr/>
        <w:t>注：</w:t>
      </w:r>
    </w:p>
    <w:p>
      <w:pPr>
        <w:pStyle w:val="BodyText"/>
        <w:spacing w:line="240" w:lineRule="auto" w:before="116"/>
        <w:ind w:right="0"/>
        <w:jc w:val="left"/>
      </w:pPr>
      <w:r>
        <w:rPr>
          <w:rFonts w:ascii="Times New Roman" w:hAnsi="Times New Roman" w:cs="Times New Roman" w:eastAsia="Times New Roman" w:hint="default"/>
        </w:rPr>
        <w:t>1</w:t>
      </w:r>
      <w:r>
        <w:rPr/>
        <w:t>、经公司第三届董事会</w:t>
      </w:r>
      <w:r>
        <w:rPr>
          <w:spacing w:val="-42"/>
        </w:rPr>
        <w:t> </w:t>
      </w:r>
      <w:r>
        <w:rPr>
          <w:rFonts w:ascii="Times New Roman" w:hAnsi="Times New Roman" w:cs="Times New Roman" w:eastAsia="Times New Roman" w:hint="default"/>
        </w:rPr>
        <w:t>2013</w:t>
      </w:r>
      <w:r>
        <w:rPr>
          <w:rFonts w:ascii="Times New Roman" w:hAnsi="Times New Roman" w:cs="Times New Roman" w:eastAsia="Times New Roman" w:hint="default"/>
          <w:spacing w:val="1"/>
        </w:rPr>
        <w:t> </w:t>
      </w:r>
      <w:r>
        <w:rPr/>
        <w:t>年第七次会议审议通过《关于向全资子公司青岛嘉颐泽印刷包装有限公司增加投资的议案》，</w:t>
      </w:r>
    </w:p>
    <w:p>
      <w:pPr>
        <w:pStyle w:val="BodyText"/>
        <w:spacing w:line="240" w:lineRule="auto" w:before="63"/>
        <w:ind w:right="0"/>
        <w:jc w:val="left"/>
        <w:rPr>
          <w:rFonts w:ascii="Times New Roman" w:hAnsi="Times New Roman" w:cs="Times New Roman" w:eastAsia="Times New Roman" w:hint="default"/>
        </w:rPr>
      </w:pPr>
      <w:r>
        <w:rPr/>
        <w:t>同意由全资子公司中华香港国际烟草集团有限公司向青岛嘉颐泽印刷包装有限公司增加投资</w:t>
      </w:r>
      <w:r>
        <w:rPr>
          <w:rFonts w:ascii="Times New Roman" w:hAnsi="Times New Roman" w:cs="Times New Roman" w:eastAsia="Times New Roman" w:hint="default"/>
        </w:rPr>
        <w:t>4,000</w:t>
      </w:r>
      <w:r>
        <w:rPr/>
        <w:t>万元，原计划 </w:t>
      </w:r>
      <w:r>
        <w:rPr>
          <w:rFonts w:ascii="Times New Roman" w:hAnsi="Times New Roman" w:cs="Times New Roman" w:eastAsia="Times New Roman" w:hint="default"/>
        </w:rPr>
        <w:t>2013  </w:t>
      </w:r>
      <w:r>
        <w:rPr/>
        <w:t>年</w:t>
      </w:r>
      <w:r>
        <w:rPr>
          <w:spacing w:val="-53"/>
        </w:rPr>
        <w:t> </w:t>
      </w:r>
      <w:r>
        <w:rPr>
          <w:rFonts w:ascii="Times New Roman" w:hAnsi="Times New Roman" w:cs="Times New Roman" w:eastAsia="Times New Roman" w:hint="default"/>
        </w:rPr>
        <w:t>12</w:t>
      </w:r>
    </w:p>
    <w:p>
      <w:pPr>
        <w:pStyle w:val="BodyText"/>
        <w:spacing w:line="240" w:lineRule="auto" w:before="63"/>
        <w:ind w:right="0"/>
        <w:jc w:val="left"/>
      </w:pPr>
      <w:r>
        <w:rPr/>
        <w:t>月前完成，因涉及中外合作企业性质变更问题，与当地相关主管部门审批沟通所致推迟。</w:t>
      </w:r>
    </w:p>
    <w:p>
      <w:pPr>
        <w:pStyle w:val="BodyText"/>
        <w:spacing w:line="300" w:lineRule="auto" w:before="76"/>
        <w:ind w:right="1130"/>
        <w:jc w:val="both"/>
      </w:pPr>
      <w:r>
        <w:rPr>
          <w:rFonts w:ascii="Times New Roman" w:hAnsi="Times New Roman" w:cs="Times New Roman" w:eastAsia="Times New Roman" w:hint="default"/>
          <w:spacing w:val="-5"/>
        </w:rPr>
        <w:t>2</w:t>
      </w:r>
      <w:r>
        <w:rPr>
          <w:spacing w:val="-5"/>
        </w:rPr>
        <w:t>、公司于 </w:t>
      </w:r>
      <w:r>
        <w:rPr>
          <w:rFonts w:ascii="Times New Roman" w:hAnsi="Times New Roman" w:cs="Times New Roman" w:eastAsia="Times New Roman" w:hint="default"/>
        </w:rPr>
        <w:t>2018</w:t>
      </w:r>
      <w:r>
        <w:rPr>
          <w:rFonts w:ascii="Times New Roman" w:hAnsi="Times New Roman" w:cs="Times New Roman" w:eastAsia="Times New Roman" w:hint="default"/>
          <w:spacing w:val="-7"/>
        </w:rPr>
        <w:t> </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3</w:t>
      </w:r>
      <w:r>
        <w:rPr/>
        <w:t>日召开的第五届董事会</w:t>
      </w:r>
      <w:r>
        <w:rPr>
          <w:rFonts w:ascii="Times New Roman" w:hAnsi="Times New Roman" w:cs="Times New Roman" w:eastAsia="Times New Roman" w:hint="default"/>
        </w:rPr>
        <w:t>2018</w:t>
      </w:r>
      <w:r>
        <w:rPr/>
        <w:t>年第一次会议、于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30</w:t>
      </w:r>
      <w:r>
        <w:rPr/>
        <w:t>日召开</w:t>
      </w:r>
      <w:r>
        <w:rPr>
          <w:rFonts w:ascii="Times New Roman" w:hAnsi="Times New Roman" w:cs="Times New Roman" w:eastAsia="Times New Roman" w:hint="default"/>
        </w:rPr>
        <w:t>2018</w:t>
      </w:r>
      <w:r>
        <w:rPr/>
        <w:t>年第一次临时股东大会审议通 过了《关于变更部分募集资金投资项目的议案》，同意将</w:t>
      </w:r>
      <w:r>
        <w:rPr>
          <w:rFonts w:ascii="Times New Roman" w:hAnsi="Times New Roman" w:cs="Times New Roman" w:eastAsia="Times New Roman" w:hint="default"/>
        </w:rPr>
        <w:t>“</w:t>
      </w:r>
      <w:r>
        <w:rPr/>
        <w:t>贵州省食品安全（含药品保健品）物联网与大数据营销溯源平台 项目</w:t>
      </w:r>
      <w:r>
        <w:rPr>
          <w:rFonts w:ascii="Times New Roman" w:hAnsi="Times New Roman" w:cs="Times New Roman" w:eastAsia="Times New Roman" w:hint="default"/>
        </w:rPr>
        <w:t>”</w:t>
      </w:r>
      <w:r>
        <w:rPr/>
        <w:t>变更为</w:t>
      </w:r>
      <w:r>
        <w:rPr>
          <w:rFonts w:ascii="Times New Roman" w:hAnsi="Times New Roman" w:cs="Times New Roman" w:eastAsia="Times New Roman" w:hint="default"/>
        </w:rPr>
        <w:t>“</w:t>
      </w:r>
      <w:r>
        <w:rPr/>
        <w:t>中丰田光电科技改扩建项目</w:t>
      </w:r>
      <w:r>
        <w:rPr>
          <w:rFonts w:ascii="Times New Roman" w:hAnsi="Times New Roman" w:cs="Times New Roman" w:eastAsia="Times New Roman" w:hint="default"/>
        </w:rPr>
        <w:t>”</w:t>
      </w:r>
      <w:r>
        <w:rPr/>
        <w:t>。</w:t>
      </w:r>
    </w:p>
    <w:p>
      <w:pPr>
        <w:pStyle w:val="BodyText"/>
        <w:spacing w:line="304" w:lineRule="auto" w:before="13"/>
        <w:ind w:right="1035"/>
        <w:jc w:val="left"/>
      </w:pPr>
      <w:r>
        <w:rPr>
          <w:rFonts w:ascii="Times New Roman" w:hAnsi="Times New Roman" w:cs="Times New Roman" w:eastAsia="Times New Roman" w:hint="default"/>
          <w:spacing w:val="-5"/>
        </w:rPr>
        <w:t>3</w:t>
      </w:r>
      <w:r>
        <w:rPr>
          <w:spacing w:val="-5"/>
        </w:rPr>
        <w:t>、公司于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3</w:t>
      </w:r>
      <w:r>
        <w:rPr/>
        <w:t>日召开的第五届董事会</w:t>
      </w:r>
      <w:r>
        <w:rPr>
          <w:rFonts w:ascii="Times New Roman" w:hAnsi="Times New Roman" w:cs="Times New Roman" w:eastAsia="Times New Roman" w:hint="default"/>
        </w:rPr>
        <w:t>2018</w:t>
      </w:r>
      <w:r>
        <w:rPr/>
        <w:t>年第一次会议、于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30</w:t>
      </w:r>
      <w:r>
        <w:rPr/>
        <w:t>日召开</w:t>
      </w:r>
      <w:r>
        <w:rPr>
          <w:rFonts w:ascii="Times New Roman" w:hAnsi="Times New Roman" w:cs="Times New Roman" w:eastAsia="Times New Roman" w:hint="default"/>
        </w:rPr>
        <w:t>2018</w:t>
      </w:r>
      <w:r>
        <w:rPr/>
        <w:t>年第一次临时股东大会审议通 过了《关于调整部分募集资金投资项目建设内容的议案》，同意对募集资金投资项目</w:t>
      </w:r>
      <w:r>
        <w:rPr>
          <w:rFonts w:ascii="Times New Roman" w:hAnsi="Times New Roman" w:cs="Times New Roman" w:eastAsia="Times New Roman" w:hint="default"/>
        </w:rPr>
        <w:t>“</w:t>
      </w:r>
      <w:r>
        <w:rPr/>
        <w:t>基于</w:t>
      </w:r>
      <w:r>
        <w:rPr>
          <w:rFonts w:ascii="Times New Roman" w:hAnsi="Times New Roman" w:cs="Times New Roman" w:eastAsia="Times New Roman" w:hint="default"/>
        </w:rPr>
        <w:t>RFID</w:t>
      </w:r>
      <w:r>
        <w:rPr/>
        <w:t>技术的智能物联运营支撑系 统项目</w:t>
      </w:r>
      <w:r>
        <w:rPr>
          <w:rFonts w:ascii="Times New Roman" w:hAnsi="Times New Roman" w:cs="Times New Roman" w:eastAsia="Times New Roman" w:hint="default"/>
        </w:rPr>
        <w:t>”</w:t>
      </w:r>
      <w:r>
        <w:rPr/>
        <w:t>的建设内容进行调整。 </w:t>
      </w:r>
      <w:r>
        <w:rPr>
          <w:rFonts w:ascii="Times New Roman" w:hAnsi="Times New Roman" w:cs="Times New Roman" w:eastAsia="Times New Roman" w:hint="default"/>
        </w:rPr>
        <w:t>4</w:t>
      </w:r>
      <w:r>
        <w:rPr/>
        <w:t>、公司控股股东深圳市劲嘉创业投资有限公司通过深圳证券交易所交易系统，于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7</w:t>
      </w:r>
      <w:r>
        <w:rPr/>
        <w:t>日增持公司股票</w:t>
      </w:r>
      <w:r>
        <w:rPr>
          <w:rFonts w:ascii="Times New Roman" w:hAnsi="Times New Roman" w:cs="Times New Roman" w:eastAsia="Times New Roman" w:hint="default"/>
        </w:rPr>
        <w:t>100,000</w:t>
      </w:r>
      <w:r>
        <w:rPr/>
        <w:t>股，占 公司当时总股本的</w:t>
      </w:r>
      <w:r>
        <w:rPr>
          <w:rFonts w:ascii="Times New Roman" w:hAnsi="Times New Roman" w:cs="Times New Roman" w:eastAsia="Times New Roman" w:hint="default"/>
        </w:rPr>
        <w:t>0.0067%</w:t>
      </w:r>
      <w:r>
        <w:rPr/>
        <w:t>。 </w:t>
      </w:r>
      <w:r>
        <w:rPr>
          <w:rFonts w:ascii="Times New Roman" w:hAnsi="Times New Roman" w:cs="Times New Roman" w:eastAsia="Times New Roman" w:hint="default"/>
          <w:spacing w:val="-2"/>
        </w:rPr>
        <w:t>5</w:t>
      </w:r>
      <w:r>
        <w:rPr>
          <w:spacing w:val="-2"/>
        </w:rPr>
        <w:t>、公司于</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2</w:t>
      </w:r>
      <w:r>
        <w:rPr>
          <w:spacing w:val="-2"/>
        </w:rPr>
        <w:t>月</w:t>
      </w:r>
      <w:r>
        <w:rPr>
          <w:rFonts w:ascii="Times New Roman" w:hAnsi="Times New Roman" w:cs="Times New Roman" w:eastAsia="Times New Roman" w:hint="default"/>
          <w:spacing w:val="-2"/>
        </w:rPr>
        <w:t>11</w:t>
      </w:r>
      <w:r>
        <w:rPr>
          <w:spacing w:val="-2"/>
        </w:rPr>
        <w:t>日召开了第五届董事会</w:t>
      </w:r>
      <w:r>
        <w:rPr>
          <w:rFonts w:ascii="Times New Roman" w:hAnsi="Times New Roman" w:cs="Times New Roman" w:eastAsia="Times New Roman" w:hint="default"/>
          <w:spacing w:val="-2"/>
        </w:rPr>
        <w:t>2018</w:t>
      </w:r>
      <w:r>
        <w:rPr>
          <w:spacing w:val="-2"/>
        </w:rPr>
        <w:t>年第二次会议，会议审议通过《关于回购部分社会公众股份的预案》。独</w:t>
      </w:r>
      <w:r>
        <w:rPr>
          <w:spacing w:val="-55"/>
        </w:rPr>
        <w:t> </w:t>
      </w:r>
      <w:r>
        <w:rPr>
          <w:spacing w:val="-55"/>
        </w:rPr>
      </w:r>
      <w:r>
        <w:rPr>
          <w:spacing w:val="-2"/>
        </w:rPr>
        <w:t>立董事发表了同意的独立意见；公司于</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3</w:t>
      </w:r>
      <w:r>
        <w:rPr>
          <w:spacing w:val="-2"/>
        </w:rPr>
        <w:t>月</w:t>
      </w:r>
      <w:r>
        <w:rPr>
          <w:rFonts w:ascii="Times New Roman" w:hAnsi="Times New Roman" w:cs="Times New Roman" w:eastAsia="Times New Roman" w:hint="default"/>
          <w:spacing w:val="-2"/>
        </w:rPr>
        <w:t>5</w:t>
      </w:r>
      <w:r>
        <w:rPr>
          <w:spacing w:val="-2"/>
        </w:rPr>
        <w:t>日召开了</w:t>
      </w:r>
      <w:r>
        <w:rPr>
          <w:rFonts w:ascii="Times New Roman" w:hAnsi="Times New Roman" w:cs="Times New Roman" w:eastAsia="Times New Roman" w:hint="default"/>
          <w:spacing w:val="-2"/>
        </w:rPr>
        <w:t>2018</w:t>
      </w:r>
      <w:r>
        <w:rPr>
          <w:spacing w:val="-2"/>
        </w:rPr>
        <w:t>年第二次临时股东大会，会议以现场投票与网络投票相结合</w:t>
      </w:r>
      <w:r>
        <w:rPr>
          <w:spacing w:val="-54"/>
        </w:rPr>
        <w:t> </w:t>
      </w:r>
      <w:r>
        <w:rPr>
          <w:spacing w:val="-54"/>
        </w:rPr>
      </w:r>
      <w:r>
        <w:rPr>
          <w:spacing w:val="-2"/>
        </w:rPr>
        <w:t>的方式审议通过了《关于回购部分社会公众股份的预案》；根据相关规定，公司已在中国证券登记结算有限责任公司深圳分</w:t>
      </w:r>
      <w:r>
        <w:rPr>
          <w:spacing w:val="-66"/>
        </w:rPr>
        <w:t> </w:t>
      </w:r>
      <w:r>
        <w:rPr>
          <w:spacing w:val="-66"/>
        </w:rPr>
      </w:r>
      <w:r>
        <w:rPr/>
        <w:t>公司开立了股份回购专用账户，该专用账户仅可用于回购公司股份；</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12</w:t>
      </w:r>
      <w:r>
        <w:rPr/>
        <w:t>日，公司按照相关规则编制了《回购股份 报告书》并予以披露，律师出具了相关事项的法律意见书。 </w:t>
      </w:r>
      <w:r>
        <w:rPr>
          <w:rFonts w:ascii="Times New Roman" w:hAnsi="Times New Roman" w:cs="Times New Roman" w:eastAsia="Times New Roman" w:hint="default"/>
        </w:rPr>
        <w:t>6</w:t>
      </w:r>
      <w:r>
        <w:rPr/>
        <w:t>、公司高级管理人员侯旭东、李晓华、黄华于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w:t>
      </w:r>
      <w:r>
        <w:rPr/>
        <w:t>日在深圳证券交易所证券交易系统以集中竞价交易方式，分别增 持了公司股份</w:t>
      </w:r>
      <w:r>
        <w:rPr>
          <w:rFonts w:ascii="Times New Roman" w:hAnsi="Times New Roman" w:cs="Times New Roman" w:eastAsia="Times New Roman" w:hint="default"/>
        </w:rPr>
        <w:t>70,000</w:t>
      </w:r>
      <w:r>
        <w:rPr/>
        <w:t>股、</w:t>
      </w:r>
      <w:r>
        <w:rPr>
          <w:rFonts w:ascii="Times New Roman" w:hAnsi="Times New Roman" w:cs="Times New Roman" w:eastAsia="Times New Roman" w:hint="default"/>
        </w:rPr>
        <w:t>60,083</w:t>
      </w:r>
      <w:r>
        <w:rPr/>
        <w:t>股、</w:t>
      </w:r>
      <w:r>
        <w:rPr>
          <w:rFonts w:ascii="Times New Roman" w:hAnsi="Times New Roman" w:cs="Times New Roman" w:eastAsia="Times New Roman" w:hint="default"/>
        </w:rPr>
        <w:t>60,000</w:t>
      </w:r>
      <w:r>
        <w:rPr/>
        <w:t>股。</w:t>
      </w:r>
      <w:r>
        <w:rPr>
          <w:spacing w:val="-2"/>
        </w:rPr>
        <w:t> </w:t>
      </w:r>
      <w:r>
        <w:rPr>
          <w:rFonts w:ascii="Times New Roman" w:hAnsi="Times New Roman" w:cs="Times New Roman" w:eastAsia="Times New Roman" w:hint="default"/>
          <w:spacing w:val="-2"/>
        </w:rPr>
        <w:t>7</w:t>
      </w:r>
      <w:r>
        <w:rPr>
          <w:spacing w:val="-2"/>
        </w:rPr>
        <w:t>、公司于</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3</w:t>
      </w:r>
      <w:r>
        <w:rPr>
          <w:spacing w:val="-2"/>
        </w:rPr>
        <w:t>月</w:t>
      </w:r>
      <w:r>
        <w:rPr>
          <w:rFonts w:ascii="Times New Roman" w:hAnsi="Times New Roman" w:cs="Times New Roman" w:eastAsia="Times New Roman" w:hint="default"/>
          <w:spacing w:val="-2"/>
        </w:rPr>
        <w:t>11</w:t>
      </w:r>
      <w:r>
        <w:rPr>
          <w:spacing w:val="-2"/>
        </w:rPr>
        <w:t>日召开了第五届董事会</w:t>
      </w:r>
      <w:r>
        <w:rPr>
          <w:rFonts w:ascii="Times New Roman" w:hAnsi="Times New Roman" w:cs="Times New Roman" w:eastAsia="Times New Roman" w:hint="default"/>
          <w:spacing w:val="-2"/>
        </w:rPr>
        <w:t>2018</w:t>
      </w:r>
      <w:r>
        <w:rPr>
          <w:spacing w:val="-2"/>
        </w:rPr>
        <w:t>年第三次会议，审议通过了《关于调整公司部分副总经理的议案》，公司</w:t>
      </w:r>
      <w:r>
        <w:rPr>
          <w:spacing w:val="-55"/>
        </w:rPr>
        <w:t> </w:t>
      </w:r>
      <w:r>
        <w:rPr>
          <w:spacing w:val="-55"/>
        </w:rPr>
      </w:r>
      <w:r>
        <w:rPr>
          <w:spacing w:val="-2"/>
        </w:rPr>
        <w:t>聘任李德华先生为公司常务副总经理，李晓华女士为公司副总经理；张明义先生不再担任公司常务副总经理，离任后将继续</w:t>
      </w:r>
      <w:r>
        <w:rPr>
          <w:spacing w:val="-66"/>
        </w:rPr>
        <w:t> </w:t>
      </w:r>
      <w:r>
        <w:rPr>
          <w:spacing w:val="-66"/>
        </w:rPr>
      </w:r>
      <w:r>
        <w:rPr/>
        <w:t>在公司担任首席顾问等职务；</w:t>
      </w:r>
      <w:r>
        <w:rPr>
          <w:rFonts w:ascii="Times New Roman" w:hAnsi="Times New Roman" w:cs="Times New Roman" w:eastAsia="Times New Roman" w:hint="default"/>
        </w:rPr>
        <w:t>WANG</w:t>
      </w:r>
      <w:r>
        <w:rPr>
          <w:rFonts w:ascii="Times New Roman" w:hAnsi="Times New Roman" w:cs="Times New Roman" w:eastAsia="Times New Roman" w:hint="default"/>
          <w:spacing w:val="-1"/>
        </w:rPr>
        <w:t> </w:t>
      </w:r>
      <w:r>
        <w:rPr>
          <w:rFonts w:ascii="Times New Roman" w:hAnsi="Times New Roman" w:cs="Times New Roman" w:eastAsia="Times New Roman" w:hint="default"/>
        </w:rPr>
        <w:t>WEIXING</w:t>
      </w:r>
      <w:r>
        <w:rPr/>
        <w:t>先生不再担任公司副总经理，离任后将不在公司担任任何职务。 </w:t>
      </w:r>
      <w:r>
        <w:rPr>
          <w:rFonts w:ascii="Times New Roman" w:hAnsi="Times New Roman" w:cs="Times New Roman" w:eastAsia="Times New Roman" w:hint="default"/>
          <w:spacing w:val="-2"/>
        </w:rPr>
        <w:t>8</w:t>
      </w:r>
      <w:r>
        <w:rPr>
          <w:spacing w:val="-2"/>
        </w:rPr>
        <w:t>、公司董事会于</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7</w:t>
      </w:r>
      <w:r>
        <w:rPr>
          <w:spacing w:val="-2"/>
        </w:rPr>
        <w:t>月</w:t>
      </w:r>
      <w:r>
        <w:rPr>
          <w:rFonts w:ascii="Times New Roman" w:hAnsi="Times New Roman" w:cs="Times New Roman" w:eastAsia="Times New Roman" w:hint="default"/>
          <w:spacing w:val="-2"/>
        </w:rPr>
        <w:t>10</w:t>
      </w:r>
      <w:r>
        <w:rPr>
          <w:spacing w:val="-2"/>
        </w:rPr>
        <w:t>日收到姜华先生的书面辞职报告，姜华先生因个人原因，申请辞去公司副总经理职务，离职后</w:t>
      </w:r>
      <w:r>
        <w:rPr>
          <w:spacing w:val="-58"/>
        </w:rPr>
        <w:t> </w:t>
      </w:r>
      <w:r>
        <w:rPr>
          <w:spacing w:val="-58"/>
        </w:rPr>
      </w:r>
      <w:r>
        <w:rPr/>
        <w:t>不再担任公司任何职务。 </w:t>
      </w:r>
      <w:r>
        <w:rPr>
          <w:rFonts w:ascii="Times New Roman" w:hAnsi="Times New Roman" w:cs="Times New Roman" w:eastAsia="Times New Roman" w:hint="default"/>
          <w:spacing w:val="-3"/>
        </w:rPr>
        <w:t>9</w:t>
      </w:r>
      <w:r>
        <w:rPr>
          <w:spacing w:val="-3"/>
        </w:rPr>
        <w:t>、公司于</w:t>
      </w:r>
      <w:r>
        <w:rPr>
          <w:rFonts w:ascii="Times New Roman" w:hAnsi="Times New Roman" w:cs="Times New Roman" w:eastAsia="Times New Roman" w:hint="default"/>
          <w:spacing w:val="-3"/>
        </w:rPr>
        <w:t>2018</w:t>
      </w:r>
      <w:r>
        <w:rPr>
          <w:spacing w:val="-3"/>
        </w:rPr>
        <w:t>年</w:t>
      </w:r>
      <w:r>
        <w:rPr>
          <w:rFonts w:ascii="Times New Roman" w:hAnsi="Times New Roman" w:cs="Times New Roman" w:eastAsia="Times New Roman" w:hint="default"/>
          <w:spacing w:val="-3"/>
        </w:rPr>
        <w:t>8</w:t>
      </w:r>
      <w:r>
        <w:rPr>
          <w:spacing w:val="-3"/>
        </w:rPr>
        <w:t>月</w:t>
      </w:r>
      <w:r>
        <w:rPr>
          <w:rFonts w:ascii="Times New Roman" w:hAnsi="Times New Roman" w:cs="Times New Roman" w:eastAsia="Times New Roman" w:hint="default"/>
          <w:spacing w:val="-3"/>
        </w:rPr>
        <w:t>17</w:t>
      </w:r>
      <w:r>
        <w:rPr>
          <w:spacing w:val="-3"/>
        </w:rPr>
        <w:t>日召开的第五届董事会</w:t>
      </w:r>
      <w:r>
        <w:rPr>
          <w:rFonts w:ascii="Times New Roman" w:hAnsi="Times New Roman" w:cs="Times New Roman" w:eastAsia="Times New Roman" w:hint="default"/>
          <w:spacing w:val="-3"/>
        </w:rPr>
        <w:t>2018</w:t>
      </w:r>
      <w:r>
        <w:rPr>
          <w:spacing w:val="-3"/>
        </w:rPr>
        <w:t>年第八次会议审议通过了《关于调整回购部分社会公众股份事项的议案》，</w:t>
      </w:r>
      <w:r>
        <w:rPr>
          <w:spacing w:val="-81"/>
        </w:rPr>
        <w:t> </w:t>
      </w:r>
      <w:r>
        <w:rPr>
          <w:spacing w:val="-81"/>
        </w:rPr>
      </w:r>
      <w:r>
        <w:rPr>
          <w:spacing w:val="-2"/>
        </w:rPr>
        <w:t>同意对原回购股份方案的回购股份的金额及实施期限进行调整，即由原计划</w:t>
      </w:r>
      <w:r>
        <w:rPr>
          <w:rFonts w:ascii="Times New Roman" w:hAnsi="Times New Roman" w:cs="Times New Roman" w:eastAsia="Times New Roman" w:hint="default"/>
          <w:spacing w:val="-2"/>
        </w:rPr>
        <w:t>“</w:t>
      </w:r>
      <w:r>
        <w:rPr>
          <w:spacing w:val="-2"/>
        </w:rPr>
        <w:t>以自有资金在不低于人民币</w:t>
      </w:r>
      <w:r>
        <w:rPr>
          <w:rFonts w:ascii="Times New Roman" w:hAnsi="Times New Roman" w:cs="Times New Roman" w:eastAsia="Times New Roman" w:hint="default"/>
          <w:spacing w:val="-2"/>
        </w:rPr>
        <w:t>1</w:t>
      </w:r>
      <w:r>
        <w:rPr>
          <w:spacing w:val="-2"/>
        </w:rPr>
        <w:t>亿元，不高于人民</w:t>
      </w:r>
      <w:r>
        <w:rPr>
          <w:spacing w:val="-52"/>
        </w:rPr>
        <w:t> </w:t>
      </w:r>
      <w:r>
        <w:rPr>
          <w:spacing w:val="-52"/>
        </w:rPr>
      </w:r>
      <w:r>
        <w:rPr>
          <w:spacing w:val="-2"/>
        </w:rPr>
        <w:t>币</w:t>
      </w:r>
      <w:r>
        <w:rPr>
          <w:rFonts w:ascii="Times New Roman" w:hAnsi="Times New Roman" w:cs="Times New Roman" w:eastAsia="Times New Roman" w:hint="default"/>
          <w:spacing w:val="-2"/>
        </w:rPr>
        <w:t>3</w:t>
      </w:r>
      <w:r>
        <w:rPr>
          <w:spacing w:val="-2"/>
        </w:rPr>
        <w:t>亿元的资金总额内，自股东大会审议通过本次回购股份方案之日起不超过</w:t>
      </w:r>
      <w:r>
        <w:rPr>
          <w:rFonts w:ascii="Times New Roman" w:hAnsi="Times New Roman" w:cs="Times New Roman" w:eastAsia="Times New Roman" w:hint="default"/>
          <w:spacing w:val="-2"/>
        </w:rPr>
        <w:t>6</w:t>
      </w:r>
      <w:r>
        <w:rPr>
          <w:spacing w:val="-2"/>
        </w:rPr>
        <w:t>个月（即在</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3</w:t>
      </w:r>
      <w:r>
        <w:rPr>
          <w:spacing w:val="-2"/>
        </w:rPr>
        <w:t>月</w:t>
      </w:r>
      <w:r>
        <w:rPr>
          <w:rFonts w:ascii="Times New Roman" w:hAnsi="Times New Roman" w:cs="Times New Roman" w:eastAsia="Times New Roman" w:hint="default"/>
          <w:spacing w:val="-2"/>
        </w:rPr>
        <w:t>5</w:t>
      </w:r>
      <w:r>
        <w:rPr>
          <w:spacing w:val="-2"/>
        </w:rPr>
        <w:t>日至</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9</w:t>
      </w:r>
      <w:r>
        <w:rPr>
          <w:spacing w:val="-2"/>
        </w:rPr>
        <w:t>月</w:t>
      </w:r>
      <w:r>
        <w:rPr>
          <w:rFonts w:ascii="Times New Roman" w:hAnsi="Times New Roman" w:cs="Times New Roman" w:eastAsia="Times New Roman" w:hint="default"/>
          <w:spacing w:val="-2"/>
        </w:rPr>
        <w:t>5</w:t>
      </w:r>
      <w:r>
        <w:rPr>
          <w:spacing w:val="-2"/>
        </w:rPr>
        <w:t>日期限</w:t>
      </w:r>
      <w:r>
        <w:rPr>
          <w:spacing w:val="-50"/>
        </w:rPr>
        <w:t> </w:t>
      </w:r>
      <w:r>
        <w:rPr/>
        <w:t>内）进行股份回购</w:t>
      </w:r>
      <w:r>
        <w:rPr>
          <w:rFonts w:ascii="Times New Roman" w:hAnsi="Times New Roman" w:cs="Times New Roman" w:eastAsia="Times New Roman" w:hint="default"/>
        </w:rPr>
        <w:t>”</w:t>
      </w:r>
      <w:r>
        <w:rPr/>
        <w:t>调整为</w:t>
      </w:r>
      <w:r>
        <w:rPr>
          <w:rFonts w:ascii="Times New Roman" w:hAnsi="Times New Roman" w:cs="Times New Roman" w:eastAsia="Times New Roman" w:hint="default"/>
        </w:rPr>
        <w:t>“</w:t>
      </w:r>
      <w:r>
        <w:rPr/>
        <w:t>以自有资金在不低于人民币</w:t>
      </w:r>
      <w:r>
        <w:rPr>
          <w:rFonts w:ascii="Times New Roman" w:hAnsi="Times New Roman" w:cs="Times New Roman" w:eastAsia="Times New Roman" w:hint="default"/>
        </w:rPr>
        <w:t>1</w:t>
      </w:r>
      <w:r>
        <w:rPr/>
        <w:t>亿元，不高于人民币</w:t>
      </w:r>
      <w:r>
        <w:rPr>
          <w:rFonts w:ascii="Times New Roman" w:hAnsi="Times New Roman" w:cs="Times New Roman" w:eastAsia="Times New Roman" w:hint="default"/>
        </w:rPr>
        <w:t>6</w:t>
      </w:r>
      <w:r>
        <w:rPr/>
        <w:t>亿元的资金总额内，自股东大会审议通过本次 回购股份方案之日起不超过</w:t>
      </w:r>
      <w:r>
        <w:rPr>
          <w:rFonts w:ascii="Times New Roman" w:hAnsi="Times New Roman" w:cs="Times New Roman" w:eastAsia="Times New Roman" w:hint="default"/>
        </w:rPr>
        <w:t>12</w:t>
      </w:r>
      <w:r>
        <w:rPr/>
        <w:t>个月（即在</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5</w:t>
      </w:r>
      <w:r>
        <w:rPr/>
        <w:t>日至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5</w:t>
      </w:r>
      <w:r>
        <w:rPr/>
        <w:t>日期限内）进行股份回购</w:t>
      </w:r>
      <w:r>
        <w:rPr>
          <w:rFonts w:ascii="Times New Roman" w:hAnsi="Times New Roman" w:cs="Times New Roman" w:eastAsia="Times New Roman" w:hint="default"/>
        </w:rPr>
        <w:t>”</w:t>
      </w:r>
      <w:r>
        <w:rPr/>
        <w:t>。</w:t>
      </w:r>
    </w:p>
    <w:p>
      <w:pPr>
        <w:spacing w:after="0" w:line="304" w:lineRule="auto"/>
        <w:jc w:val="left"/>
        <w:sectPr>
          <w:pgSz w:w="11910" w:h="16840"/>
          <w:pgMar w:header="747" w:footer="979" w:top="1060" w:bottom="1160" w:left="980" w:right="0"/>
        </w:sectPr>
      </w:pPr>
    </w:p>
    <w:p>
      <w:pPr>
        <w:spacing w:line="240" w:lineRule="auto" w:before="9"/>
        <w:rPr>
          <w:rFonts w:ascii="宋体" w:hAnsi="宋体" w:cs="宋体" w:eastAsia="宋体" w:hint="default"/>
          <w:sz w:val="23"/>
          <w:szCs w:val="23"/>
        </w:rPr>
      </w:pPr>
    </w:p>
    <w:p>
      <w:pPr>
        <w:pStyle w:val="Heading2"/>
        <w:spacing w:line="240" w:lineRule="auto" w:before="26"/>
        <w:ind w:right="0"/>
        <w:jc w:val="left"/>
        <w:rPr>
          <w:b w:val="0"/>
          <w:bCs w:val="0"/>
        </w:rPr>
      </w:pPr>
      <w:bookmarkStart w:name="二十、公司子公司重大事项" w:id="103"/>
      <w:bookmarkEnd w:id="103"/>
      <w:r>
        <w:rPr>
          <w:b w:val="0"/>
          <w:bCs w:val="0"/>
        </w:rPr>
      </w:r>
      <w:r>
        <w:rPr/>
        <w:t>二十、公司子公司重大事项</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7"/>
          <w:szCs w:val="7"/>
        </w:rPr>
      </w:pPr>
    </w:p>
    <w:tbl>
      <w:tblPr>
        <w:tblW w:w="0" w:type="auto"/>
        <w:jc w:val="left"/>
        <w:tblInd w:w="146" w:type="dxa"/>
        <w:tblLayout w:type="fixed"/>
        <w:tblCellMar>
          <w:top w:w="0" w:type="dxa"/>
          <w:left w:w="0" w:type="dxa"/>
          <w:bottom w:w="0" w:type="dxa"/>
          <w:right w:w="0" w:type="dxa"/>
        </w:tblCellMar>
        <w:tblLook w:val="01E0"/>
      </w:tblPr>
      <w:tblGrid>
        <w:gridCol w:w="1752"/>
        <w:gridCol w:w="1265"/>
        <w:gridCol w:w="3374"/>
        <w:gridCol w:w="3268"/>
      </w:tblGrid>
      <w:tr>
        <w:trPr>
          <w:trHeight w:val="415" w:hRule="exact"/>
        </w:trPr>
        <w:tc>
          <w:tcPr>
            <w:tcW w:w="175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9"/>
              <w:ind w:left="507" w:right="0"/>
              <w:jc w:val="left"/>
              <w:rPr>
                <w:rFonts w:ascii="宋体" w:hAnsi="宋体" w:cs="宋体" w:eastAsia="宋体" w:hint="default"/>
                <w:sz w:val="18"/>
                <w:szCs w:val="18"/>
              </w:rPr>
            </w:pPr>
            <w:r>
              <w:rPr>
                <w:rFonts w:ascii="宋体" w:hAnsi="宋体" w:cs="宋体" w:eastAsia="宋体" w:hint="default"/>
                <w:sz w:val="18"/>
                <w:szCs w:val="18"/>
              </w:rPr>
              <w:t>披露日期</w:t>
            </w:r>
          </w:p>
        </w:tc>
        <w:tc>
          <w:tcPr>
            <w:tcW w:w="1265"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9"/>
              <w:ind w:left="265" w:right="0"/>
              <w:jc w:val="left"/>
              <w:rPr>
                <w:rFonts w:ascii="宋体" w:hAnsi="宋体" w:cs="宋体" w:eastAsia="宋体" w:hint="default"/>
                <w:sz w:val="18"/>
                <w:szCs w:val="18"/>
              </w:rPr>
            </w:pPr>
            <w:r>
              <w:rPr>
                <w:rFonts w:ascii="宋体" w:hAnsi="宋体" w:cs="宋体" w:eastAsia="宋体" w:hint="default"/>
                <w:sz w:val="18"/>
                <w:szCs w:val="18"/>
              </w:rPr>
              <w:t>公告编号</w:t>
            </w:r>
          </w:p>
        </w:tc>
        <w:tc>
          <w:tcPr>
            <w:tcW w:w="337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主要内容</w:t>
            </w:r>
          </w:p>
        </w:tc>
        <w:tc>
          <w:tcPr>
            <w:tcW w:w="326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披露媒体</w:t>
            </w:r>
          </w:p>
        </w:tc>
      </w:tr>
      <w:tr>
        <w:trPr>
          <w:trHeight w:val="739" w:hRule="exact"/>
        </w:trPr>
        <w:tc>
          <w:tcPr>
            <w:tcW w:w="17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329"/>
              <w:jc w:val="righ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6</w:t>
            </w:r>
            <w:r>
              <w:rPr>
                <w:rFonts w:ascii="宋体" w:hAnsi="宋体" w:cs="宋体" w:eastAsia="宋体" w:hint="default"/>
                <w:sz w:val="18"/>
                <w:szCs w:val="18"/>
              </w:rPr>
              <w:t>日</w:t>
            </w:r>
          </w:p>
        </w:tc>
        <w:tc>
          <w:tcPr>
            <w:tcW w:w="12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79" w:right="0"/>
              <w:jc w:val="left"/>
              <w:rPr>
                <w:rFonts w:ascii="Times New Roman" w:hAnsi="Times New Roman" w:cs="Times New Roman" w:eastAsia="Times New Roman" w:hint="default"/>
                <w:sz w:val="18"/>
                <w:szCs w:val="18"/>
              </w:rPr>
            </w:pPr>
            <w:r>
              <w:rPr>
                <w:rFonts w:ascii="Times New Roman"/>
                <w:sz w:val="18"/>
              </w:rPr>
              <w:t>2018-006</w:t>
            </w:r>
          </w:p>
        </w:tc>
        <w:tc>
          <w:tcPr>
            <w:tcW w:w="337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2"/>
              <w:ind w:left="870" w:right="57" w:hanging="811"/>
              <w:jc w:val="left"/>
              <w:rPr>
                <w:rFonts w:ascii="宋体" w:hAnsi="宋体" w:cs="宋体" w:eastAsia="宋体" w:hint="default"/>
                <w:sz w:val="18"/>
                <w:szCs w:val="18"/>
              </w:rPr>
            </w:pPr>
            <w:r>
              <w:rPr>
                <w:rFonts w:ascii="宋体" w:hAnsi="宋体" w:cs="宋体" w:eastAsia="宋体" w:hint="default"/>
                <w:sz w:val="18"/>
                <w:szCs w:val="18"/>
              </w:rPr>
              <w:t>关于深圳前海蓝莓文化传播有限公司完成 工商变更登记的公告</w:t>
            </w:r>
          </w:p>
        </w:tc>
        <w:tc>
          <w:tcPr>
            <w:tcW w:w="326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2"/>
              <w:ind w:left="2" w:right="9"/>
              <w:jc w:val="left"/>
              <w:rPr>
                <w:rFonts w:ascii="宋体" w:hAnsi="宋体" w:cs="宋体" w:eastAsia="宋体" w:hint="default"/>
                <w:sz w:val="18"/>
                <w:szCs w:val="18"/>
              </w:rPr>
            </w:pPr>
            <w:r>
              <w:rPr>
                <w:rFonts w:ascii="宋体" w:hAnsi="宋体" w:cs="宋体" w:eastAsia="宋体" w:hint="default"/>
                <w:sz w:val="18"/>
                <w:szCs w:val="18"/>
              </w:rPr>
              <w:t>《证券日报》、《证券时报》、《中国证 券报》、《上海证券报》及巨潮资讯网</w:t>
            </w:r>
          </w:p>
        </w:tc>
      </w:tr>
      <w:tr>
        <w:trPr>
          <w:trHeight w:val="739" w:hRule="exact"/>
        </w:trPr>
        <w:tc>
          <w:tcPr>
            <w:tcW w:w="17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282"/>
              <w:jc w:val="righ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25</w:t>
            </w:r>
            <w:r>
              <w:rPr>
                <w:rFonts w:ascii="宋体" w:hAnsi="宋体" w:cs="宋体" w:eastAsia="宋体" w:hint="default"/>
                <w:sz w:val="18"/>
                <w:szCs w:val="18"/>
              </w:rPr>
              <w:t>日</w:t>
            </w:r>
          </w:p>
        </w:tc>
        <w:tc>
          <w:tcPr>
            <w:tcW w:w="12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79" w:right="0"/>
              <w:jc w:val="left"/>
              <w:rPr>
                <w:rFonts w:ascii="Times New Roman" w:hAnsi="Times New Roman" w:cs="Times New Roman" w:eastAsia="Times New Roman" w:hint="default"/>
                <w:sz w:val="18"/>
                <w:szCs w:val="18"/>
              </w:rPr>
            </w:pPr>
            <w:r>
              <w:rPr>
                <w:rFonts w:ascii="Times New Roman"/>
                <w:sz w:val="18"/>
              </w:rPr>
              <w:t>2018-007</w:t>
            </w:r>
          </w:p>
        </w:tc>
        <w:tc>
          <w:tcPr>
            <w:tcW w:w="337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2"/>
              <w:ind w:left="599" w:right="57" w:hanging="540"/>
              <w:jc w:val="left"/>
              <w:rPr>
                <w:rFonts w:ascii="宋体" w:hAnsi="宋体" w:cs="宋体" w:eastAsia="宋体" w:hint="default"/>
                <w:sz w:val="18"/>
                <w:szCs w:val="18"/>
              </w:rPr>
            </w:pPr>
            <w:r>
              <w:rPr>
                <w:rFonts w:ascii="宋体" w:hAnsi="宋体" w:cs="宋体" w:eastAsia="宋体" w:hint="default"/>
                <w:sz w:val="18"/>
                <w:szCs w:val="18"/>
              </w:rPr>
              <w:t>关于控股子公司深圳劲嘉盒知科技有限公 司完成工商注册登记的公告</w:t>
            </w:r>
          </w:p>
        </w:tc>
        <w:tc>
          <w:tcPr>
            <w:tcW w:w="326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2"/>
              <w:ind w:left="2" w:right="3"/>
              <w:jc w:val="left"/>
              <w:rPr>
                <w:rFonts w:ascii="宋体" w:hAnsi="宋体" w:cs="宋体" w:eastAsia="宋体" w:hint="default"/>
                <w:sz w:val="18"/>
                <w:szCs w:val="18"/>
              </w:rPr>
            </w:pPr>
            <w:r>
              <w:rPr>
                <w:rFonts w:ascii="宋体" w:hAnsi="宋体" w:cs="宋体" w:eastAsia="宋体" w:hint="default"/>
                <w:sz w:val="18"/>
                <w:szCs w:val="18"/>
              </w:rPr>
              <w:t>《证券日报》、《证券时报》、《中国证</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券报》、《上海证券报》及巨潮资讯网</w:t>
            </w:r>
          </w:p>
        </w:tc>
      </w:tr>
      <w:tr>
        <w:trPr>
          <w:trHeight w:val="1051" w:hRule="exact"/>
        </w:trPr>
        <w:tc>
          <w:tcPr>
            <w:tcW w:w="17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282"/>
              <w:jc w:val="righ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w:t>
            </w:r>
            <w:r>
              <w:rPr>
                <w:rFonts w:ascii="Times New Roman" w:hAnsi="Times New Roman" w:cs="Times New Roman" w:eastAsia="Times New Roman" w:hint="default"/>
                <w:sz w:val="18"/>
                <w:szCs w:val="18"/>
              </w:rPr>
              <w:t>20</w:t>
            </w:r>
            <w:r>
              <w:rPr>
                <w:rFonts w:ascii="宋体" w:hAnsi="宋体" w:cs="宋体" w:eastAsia="宋体" w:hint="default"/>
                <w:sz w:val="18"/>
                <w:szCs w:val="18"/>
              </w:rPr>
              <w:t>日</w:t>
            </w:r>
          </w:p>
        </w:tc>
        <w:tc>
          <w:tcPr>
            <w:tcW w:w="12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79" w:right="0"/>
              <w:jc w:val="left"/>
              <w:rPr>
                <w:rFonts w:ascii="Times New Roman" w:hAnsi="Times New Roman" w:cs="Times New Roman" w:eastAsia="Times New Roman" w:hint="default"/>
                <w:sz w:val="18"/>
                <w:szCs w:val="18"/>
              </w:rPr>
            </w:pPr>
            <w:r>
              <w:rPr>
                <w:rFonts w:ascii="Times New Roman"/>
                <w:sz w:val="18"/>
              </w:rPr>
              <w:t>2018-028</w:t>
            </w:r>
          </w:p>
        </w:tc>
        <w:tc>
          <w:tcPr>
            <w:tcW w:w="337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2"/>
              <w:ind w:left="3" w:right="0"/>
              <w:jc w:val="center"/>
              <w:rPr>
                <w:rFonts w:ascii="宋体" w:hAnsi="宋体" w:cs="宋体" w:eastAsia="宋体" w:hint="default"/>
                <w:sz w:val="18"/>
                <w:szCs w:val="18"/>
              </w:rPr>
            </w:pPr>
            <w:r>
              <w:rPr>
                <w:rFonts w:ascii="宋体" w:hAnsi="宋体" w:cs="宋体" w:eastAsia="宋体" w:hint="default"/>
                <w:spacing w:val="-4"/>
                <w:sz w:val="18"/>
                <w:szCs w:val="18"/>
              </w:rPr>
              <w:t>关于子公司香港润伟实业有限公司、上海丽</w:t>
            </w:r>
            <w:r>
              <w:rPr>
                <w:rFonts w:ascii="宋体" w:hAnsi="宋体" w:cs="宋体" w:eastAsia="宋体" w:hint="default"/>
                <w:sz w:val="18"/>
                <w:szCs w:val="18"/>
              </w:rPr>
              <w:t> 兴绿色包装有限公司完成工商变更登记的 公告</w:t>
            </w:r>
          </w:p>
        </w:tc>
        <w:tc>
          <w:tcPr>
            <w:tcW w:w="326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2"/>
              <w:ind w:left="2" w:right="9"/>
              <w:jc w:val="left"/>
              <w:rPr>
                <w:rFonts w:ascii="宋体" w:hAnsi="宋体" w:cs="宋体" w:eastAsia="宋体" w:hint="default"/>
                <w:sz w:val="18"/>
                <w:szCs w:val="18"/>
              </w:rPr>
            </w:pPr>
            <w:r>
              <w:rPr>
                <w:rFonts w:ascii="宋体" w:hAnsi="宋体" w:cs="宋体" w:eastAsia="宋体" w:hint="default"/>
                <w:sz w:val="18"/>
                <w:szCs w:val="18"/>
              </w:rPr>
              <w:t>《证券日报》、《证券时报》、《中国证 券报》、《上海证券报》及巨潮资讯网</w:t>
            </w:r>
          </w:p>
        </w:tc>
      </w:tr>
      <w:tr>
        <w:trPr>
          <w:trHeight w:val="739" w:hRule="exact"/>
        </w:trPr>
        <w:tc>
          <w:tcPr>
            <w:tcW w:w="17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282"/>
              <w:jc w:val="righ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r>
              <w:rPr>
                <w:rFonts w:ascii="Times New Roman" w:hAnsi="Times New Roman" w:cs="Times New Roman" w:eastAsia="Times New Roman" w:hint="default"/>
                <w:sz w:val="18"/>
                <w:szCs w:val="18"/>
              </w:rPr>
              <w:t>18</w:t>
            </w:r>
            <w:r>
              <w:rPr>
                <w:rFonts w:ascii="宋体" w:hAnsi="宋体" w:cs="宋体" w:eastAsia="宋体" w:hint="default"/>
                <w:sz w:val="18"/>
                <w:szCs w:val="18"/>
              </w:rPr>
              <w:t>日</w:t>
            </w:r>
          </w:p>
        </w:tc>
        <w:tc>
          <w:tcPr>
            <w:tcW w:w="12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79" w:right="0"/>
              <w:jc w:val="left"/>
              <w:rPr>
                <w:rFonts w:ascii="Times New Roman" w:hAnsi="Times New Roman" w:cs="Times New Roman" w:eastAsia="Times New Roman" w:hint="default"/>
                <w:sz w:val="18"/>
                <w:szCs w:val="18"/>
              </w:rPr>
            </w:pPr>
            <w:r>
              <w:rPr>
                <w:rFonts w:ascii="Times New Roman"/>
                <w:sz w:val="18"/>
              </w:rPr>
              <w:t>2018-048</w:t>
            </w:r>
          </w:p>
        </w:tc>
        <w:tc>
          <w:tcPr>
            <w:tcW w:w="337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2"/>
              <w:ind w:left="599" w:right="57" w:hanging="540"/>
              <w:jc w:val="left"/>
              <w:rPr>
                <w:rFonts w:ascii="宋体" w:hAnsi="宋体" w:cs="宋体" w:eastAsia="宋体" w:hint="default"/>
                <w:sz w:val="18"/>
                <w:szCs w:val="18"/>
              </w:rPr>
            </w:pPr>
            <w:r>
              <w:rPr>
                <w:rFonts w:ascii="宋体" w:hAnsi="宋体" w:cs="宋体" w:eastAsia="宋体" w:hint="default"/>
                <w:sz w:val="18"/>
                <w:szCs w:val="18"/>
              </w:rPr>
              <w:t>关于子公司深圳劲嘉健康产业管理有限公 司完成工商变更登记的公告</w:t>
            </w:r>
          </w:p>
        </w:tc>
        <w:tc>
          <w:tcPr>
            <w:tcW w:w="326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2"/>
              <w:ind w:left="2" w:right="9"/>
              <w:jc w:val="left"/>
              <w:rPr>
                <w:rFonts w:ascii="宋体" w:hAnsi="宋体" w:cs="宋体" w:eastAsia="宋体" w:hint="default"/>
                <w:sz w:val="18"/>
                <w:szCs w:val="18"/>
              </w:rPr>
            </w:pPr>
            <w:r>
              <w:rPr>
                <w:rFonts w:ascii="宋体" w:hAnsi="宋体" w:cs="宋体" w:eastAsia="宋体" w:hint="default"/>
                <w:sz w:val="18"/>
                <w:szCs w:val="18"/>
              </w:rPr>
              <w:t>《证券日报》、《证券时报》、《中国证 券报》、《上海证券报》及巨潮资讯网</w:t>
            </w:r>
          </w:p>
        </w:tc>
      </w:tr>
      <w:tr>
        <w:trPr>
          <w:trHeight w:val="738" w:hRule="exact"/>
        </w:trPr>
        <w:tc>
          <w:tcPr>
            <w:tcW w:w="17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282"/>
              <w:jc w:val="righ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w:t>
            </w:r>
            <w:r>
              <w:rPr>
                <w:rFonts w:ascii="Times New Roman" w:hAnsi="Times New Roman" w:cs="Times New Roman" w:eastAsia="Times New Roman" w:hint="default"/>
                <w:sz w:val="18"/>
                <w:szCs w:val="18"/>
              </w:rPr>
              <w:t>23</w:t>
            </w:r>
            <w:r>
              <w:rPr>
                <w:rFonts w:ascii="宋体" w:hAnsi="宋体" w:cs="宋体" w:eastAsia="宋体" w:hint="default"/>
                <w:sz w:val="18"/>
                <w:szCs w:val="18"/>
              </w:rPr>
              <w:t>日</w:t>
            </w:r>
          </w:p>
        </w:tc>
        <w:tc>
          <w:tcPr>
            <w:tcW w:w="12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279" w:right="0"/>
              <w:jc w:val="left"/>
              <w:rPr>
                <w:rFonts w:ascii="Times New Roman" w:hAnsi="Times New Roman" w:cs="Times New Roman" w:eastAsia="Times New Roman" w:hint="default"/>
                <w:sz w:val="18"/>
                <w:szCs w:val="18"/>
              </w:rPr>
            </w:pPr>
            <w:r>
              <w:rPr>
                <w:rFonts w:ascii="Times New Roman"/>
                <w:sz w:val="18"/>
              </w:rPr>
              <w:t>2018-055</w:t>
            </w:r>
          </w:p>
        </w:tc>
        <w:tc>
          <w:tcPr>
            <w:tcW w:w="3374"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61"/>
              <w:ind w:left="419" w:right="56" w:hanging="360"/>
              <w:jc w:val="left"/>
              <w:rPr>
                <w:rFonts w:ascii="宋体" w:hAnsi="宋体" w:cs="宋体" w:eastAsia="宋体" w:hint="default"/>
                <w:sz w:val="18"/>
                <w:szCs w:val="18"/>
              </w:rPr>
            </w:pPr>
            <w:r>
              <w:rPr>
                <w:rFonts w:ascii="宋体" w:hAnsi="宋体" w:cs="宋体" w:eastAsia="宋体" w:hint="default"/>
                <w:sz w:val="18"/>
                <w:szCs w:val="18"/>
              </w:rPr>
              <w:t>关于子公司广州劲嘉健康产业投资管理有 限公司完成工商变更登记的公告</w:t>
            </w:r>
          </w:p>
        </w:tc>
        <w:tc>
          <w:tcPr>
            <w:tcW w:w="3268"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61"/>
              <w:ind w:left="2" w:right="9"/>
              <w:jc w:val="left"/>
              <w:rPr>
                <w:rFonts w:ascii="宋体" w:hAnsi="宋体" w:cs="宋体" w:eastAsia="宋体" w:hint="default"/>
                <w:sz w:val="18"/>
                <w:szCs w:val="18"/>
              </w:rPr>
            </w:pPr>
            <w:r>
              <w:rPr>
                <w:rFonts w:ascii="宋体" w:hAnsi="宋体" w:cs="宋体" w:eastAsia="宋体" w:hint="default"/>
                <w:sz w:val="18"/>
                <w:szCs w:val="18"/>
              </w:rPr>
              <w:t>《证券日报》、《证券时报》、《中国证 券报》、《上海证券报》及巨潮资讯网</w:t>
            </w:r>
          </w:p>
        </w:tc>
      </w:tr>
      <w:tr>
        <w:trPr>
          <w:trHeight w:val="739" w:hRule="exact"/>
        </w:trPr>
        <w:tc>
          <w:tcPr>
            <w:tcW w:w="17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329"/>
              <w:jc w:val="righ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6</w:t>
            </w:r>
            <w:r>
              <w:rPr>
                <w:rFonts w:ascii="宋体" w:hAnsi="宋体" w:cs="宋体" w:eastAsia="宋体" w:hint="default"/>
                <w:sz w:val="18"/>
                <w:szCs w:val="18"/>
              </w:rPr>
              <w:t>月</w:t>
            </w:r>
            <w:r>
              <w:rPr>
                <w:rFonts w:ascii="Times New Roman" w:hAnsi="Times New Roman" w:cs="Times New Roman" w:eastAsia="Times New Roman" w:hint="default"/>
                <w:sz w:val="18"/>
                <w:szCs w:val="18"/>
              </w:rPr>
              <w:t>8</w:t>
            </w:r>
            <w:r>
              <w:rPr>
                <w:rFonts w:ascii="宋体" w:hAnsi="宋体" w:cs="宋体" w:eastAsia="宋体" w:hint="default"/>
                <w:sz w:val="18"/>
                <w:szCs w:val="18"/>
              </w:rPr>
              <w:t>日</w:t>
            </w:r>
          </w:p>
        </w:tc>
        <w:tc>
          <w:tcPr>
            <w:tcW w:w="12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79" w:right="0"/>
              <w:jc w:val="left"/>
              <w:rPr>
                <w:rFonts w:ascii="Times New Roman" w:hAnsi="Times New Roman" w:cs="Times New Roman" w:eastAsia="Times New Roman" w:hint="default"/>
                <w:sz w:val="18"/>
                <w:szCs w:val="18"/>
              </w:rPr>
            </w:pPr>
            <w:r>
              <w:rPr>
                <w:rFonts w:ascii="Times New Roman"/>
                <w:sz w:val="18"/>
              </w:rPr>
              <w:t>2018-058</w:t>
            </w:r>
          </w:p>
        </w:tc>
        <w:tc>
          <w:tcPr>
            <w:tcW w:w="3374"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62"/>
              <w:ind w:left="599" w:right="57" w:hanging="540"/>
              <w:jc w:val="left"/>
              <w:rPr>
                <w:rFonts w:ascii="宋体" w:hAnsi="宋体" w:cs="宋体" w:eastAsia="宋体" w:hint="default"/>
                <w:sz w:val="18"/>
                <w:szCs w:val="18"/>
              </w:rPr>
            </w:pPr>
            <w:r>
              <w:rPr>
                <w:rFonts w:ascii="宋体" w:hAnsi="宋体" w:cs="宋体" w:eastAsia="宋体" w:hint="default"/>
                <w:sz w:val="18"/>
                <w:szCs w:val="18"/>
              </w:rPr>
              <w:t>关于控股子公司深圳嘉星健康科技有限公 司完成工商注册登记的公告</w:t>
            </w:r>
          </w:p>
        </w:tc>
        <w:tc>
          <w:tcPr>
            <w:tcW w:w="3268"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62"/>
              <w:ind w:left="2" w:right="9"/>
              <w:jc w:val="left"/>
              <w:rPr>
                <w:rFonts w:ascii="宋体" w:hAnsi="宋体" w:cs="宋体" w:eastAsia="宋体" w:hint="default"/>
                <w:sz w:val="18"/>
                <w:szCs w:val="18"/>
              </w:rPr>
            </w:pPr>
            <w:r>
              <w:rPr>
                <w:rFonts w:ascii="宋体" w:hAnsi="宋体" w:cs="宋体" w:eastAsia="宋体" w:hint="default"/>
                <w:sz w:val="18"/>
                <w:szCs w:val="18"/>
              </w:rPr>
              <w:t>《证券日报》、《证券时报》、《中国证 券报》、《上海证券报》及巨潮资讯网</w:t>
            </w:r>
          </w:p>
        </w:tc>
      </w:tr>
      <w:tr>
        <w:trPr>
          <w:trHeight w:val="739" w:hRule="exact"/>
        </w:trPr>
        <w:tc>
          <w:tcPr>
            <w:tcW w:w="17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282"/>
              <w:jc w:val="righ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9</w:t>
            </w:r>
            <w:r>
              <w:rPr>
                <w:rFonts w:ascii="宋体" w:hAnsi="宋体" w:cs="宋体" w:eastAsia="宋体" w:hint="default"/>
                <w:sz w:val="18"/>
                <w:szCs w:val="18"/>
              </w:rPr>
              <w:t>月</w:t>
            </w:r>
            <w:r>
              <w:rPr>
                <w:rFonts w:ascii="Times New Roman" w:hAnsi="Times New Roman" w:cs="Times New Roman" w:eastAsia="Times New Roman" w:hint="default"/>
                <w:sz w:val="18"/>
                <w:szCs w:val="18"/>
              </w:rPr>
              <w:t>14</w:t>
            </w:r>
            <w:r>
              <w:rPr>
                <w:rFonts w:ascii="宋体" w:hAnsi="宋体" w:cs="宋体" w:eastAsia="宋体" w:hint="default"/>
                <w:sz w:val="18"/>
                <w:szCs w:val="18"/>
              </w:rPr>
              <w:t>日</w:t>
            </w:r>
          </w:p>
        </w:tc>
        <w:tc>
          <w:tcPr>
            <w:tcW w:w="12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79" w:right="0"/>
              <w:jc w:val="left"/>
              <w:rPr>
                <w:rFonts w:ascii="Times New Roman" w:hAnsi="Times New Roman" w:cs="Times New Roman" w:eastAsia="Times New Roman" w:hint="default"/>
                <w:sz w:val="18"/>
                <w:szCs w:val="18"/>
              </w:rPr>
            </w:pPr>
            <w:r>
              <w:rPr>
                <w:rFonts w:ascii="Times New Roman"/>
                <w:sz w:val="18"/>
              </w:rPr>
              <w:t>2018-098</w:t>
            </w:r>
          </w:p>
        </w:tc>
        <w:tc>
          <w:tcPr>
            <w:tcW w:w="337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2"/>
              <w:ind w:left="780" w:right="57" w:hanging="721"/>
              <w:jc w:val="left"/>
              <w:rPr>
                <w:rFonts w:ascii="宋体" w:hAnsi="宋体" w:cs="宋体" w:eastAsia="宋体" w:hint="default"/>
                <w:sz w:val="18"/>
                <w:szCs w:val="18"/>
              </w:rPr>
            </w:pPr>
            <w:r>
              <w:rPr>
                <w:rFonts w:ascii="宋体" w:hAnsi="宋体" w:cs="宋体" w:eastAsia="宋体" w:hint="default"/>
                <w:sz w:val="18"/>
                <w:szCs w:val="18"/>
              </w:rPr>
              <w:t>关于控股子公司深圳因味科技有限公司完 成工商注册登记的公告</w:t>
            </w:r>
          </w:p>
        </w:tc>
        <w:tc>
          <w:tcPr>
            <w:tcW w:w="326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2"/>
              <w:ind w:left="2" w:right="9"/>
              <w:jc w:val="left"/>
              <w:rPr>
                <w:rFonts w:ascii="宋体" w:hAnsi="宋体" w:cs="宋体" w:eastAsia="宋体" w:hint="default"/>
                <w:sz w:val="18"/>
                <w:szCs w:val="18"/>
              </w:rPr>
            </w:pPr>
            <w:r>
              <w:rPr>
                <w:rFonts w:ascii="宋体" w:hAnsi="宋体" w:cs="宋体" w:eastAsia="宋体" w:hint="default"/>
                <w:sz w:val="18"/>
                <w:szCs w:val="18"/>
              </w:rPr>
              <w:t>《证券日报》、《证券时报》、《中国证 券报》、《上海证券报》及巨潮资讯网</w:t>
            </w:r>
          </w:p>
        </w:tc>
      </w:tr>
      <w:tr>
        <w:trPr>
          <w:trHeight w:val="740" w:hRule="exact"/>
        </w:trPr>
        <w:tc>
          <w:tcPr>
            <w:tcW w:w="17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239"/>
              <w:jc w:val="righ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10</w:t>
            </w:r>
            <w:r>
              <w:rPr>
                <w:rFonts w:ascii="宋体" w:hAnsi="宋体" w:cs="宋体" w:eastAsia="宋体" w:hint="default"/>
                <w:sz w:val="18"/>
                <w:szCs w:val="18"/>
              </w:rPr>
              <w:t>月</w:t>
            </w:r>
            <w:r>
              <w:rPr>
                <w:rFonts w:ascii="Times New Roman" w:hAnsi="Times New Roman" w:cs="Times New Roman" w:eastAsia="Times New Roman" w:hint="default"/>
                <w:sz w:val="18"/>
                <w:szCs w:val="18"/>
              </w:rPr>
              <w:t>23</w:t>
            </w:r>
            <w:r>
              <w:rPr>
                <w:rFonts w:ascii="宋体" w:hAnsi="宋体" w:cs="宋体" w:eastAsia="宋体" w:hint="default"/>
                <w:sz w:val="18"/>
                <w:szCs w:val="18"/>
              </w:rPr>
              <w:t>日</w:t>
            </w:r>
          </w:p>
        </w:tc>
        <w:tc>
          <w:tcPr>
            <w:tcW w:w="12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79" w:right="0"/>
              <w:jc w:val="left"/>
              <w:rPr>
                <w:rFonts w:ascii="Times New Roman" w:hAnsi="Times New Roman" w:cs="Times New Roman" w:eastAsia="Times New Roman" w:hint="default"/>
                <w:sz w:val="18"/>
                <w:szCs w:val="18"/>
              </w:rPr>
            </w:pPr>
            <w:r>
              <w:rPr>
                <w:rFonts w:ascii="Times New Roman"/>
                <w:sz w:val="18"/>
              </w:rPr>
              <w:t>2018-105</w:t>
            </w:r>
          </w:p>
        </w:tc>
        <w:tc>
          <w:tcPr>
            <w:tcW w:w="337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2"/>
              <w:ind w:left="239" w:right="57" w:hanging="180"/>
              <w:jc w:val="left"/>
              <w:rPr>
                <w:rFonts w:ascii="宋体" w:hAnsi="宋体" w:cs="宋体" w:eastAsia="宋体" w:hint="default"/>
                <w:sz w:val="18"/>
                <w:szCs w:val="18"/>
              </w:rPr>
            </w:pPr>
            <w:r>
              <w:rPr>
                <w:rFonts w:ascii="宋体" w:hAnsi="宋体" w:cs="宋体" w:eastAsia="宋体" w:hint="default"/>
                <w:sz w:val="18"/>
                <w:szCs w:val="18"/>
              </w:rPr>
              <w:t>关于全资子公司贵州劲嘉新型包装材料有 限公司获得高新技术企业认证的公告</w:t>
            </w:r>
          </w:p>
        </w:tc>
        <w:tc>
          <w:tcPr>
            <w:tcW w:w="326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2"/>
              <w:ind w:left="2" w:right="9"/>
              <w:jc w:val="left"/>
              <w:rPr>
                <w:rFonts w:ascii="宋体" w:hAnsi="宋体" w:cs="宋体" w:eastAsia="宋体" w:hint="default"/>
                <w:sz w:val="18"/>
                <w:szCs w:val="18"/>
              </w:rPr>
            </w:pPr>
            <w:r>
              <w:rPr>
                <w:rFonts w:ascii="宋体" w:hAnsi="宋体" w:cs="宋体" w:eastAsia="宋体" w:hint="default"/>
                <w:sz w:val="18"/>
                <w:szCs w:val="18"/>
              </w:rPr>
              <w:t>《证券日报》、《证券时报》、《中国证 券报》、《上海证券报》及巨潮资讯网</w:t>
            </w:r>
          </w:p>
        </w:tc>
      </w:tr>
      <w:tr>
        <w:trPr>
          <w:trHeight w:val="739" w:hRule="exact"/>
        </w:trPr>
        <w:tc>
          <w:tcPr>
            <w:tcW w:w="17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282"/>
              <w:jc w:val="righ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11</w:t>
            </w:r>
            <w:r>
              <w:rPr>
                <w:rFonts w:ascii="宋体" w:hAnsi="宋体" w:cs="宋体" w:eastAsia="宋体" w:hint="default"/>
                <w:sz w:val="18"/>
                <w:szCs w:val="18"/>
              </w:rPr>
              <w:t>月</w:t>
            </w:r>
            <w:r>
              <w:rPr>
                <w:rFonts w:ascii="Times New Roman" w:hAnsi="Times New Roman" w:cs="Times New Roman" w:eastAsia="Times New Roman" w:hint="default"/>
                <w:sz w:val="18"/>
                <w:szCs w:val="18"/>
              </w:rPr>
              <w:t>2</w:t>
            </w:r>
            <w:r>
              <w:rPr>
                <w:rFonts w:ascii="宋体" w:hAnsi="宋体" w:cs="宋体" w:eastAsia="宋体" w:hint="default"/>
                <w:sz w:val="18"/>
                <w:szCs w:val="18"/>
              </w:rPr>
              <w:t>日</w:t>
            </w:r>
          </w:p>
        </w:tc>
        <w:tc>
          <w:tcPr>
            <w:tcW w:w="12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79" w:right="0"/>
              <w:jc w:val="left"/>
              <w:rPr>
                <w:rFonts w:ascii="Times New Roman" w:hAnsi="Times New Roman" w:cs="Times New Roman" w:eastAsia="Times New Roman" w:hint="default"/>
                <w:sz w:val="18"/>
                <w:szCs w:val="18"/>
              </w:rPr>
            </w:pPr>
            <w:r>
              <w:rPr>
                <w:rFonts w:ascii="Times New Roman"/>
                <w:sz w:val="18"/>
              </w:rPr>
              <w:t>2018-111</w:t>
            </w:r>
          </w:p>
        </w:tc>
        <w:tc>
          <w:tcPr>
            <w:tcW w:w="337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2"/>
              <w:ind w:left="780" w:right="57" w:hanging="721"/>
              <w:jc w:val="left"/>
              <w:rPr>
                <w:rFonts w:ascii="宋体" w:hAnsi="宋体" w:cs="宋体" w:eastAsia="宋体" w:hint="default"/>
                <w:sz w:val="18"/>
                <w:szCs w:val="18"/>
              </w:rPr>
            </w:pPr>
            <w:r>
              <w:rPr>
                <w:rFonts w:ascii="宋体" w:hAnsi="宋体" w:cs="宋体" w:eastAsia="宋体" w:hint="default"/>
                <w:sz w:val="18"/>
                <w:szCs w:val="18"/>
              </w:rPr>
              <w:t>关于控股子公司深圳嘉玉科技有限公司完 成工商注册登记的公告</w:t>
            </w:r>
          </w:p>
        </w:tc>
        <w:tc>
          <w:tcPr>
            <w:tcW w:w="326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2"/>
              <w:ind w:left="2" w:right="9"/>
              <w:jc w:val="left"/>
              <w:rPr>
                <w:rFonts w:ascii="宋体" w:hAnsi="宋体" w:cs="宋体" w:eastAsia="宋体" w:hint="default"/>
                <w:sz w:val="18"/>
                <w:szCs w:val="18"/>
              </w:rPr>
            </w:pPr>
            <w:r>
              <w:rPr>
                <w:rFonts w:ascii="宋体" w:hAnsi="宋体" w:cs="宋体" w:eastAsia="宋体" w:hint="default"/>
                <w:sz w:val="18"/>
                <w:szCs w:val="18"/>
              </w:rPr>
              <w:t>《证券日报》、《证券时报》、《中国证 券报》、《上海证券报》及巨潮资讯网</w:t>
            </w:r>
          </w:p>
        </w:tc>
      </w:tr>
    </w:tbl>
    <w:p>
      <w:pPr>
        <w:spacing w:after="0" w:line="316"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left="2966" w:right="0"/>
        <w:jc w:val="left"/>
        <w:rPr>
          <w:b w:val="0"/>
          <w:bCs w:val="0"/>
        </w:rPr>
      </w:pPr>
      <w:bookmarkStart w:name="第六节 股份变动及股东情况" w:id="104"/>
      <w:bookmarkEnd w:id="104"/>
      <w:r>
        <w:rPr>
          <w:b w:val="0"/>
          <w:bCs w:val="0"/>
        </w:rPr>
      </w:r>
      <w:bookmarkStart w:name="_bookmark4" w:id="105"/>
      <w:bookmarkEnd w:id="105"/>
      <w:r>
        <w:rPr>
          <w:b w:val="0"/>
          <w:bCs w:val="0"/>
        </w:rPr>
      </w:r>
      <w:r>
        <w:rPr/>
        <w:t>第六节</w:t>
      </w:r>
      <w:r>
        <w:rPr>
          <w:spacing w:val="-10"/>
        </w:rPr>
        <w:t> </w:t>
      </w:r>
      <w:r>
        <w:rPr/>
        <w:t>股份变动及股东情况</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bookmarkStart w:name="一、股份变动情况" w:id="106"/>
      <w:bookmarkEnd w:id="106"/>
      <w:r>
        <w:rPr>
          <w:b w:val="0"/>
          <w:bCs w:val="0"/>
        </w:rPr>
      </w:r>
      <w:r>
        <w:rPr/>
        <w:t>一、股份变动情况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股份变动情况" w:id="107"/>
      <w:bookmarkEnd w:id="107"/>
      <w:r>
        <w:rPr>
          <w:b w:val="0"/>
          <w:bCs w:val="0"/>
        </w:rPr>
      </w:r>
      <w:r>
        <w:rPr>
          <w:rFonts w:ascii="Times New Roman" w:hAnsi="Times New Roman" w:cs="Times New Roman" w:eastAsia="Times New Roman" w:hint="default"/>
        </w:rPr>
        <w:t>1</w:t>
      </w:r>
      <w:r>
        <w:rPr/>
        <w:t>、股份变动情况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单位：股</w:t>
      </w:r>
    </w:p>
    <w:p>
      <w:pPr>
        <w:spacing w:line="240" w:lineRule="auto" w:before="13"/>
        <w:rPr>
          <w:rFonts w:ascii="宋体" w:hAnsi="宋体" w:cs="宋体" w:eastAsia="宋体" w:hint="default"/>
          <w:sz w:val="7"/>
          <w:szCs w:val="7"/>
        </w:rPr>
      </w:pPr>
    </w:p>
    <w:tbl>
      <w:tblPr>
        <w:tblW w:w="0" w:type="auto"/>
        <w:jc w:val="left"/>
        <w:tblInd w:w="133" w:type="dxa"/>
        <w:tblLayout w:type="fixed"/>
        <w:tblCellMar>
          <w:top w:w="0" w:type="dxa"/>
          <w:left w:w="0" w:type="dxa"/>
          <w:bottom w:w="0" w:type="dxa"/>
          <w:right w:w="0" w:type="dxa"/>
        </w:tblCellMar>
        <w:tblLook w:val="01E0"/>
      </w:tblPr>
      <w:tblGrid>
        <w:gridCol w:w="1978"/>
        <w:gridCol w:w="1189"/>
        <w:gridCol w:w="756"/>
        <w:gridCol w:w="838"/>
        <w:gridCol w:w="449"/>
        <w:gridCol w:w="1031"/>
        <w:gridCol w:w="756"/>
        <w:gridCol w:w="756"/>
        <w:gridCol w:w="1177"/>
        <w:gridCol w:w="754"/>
      </w:tblGrid>
      <w:tr>
        <w:trPr>
          <w:trHeight w:val="206" w:hRule="exact"/>
        </w:trPr>
        <w:tc>
          <w:tcPr>
            <w:tcW w:w="1978" w:type="dxa"/>
            <w:tcBorders>
              <w:top w:val="single" w:sz="4" w:space="0" w:color="000000"/>
              <w:left w:val="single" w:sz="4" w:space="0" w:color="000000"/>
              <w:bottom w:val="nil" w:sz="6" w:space="0" w:color="auto"/>
              <w:right w:val="single" w:sz="4" w:space="0" w:color="000000"/>
            </w:tcBorders>
            <w:shd w:val="clear" w:color="auto" w:fill="D2D2D2"/>
          </w:tcPr>
          <w:p>
            <w:pPr/>
          </w:p>
        </w:tc>
        <w:tc>
          <w:tcPr>
            <w:tcW w:w="19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522"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3830" w:type="dxa"/>
            <w:gridSpan w:val="5"/>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919"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9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510"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196" w:hRule="exact"/>
        </w:trPr>
        <w:tc>
          <w:tcPr>
            <w:tcW w:w="1978" w:type="dxa"/>
            <w:vMerge w:val="restart"/>
            <w:tcBorders>
              <w:top w:val="nil" w:sz="6" w:space="0" w:color="auto"/>
              <w:left w:val="single" w:sz="4" w:space="0" w:color="000000"/>
              <w:right w:val="single" w:sz="4" w:space="0" w:color="000000"/>
            </w:tcBorders>
            <w:shd w:val="clear" w:color="auto" w:fill="D2D2D2"/>
          </w:tcPr>
          <w:p>
            <w:pPr/>
          </w:p>
        </w:tc>
        <w:tc>
          <w:tcPr>
            <w:tcW w:w="1945" w:type="dxa"/>
            <w:gridSpan w:val="2"/>
            <w:vMerge/>
            <w:tcBorders>
              <w:left w:val="single" w:sz="4" w:space="0" w:color="000000"/>
              <w:bottom w:val="single" w:sz="4" w:space="0" w:color="000000"/>
              <w:right w:val="single" w:sz="4" w:space="0" w:color="000000"/>
            </w:tcBorders>
            <w:shd w:val="clear" w:color="auto" w:fill="D2D2D2"/>
          </w:tcPr>
          <w:p>
            <w:pPr/>
          </w:p>
        </w:tc>
        <w:tc>
          <w:tcPr>
            <w:tcW w:w="3830" w:type="dxa"/>
            <w:gridSpan w:val="5"/>
            <w:vMerge/>
            <w:tcBorders>
              <w:left w:val="single" w:sz="4" w:space="0" w:color="000000"/>
              <w:bottom w:val="single" w:sz="4" w:space="0" w:color="000000"/>
              <w:right w:val="single" w:sz="4" w:space="0" w:color="000000"/>
            </w:tcBorders>
            <w:shd w:val="clear" w:color="auto" w:fill="D2D2D2"/>
          </w:tcPr>
          <w:p>
            <w:pPr/>
          </w:p>
        </w:tc>
        <w:tc>
          <w:tcPr>
            <w:tcW w:w="1931" w:type="dxa"/>
            <w:gridSpan w:val="2"/>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978" w:type="dxa"/>
            <w:vMerge/>
            <w:tcBorders>
              <w:left w:val="single" w:sz="4" w:space="0" w:color="000000"/>
              <w:bottom w:val="nil" w:sz="6" w:space="0" w:color="auto"/>
              <w:right w:val="single" w:sz="4" w:space="0" w:color="000000"/>
            </w:tcBorders>
            <w:shd w:val="clear" w:color="auto" w:fill="D2D2D2"/>
          </w:tcPr>
          <w:p>
            <w:pPr/>
          </w:p>
        </w:tc>
        <w:tc>
          <w:tcPr>
            <w:tcW w:w="118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数量</w:t>
            </w:r>
          </w:p>
        </w:tc>
        <w:tc>
          <w:tcPr>
            <w:tcW w:w="75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92"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3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53"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44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39"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103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59"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75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9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5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9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17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数量</w:t>
            </w:r>
          </w:p>
        </w:tc>
        <w:tc>
          <w:tcPr>
            <w:tcW w:w="75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91"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206" w:hRule="exact"/>
        </w:trPr>
        <w:tc>
          <w:tcPr>
            <w:tcW w:w="1978" w:type="dxa"/>
            <w:tcBorders>
              <w:top w:val="nil" w:sz="6" w:space="0" w:color="auto"/>
              <w:left w:val="single" w:sz="4" w:space="0" w:color="000000"/>
              <w:bottom w:val="single" w:sz="4" w:space="0" w:color="000000"/>
              <w:right w:val="single" w:sz="4" w:space="0" w:color="000000"/>
            </w:tcBorders>
            <w:shd w:val="clear" w:color="auto" w:fill="D2D2D2"/>
          </w:tcPr>
          <w:p>
            <w:pPr/>
          </w:p>
        </w:tc>
        <w:tc>
          <w:tcPr>
            <w:tcW w:w="1189" w:type="dxa"/>
            <w:vMerge/>
            <w:tcBorders>
              <w:left w:val="single" w:sz="4" w:space="0" w:color="000000"/>
              <w:bottom w:val="single" w:sz="4" w:space="0" w:color="000000"/>
              <w:right w:val="single" w:sz="4" w:space="0" w:color="000000"/>
            </w:tcBorders>
            <w:shd w:val="clear" w:color="auto" w:fill="D2D2D2"/>
          </w:tcPr>
          <w:p>
            <w:pPr/>
          </w:p>
        </w:tc>
        <w:tc>
          <w:tcPr>
            <w:tcW w:w="756" w:type="dxa"/>
            <w:vMerge/>
            <w:tcBorders>
              <w:left w:val="single" w:sz="4" w:space="0" w:color="000000"/>
              <w:bottom w:val="single" w:sz="4" w:space="0" w:color="000000"/>
              <w:right w:val="single" w:sz="4" w:space="0" w:color="000000"/>
            </w:tcBorders>
            <w:shd w:val="clear" w:color="auto" w:fill="D2D2D2"/>
          </w:tcPr>
          <w:p>
            <w:pPr/>
          </w:p>
        </w:tc>
        <w:tc>
          <w:tcPr>
            <w:tcW w:w="838" w:type="dxa"/>
            <w:vMerge/>
            <w:tcBorders>
              <w:left w:val="single" w:sz="4" w:space="0" w:color="000000"/>
              <w:bottom w:val="single" w:sz="4" w:space="0" w:color="000000"/>
              <w:right w:val="single" w:sz="4" w:space="0" w:color="000000"/>
            </w:tcBorders>
            <w:shd w:val="clear" w:color="auto" w:fill="D2D2D2"/>
          </w:tcPr>
          <w:p>
            <w:pPr/>
          </w:p>
        </w:tc>
        <w:tc>
          <w:tcPr>
            <w:tcW w:w="449" w:type="dxa"/>
            <w:vMerge/>
            <w:tcBorders>
              <w:left w:val="single" w:sz="4" w:space="0" w:color="000000"/>
              <w:bottom w:val="single" w:sz="4" w:space="0" w:color="000000"/>
              <w:right w:val="single" w:sz="4" w:space="0" w:color="000000"/>
            </w:tcBorders>
            <w:shd w:val="clear" w:color="auto" w:fill="D2D2D2"/>
          </w:tcPr>
          <w:p>
            <w:pPr/>
          </w:p>
        </w:tc>
        <w:tc>
          <w:tcPr>
            <w:tcW w:w="1031" w:type="dxa"/>
            <w:vMerge/>
            <w:tcBorders>
              <w:left w:val="single" w:sz="4" w:space="0" w:color="000000"/>
              <w:bottom w:val="single" w:sz="4" w:space="0" w:color="000000"/>
              <w:right w:val="single" w:sz="4" w:space="0" w:color="000000"/>
            </w:tcBorders>
            <w:shd w:val="clear" w:color="auto" w:fill="D2D2D2"/>
          </w:tcPr>
          <w:p>
            <w:pPr/>
          </w:p>
        </w:tc>
        <w:tc>
          <w:tcPr>
            <w:tcW w:w="756" w:type="dxa"/>
            <w:vMerge/>
            <w:tcBorders>
              <w:left w:val="single" w:sz="4" w:space="0" w:color="000000"/>
              <w:bottom w:val="single" w:sz="4" w:space="0" w:color="000000"/>
              <w:right w:val="single" w:sz="4" w:space="0" w:color="000000"/>
            </w:tcBorders>
            <w:shd w:val="clear" w:color="auto" w:fill="D2D2D2"/>
          </w:tcPr>
          <w:p>
            <w:pPr/>
          </w:p>
        </w:tc>
        <w:tc>
          <w:tcPr>
            <w:tcW w:w="756" w:type="dxa"/>
            <w:vMerge/>
            <w:tcBorders>
              <w:left w:val="single" w:sz="4" w:space="0" w:color="000000"/>
              <w:bottom w:val="single" w:sz="4" w:space="0" w:color="000000"/>
              <w:right w:val="single" w:sz="4" w:space="0" w:color="000000"/>
            </w:tcBorders>
            <w:shd w:val="clear" w:color="auto" w:fill="D2D2D2"/>
          </w:tcPr>
          <w:p>
            <w:pPr/>
          </w:p>
        </w:tc>
        <w:tc>
          <w:tcPr>
            <w:tcW w:w="1177" w:type="dxa"/>
            <w:vMerge/>
            <w:tcBorders>
              <w:left w:val="single" w:sz="4" w:space="0" w:color="000000"/>
              <w:bottom w:val="single" w:sz="4" w:space="0" w:color="000000"/>
              <w:right w:val="single" w:sz="4" w:space="0" w:color="000000"/>
            </w:tcBorders>
            <w:shd w:val="clear" w:color="auto" w:fill="D2D2D2"/>
          </w:tcPr>
          <w:p>
            <w:pPr/>
          </w:p>
        </w:tc>
        <w:tc>
          <w:tcPr>
            <w:tcW w:w="75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118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192,337,807</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12.87%</w:t>
            </w:r>
          </w:p>
        </w:tc>
        <w:tc>
          <w:tcPr>
            <w:tcW w:w="838"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1031"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246,762</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246,762</w:t>
            </w:r>
          </w:p>
        </w:tc>
        <w:tc>
          <w:tcPr>
            <w:tcW w:w="1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192,584,569</w:t>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12.88%</w:t>
            </w:r>
          </w:p>
        </w:tc>
      </w:tr>
      <w:tr>
        <w:trPr>
          <w:trHeight w:val="402" w:hRule="exact"/>
        </w:trPr>
        <w:tc>
          <w:tcPr>
            <w:tcW w:w="19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、国家持股</w:t>
            </w:r>
          </w:p>
        </w:tc>
        <w:tc>
          <w:tcPr>
            <w:tcW w:w="118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838"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1031"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77" w:type="dxa"/>
            <w:tcBorders>
              <w:top w:val="single" w:sz="4" w:space="0" w:color="000000"/>
              <w:left w:val="single" w:sz="4" w:space="0" w:color="000000"/>
              <w:bottom w:val="single" w:sz="4" w:space="0" w:color="000000"/>
              <w:right w:val="single" w:sz="4" w:space="0" w:color="000000"/>
            </w:tcBorders>
          </w:tcPr>
          <w:p>
            <w:pP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9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、国有法人持股</w:t>
            </w:r>
          </w:p>
        </w:tc>
        <w:tc>
          <w:tcPr>
            <w:tcW w:w="118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838"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1031"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77" w:type="dxa"/>
            <w:tcBorders>
              <w:top w:val="single" w:sz="4" w:space="0" w:color="000000"/>
              <w:left w:val="single" w:sz="4" w:space="0" w:color="000000"/>
              <w:bottom w:val="single" w:sz="4" w:space="0" w:color="000000"/>
              <w:right w:val="single" w:sz="4" w:space="0" w:color="000000"/>
            </w:tcBorders>
          </w:tcPr>
          <w:p>
            <w:pP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9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118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192,337,807</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12.87%</w:t>
            </w:r>
          </w:p>
        </w:tc>
        <w:tc>
          <w:tcPr>
            <w:tcW w:w="838"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1031"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246,762</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246,762</w:t>
            </w:r>
          </w:p>
        </w:tc>
        <w:tc>
          <w:tcPr>
            <w:tcW w:w="1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192,584,569</w:t>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12.88%</w:t>
            </w:r>
          </w:p>
        </w:tc>
      </w:tr>
      <w:tr>
        <w:trPr>
          <w:trHeight w:val="402" w:hRule="exact"/>
        </w:trPr>
        <w:tc>
          <w:tcPr>
            <w:tcW w:w="19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其中：境内法人持股</w:t>
            </w:r>
          </w:p>
        </w:tc>
        <w:tc>
          <w:tcPr>
            <w:tcW w:w="118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160,183,066</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10.72%</w:t>
            </w:r>
          </w:p>
        </w:tc>
        <w:tc>
          <w:tcPr>
            <w:tcW w:w="838"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1031"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160,183,066</w:t>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10.72%</w:t>
            </w:r>
          </w:p>
        </w:tc>
      </w:tr>
      <w:tr>
        <w:trPr>
          <w:trHeight w:val="402" w:hRule="exact"/>
        </w:trPr>
        <w:tc>
          <w:tcPr>
            <w:tcW w:w="19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4"/>
              <w:jc w:val="right"/>
              <w:rPr>
                <w:rFonts w:ascii="宋体" w:hAnsi="宋体" w:cs="宋体" w:eastAsia="宋体" w:hint="default"/>
                <w:sz w:val="18"/>
                <w:szCs w:val="18"/>
              </w:rPr>
            </w:pPr>
            <w:r>
              <w:rPr>
                <w:rFonts w:ascii="宋体" w:hAnsi="宋体" w:cs="宋体" w:eastAsia="宋体" w:hint="default"/>
                <w:sz w:val="18"/>
                <w:szCs w:val="18"/>
              </w:rPr>
              <w:t>境内自然人持股</w:t>
            </w:r>
          </w:p>
        </w:tc>
        <w:tc>
          <w:tcPr>
            <w:tcW w:w="118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32,154,741</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2.15%</w:t>
            </w:r>
          </w:p>
        </w:tc>
        <w:tc>
          <w:tcPr>
            <w:tcW w:w="838"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1031"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246,762</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246,762</w:t>
            </w:r>
          </w:p>
        </w:tc>
        <w:tc>
          <w:tcPr>
            <w:tcW w:w="1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32,401,503</w:t>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2.17%</w:t>
            </w:r>
          </w:p>
        </w:tc>
      </w:tr>
      <w:tr>
        <w:trPr>
          <w:trHeight w:val="402" w:hRule="exact"/>
        </w:trPr>
        <w:tc>
          <w:tcPr>
            <w:tcW w:w="19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、外资持股</w:t>
            </w:r>
          </w:p>
        </w:tc>
        <w:tc>
          <w:tcPr>
            <w:tcW w:w="118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838"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1031"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77" w:type="dxa"/>
            <w:tcBorders>
              <w:top w:val="single" w:sz="4" w:space="0" w:color="000000"/>
              <w:left w:val="single" w:sz="4" w:space="0" w:color="000000"/>
              <w:bottom w:val="single" w:sz="4" w:space="0" w:color="000000"/>
              <w:right w:val="single" w:sz="4" w:space="0" w:color="000000"/>
            </w:tcBorders>
          </w:tcPr>
          <w:p>
            <w:pP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9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其中：境外法人持股</w:t>
            </w:r>
          </w:p>
        </w:tc>
        <w:tc>
          <w:tcPr>
            <w:tcW w:w="118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838"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1031"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77" w:type="dxa"/>
            <w:tcBorders>
              <w:top w:val="single" w:sz="4" w:space="0" w:color="000000"/>
              <w:left w:val="single" w:sz="4" w:space="0" w:color="000000"/>
              <w:bottom w:val="single" w:sz="4" w:space="0" w:color="000000"/>
              <w:right w:val="single" w:sz="4" w:space="0" w:color="000000"/>
            </w:tcBorders>
          </w:tcPr>
          <w:p>
            <w:pP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9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4"/>
              <w:jc w:val="right"/>
              <w:rPr>
                <w:rFonts w:ascii="宋体" w:hAnsi="宋体" w:cs="宋体" w:eastAsia="宋体" w:hint="default"/>
                <w:sz w:val="18"/>
                <w:szCs w:val="18"/>
              </w:rPr>
            </w:pPr>
            <w:r>
              <w:rPr>
                <w:rFonts w:ascii="宋体" w:hAnsi="宋体" w:cs="宋体" w:eastAsia="宋体" w:hint="default"/>
                <w:sz w:val="18"/>
                <w:szCs w:val="18"/>
              </w:rPr>
              <w:t>境外自然人持股</w:t>
            </w:r>
          </w:p>
        </w:tc>
        <w:tc>
          <w:tcPr>
            <w:tcW w:w="118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838"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1031"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77" w:type="dxa"/>
            <w:tcBorders>
              <w:top w:val="single" w:sz="4" w:space="0" w:color="000000"/>
              <w:left w:val="single" w:sz="4" w:space="0" w:color="000000"/>
              <w:bottom w:val="single" w:sz="4" w:space="0" w:color="000000"/>
              <w:right w:val="single" w:sz="4" w:space="0" w:color="000000"/>
            </w:tcBorders>
          </w:tcPr>
          <w:p>
            <w:pP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9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118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1,302,496,575</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87.13%</w:t>
            </w:r>
          </w:p>
        </w:tc>
        <w:tc>
          <w:tcPr>
            <w:tcW w:w="838"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1031"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-246,762</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-246,762</w:t>
            </w:r>
          </w:p>
        </w:tc>
        <w:tc>
          <w:tcPr>
            <w:tcW w:w="1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1,302,249,813</w:t>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87.12%</w:t>
            </w:r>
          </w:p>
        </w:tc>
      </w:tr>
      <w:tr>
        <w:trPr>
          <w:trHeight w:val="402" w:hRule="exact"/>
        </w:trPr>
        <w:tc>
          <w:tcPr>
            <w:tcW w:w="19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118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1,302,496,575</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87.13%</w:t>
            </w:r>
          </w:p>
        </w:tc>
        <w:tc>
          <w:tcPr>
            <w:tcW w:w="838"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1031"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-246,762</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-246,762</w:t>
            </w:r>
          </w:p>
        </w:tc>
        <w:tc>
          <w:tcPr>
            <w:tcW w:w="1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1,302,249,813</w:t>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87.12%</w:t>
            </w:r>
          </w:p>
        </w:tc>
      </w:tr>
      <w:tr>
        <w:trPr>
          <w:trHeight w:val="402" w:hRule="exact"/>
        </w:trPr>
        <w:tc>
          <w:tcPr>
            <w:tcW w:w="19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、境内上市的外资股</w:t>
            </w:r>
          </w:p>
        </w:tc>
        <w:tc>
          <w:tcPr>
            <w:tcW w:w="118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838"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1031"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77" w:type="dxa"/>
            <w:tcBorders>
              <w:top w:val="single" w:sz="4" w:space="0" w:color="000000"/>
              <w:left w:val="single" w:sz="4" w:space="0" w:color="000000"/>
              <w:bottom w:val="single" w:sz="4" w:space="0" w:color="000000"/>
              <w:right w:val="single" w:sz="4" w:space="0" w:color="000000"/>
            </w:tcBorders>
          </w:tcPr>
          <w:p>
            <w:pP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9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、境外上市的外资股</w:t>
            </w:r>
          </w:p>
        </w:tc>
        <w:tc>
          <w:tcPr>
            <w:tcW w:w="118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838"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1031"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77" w:type="dxa"/>
            <w:tcBorders>
              <w:top w:val="single" w:sz="4" w:space="0" w:color="000000"/>
              <w:left w:val="single" w:sz="4" w:space="0" w:color="000000"/>
              <w:bottom w:val="single" w:sz="4" w:space="0" w:color="000000"/>
              <w:right w:val="single" w:sz="4" w:space="0" w:color="000000"/>
            </w:tcBorders>
          </w:tcPr>
          <w:p>
            <w:pP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9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18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838"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1031"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77" w:type="dxa"/>
            <w:tcBorders>
              <w:top w:val="single" w:sz="4" w:space="0" w:color="000000"/>
              <w:left w:val="single" w:sz="4" w:space="0" w:color="000000"/>
              <w:bottom w:val="single" w:sz="4" w:space="0" w:color="000000"/>
              <w:right w:val="single" w:sz="4" w:space="0" w:color="000000"/>
            </w:tcBorders>
          </w:tcPr>
          <w:p>
            <w:pP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9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118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1,494,834,382</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100.00%</w:t>
            </w:r>
          </w:p>
        </w:tc>
        <w:tc>
          <w:tcPr>
            <w:tcW w:w="838"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1031"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1,494,834,382</w:t>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bl>
    <w:p>
      <w:pPr>
        <w:pStyle w:val="BodyText"/>
        <w:spacing w:line="240" w:lineRule="auto" w:before="51"/>
        <w:ind w:right="0"/>
        <w:jc w:val="left"/>
      </w:pPr>
      <w:r>
        <w:rPr/>
        <w:t>股份变动的原因</w:t>
      </w:r>
    </w:p>
    <w:p>
      <w:pPr>
        <w:pStyle w:val="BodyText"/>
        <w:spacing w:line="319" w:lineRule="auto" w:before="117"/>
        <w:ind w:right="112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w:t>
      </w:r>
      <w:r>
        <w:rPr>
          <w:rFonts w:ascii="Times New Roman" w:hAnsi="Times New Roman" w:cs="Times New Roman" w:eastAsia="Times New Roman" w:hint="default"/>
        </w:rPr>
        <w:t>1</w:t>
      </w:r>
      <w:r>
        <w:rPr/>
        <w:t>、公司高级管理人员侯旭东、李晓华、黄华于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w:t>
      </w:r>
      <w:r>
        <w:rPr/>
        <w:t>日在深圳证券交易所证券交易系统以集中竞价交易方式，分别增 持了公司股份</w:t>
      </w:r>
      <w:r>
        <w:rPr>
          <w:rFonts w:ascii="Times New Roman" w:hAnsi="Times New Roman" w:cs="Times New Roman" w:eastAsia="Times New Roman" w:hint="default"/>
        </w:rPr>
        <w:t>70,000</w:t>
      </w:r>
      <w:r>
        <w:rPr/>
        <w:t>股、</w:t>
      </w:r>
      <w:r>
        <w:rPr>
          <w:rFonts w:ascii="Times New Roman" w:hAnsi="Times New Roman" w:cs="Times New Roman" w:eastAsia="Times New Roman" w:hint="default"/>
        </w:rPr>
        <w:t>60,083</w:t>
      </w:r>
      <w:r>
        <w:rPr/>
        <w:t>股、</w:t>
      </w:r>
      <w:r>
        <w:rPr>
          <w:rFonts w:ascii="Times New Roman" w:hAnsi="Times New Roman" w:cs="Times New Roman" w:eastAsia="Times New Roman" w:hint="default"/>
        </w:rPr>
        <w:t>60,000</w:t>
      </w:r>
      <w:r>
        <w:rPr/>
        <w:t>股。根据《深圳证券交易所上市公司董事、监事和高级管理人员所持本公司股份</w:t>
      </w:r>
    </w:p>
    <w:p>
      <w:pPr>
        <w:pStyle w:val="BodyText"/>
        <w:spacing w:line="304" w:lineRule="auto"/>
        <w:ind w:right="1032"/>
        <w:jc w:val="left"/>
      </w:pPr>
      <w:r>
        <w:rPr>
          <w:spacing w:val="-2"/>
        </w:rPr>
        <w:t>及其变动管理业务指引》等法律法规的相关规定：上市已满一年公司的董事、监事、高级管理人员证券账户内通过二级市场</w:t>
      </w:r>
      <w:r>
        <w:rPr>
          <w:spacing w:val="-66"/>
        </w:rPr>
        <w:t> </w:t>
      </w:r>
      <w:r>
        <w:rPr>
          <w:spacing w:val="-66"/>
        </w:rPr>
      </w:r>
      <w:r>
        <w:rPr/>
        <w:t>购买、可转债转股、行权、协议受让等方式年内新增的本公司无限售条件股份，按</w:t>
      </w:r>
      <w:r>
        <w:rPr>
          <w:rFonts w:ascii="Times New Roman" w:hAnsi="Times New Roman" w:cs="Times New Roman" w:eastAsia="Times New Roman" w:hint="default"/>
        </w:rPr>
        <w:t>75%</w:t>
      </w:r>
      <w:r>
        <w:rPr/>
        <w:t>自动锁定。即侯旭东、李晓华、黄华 持有的</w:t>
      </w:r>
      <w:r>
        <w:rPr>
          <w:rFonts w:ascii="Times New Roman" w:hAnsi="Times New Roman" w:cs="Times New Roman" w:eastAsia="Times New Roman" w:hint="default"/>
        </w:rPr>
        <w:t>52,500</w:t>
      </w:r>
      <w:r>
        <w:rPr/>
        <w:t>股、</w:t>
      </w:r>
      <w:r>
        <w:rPr>
          <w:rFonts w:ascii="Times New Roman" w:hAnsi="Times New Roman" w:cs="Times New Roman" w:eastAsia="Times New Roman" w:hint="default"/>
        </w:rPr>
        <w:t>45,062</w:t>
      </w:r>
      <w:r>
        <w:rPr/>
        <w:t>股、</w:t>
      </w:r>
      <w:r>
        <w:rPr>
          <w:rFonts w:ascii="Times New Roman" w:hAnsi="Times New Roman" w:cs="Times New Roman" w:eastAsia="Times New Roman" w:hint="default"/>
        </w:rPr>
        <w:t>45,000</w:t>
      </w:r>
      <w:r>
        <w:rPr/>
        <w:t>股作为高管锁定股锁定限售。 </w:t>
      </w:r>
      <w:r>
        <w:rPr>
          <w:rFonts w:ascii="Times New Roman" w:hAnsi="Times New Roman" w:cs="Times New Roman" w:eastAsia="Times New Roman" w:hint="default"/>
          <w:spacing w:val="-2"/>
        </w:rPr>
        <w:t>2</w:t>
      </w:r>
      <w:r>
        <w:rPr>
          <w:spacing w:val="-2"/>
        </w:rPr>
        <w:t>、张明义于</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3</w:t>
      </w:r>
      <w:r>
        <w:rPr>
          <w:spacing w:val="-2"/>
        </w:rPr>
        <w:t>月</w:t>
      </w:r>
      <w:r>
        <w:rPr>
          <w:rFonts w:ascii="Times New Roman" w:hAnsi="Times New Roman" w:cs="Times New Roman" w:eastAsia="Times New Roman" w:hint="default"/>
          <w:spacing w:val="-2"/>
        </w:rPr>
        <w:t>11</w:t>
      </w:r>
      <w:r>
        <w:rPr>
          <w:spacing w:val="-2"/>
        </w:rPr>
        <w:t>日起不再担任公司常务副总经理，原任期为</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3</w:t>
      </w:r>
      <w:r>
        <w:rPr>
          <w:spacing w:val="-2"/>
        </w:rPr>
        <w:t>月</w:t>
      </w:r>
      <w:r>
        <w:rPr>
          <w:rFonts w:ascii="Times New Roman" w:hAnsi="Times New Roman" w:cs="Times New Roman" w:eastAsia="Times New Roman" w:hint="default"/>
          <w:spacing w:val="-2"/>
        </w:rPr>
        <w:t>10</w:t>
      </w:r>
      <w:r>
        <w:rPr>
          <w:spacing w:val="-2"/>
        </w:rPr>
        <w:t>日至</w:t>
      </w:r>
      <w:r>
        <w:rPr>
          <w:rFonts w:ascii="Times New Roman" w:hAnsi="Times New Roman" w:cs="Times New Roman" w:eastAsia="Times New Roman" w:hint="default"/>
          <w:spacing w:val="-2"/>
        </w:rPr>
        <w:t>2020</w:t>
      </w:r>
      <w:r>
        <w:rPr>
          <w:spacing w:val="-2"/>
        </w:rPr>
        <w:t>年</w:t>
      </w:r>
      <w:r>
        <w:rPr>
          <w:rFonts w:ascii="Times New Roman" w:hAnsi="Times New Roman" w:cs="Times New Roman" w:eastAsia="Times New Roman" w:hint="default"/>
          <w:spacing w:val="-2"/>
        </w:rPr>
        <w:t>3</w:t>
      </w:r>
      <w:r>
        <w:rPr>
          <w:spacing w:val="-2"/>
        </w:rPr>
        <w:t>月</w:t>
      </w:r>
      <w:r>
        <w:rPr>
          <w:rFonts w:ascii="Times New Roman" w:hAnsi="Times New Roman" w:cs="Times New Roman" w:eastAsia="Times New Roman" w:hint="default"/>
          <w:spacing w:val="-2"/>
        </w:rPr>
        <w:t>10</w:t>
      </w:r>
      <w:r>
        <w:rPr>
          <w:spacing w:val="-2"/>
        </w:rPr>
        <w:t>日，根据《深圳证券交易</w:t>
      </w:r>
      <w:r>
        <w:rPr>
          <w:spacing w:val="-44"/>
        </w:rPr>
        <w:t> </w:t>
      </w:r>
      <w:r>
        <w:rPr>
          <w:spacing w:val="-44"/>
        </w:rPr>
      </w:r>
      <w:r>
        <w:rPr/>
        <w:t>所上市公司董事、监事和高级管理人员所持本公司股份及其变动管理业务指引》、《深圳证券交易所上市公司股东及董事、 监事、高级管理人员减持股份实施细则》等法律法规的相关规定：（</w:t>
      </w:r>
      <w:r>
        <w:rPr>
          <w:rFonts w:ascii="Times New Roman" w:hAnsi="Times New Roman" w:cs="Times New Roman" w:eastAsia="Times New Roman" w:hint="default"/>
        </w:rPr>
        <w:t>1</w:t>
      </w:r>
      <w:r>
        <w:rPr/>
        <w:t>）上市公司董事、监事和高级管理人员离任并委托公 司申报个人信息后，中国结算深圳分公司自其申报离任日起六个月内将其持有及新增的本公司股份予以全部锁定；（</w:t>
      </w:r>
      <w:r>
        <w:rPr>
          <w:rFonts w:ascii="Times New Roman" w:hAnsi="Times New Roman" w:cs="Times New Roman" w:eastAsia="Times New Roman" w:hint="default"/>
        </w:rPr>
        <w:t>2</w:t>
      </w:r>
      <w:r>
        <w:rPr/>
        <w:t>）董 监高在任期届满前离职的，应当在其就任时确定的任期内，每年转让的股份不得超过其所持有本公司股份总数的</w:t>
      </w:r>
      <w:r>
        <w:rPr>
          <w:rFonts w:ascii="Times New Roman" w:hAnsi="Times New Roman" w:cs="Times New Roman" w:eastAsia="Times New Roman" w:hint="default"/>
        </w:rPr>
        <w:t>25%</w:t>
      </w:r>
      <w:r>
        <w:rPr/>
        <w:t>。即张</w:t>
      </w:r>
    </w:p>
    <w:p>
      <w:pPr>
        <w:spacing w:after="0" w:line="304"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07" w:lineRule="auto" w:before="44"/>
        <w:ind w:right="0"/>
        <w:jc w:val="left"/>
      </w:pPr>
      <w:r>
        <w:rPr/>
        <w:t>明义持有的无限售流通股</w:t>
      </w:r>
      <w:r>
        <w:rPr>
          <w:rFonts w:ascii="Times New Roman" w:hAnsi="Times New Roman" w:cs="Times New Roman" w:eastAsia="Times New Roman" w:hint="default"/>
        </w:rPr>
        <w:t>980,000</w:t>
      </w:r>
      <w:r>
        <w:rPr/>
        <w:t>股，其中</w:t>
      </w:r>
      <w:r>
        <w:rPr>
          <w:rFonts w:ascii="Times New Roman" w:hAnsi="Times New Roman" w:cs="Times New Roman" w:eastAsia="Times New Roman" w:hint="default"/>
        </w:rPr>
        <w:t>735,000</w:t>
      </w:r>
      <w:r>
        <w:rPr/>
        <w:t>股予以锁定。 </w:t>
      </w:r>
      <w:r>
        <w:rPr>
          <w:rFonts w:ascii="Times New Roman" w:hAnsi="Times New Roman" w:cs="Times New Roman" w:eastAsia="Times New Roman" w:hint="default"/>
          <w:spacing w:val="-2"/>
        </w:rPr>
        <w:t>3</w:t>
      </w:r>
      <w:r>
        <w:rPr>
          <w:spacing w:val="-2"/>
        </w:rPr>
        <w:t>、王忠年于</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3</w:t>
      </w:r>
      <w:r>
        <w:rPr>
          <w:spacing w:val="-2"/>
        </w:rPr>
        <w:t>月</w:t>
      </w:r>
      <w:r>
        <w:rPr>
          <w:rFonts w:ascii="Times New Roman" w:hAnsi="Times New Roman" w:cs="Times New Roman" w:eastAsia="Times New Roman" w:hint="default"/>
          <w:spacing w:val="-2"/>
        </w:rPr>
        <w:t>10</w:t>
      </w:r>
      <w:r>
        <w:rPr>
          <w:spacing w:val="-2"/>
        </w:rPr>
        <w:t>日届满离任独立董事职务，根据《深圳证券交易所上市公司董事、监事和高级管理人员所持本公司</w:t>
      </w:r>
      <w:r>
        <w:rPr>
          <w:spacing w:val="-58"/>
        </w:rPr>
        <w:t> </w:t>
      </w:r>
      <w:r>
        <w:rPr>
          <w:spacing w:val="-58"/>
        </w:rPr>
      </w:r>
      <w:r>
        <w:rPr>
          <w:spacing w:val="-2"/>
        </w:rPr>
        <w:t>股份及其变动管理业务指引》、《深圳证券交易所上市公司股东及董事、监事、高级管理人员减持股份实施细则》等法律法</w:t>
      </w:r>
      <w:r>
        <w:rPr>
          <w:spacing w:val="-69"/>
        </w:rPr>
        <w:t> </w:t>
      </w:r>
      <w:r>
        <w:rPr>
          <w:spacing w:val="-69"/>
        </w:rPr>
      </w:r>
      <w:r>
        <w:rPr/>
        <w:t>规的相关规定，期初其持有的</w:t>
      </w:r>
      <w:r>
        <w:rPr>
          <w:rFonts w:ascii="Times New Roman" w:hAnsi="Times New Roman" w:cs="Times New Roman" w:eastAsia="Times New Roman" w:hint="default"/>
        </w:rPr>
        <w:t>800</w:t>
      </w:r>
      <w:r>
        <w:rPr/>
        <w:t>股高管锁定股予以解锁。</w:t>
      </w:r>
    </w:p>
    <w:p>
      <w:pPr>
        <w:spacing w:line="240" w:lineRule="auto" w:before="0"/>
        <w:rPr>
          <w:rFonts w:ascii="宋体" w:hAnsi="宋体" w:cs="宋体" w:eastAsia="宋体" w:hint="default"/>
          <w:sz w:val="18"/>
          <w:szCs w:val="18"/>
        </w:rPr>
      </w:pPr>
    </w:p>
    <w:p>
      <w:pPr>
        <w:pStyle w:val="BodyText"/>
        <w:spacing w:line="240" w:lineRule="auto" w:before="124"/>
        <w:ind w:right="0"/>
        <w:jc w:val="left"/>
      </w:pPr>
      <w:r>
        <w:rPr/>
        <w:t>股份变动的批准情况</w:t>
      </w:r>
    </w:p>
    <w:p>
      <w:pPr>
        <w:pStyle w:val="BodyText"/>
        <w:spacing w:line="338" w:lineRule="auto" w:before="117"/>
        <w:ind w:right="913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股份变动的过户情况</w:t>
      </w:r>
    </w:p>
    <w:p>
      <w:pPr>
        <w:pStyle w:val="BodyText"/>
        <w:spacing w:line="340" w:lineRule="auto" w:before="42"/>
        <w:ind w:right="877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股份回购的实施进展情况</w:t>
      </w:r>
    </w:p>
    <w:p>
      <w:pPr>
        <w:pStyle w:val="BodyText"/>
        <w:spacing w:line="319" w:lineRule="auto" w:before="40"/>
        <w:ind w:right="111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w:t>
      </w:r>
      <w:r>
        <w:rPr>
          <w:rFonts w:ascii="Times New Roman" w:hAnsi="Times New Roman" w:cs="Times New Roman" w:eastAsia="Times New Roman" w:hint="default"/>
          <w:spacing w:val="-2"/>
        </w:rPr>
        <w:t>1</w:t>
      </w:r>
      <w:r>
        <w:rPr>
          <w:spacing w:val="-2"/>
        </w:rPr>
        <w:t>、公司于</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2</w:t>
      </w:r>
      <w:r>
        <w:rPr>
          <w:spacing w:val="-2"/>
        </w:rPr>
        <w:t>月</w:t>
      </w:r>
      <w:r>
        <w:rPr>
          <w:rFonts w:ascii="Times New Roman" w:hAnsi="Times New Roman" w:cs="Times New Roman" w:eastAsia="Times New Roman" w:hint="default"/>
          <w:spacing w:val="-2"/>
        </w:rPr>
        <w:t>11</w:t>
      </w:r>
      <w:r>
        <w:rPr>
          <w:spacing w:val="-2"/>
        </w:rPr>
        <w:t>日召开的第五届董事会</w:t>
      </w:r>
      <w:r>
        <w:rPr>
          <w:rFonts w:ascii="Times New Roman" w:hAnsi="Times New Roman" w:cs="Times New Roman" w:eastAsia="Times New Roman" w:hint="default"/>
          <w:spacing w:val="-2"/>
        </w:rPr>
        <w:t>2018</w:t>
      </w:r>
      <w:r>
        <w:rPr>
          <w:spacing w:val="-2"/>
        </w:rPr>
        <w:t>年第二次会议、于</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3</w:t>
      </w:r>
      <w:r>
        <w:rPr>
          <w:spacing w:val="-2"/>
        </w:rPr>
        <w:t>月</w:t>
      </w:r>
      <w:r>
        <w:rPr>
          <w:rFonts w:ascii="Times New Roman" w:hAnsi="Times New Roman" w:cs="Times New Roman" w:eastAsia="Times New Roman" w:hint="default"/>
          <w:spacing w:val="-2"/>
        </w:rPr>
        <w:t>5</w:t>
      </w:r>
      <w:r>
        <w:rPr>
          <w:spacing w:val="-2"/>
        </w:rPr>
        <w:t>日召开的</w:t>
      </w:r>
      <w:r>
        <w:rPr>
          <w:rFonts w:ascii="Times New Roman" w:hAnsi="Times New Roman" w:cs="Times New Roman" w:eastAsia="Times New Roman" w:hint="default"/>
          <w:spacing w:val="-2"/>
        </w:rPr>
        <w:t>2018</w:t>
      </w:r>
      <w:r>
        <w:rPr>
          <w:spacing w:val="-2"/>
        </w:rPr>
        <w:t>年第二次临时股东大会审议通</w:t>
      </w:r>
      <w:r>
        <w:rPr>
          <w:spacing w:val="-42"/>
        </w:rPr>
        <w:t> </w:t>
      </w:r>
      <w:r>
        <w:rPr>
          <w:spacing w:val="-3"/>
        </w:rPr>
        <w:t>过了《关于回购部分社会公众股份的预案》，《关于回购部分社会公众股份的预案》的具体内容于</w:t>
      </w:r>
      <w:r>
        <w:rPr>
          <w:rFonts w:ascii="Times New Roman" w:hAnsi="Times New Roman" w:cs="Times New Roman" w:eastAsia="Times New Roman" w:hint="default"/>
          <w:spacing w:val="-3"/>
        </w:rPr>
        <w:t>2018</w:t>
      </w:r>
      <w:r>
        <w:rPr>
          <w:spacing w:val="-3"/>
        </w:rPr>
        <w:t>年</w:t>
      </w:r>
      <w:r>
        <w:rPr>
          <w:rFonts w:ascii="Times New Roman" w:hAnsi="Times New Roman" w:cs="Times New Roman" w:eastAsia="Times New Roman" w:hint="default"/>
          <w:spacing w:val="-3"/>
        </w:rPr>
        <w:t>2</w:t>
      </w:r>
      <w:r>
        <w:rPr>
          <w:spacing w:val="-3"/>
        </w:rPr>
        <w:t>月</w:t>
      </w:r>
      <w:r>
        <w:rPr>
          <w:rFonts w:ascii="Times New Roman" w:hAnsi="Times New Roman" w:cs="Times New Roman" w:eastAsia="Times New Roman" w:hint="default"/>
          <w:spacing w:val="-3"/>
        </w:rPr>
        <w:t>12</w:t>
      </w:r>
      <w:r>
        <w:rPr>
          <w:spacing w:val="-3"/>
        </w:rPr>
        <w:t>日刊登于《证</w:t>
      </w:r>
    </w:p>
    <w:p>
      <w:pPr>
        <w:pStyle w:val="BodyText"/>
        <w:spacing w:line="300" w:lineRule="auto"/>
        <w:ind w:right="1112"/>
        <w:jc w:val="left"/>
      </w:pPr>
      <w:r>
        <w:rPr/>
        <w:t>券时报》、《中国证券报》、《上海证券报》、《证券日报》以及巨潮资讯网（</w:t>
      </w:r>
      <w:hyperlink r:id="rId11">
        <w:r>
          <w:rPr>
            <w:rFonts w:ascii="Times New Roman" w:hAnsi="Times New Roman" w:cs="Times New Roman" w:eastAsia="Times New Roman" w:hint="default"/>
          </w:rPr>
          <w:t>www.cninfo.com.cn</w:t>
        </w:r>
      </w:hyperlink>
      <w:r>
        <w:rPr/>
        <w:t>）。公司按照相关规则 编制了《回购股份报告书》，具体内容于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12</w:t>
      </w:r>
      <w:r>
        <w:rPr/>
        <w:t>日刊登于《证券时报》、《中国证券报》、《上海证券报》、《证券 日报》以及巨潮资讯网（</w:t>
      </w:r>
      <w:hyperlink r:id="rId11">
        <w:r>
          <w:rPr>
            <w:rFonts w:ascii="Times New Roman" w:hAnsi="Times New Roman" w:cs="Times New Roman" w:eastAsia="Times New Roman" w:hint="default"/>
          </w:rPr>
          <w:t>www.cninfo.com.cn</w:t>
        </w:r>
      </w:hyperlink>
      <w:r>
        <w:rPr/>
        <w:t>）。 </w:t>
      </w:r>
      <w:r>
        <w:rPr>
          <w:rFonts w:ascii="Times New Roman" w:hAnsi="Times New Roman" w:cs="Times New Roman" w:eastAsia="Times New Roman" w:hint="default"/>
          <w:spacing w:val="-2"/>
        </w:rPr>
        <w:t>2</w:t>
      </w:r>
      <w:r>
        <w:rPr>
          <w:spacing w:val="-2"/>
        </w:rPr>
        <w:t>、公司于</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7</w:t>
      </w:r>
      <w:r>
        <w:rPr>
          <w:spacing w:val="-2"/>
        </w:rPr>
        <w:t>日召开</w:t>
      </w:r>
      <w:r>
        <w:rPr>
          <w:rFonts w:ascii="Times New Roman" w:hAnsi="Times New Roman" w:cs="Times New Roman" w:eastAsia="Times New Roman" w:hint="default"/>
          <w:spacing w:val="-2"/>
        </w:rPr>
        <w:t>2017</w:t>
      </w:r>
      <w:r>
        <w:rPr>
          <w:spacing w:val="-2"/>
        </w:rPr>
        <w:t>年年度股东大会审议通过了《关于</w:t>
      </w:r>
      <w:r>
        <w:rPr>
          <w:rFonts w:ascii="Times New Roman" w:hAnsi="Times New Roman" w:cs="Times New Roman" w:eastAsia="Times New Roman" w:hint="default"/>
          <w:spacing w:val="-2"/>
        </w:rPr>
        <w:t>2017</w:t>
      </w:r>
      <w:r>
        <w:rPr>
          <w:spacing w:val="-2"/>
        </w:rPr>
        <w:t>年年度利润分配方案的议案》，公司于</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6</w:t>
      </w:r>
      <w:r>
        <w:rPr>
          <w:spacing w:val="-2"/>
        </w:rPr>
        <w:t>月</w:t>
      </w:r>
      <w:r>
        <w:rPr>
          <w:rFonts w:ascii="Times New Roman" w:hAnsi="Times New Roman" w:cs="Times New Roman" w:eastAsia="Times New Roman" w:hint="default"/>
          <w:spacing w:val="-2"/>
        </w:rPr>
        <w:t>29</w:t>
      </w:r>
      <w:r>
        <w:rPr>
          <w:rFonts w:ascii="Times New Roman" w:hAnsi="Times New Roman" w:cs="Times New Roman" w:eastAsia="Times New Roman" w:hint="default"/>
          <w:spacing w:val="1"/>
        </w:rPr>
        <w:t> </w:t>
      </w:r>
      <w:r>
        <w:rPr>
          <w:spacing w:val="-2"/>
        </w:rPr>
        <w:t>日披露了《</w:t>
      </w:r>
      <w:r>
        <w:rPr>
          <w:rFonts w:ascii="Times New Roman" w:hAnsi="Times New Roman" w:cs="Times New Roman" w:eastAsia="Times New Roman" w:hint="default"/>
          <w:spacing w:val="-2"/>
        </w:rPr>
        <w:t>2017</w:t>
      </w:r>
      <w:r>
        <w:rPr>
          <w:spacing w:val="-2"/>
        </w:rPr>
        <w:t>年年度权益分派实施公告》，鉴于公司</w:t>
      </w:r>
      <w:r>
        <w:rPr>
          <w:rFonts w:ascii="Times New Roman" w:hAnsi="Times New Roman" w:cs="Times New Roman" w:eastAsia="Times New Roman" w:hint="default"/>
          <w:spacing w:val="-2"/>
        </w:rPr>
        <w:t>2017</w:t>
      </w:r>
      <w:r>
        <w:rPr>
          <w:spacing w:val="-2"/>
        </w:rPr>
        <w:t>年度权益分派已实施，公司对回购股份的价格进行相应调整，回</w:t>
      </w:r>
      <w:r>
        <w:rPr>
          <w:spacing w:val="-58"/>
        </w:rPr>
        <w:t> </w:t>
      </w:r>
      <w:r>
        <w:rPr>
          <w:spacing w:val="-58"/>
        </w:rPr>
      </w:r>
      <w:r>
        <w:rPr/>
        <w:t>购价格上限由</w:t>
      </w:r>
      <w:r>
        <w:rPr>
          <w:rFonts w:ascii="Times New Roman" w:hAnsi="Times New Roman" w:cs="Times New Roman" w:eastAsia="Times New Roman" w:hint="default"/>
        </w:rPr>
        <w:t>9.6</w:t>
      </w:r>
      <w:r>
        <w:rPr/>
        <w:t>元</w:t>
      </w:r>
      <w:r>
        <w:rPr>
          <w:rFonts w:ascii="Times New Roman" w:hAnsi="Times New Roman" w:cs="Times New Roman" w:eastAsia="Times New Roman" w:hint="default"/>
        </w:rPr>
        <w:t>/</w:t>
      </w:r>
      <w:r>
        <w:rPr/>
        <w:t>股调整为</w:t>
      </w:r>
      <w:r>
        <w:rPr>
          <w:rFonts w:ascii="Times New Roman" w:hAnsi="Times New Roman" w:cs="Times New Roman" w:eastAsia="Times New Roman" w:hint="default"/>
        </w:rPr>
        <w:t>9.30</w:t>
      </w:r>
      <w:r>
        <w:rPr/>
        <w:t>元</w:t>
      </w:r>
      <w:r>
        <w:rPr>
          <w:rFonts w:ascii="Times New Roman" w:hAnsi="Times New Roman" w:cs="Times New Roman" w:eastAsia="Times New Roman" w:hint="default"/>
        </w:rPr>
        <w:t>/</w:t>
      </w:r>
      <w:r>
        <w:rPr/>
        <w:t>股。《关于实施</w:t>
      </w:r>
      <w:r>
        <w:rPr>
          <w:rFonts w:ascii="Times New Roman" w:hAnsi="Times New Roman" w:cs="Times New Roman" w:eastAsia="Times New Roman" w:hint="default"/>
        </w:rPr>
        <w:t>2017</w:t>
      </w:r>
      <w:r>
        <w:rPr/>
        <w:t>年度利润分配方案后调整回购部分社会公众股份价格上限的公告》 的具体内容于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6</w:t>
      </w:r>
      <w:r>
        <w:rPr/>
        <w:t>日刊登于《证券时报》、《中国证券报》、《上海证券报》、《证券日报》以及巨潮资讯网</w:t>
      </w:r>
    </w:p>
    <w:p>
      <w:pPr>
        <w:pStyle w:val="BodyText"/>
        <w:spacing w:line="307" w:lineRule="auto" w:before="13"/>
        <w:ind w:right="0"/>
        <w:jc w:val="left"/>
      </w:pPr>
      <w:r>
        <w:rPr/>
        <w:t>（</w:t>
      </w:r>
      <w:hyperlink r:id="rId11">
        <w:r>
          <w:rPr>
            <w:rFonts w:ascii="Times New Roman" w:hAnsi="Times New Roman" w:cs="Times New Roman" w:eastAsia="Times New Roman" w:hint="default"/>
          </w:rPr>
          <w:t>www.cninfo.com.cn</w:t>
        </w:r>
      </w:hyperlink>
      <w:r>
        <w:rPr/>
        <w:t>）。</w:t>
      </w:r>
      <w:r>
        <w:rPr>
          <w:w w:val="99"/>
        </w:rPr>
        <w:t> </w:t>
      </w:r>
      <w:r>
        <w:rPr>
          <w:rFonts w:ascii="Times New Roman" w:hAnsi="Times New Roman" w:cs="Times New Roman" w:eastAsia="Times New Roman" w:hint="default"/>
          <w:spacing w:val="-2"/>
        </w:rPr>
        <w:t>3</w:t>
      </w:r>
      <w:r>
        <w:rPr>
          <w:spacing w:val="-2"/>
        </w:rPr>
        <w:t>、公司于</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8</w:t>
      </w:r>
      <w:r>
        <w:rPr>
          <w:spacing w:val="-2"/>
        </w:rPr>
        <w:t>月</w:t>
      </w:r>
      <w:r>
        <w:rPr>
          <w:rFonts w:ascii="Times New Roman" w:hAnsi="Times New Roman" w:cs="Times New Roman" w:eastAsia="Times New Roman" w:hint="default"/>
          <w:spacing w:val="-2"/>
        </w:rPr>
        <w:t>17</w:t>
      </w:r>
      <w:r>
        <w:rPr>
          <w:spacing w:val="-2"/>
        </w:rPr>
        <w:t>日召开的第五届董事会</w:t>
      </w:r>
      <w:r>
        <w:rPr>
          <w:rFonts w:ascii="Times New Roman" w:hAnsi="Times New Roman" w:cs="Times New Roman" w:eastAsia="Times New Roman" w:hint="default"/>
          <w:spacing w:val="-2"/>
        </w:rPr>
        <w:t>2018</w:t>
      </w:r>
      <w:r>
        <w:rPr>
          <w:spacing w:val="-2"/>
        </w:rPr>
        <w:t>年第八次会议、于</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9</w:t>
      </w:r>
      <w:r>
        <w:rPr>
          <w:spacing w:val="-2"/>
        </w:rPr>
        <w:t>月</w:t>
      </w:r>
      <w:r>
        <w:rPr>
          <w:rFonts w:ascii="Times New Roman" w:hAnsi="Times New Roman" w:cs="Times New Roman" w:eastAsia="Times New Roman" w:hint="default"/>
          <w:spacing w:val="-2"/>
        </w:rPr>
        <w:t>3</w:t>
      </w:r>
      <w:r>
        <w:rPr>
          <w:spacing w:val="-2"/>
        </w:rPr>
        <w:t>日召开的</w:t>
      </w:r>
      <w:r>
        <w:rPr>
          <w:rFonts w:ascii="Times New Roman" w:hAnsi="Times New Roman" w:cs="Times New Roman" w:eastAsia="Times New Roman" w:hint="default"/>
          <w:spacing w:val="-2"/>
        </w:rPr>
        <w:t>2018</w:t>
      </w:r>
      <w:r>
        <w:rPr>
          <w:spacing w:val="-2"/>
        </w:rPr>
        <w:t>年第三次临时股东大会审议通</w:t>
      </w:r>
      <w:r>
        <w:rPr>
          <w:spacing w:val="-43"/>
        </w:rPr>
        <w:t> </w:t>
      </w:r>
      <w:r>
        <w:rPr>
          <w:spacing w:val="-2"/>
        </w:rPr>
        <w:t>过了《关于回购部分社会公众股份的预案》（调整后），对回购股份的金额及回购股份的实施期限进行了调整，《关于调整</w:t>
      </w:r>
      <w:r>
        <w:rPr>
          <w:spacing w:val="-67"/>
        </w:rPr>
        <w:t> </w:t>
      </w:r>
      <w:r>
        <w:rPr>
          <w:spacing w:val="-67"/>
        </w:rPr>
      </w:r>
      <w:r>
        <w:rPr>
          <w:spacing w:val="-2"/>
        </w:rPr>
        <w:t>回购部分社会公众股份事项的公告》的具体内容于</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8</w:t>
      </w:r>
      <w:r>
        <w:rPr>
          <w:spacing w:val="-2"/>
        </w:rPr>
        <w:t>月</w:t>
      </w:r>
      <w:r>
        <w:rPr>
          <w:rFonts w:ascii="Times New Roman" w:hAnsi="Times New Roman" w:cs="Times New Roman" w:eastAsia="Times New Roman" w:hint="default"/>
          <w:spacing w:val="-2"/>
        </w:rPr>
        <w:t>18</w:t>
      </w:r>
      <w:r>
        <w:rPr>
          <w:spacing w:val="-2"/>
        </w:rPr>
        <w:t>日刊登于《证券时报》、《中国证券报》、《上海证券报》、</w:t>
      </w:r>
    </w:p>
    <w:p>
      <w:pPr>
        <w:pStyle w:val="BodyText"/>
        <w:spacing w:line="300" w:lineRule="auto" w:before="7"/>
        <w:ind w:right="1107"/>
        <w:jc w:val="left"/>
      </w:pPr>
      <w:r>
        <w:rPr/>
        <w:t>《证券日报》以及巨潮资讯网（</w:t>
      </w:r>
      <w:hyperlink r:id="rId11">
        <w:r>
          <w:rPr>
            <w:rFonts w:ascii="Times New Roman" w:hAnsi="Times New Roman" w:cs="Times New Roman" w:eastAsia="Times New Roman" w:hint="default"/>
          </w:rPr>
          <w:t>www.cninfo.com.cn</w:t>
        </w:r>
      </w:hyperlink>
      <w:r>
        <w:rPr/>
        <w:t>）。</w:t>
      </w:r>
      <w:r>
        <w:rPr>
          <w:w w:val="99"/>
        </w:rPr>
        <w:t> </w:t>
      </w:r>
      <w:r>
        <w:rPr>
          <w:rFonts w:ascii="Times New Roman" w:hAnsi="Times New Roman" w:cs="Times New Roman" w:eastAsia="Times New Roman" w:hint="default"/>
        </w:rPr>
        <w:t>4</w:t>
      </w:r>
      <w:r>
        <w:rPr/>
        <w:t>、截止本次回购股份方案实施完毕日，公司累计回购股份</w:t>
      </w:r>
      <w:r>
        <w:rPr>
          <w:rFonts w:ascii="Times New Roman" w:hAnsi="Times New Roman" w:cs="Times New Roman" w:eastAsia="Times New Roman" w:hint="default"/>
        </w:rPr>
        <w:t>29,963,932</w:t>
      </w:r>
      <w:r>
        <w:rPr/>
        <w:t>股，占公司截止至回购完毕之日的总股本的</w:t>
      </w:r>
      <w:r>
        <w:rPr>
          <w:rFonts w:ascii="Times New Roman" w:hAnsi="Times New Roman" w:cs="Times New Roman" w:eastAsia="Times New Roman" w:hint="default"/>
        </w:rPr>
        <w:t>2.0045%</w:t>
      </w:r>
      <w:r>
        <w:rPr/>
        <w:t>，</w:t>
      </w:r>
      <w:r>
        <w:rPr>
          <w:w w:val="99"/>
        </w:rPr>
        <w:t> </w:t>
      </w:r>
      <w:r>
        <w:rPr/>
        <w:t>最高成交价为</w:t>
      </w:r>
      <w:r>
        <w:rPr>
          <w:rFonts w:ascii="Times New Roman" w:hAnsi="Times New Roman" w:cs="Times New Roman" w:eastAsia="Times New Roman" w:hint="default"/>
        </w:rPr>
        <w:t>8.74</w:t>
      </w:r>
      <w:r>
        <w:rPr/>
        <w:t>元</w:t>
      </w:r>
      <w:r>
        <w:rPr>
          <w:rFonts w:ascii="Times New Roman" w:hAnsi="Times New Roman" w:cs="Times New Roman" w:eastAsia="Times New Roman" w:hint="default"/>
        </w:rPr>
        <w:t>/</w:t>
      </w:r>
      <w:r>
        <w:rPr/>
        <w:t>股，最低成交价为</w:t>
      </w:r>
      <w:r>
        <w:rPr>
          <w:rFonts w:ascii="Times New Roman" w:hAnsi="Times New Roman" w:cs="Times New Roman" w:eastAsia="Times New Roman" w:hint="default"/>
        </w:rPr>
        <w:t>6.46</w:t>
      </w:r>
      <w:r>
        <w:rPr/>
        <w:t>元</w:t>
      </w:r>
      <w:r>
        <w:rPr>
          <w:rFonts w:ascii="Times New Roman" w:hAnsi="Times New Roman" w:cs="Times New Roman" w:eastAsia="Times New Roman" w:hint="default"/>
        </w:rPr>
        <w:t>/</w:t>
      </w:r>
      <w:r>
        <w:rPr/>
        <w:t>股，成交金额为</w:t>
      </w:r>
      <w:r>
        <w:rPr>
          <w:rFonts w:ascii="Times New Roman" w:hAnsi="Times New Roman" w:cs="Times New Roman" w:eastAsia="Times New Roman" w:hint="default"/>
        </w:rPr>
        <w:t>230,291,282.05</w:t>
      </w:r>
      <w:r>
        <w:rPr/>
        <w:t>元（含交易费用）。</w:t>
      </w:r>
      <w:r>
        <w:rPr>
          <w:w w:val="99"/>
        </w:rPr>
        <w:t> </w:t>
      </w:r>
      <w:r>
        <w:rPr>
          <w:rFonts w:ascii="Times New Roman" w:hAnsi="Times New Roman" w:cs="Times New Roman" w:eastAsia="Times New Roman" w:hint="default"/>
        </w:rPr>
        <w:t>5</w:t>
      </w:r>
      <w:r>
        <w:rPr/>
        <w:t>、</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5</w:t>
      </w:r>
      <w:r>
        <w:rPr/>
        <w:t>日为本次回购股份方案实施完毕日，公司于</w:t>
      </w:r>
      <w:r>
        <w:rPr>
          <w:spacing w:val="-39"/>
        </w:rPr>
        <w:t> </w:t>
      </w:r>
      <w:r>
        <w:rPr>
          <w:rFonts w:ascii="Times New Roman" w:hAnsi="Times New Roman" w:cs="Times New Roman" w:eastAsia="Times New Roman" w:hint="default"/>
        </w:rPr>
        <w:t>2019</w:t>
      </w:r>
      <w:r>
        <w:rPr>
          <w:rFonts w:ascii="Times New Roman" w:hAnsi="Times New Roman" w:cs="Times New Roman" w:eastAsia="Times New Roman" w:hint="default"/>
          <w:spacing w:val="5"/>
        </w:rPr>
        <w:t> </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13</w:t>
      </w:r>
      <w:r>
        <w:rPr/>
        <w:t>日在中国证券登记结算有限责任公司深圳分公司办</w:t>
      </w:r>
      <w:r>
        <w:rPr>
          <w:w w:val="99"/>
        </w:rPr>
        <w:t> </w:t>
      </w:r>
      <w:r>
        <w:rPr/>
        <w:t>理完毕股份回购注销手续，截止本公告披露之日，公司总股本为</w:t>
      </w:r>
      <w:r>
        <w:rPr>
          <w:rFonts w:ascii="Times New Roman" w:hAnsi="Times New Roman" w:cs="Times New Roman" w:eastAsia="Times New Roman" w:hint="default"/>
        </w:rPr>
        <w:t>1,464,870,450</w:t>
      </w:r>
      <w:r>
        <w:rPr/>
        <w:t>股。</w:t>
      </w:r>
    </w:p>
    <w:p>
      <w:pPr>
        <w:spacing w:line="240" w:lineRule="auto" w:before="0"/>
        <w:rPr>
          <w:rFonts w:ascii="宋体" w:hAnsi="宋体" w:cs="宋体" w:eastAsia="宋体" w:hint="default"/>
          <w:sz w:val="18"/>
          <w:szCs w:val="18"/>
        </w:rPr>
      </w:pPr>
    </w:p>
    <w:p>
      <w:pPr>
        <w:pStyle w:val="BodyText"/>
        <w:spacing w:line="240" w:lineRule="auto" w:before="130"/>
        <w:ind w:right="0"/>
        <w:jc w:val="left"/>
      </w:pPr>
      <w:r>
        <w:rPr/>
        <w:t>采用集中竞价方式减持回购股份的实施进展情况</w:t>
      </w:r>
    </w:p>
    <w:p>
      <w:pPr>
        <w:pStyle w:val="BodyText"/>
        <w:spacing w:line="338" w:lineRule="auto" w:before="117"/>
        <w:ind w:right="13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股份变动对最近一年和最近一期基本每股收益和稀释每股收益、归属于公司普通股股东的每股净资产等财务指标的影响</w:t>
      </w:r>
    </w:p>
    <w:p>
      <w:pPr>
        <w:pStyle w:val="BodyText"/>
        <w:spacing w:line="338" w:lineRule="auto" w:before="43"/>
        <w:ind w:right="67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公司认为必要或证券监管机构要求披露的其他内容</w:t>
      </w:r>
    </w:p>
    <w:p>
      <w:pPr>
        <w:pStyle w:val="BodyText"/>
        <w:spacing w:line="240" w:lineRule="auto" w:before="42"/>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bookmarkStart w:name="2、限售股份变动情况" w:id="108"/>
      <w:bookmarkEnd w:id="108"/>
      <w:r>
        <w:rPr>
          <w:b w:val="0"/>
          <w:bCs w:val="0"/>
        </w:rPr>
      </w:r>
      <w:r>
        <w:rPr>
          <w:rFonts w:ascii="Times New Roman" w:hAnsi="Times New Roman" w:cs="Times New Roman" w:eastAsia="Times New Roman" w:hint="default"/>
        </w:rPr>
        <w:t>2</w:t>
      </w:r>
      <w:r>
        <w:rPr/>
        <w:t>、限售股份变动情况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3"/>
        <w:ind w:left="0" w:right="1130"/>
        <w:jc w:val="right"/>
      </w:pPr>
      <w:r>
        <w:rPr/>
        <w:t>单位：股</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392" w:hRule="exact"/>
        </w:trPr>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319"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37" w:right="0"/>
              <w:jc w:val="left"/>
              <w:rPr>
                <w:rFonts w:ascii="宋体" w:hAnsi="宋体" w:cs="宋体" w:eastAsia="宋体" w:hint="default"/>
                <w:sz w:val="18"/>
                <w:szCs w:val="18"/>
              </w:rPr>
            </w:pPr>
            <w:r>
              <w:rPr>
                <w:rFonts w:ascii="宋体" w:hAnsi="宋体" w:cs="宋体" w:eastAsia="宋体" w:hint="default"/>
                <w:sz w:val="18"/>
                <w:szCs w:val="18"/>
              </w:rPr>
              <w:t>期初限售股数</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7"/>
              <w:ind w:left="48" w:right="0"/>
              <w:jc w:val="left"/>
              <w:rPr>
                <w:rFonts w:ascii="宋体" w:hAnsi="宋体" w:cs="宋体" w:eastAsia="宋体" w:hint="default"/>
                <w:sz w:val="18"/>
                <w:szCs w:val="18"/>
              </w:rPr>
            </w:pPr>
            <w:r>
              <w:rPr>
                <w:rFonts w:ascii="宋体" w:hAnsi="宋体" w:cs="宋体" w:eastAsia="宋体" w:hint="default"/>
                <w:sz w:val="18"/>
                <w:szCs w:val="18"/>
              </w:rPr>
              <w:t>本期解除限售股</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7"/>
              <w:ind w:left="47" w:right="0"/>
              <w:jc w:val="left"/>
              <w:rPr>
                <w:rFonts w:ascii="宋体" w:hAnsi="宋体" w:cs="宋体" w:eastAsia="宋体" w:hint="default"/>
                <w:sz w:val="18"/>
                <w:szCs w:val="18"/>
              </w:rPr>
            </w:pPr>
            <w:r>
              <w:rPr>
                <w:rFonts w:ascii="宋体" w:hAnsi="宋体" w:cs="宋体" w:eastAsia="宋体" w:hint="default"/>
                <w:sz w:val="18"/>
                <w:szCs w:val="18"/>
              </w:rPr>
              <w:t>本期增加限售股</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39" w:right="0"/>
              <w:jc w:val="left"/>
              <w:rPr>
                <w:rFonts w:ascii="宋体" w:hAnsi="宋体" w:cs="宋体" w:eastAsia="宋体" w:hint="default"/>
                <w:sz w:val="18"/>
                <w:szCs w:val="18"/>
              </w:rPr>
            </w:pPr>
            <w:r>
              <w:rPr>
                <w:rFonts w:ascii="宋体" w:hAnsi="宋体" w:cs="宋体" w:eastAsia="宋体" w:hint="default"/>
                <w:sz w:val="18"/>
                <w:szCs w:val="18"/>
              </w:rPr>
              <w:t>期末限售股数</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318" w:right="0"/>
              <w:jc w:val="left"/>
              <w:rPr>
                <w:rFonts w:ascii="宋体" w:hAnsi="宋体" w:cs="宋体" w:eastAsia="宋体" w:hint="default"/>
                <w:sz w:val="18"/>
                <w:szCs w:val="18"/>
              </w:rPr>
            </w:pPr>
            <w:r>
              <w:rPr>
                <w:rFonts w:ascii="宋体" w:hAnsi="宋体" w:cs="宋体" w:eastAsia="宋体" w:hint="default"/>
                <w:sz w:val="18"/>
                <w:szCs w:val="18"/>
              </w:rPr>
              <w:t>限售原因</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37" w:right="0"/>
              <w:jc w:val="left"/>
              <w:rPr>
                <w:rFonts w:ascii="宋体" w:hAnsi="宋体" w:cs="宋体" w:eastAsia="宋体" w:hint="default"/>
                <w:sz w:val="18"/>
                <w:szCs w:val="18"/>
              </w:rPr>
            </w:pPr>
            <w:r>
              <w:rPr>
                <w:rFonts w:ascii="宋体" w:hAnsi="宋体" w:cs="宋体" w:eastAsia="宋体" w:hint="default"/>
                <w:sz w:val="18"/>
                <w:szCs w:val="18"/>
              </w:rPr>
              <w:t>解除限售日期</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r>
        <w:rPr/>
        <w:pict>
          <v:shape style="position:absolute;margin-left:56.459999pt;margin-top:71.999985pt;width:479.35pt;height:691.9pt;mso-position-horizontal-relative:page;mso-position-vertical-relative:page;z-index:152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362" w:hRule="exact"/>
                    </w:trPr>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数</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52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黄华</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14,874,141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45,000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14,919,141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09" w:lineRule="auto" w:before="128"/>
                          <w:ind w:left="22" w:right="21"/>
                          <w:jc w:val="both"/>
                          <w:rPr>
                            <w:rFonts w:ascii="宋体" w:hAnsi="宋体" w:cs="宋体" w:eastAsia="宋体" w:hint="default"/>
                            <w:sz w:val="18"/>
                            <w:szCs w:val="18"/>
                          </w:rPr>
                        </w:pPr>
                        <w:r>
                          <w:rPr>
                            <w:rFonts w:ascii="Times New Roman" w:hAnsi="Times New Roman" w:cs="Times New Roman" w:eastAsia="Times New Roman" w:hint="default"/>
                            <w:spacing w:val="-6"/>
                            <w:sz w:val="18"/>
                            <w:szCs w:val="18"/>
                          </w:rPr>
                          <w:t>1</w:t>
                        </w:r>
                        <w:r>
                          <w:rPr>
                            <w:rFonts w:ascii="宋体" w:hAnsi="宋体" w:cs="宋体" w:eastAsia="宋体" w:hint="default"/>
                            <w:spacing w:val="-6"/>
                            <w:sz w:val="18"/>
                            <w:szCs w:val="18"/>
                          </w:rPr>
                          <w:t>、黄华认购公司</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非公开发行股票 </w:t>
                        </w:r>
                        <w:r>
                          <w:rPr>
                            <w:rFonts w:ascii="Times New Roman" w:hAnsi="Times New Roman" w:cs="Times New Roman" w:eastAsia="Times New Roman" w:hint="default"/>
                            <w:sz w:val="18"/>
                            <w:szCs w:val="18"/>
                          </w:rPr>
                          <w:t>14,874,141</w:t>
                        </w:r>
                        <w:r>
                          <w:rPr>
                            <w:rFonts w:ascii="Times New Roman" w:hAnsi="Times New Roman" w:cs="Times New Roman" w:eastAsia="Times New Roman" w:hint="default"/>
                            <w:spacing w:val="1"/>
                            <w:sz w:val="18"/>
                            <w:szCs w:val="18"/>
                          </w:rPr>
                          <w:t> </w:t>
                        </w:r>
                        <w:r>
                          <w:rPr>
                            <w:rFonts w:ascii="宋体" w:hAnsi="宋体" w:cs="宋体" w:eastAsia="宋体" w:hint="default"/>
                            <w:spacing w:val="-29"/>
                            <w:sz w:val="18"/>
                            <w:szCs w:val="18"/>
                          </w:rPr>
                          <w:t>股，性</w:t>
                        </w:r>
                      </w:p>
                      <w:p>
                        <w:pPr>
                          <w:pStyle w:val="TableParagraph"/>
                          <w:spacing w:line="312" w:lineRule="auto" w:before="5"/>
                          <w:ind w:left="22" w:right="22"/>
                          <w:jc w:val="both"/>
                          <w:rPr>
                            <w:rFonts w:ascii="宋体" w:hAnsi="宋体" w:cs="宋体" w:eastAsia="宋体" w:hint="default"/>
                            <w:sz w:val="18"/>
                            <w:szCs w:val="18"/>
                          </w:rPr>
                        </w:pPr>
                        <w:r>
                          <w:rPr>
                            <w:rFonts w:ascii="宋体" w:hAnsi="宋体" w:cs="宋体" w:eastAsia="宋体" w:hint="default"/>
                            <w:sz w:val="18"/>
                            <w:szCs w:val="18"/>
                          </w:rPr>
                          <w:t>质为有限售条件 </w:t>
                        </w:r>
                        <w:r>
                          <w:rPr>
                            <w:rFonts w:ascii="宋体" w:hAnsi="宋体" w:cs="宋体" w:eastAsia="宋体" w:hint="default"/>
                            <w:spacing w:val="-6"/>
                            <w:sz w:val="18"/>
                            <w:szCs w:val="18"/>
                          </w:rPr>
                          <w:t>流通股。</w:t>
                        </w:r>
                        <w:r>
                          <w:rPr>
                            <w:rFonts w:ascii="Times New Roman" w:hAnsi="Times New Roman" w:cs="Times New Roman" w:eastAsia="Times New Roman" w:hint="default"/>
                            <w:spacing w:val="-6"/>
                            <w:sz w:val="18"/>
                            <w:szCs w:val="18"/>
                          </w:rPr>
                          <w:t>2</w:t>
                        </w:r>
                        <w:r>
                          <w:rPr>
                            <w:rFonts w:ascii="宋体" w:hAnsi="宋体" w:cs="宋体" w:eastAsia="宋体" w:hint="default"/>
                            <w:spacing w:val="-6"/>
                            <w:sz w:val="18"/>
                            <w:szCs w:val="18"/>
                          </w:rPr>
                          <w:t>、黄华</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增持了公司股票 </w:t>
                        </w:r>
                        <w:r>
                          <w:rPr>
                            <w:rFonts w:ascii="Times New Roman" w:hAnsi="Times New Roman" w:cs="Times New Roman" w:eastAsia="Times New Roman" w:hint="default"/>
                            <w:sz w:val="18"/>
                            <w:szCs w:val="18"/>
                          </w:rPr>
                          <w:t>60,000 </w:t>
                        </w:r>
                        <w:r>
                          <w:rPr>
                            <w:rFonts w:ascii="宋体" w:hAnsi="宋体" w:cs="宋体" w:eastAsia="宋体" w:hint="default"/>
                            <w:sz w:val="18"/>
                            <w:szCs w:val="18"/>
                          </w:rPr>
                          <w:t>股，其中</w:t>
                        </w:r>
                      </w:p>
                      <w:p>
                        <w:pPr>
                          <w:pStyle w:val="TableParagraph"/>
                          <w:spacing w:line="302" w:lineRule="auto" w:before="3"/>
                          <w:ind w:left="22" w:right="72"/>
                          <w:jc w:val="both"/>
                          <w:rPr>
                            <w:rFonts w:ascii="宋体" w:hAnsi="宋体" w:cs="宋体" w:eastAsia="宋体" w:hint="default"/>
                            <w:sz w:val="18"/>
                            <w:szCs w:val="18"/>
                          </w:rPr>
                        </w:pPr>
                        <w:r>
                          <w:rPr>
                            <w:rFonts w:ascii="Times New Roman" w:hAnsi="Times New Roman" w:cs="Times New Roman" w:eastAsia="Times New Roman" w:hint="default"/>
                            <w:sz w:val="18"/>
                            <w:szCs w:val="18"/>
                          </w:rPr>
                          <w:t>45,000 </w:t>
                        </w:r>
                        <w:r>
                          <w:rPr>
                            <w:rFonts w:ascii="宋体" w:hAnsi="宋体" w:cs="宋体" w:eastAsia="宋体" w:hint="default"/>
                            <w:sz w:val="18"/>
                            <w:szCs w:val="18"/>
                          </w:rPr>
                          <w:t>股作为高 管股锁定。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23"/>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6"/>
                            <w:sz w:val="18"/>
                            <w:szCs w:val="18"/>
                          </w:rPr>
                          <w:t>1</w:t>
                        </w:r>
                        <w:r>
                          <w:rPr>
                            <w:rFonts w:ascii="宋体" w:hAnsi="宋体" w:cs="宋体" w:eastAsia="宋体" w:hint="default"/>
                            <w:spacing w:val="-6"/>
                            <w:sz w:val="18"/>
                            <w:szCs w:val="18"/>
                          </w:rPr>
                          <w:t>、非公开发行股</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票上市日为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p>
                      <w:p>
                        <w:pPr>
                          <w:pStyle w:val="TableParagraph"/>
                          <w:spacing w:line="307" w:lineRule="auto" w:before="13"/>
                          <w:ind w:left="22" w:right="21"/>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pacing w:val="-11"/>
                            <w:sz w:val="18"/>
                            <w:szCs w:val="18"/>
                          </w:rPr>
                          <w:t>日，限</w:t>
                        </w:r>
                        <w:r>
                          <w:rPr>
                            <w:rFonts w:ascii="宋体" w:hAnsi="宋体" w:cs="宋体" w:eastAsia="宋体" w:hint="default"/>
                            <w:sz w:val="18"/>
                            <w:szCs w:val="18"/>
                          </w:rPr>
                          <w:t> 售期为自上市之 日起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pacing w:val="-10"/>
                            <w:sz w:val="18"/>
                            <w:szCs w:val="18"/>
                          </w:rPr>
                          <w:t>个月。</w:t>
                        </w:r>
                        <w:r>
                          <w:rPr>
                            <w:rFonts w:ascii="Times New Roman" w:hAnsi="Times New Roman" w:cs="Times New Roman" w:eastAsia="Times New Roman" w:hint="default"/>
                            <w:spacing w:val="-10"/>
                            <w:sz w:val="18"/>
                            <w:szCs w:val="18"/>
                          </w:rPr>
                          <w:t>2</w:t>
                        </w:r>
                        <w:r>
                          <w:rPr>
                            <w:rFonts w:ascii="Times New Roman" w:hAnsi="Times New Roman" w:cs="Times New Roman" w:eastAsia="Times New Roman" w:hint="default"/>
                            <w:sz w:val="18"/>
                            <w:szCs w:val="18"/>
                          </w:rPr>
                          <w:t> </w:t>
                        </w:r>
                        <w:r>
                          <w:rPr>
                            <w:rFonts w:ascii="宋体" w:hAnsi="宋体" w:cs="宋体" w:eastAsia="宋体" w:hint="default"/>
                            <w:sz w:val="18"/>
                            <w:szCs w:val="18"/>
                          </w:rPr>
                          <w:t>高管锁定股按照</w:t>
                        </w:r>
                      </w:p>
                      <w:p>
                        <w:pPr>
                          <w:pStyle w:val="TableParagraph"/>
                          <w:spacing w:line="319" w:lineRule="auto" w:before="26"/>
                          <w:ind w:left="22" w:right="72"/>
                          <w:jc w:val="both"/>
                          <w:rPr>
                            <w:rFonts w:ascii="宋体" w:hAnsi="宋体" w:cs="宋体" w:eastAsia="宋体" w:hint="default"/>
                            <w:sz w:val="18"/>
                            <w:szCs w:val="18"/>
                          </w:rPr>
                        </w:pPr>
                        <w:r>
                          <w:rPr>
                            <w:rFonts w:ascii="宋体" w:hAnsi="宋体" w:cs="宋体" w:eastAsia="宋体" w:hint="default"/>
                            <w:spacing w:val="-23"/>
                            <w:sz w:val="18"/>
                            <w:szCs w:val="18"/>
                          </w:rPr>
                          <w:t>《公司法》、《证</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券法》等法律法 规计算其本年度 可转让股份法定 额度。</w:t>
                        </w:r>
                      </w:p>
                    </w:tc>
                  </w:tr>
                  <w:tr>
                    <w:trPr>
                      <w:trHeight w:val="196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2" w:right="0"/>
                          <w:jc w:val="left"/>
                          <w:rPr>
                            <w:rFonts w:ascii="宋体" w:hAnsi="宋体" w:cs="宋体" w:eastAsia="宋体" w:hint="default"/>
                            <w:sz w:val="18"/>
                            <w:szCs w:val="18"/>
                          </w:rPr>
                        </w:pPr>
                        <w:r>
                          <w:rPr>
                            <w:rFonts w:ascii="宋体" w:hAnsi="宋体" w:cs="宋体" w:eastAsia="宋体" w:hint="default"/>
                            <w:sz w:val="18"/>
                            <w:szCs w:val="18"/>
                          </w:rPr>
                          <w:t>李晓华</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735,000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45,062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780,062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72"/>
                          <w:jc w:val="both"/>
                          <w:rPr>
                            <w:rFonts w:ascii="Times New Roman" w:hAnsi="Times New Roman" w:cs="Times New Roman" w:eastAsia="Times New Roman" w:hint="default"/>
                            <w:sz w:val="18"/>
                            <w:szCs w:val="18"/>
                          </w:rPr>
                        </w:pPr>
                        <w:r>
                          <w:rPr>
                            <w:rFonts w:ascii="宋体" w:hAnsi="宋体" w:cs="宋体" w:eastAsia="宋体" w:hint="default"/>
                            <w:sz w:val="18"/>
                            <w:szCs w:val="18"/>
                          </w:rPr>
                          <w:t>李晓华增持了公 司股票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60,083</w:t>
                        </w:r>
                      </w:p>
                      <w:p>
                        <w:pPr>
                          <w:pStyle w:val="TableParagraph"/>
                          <w:spacing w:line="309" w:lineRule="auto"/>
                          <w:ind w:left="22" w:right="72"/>
                          <w:jc w:val="both"/>
                          <w:rPr>
                            <w:rFonts w:ascii="宋体" w:hAnsi="宋体" w:cs="宋体" w:eastAsia="宋体" w:hint="default"/>
                            <w:sz w:val="18"/>
                            <w:szCs w:val="18"/>
                          </w:rPr>
                        </w:pPr>
                        <w:r>
                          <w:rPr>
                            <w:rFonts w:ascii="宋体" w:hAnsi="宋体" w:cs="宋体" w:eastAsia="宋体" w:hint="default"/>
                            <w:sz w:val="18"/>
                            <w:szCs w:val="18"/>
                          </w:rPr>
                          <w:t>股，其中</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45,062 </w:t>
                        </w:r>
                        <w:r>
                          <w:rPr>
                            <w:rFonts w:ascii="宋体" w:hAnsi="宋体" w:cs="宋体" w:eastAsia="宋体" w:hint="default"/>
                            <w:sz w:val="18"/>
                            <w:szCs w:val="18"/>
                          </w:rPr>
                          <w:t>股作为高管股锁 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both"/>
                          <w:rPr>
                            <w:rFonts w:ascii="宋体" w:hAnsi="宋体" w:cs="宋体" w:eastAsia="宋体" w:hint="default"/>
                            <w:sz w:val="18"/>
                            <w:szCs w:val="18"/>
                          </w:rPr>
                        </w:pPr>
                        <w:r>
                          <w:rPr>
                            <w:rFonts w:ascii="宋体" w:hAnsi="宋体" w:cs="宋体" w:eastAsia="宋体" w:hint="default"/>
                            <w:sz w:val="18"/>
                            <w:szCs w:val="18"/>
                          </w:rPr>
                          <w:t>高管锁定股按照</w:t>
                        </w:r>
                      </w:p>
                      <w:p>
                        <w:pPr>
                          <w:pStyle w:val="TableParagraph"/>
                          <w:spacing w:line="319" w:lineRule="auto" w:before="75"/>
                          <w:ind w:left="22" w:right="72"/>
                          <w:jc w:val="both"/>
                          <w:rPr>
                            <w:rFonts w:ascii="宋体" w:hAnsi="宋体" w:cs="宋体" w:eastAsia="宋体" w:hint="default"/>
                            <w:sz w:val="18"/>
                            <w:szCs w:val="18"/>
                          </w:rPr>
                        </w:pPr>
                        <w:r>
                          <w:rPr>
                            <w:rFonts w:ascii="宋体" w:hAnsi="宋体" w:cs="宋体" w:eastAsia="宋体" w:hint="default"/>
                            <w:spacing w:val="-23"/>
                            <w:sz w:val="18"/>
                            <w:szCs w:val="18"/>
                          </w:rPr>
                          <w:t>《公司法》、《证</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券法》等法律法 规计算其本年度 可转让股份法定 额度。</w:t>
                        </w:r>
                      </w:p>
                    </w:tc>
                  </w:tr>
                  <w:tr>
                    <w:trPr>
                      <w:trHeight w:val="352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侯旭东</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5,874,324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52,500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5,926,824</w:t>
                        </w:r>
                      </w:p>
                    </w:tc>
                    <w:tc>
                      <w:tcPr>
                        <w:tcW w:w="1367" w:type="dxa"/>
                        <w:tcBorders>
                          <w:top w:val="single" w:sz="4" w:space="0" w:color="000000"/>
                          <w:left w:val="single" w:sz="4" w:space="0" w:color="000000"/>
                          <w:bottom w:val="single" w:sz="4" w:space="0" w:color="000000"/>
                          <w:right w:val="single" w:sz="9" w:space="0" w:color="FFFFFF"/>
                        </w:tcBorders>
                      </w:tcPr>
                      <w:p>
                        <w:pPr>
                          <w:pStyle w:val="TableParagraph"/>
                          <w:spacing w:line="240" w:lineRule="auto"/>
                          <w:ind w:right="0"/>
                          <w:jc w:val="left"/>
                          <w:rPr>
                            <w:rFonts w:ascii="宋体" w:hAnsi="宋体" w:cs="宋体" w:eastAsia="宋体" w:hint="default"/>
                            <w:sz w:val="18"/>
                            <w:szCs w:val="18"/>
                          </w:rPr>
                        </w:pPr>
                      </w:p>
                      <w:p>
                        <w:pPr>
                          <w:pStyle w:val="TableParagraph"/>
                          <w:spacing w:line="309" w:lineRule="auto" w:before="128"/>
                          <w:ind w:left="22" w:right="-23"/>
                          <w:jc w:val="both"/>
                          <w:rPr>
                            <w:rFonts w:ascii="宋体" w:hAnsi="宋体" w:cs="宋体" w:eastAsia="宋体" w:hint="default"/>
                            <w:sz w:val="18"/>
                            <w:szCs w:val="18"/>
                          </w:rPr>
                        </w:pPr>
                        <w:r>
                          <w:rPr>
                            <w:rFonts w:ascii="Times New Roman" w:hAnsi="Times New Roman" w:cs="Times New Roman" w:eastAsia="Times New Roman" w:hint="default"/>
                            <w:spacing w:val="-6"/>
                            <w:sz w:val="18"/>
                            <w:szCs w:val="18"/>
                          </w:rPr>
                          <w:t>1</w:t>
                        </w:r>
                        <w:r>
                          <w:rPr>
                            <w:rFonts w:ascii="宋体" w:hAnsi="宋体" w:cs="宋体" w:eastAsia="宋体" w:hint="default"/>
                            <w:spacing w:val="-6"/>
                            <w:sz w:val="18"/>
                            <w:szCs w:val="18"/>
                          </w:rPr>
                          <w:t>、侯旭东认购公</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司非公开发行股 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5,034,324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p>
                      <w:p>
                        <w:pPr>
                          <w:pStyle w:val="TableParagraph"/>
                          <w:spacing w:line="312" w:lineRule="auto" w:before="5"/>
                          <w:ind w:left="22" w:right="21"/>
                          <w:jc w:val="both"/>
                          <w:rPr>
                            <w:rFonts w:ascii="宋体" w:hAnsi="宋体" w:cs="宋体" w:eastAsia="宋体" w:hint="default"/>
                            <w:sz w:val="18"/>
                            <w:szCs w:val="18"/>
                          </w:rPr>
                        </w:pPr>
                        <w:r>
                          <w:rPr>
                            <w:rFonts w:ascii="宋体" w:hAnsi="宋体" w:cs="宋体" w:eastAsia="宋体" w:hint="default"/>
                            <w:sz w:val="18"/>
                            <w:szCs w:val="18"/>
                          </w:rPr>
                          <w:t>性质为有限售条 </w:t>
                        </w:r>
                        <w:r>
                          <w:rPr>
                            <w:rFonts w:ascii="宋体" w:hAnsi="宋体" w:cs="宋体" w:eastAsia="宋体" w:hint="default"/>
                            <w:spacing w:val="-8"/>
                            <w:sz w:val="18"/>
                            <w:szCs w:val="18"/>
                          </w:rPr>
                          <w:t>件流通股。</w:t>
                        </w:r>
                        <w:r>
                          <w:rPr>
                            <w:rFonts w:ascii="Times New Roman" w:hAnsi="Times New Roman" w:cs="Times New Roman" w:eastAsia="Times New Roman" w:hint="default"/>
                            <w:spacing w:val="-8"/>
                            <w:sz w:val="18"/>
                            <w:szCs w:val="18"/>
                          </w:rPr>
                          <w:t>2</w:t>
                        </w:r>
                        <w:r>
                          <w:rPr>
                            <w:rFonts w:ascii="宋体" w:hAnsi="宋体" w:cs="宋体" w:eastAsia="宋体" w:hint="default"/>
                            <w:spacing w:val="-8"/>
                            <w:sz w:val="18"/>
                            <w:szCs w:val="18"/>
                          </w:rPr>
                          <w:t>、侯</w:t>
                        </w:r>
                        <w:r>
                          <w:rPr>
                            <w:rFonts w:ascii="宋体" w:hAnsi="宋体" w:cs="宋体" w:eastAsia="宋体" w:hint="default"/>
                            <w:spacing w:val="-87"/>
                            <w:sz w:val="18"/>
                            <w:szCs w:val="18"/>
                          </w:rPr>
                          <w:t> </w:t>
                        </w:r>
                        <w:r>
                          <w:rPr>
                            <w:rFonts w:ascii="宋体" w:hAnsi="宋体" w:cs="宋体" w:eastAsia="宋体" w:hint="default"/>
                            <w:sz w:val="18"/>
                            <w:szCs w:val="18"/>
                          </w:rPr>
                          <w:t>旭东增持了公司</w:t>
                        </w:r>
                        <w:r>
                          <w:rPr>
                            <w:rFonts w:ascii="宋体" w:hAnsi="宋体" w:cs="宋体" w:eastAsia="宋体" w:hint="default"/>
                            <w:sz w:val="18"/>
                            <w:szCs w:val="18"/>
                          </w:rPr>
                          <w:t> 股票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p>
                      <w:p>
                        <w:pPr>
                          <w:pStyle w:val="TableParagraph"/>
                          <w:spacing w:line="302" w:lineRule="auto" w:before="3"/>
                          <w:ind w:left="22" w:right="21"/>
                          <w:jc w:val="both"/>
                          <w:rPr>
                            <w:rFonts w:ascii="宋体" w:hAnsi="宋体" w:cs="宋体" w:eastAsia="宋体" w:hint="default"/>
                            <w:sz w:val="18"/>
                            <w:szCs w:val="18"/>
                          </w:rPr>
                        </w:pPr>
                        <w:r>
                          <w:rPr>
                            <w:rFonts w:ascii="宋体" w:hAnsi="宋体" w:cs="宋体" w:eastAsia="宋体" w:hint="default"/>
                            <w:sz w:val="18"/>
                            <w:szCs w:val="18"/>
                          </w:rPr>
                          <w:t>其中</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52,500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股作 为高管股锁定。</w:t>
                        </w:r>
                      </w:p>
                    </w:tc>
                    <w:tc>
                      <w:tcPr>
                        <w:tcW w:w="1367" w:type="dxa"/>
                        <w:tcBorders>
                          <w:top w:val="single" w:sz="4" w:space="0" w:color="000000"/>
                          <w:left w:val="single" w:sz="9" w:space="0" w:color="FFFFFF"/>
                          <w:bottom w:val="single" w:sz="4" w:space="0" w:color="000000"/>
                          <w:right w:val="single" w:sz="4" w:space="0" w:color="000000"/>
                        </w:tcBorders>
                      </w:tcPr>
                      <w:p>
                        <w:pPr>
                          <w:pStyle w:val="TableParagraph"/>
                          <w:spacing w:line="300" w:lineRule="auto" w:before="51"/>
                          <w:ind w:left="16" w:right="23"/>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6"/>
                            <w:sz w:val="18"/>
                            <w:szCs w:val="18"/>
                          </w:rPr>
                          <w:t>1</w:t>
                        </w:r>
                        <w:r>
                          <w:rPr>
                            <w:rFonts w:ascii="宋体" w:hAnsi="宋体" w:cs="宋体" w:eastAsia="宋体" w:hint="default"/>
                            <w:spacing w:val="-6"/>
                            <w:sz w:val="18"/>
                            <w:szCs w:val="18"/>
                          </w:rPr>
                          <w:t>、非公开发行股</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票上市日为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p>
                      <w:p>
                        <w:pPr>
                          <w:pStyle w:val="TableParagraph"/>
                          <w:spacing w:line="307" w:lineRule="auto" w:before="13"/>
                          <w:ind w:left="16" w:right="21"/>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pacing w:val="-11"/>
                            <w:sz w:val="18"/>
                            <w:szCs w:val="18"/>
                          </w:rPr>
                          <w:t>日，限</w:t>
                        </w:r>
                        <w:r>
                          <w:rPr>
                            <w:rFonts w:ascii="宋体" w:hAnsi="宋体" w:cs="宋体" w:eastAsia="宋体" w:hint="default"/>
                            <w:sz w:val="18"/>
                            <w:szCs w:val="18"/>
                          </w:rPr>
                          <w:t> 售期为自上市之 日起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pacing w:val="-10"/>
                            <w:sz w:val="18"/>
                            <w:szCs w:val="18"/>
                          </w:rPr>
                          <w:t>个月。</w:t>
                        </w:r>
                        <w:r>
                          <w:rPr>
                            <w:rFonts w:ascii="Times New Roman" w:hAnsi="Times New Roman" w:cs="Times New Roman" w:eastAsia="Times New Roman" w:hint="default"/>
                            <w:spacing w:val="-10"/>
                            <w:sz w:val="18"/>
                            <w:szCs w:val="18"/>
                          </w:rPr>
                          <w:t>2</w:t>
                        </w:r>
                        <w:r>
                          <w:rPr>
                            <w:rFonts w:ascii="Times New Roman" w:hAnsi="Times New Roman" w:cs="Times New Roman" w:eastAsia="Times New Roman" w:hint="default"/>
                            <w:sz w:val="18"/>
                            <w:szCs w:val="18"/>
                          </w:rPr>
                          <w:t> </w:t>
                        </w:r>
                        <w:r>
                          <w:rPr>
                            <w:rFonts w:ascii="宋体" w:hAnsi="宋体" w:cs="宋体" w:eastAsia="宋体" w:hint="default"/>
                            <w:sz w:val="18"/>
                            <w:szCs w:val="18"/>
                          </w:rPr>
                          <w:t>高管锁定股按照</w:t>
                        </w:r>
                      </w:p>
                      <w:p>
                        <w:pPr>
                          <w:pStyle w:val="TableParagraph"/>
                          <w:spacing w:line="319" w:lineRule="auto" w:before="26"/>
                          <w:ind w:left="16" w:right="72"/>
                          <w:jc w:val="both"/>
                          <w:rPr>
                            <w:rFonts w:ascii="宋体" w:hAnsi="宋体" w:cs="宋体" w:eastAsia="宋体" w:hint="default"/>
                            <w:sz w:val="18"/>
                            <w:szCs w:val="18"/>
                          </w:rPr>
                        </w:pPr>
                        <w:r>
                          <w:rPr>
                            <w:rFonts w:ascii="宋体" w:hAnsi="宋体" w:cs="宋体" w:eastAsia="宋体" w:hint="default"/>
                            <w:spacing w:val="-23"/>
                            <w:sz w:val="18"/>
                            <w:szCs w:val="18"/>
                          </w:rPr>
                          <w:t>《公司法》、《证</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券法》等法律法 规计算其本年度 可转让股份法定 额度。</w:t>
                        </w:r>
                      </w:p>
                    </w:tc>
                  </w:tr>
                  <w:tr>
                    <w:trPr>
                      <w:trHeight w:val="4458"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张明义</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4,291,327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105,000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4,396,327</w:t>
                        </w:r>
                      </w:p>
                    </w:tc>
                    <w:tc>
                      <w:tcPr>
                        <w:tcW w:w="1367" w:type="dxa"/>
                        <w:tcBorders>
                          <w:top w:val="single" w:sz="4" w:space="0" w:color="000000"/>
                          <w:left w:val="single" w:sz="4" w:space="0" w:color="000000"/>
                          <w:bottom w:val="single" w:sz="4" w:space="0" w:color="000000"/>
                          <w:right w:val="single" w:sz="9" w:space="0" w:color="FFFFFF"/>
                        </w:tcBorders>
                      </w:tcPr>
                      <w:p>
                        <w:pPr>
                          <w:pStyle w:val="TableParagraph"/>
                          <w:spacing w:line="309" w:lineRule="auto" w:before="51"/>
                          <w:ind w:left="22" w:right="-23"/>
                          <w:jc w:val="both"/>
                          <w:rPr>
                            <w:rFonts w:ascii="宋体" w:hAnsi="宋体" w:cs="宋体" w:eastAsia="宋体" w:hint="default"/>
                            <w:sz w:val="18"/>
                            <w:szCs w:val="18"/>
                          </w:rPr>
                        </w:pPr>
                        <w:r>
                          <w:rPr>
                            <w:rFonts w:ascii="Times New Roman" w:hAnsi="Times New Roman" w:cs="Times New Roman" w:eastAsia="Times New Roman" w:hint="default"/>
                            <w:spacing w:val="-6"/>
                            <w:sz w:val="18"/>
                            <w:szCs w:val="18"/>
                          </w:rPr>
                          <w:t>1</w:t>
                        </w:r>
                        <w:r>
                          <w:rPr>
                            <w:rFonts w:ascii="宋体" w:hAnsi="宋体" w:cs="宋体" w:eastAsia="宋体" w:hint="default"/>
                            <w:spacing w:val="-6"/>
                            <w:sz w:val="18"/>
                            <w:szCs w:val="18"/>
                          </w:rPr>
                          <w:t>、张明义认购公</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司非公开发行股 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3,661,327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p>
                      <w:p>
                        <w:pPr>
                          <w:pStyle w:val="TableParagraph"/>
                          <w:spacing w:line="309" w:lineRule="auto" w:before="5"/>
                          <w:ind w:left="22" w:right="21"/>
                          <w:jc w:val="both"/>
                          <w:rPr>
                            <w:rFonts w:ascii="Times New Roman" w:hAnsi="Times New Roman" w:cs="Times New Roman" w:eastAsia="Times New Roman" w:hint="default"/>
                            <w:sz w:val="18"/>
                            <w:szCs w:val="18"/>
                          </w:rPr>
                        </w:pPr>
                        <w:r>
                          <w:rPr>
                            <w:rFonts w:ascii="宋体" w:hAnsi="宋体" w:cs="宋体" w:eastAsia="宋体" w:hint="default"/>
                            <w:sz w:val="18"/>
                            <w:szCs w:val="18"/>
                          </w:rPr>
                          <w:t>性质为有限售条 </w:t>
                        </w:r>
                        <w:r>
                          <w:rPr>
                            <w:rFonts w:ascii="宋体" w:hAnsi="宋体" w:cs="宋体" w:eastAsia="宋体" w:hint="default"/>
                            <w:spacing w:val="-8"/>
                            <w:sz w:val="18"/>
                            <w:szCs w:val="18"/>
                          </w:rPr>
                          <w:t>件流通股。</w:t>
                        </w:r>
                        <w:r>
                          <w:rPr>
                            <w:rFonts w:ascii="Times New Roman" w:hAnsi="Times New Roman" w:cs="Times New Roman" w:eastAsia="Times New Roman" w:hint="default"/>
                            <w:spacing w:val="-8"/>
                            <w:sz w:val="18"/>
                            <w:szCs w:val="18"/>
                          </w:rPr>
                          <w:t>2</w:t>
                        </w:r>
                        <w:r>
                          <w:rPr>
                            <w:rFonts w:ascii="宋体" w:hAnsi="宋体" w:cs="宋体" w:eastAsia="宋体" w:hint="default"/>
                            <w:spacing w:val="-8"/>
                            <w:sz w:val="18"/>
                            <w:szCs w:val="18"/>
                          </w:rPr>
                          <w:t>、张</w:t>
                        </w:r>
                        <w:r>
                          <w:rPr>
                            <w:rFonts w:ascii="宋体" w:hAnsi="宋体" w:cs="宋体" w:eastAsia="宋体" w:hint="default"/>
                            <w:spacing w:val="-87"/>
                            <w:sz w:val="18"/>
                            <w:szCs w:val="18"/>
                          </w:rPr>
                          <w:t> </w:t>
                        </w:r>
                        <w:r>
                          <w:rPr>
                            <w:rFonts w:ascii="宋体" w:hAnsi="宋体" w:cs="宋体" w:eastAsia="宋体" w:hint="default"/>
                            <w:sz w:val="18"/>
                            <w:szCs w:val="18"/>
                          </w:rPr>
                          <w:t>明义于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p>
                      <w:p>
                        <w:pPr>
                          <w:pStyle w:val="TableParagraph"/>
                          <w:spacing w:line="312" w:lineRule="auto" w:before="5"/>
                          <w:ind w:left="22" w:right="15"/>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61"/>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日起不再担 任公司常务副总 经理</w:t>
                        </w:r>
                        <w:r>
                          <w:rPr>
                            <w:rFonts w:ascii="Times New Roman" w:hAnsi="Times New Roman" w:cs="Times New Roman" w:eastAsia="Times New Roman" w:hint="default"/>
                            <w:sz w:val="18"/>
                            <w:szCs w:val="18"/>
                          </w:rPr>
                          <w:t>, </w:t>
                        </w:r>
                        <w:r>
                          <w:rPr>
                            <w:rFonts w:ascii="宋体" w:hAnsi="宋体" w:cs="宋体" w:eastAsia="宋体" w:hint="default"/>
                            <w:sz w:val="18"/>
                            <w:szCs w:val="18"/>
                          </w:rPr>
                          <w:t>在其就任 时确定的任期 内，每年转让的 股份不得超过其 所持有本公司股 份总数的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w:t>
                        </w:r>
                      </w:p>
                    </w:tc>
                    <w:tc>
                      <w:tcPr>
                        <w:tcW w:w="1367" w:type="dxa"/>
                        <w:tcBorders>
                          <w:top w:val="single" w:sz="4" w:space="0" w:color="000000"/>
                          <w:left w:val="single" w:sz="9" w:space="0" w:color="FFFFFF"/>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00" w:lineRule="auto"/>
                          <w:ind w:left="16" w:right="23"/>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6"/>
                            <w:sz w:val="18"/>
                            <w:szCs w:val="18"/>
                          </w:rPr>
                          <w:t>1</w:t>
                        </w:r>
                        <w:r>
                          <w:rPr>
                            <w:rFonts w:ascii="宋体" w:hAnsi="宋体" w:cs="宋体" w:eastAsia="宋体" w:hint="default"/>
                            <w:spacing w:val="-6"/>
                            <w:sz w:val="18"/>
                            <w:szCs w:val="18"/>
                          </w:rPr>
                          <w:t>、非公开发行股</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票上市日为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p>
                      <w:p>
                        <w:pPr>
                          <w:pStyle w:val="TableParagraph"/>
                          <w:spacing w:line="307" w:lineRule="auto" w:before="13"/>
                          <w:ind w:left="16" w:right="21"/>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pacing w:val="-11"/>
                            <w:sz w:val="18"/>
                            <w:szCs w:val="18"/>
                          </w:rPr>
                          <w:t>日，限</w:t>
                        </w:r>
                        <w:r>
                          <w:rPr>
                            <w:rFonts w:ascii="宋体" w:hAnsi="宋体" w:cs="宋体" w:eastAsia="宋体" w:hint="default"/>
                            <w:sz w:val="18"/>
                            <w:szCs w:val="18"/>
                          </w:rPr>
                          <w:t> 售期为自上市之 日起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pacing w:val="-10"/>
                            <w:sz w:val="18"/>
                            <w:szCs w:val="18"/>
                          </w:rPr>
                          <w:t>个月。</w:t>
                        </w:r>
                        <w:r>
                          <w:rPr>
                            <w:rFonts w:ascii="Times New Roman" w:hAnsi="Times New Roman" w:cs="Times New Roman" w:eastAsia="Times New Roman" w:hint="default"/>
                            <w:spacing w:val="-10"/>
                            <w:sz w:val="18"/>
                            <w:szCs w:val="18"/>
                          </w:rPr>
                          <w:t>2</w:t>
                        </w:r>
                        <w:r>
                          <w:rPr>
                            <w:rFonts w:ascii="Times New Roman" w:hAnsi="Times New Roman" w:cs="Times New Roman" w:eastAsia="Times New Roman" w:hint="default"/>
                            <w:sz w:val="18"/>
                            <w:szCs w:val="18"/>
                          </w:rPr>
                          <w:t> </w:t>
                        </w:r>
                        <w:r>
                          <w:rPr>
                            <w:rFonts w:ascii="宋体" w:hAnsi="宋体" w:cs="宋体" w:eastAsia="宋体" w:hint="default"/>
                            <w:sz w:val="18"/>
                            <w:szCs w:val="18"/>
                          </w:rPr>
                          <w:t>高管锁定股按照</w:t>
                        </w:r>
                      </w:p>
                      <w:p>
                        <w:pPr>
                          <w:pStyle w:val="TableParagraph"/>
                          <w:spacing w:line="319" w:lineRule="auto" w:before="26"/>
                          <w:ind w:left="16" w:right="72"/>
                          <w:jc w:val="both"/>
                          <w:rPr>
                            <w:rFonts w:ascii="宋体" w:hAnsi="宋体" w:cs="宋体" w:eastAsia="宋体" w:hint="default"/>
                            <w:sz w:val="18"/>
                            <w:szCs w:val="18"/>
                          </w:rPr>
                        </w:pPr>
                        <w:r>
                          <w:rPr>
                            <w:rFonts w:ascii="宋体" w:hAnsi="宋体" w:cs="宋体" w:eastAsia="宋体" w:hint="default"/>
                            <w:spacing w:val="-23"/>
                            <w:sz w:val="18"/>
                            <w:szCs w:val="18"/>
                          </w:rPr>
                          <w:t>《公司法》、《证</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券法》等法律法 规计算其本年度 可转让股份法定 额度。</w:t>
                        </w:r>
                      </w:p>
                    </w:tc>
                  </w:tr>
                </w:tbl>
                <w:p>
                  <w:pPr/>
                </w:p>
              </w:txbxContent>
            </v:textbox>
            <w10:wrap type="none"/>
          </v:shape>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pStyle w:val="BodyText"/>
        <w:spacing w:line="240" w:lineRule="auto"/>
        <w:ind w:left="0" w:right="1136"/>
        <w:jc w:val="right"/>
      </w:pP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7"/>
          <w:szCs w:val="17"/>
        </w:rPr>
      </w:pPr>
    </w:p>
    <w:p>
      <w:pPr>
        <w:pStyle w:val="BodyText"/>
        <w:spacing w:line="240" w:lineRule="auto" w:before="44"/>
        <w:ind w:left="0" w:right="1136"/>
        <w:jc w:val="right"/>
      </w:pP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3"/>
          <w:szCs w:val="23"/>
        </w:rPr>
      </w:pPr>
    </w:p>
    <w:p>
      <w:pPr>
        <w:pStyle w:val="BodyText"/>
        <w:spacing w:line="240" w:lineRule="auto" w:before="44"/>
        <w:ind w:left="0" w:right="1136"/>
        <w:jc w:val="right"/>
      </w:pPr>
      <w:r>
        <w:rPr/>
        <w:t>、</w:t>
      </w:r>
    </w:p>
    <w:p>
      <w:pPr>
        <w:spacing w:after="0" w:line="240" w:lineRule="auto"/>
        <w:jc w:val="right"/>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196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2" w:right="0"/>
              <w:jc w:val="left"/>
              <w:rPr>
                <w:rFonts w:ascii="宋体" w:hAnsi="宋体" w:cs="宋体" w:eastAsia="宋体" w:hint="default"/>
                <w:sz w:val="18"/>
                <w:szCs w:val="18"/>
              </w:rPr>
            </w:pPr>
            <w:r>
              <w:rPr>
                <w:rFonts w:ascii="宋体" w:hAnsi="宋体" w:cs="宋体" w:eastAsia="宋体" w:hint="default"/>
                <w:sz w:val="18"/>
                <w:szCs w:val="18"/>
              </w:rPr>
              <w:t>王忠年</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王忠年于</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w:t>
            </w:r>
          </w:p>
          <w:p>
            <w:pPr>
              <w:pStyle w:val="TableParagraph"/>
              <w:spacing w:line="314" w:lineRule="auto" w:before="63"/>
              <w:ind w:left="22" w:right="28"/>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日届满离 任独立董事职 务，其所持高管 锁定股予以解 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25,775,592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247,562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26,022,354</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8"/>
          <w:szCs w:val="18"/>
        </w:rPr>
      </w:pPr>
    </w:p>
    <w:p>
      <w:pPr>
        <w:pStyle w:val="Heading2"/>
        <w:spacing w:line="240" w:lineRule="auto" w:before="26"/>
        <w:ind w:right="0"/>
        <w:jc w:val="left"/>
        <w:rPr>
          <w:b w:val="0"/>
          <w:bCs w:val="0"/>
        </w:rPr>
      </w:pPr>
      <w:bookmarkStart w:name="二、证券发行与上市情况" w:id="109"/>
      <w:bookmarkEnd w:id="109"/>
      <w:r>
        <w:rPr>
          <w:b w:val="0"/>
          <w:bCs w:val="0"/>
        </w:rPr>
      </w:r>
      <w:r>
        <w:rPr/>
        <w:t>二、证券发行与上市情况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报告期内证券发行（不含优先股）情况" w:id="110"/>
      <w:bookmarkEnd w:id="110"/>
      <w:r>
        <w:rPr>
          <w:b w:val="0"/>
          <w:bCs w:val="0"/>
        </w:rPr>
      </w:r>
      <w:r>
        <w:rPr>
          <w:rFonts w:ascii="Times New Roman" w:hAnsi="Times New Roman" w:cs="Times New Roman" w:eastAsia="Times New Roman" w:hint="default"/>
        </w:rPr>
        <w:t>1</w:t>
      </w:r>
      <w:r>
        <w:rPr/>
        <w:t>、报告期内证券发行（不含优先股）情况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bookmarkStart w:name="2、公司股份总数及股东结构的变动、公司资产和负债结构的变动情况说明" w:id="111"/>
      <w:bookmarkEnd w:id="111"/>
      <w:r>
        <w:rPr>
          <w:b w:val="0"/>
          <w:bCs w:val="0"/>
        </w:rPr>
      </w:r>
      <w:r>
        <w:rPr>
          <w:rFonts w:ascii="Times New Roman" w:hAnsi="Times New Roman" w:cs="Times New Roman" w:eastAsia="Times New Roman" w:hint="default"/>
        </w:rPr>
        <w:t>2</w:t>
      </w:r>
      <w:r>
        <w:rPr/>
        <w:t>、公司股份总数及股东结构的变动、公司资产和负债结构的变动情况说明</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1119"/>
        <w:jc w:val="left"/>
        <w:rPr>
          <w:rFonts w:ascii="Times New Roman" w:hAnsi="Times New Roman" w:cs="Times New Roman" w:eastAsia="Times New Roman" w:hint="default"/>
        </w:rPr>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截止本报告披露之日，公司累计回购股份</w:t>
      </w:r>
      <w:r>
        <w:rPr>
          <w:rFonts w:ascii="Times New Roman" w:hAnsi="Times New Roman" w:cs="Times New Roman" w:eastAsia="Times New Roman" w:hint="default"/>
        </w:rPr>
        <w:t>29,963,932</w:t>
      </w:r>
      <w:r>
        <w:rPr/>
        <w:t>股，占公司截止至回购完毕之日的总股本的</w:t>
      </w:r>
      <w:r>
        <w:rPr>
          <w:rFonts w:ascii="Times New Roman" w:hAnsi="Times New Roman" w:cs="Times New Roman" w:eastAsia="Times New Roman" w:hint="default"/>
        </w:rPr>
        <w:t>2.0045%</w:t>
      </w:r>
      <w:r>
        <w:rPr/>
        <w:t>。公司于 </w:t>
      </w:r>
      <w:r>
        <w:rPr>
          <w:rFonts w:ascii="Times New Roman" w:hAnsi="Times New Roman" w:cs="Times New Roman" w:eastAsia="Times New Roman" w:hint="default"/>
        </w:rPr>
        <w:t>2019 </w:t>
      </w:r>
      <w:r>
        <w:rPr/>
        <w:t>年</w:t>
      </w:r>
      <w:r>
        <w:rPr>
          <w:spacing w:val="-57"/>
        </w:rPr>
        <w:t> </w:t>
      </w:r>
      <w:r>
        <w:rPr>
          <w:rFonts w:ascii="Times New Roman" w:hAnsi="Times New Roman" w:cs="Times New Roman" w:eastAsia="Times New Roman" w:hint="default"/>
        </w:rPr>
        <w:t>3</w:t>
      </w:r>
    </w:p>
    <w:p>
      <w:pPr>
        <w:pStyle w:val="BodyText"/>
        <w:spacing w:line="230" w:lineRule="exact"/>
        <w:ind w:right="0"/>
        <w:jc w:val="left"/>
      </w:pPr>
      <w:r>
        <w:rPr/>
        <w:t>月</w:t>
      </w:r>
      <w:r>
        <w:rPr>
          <w:spacing w:val="-42"/>
        </w:rPr>
        <w:t> </w:t>
      </w:r>
      <w:r>
        <w:rPr>
          <w:rFonts w:ascii="Times New Roman" w:hAnsi="Times New Roman" w:cs="Times New Roman" w:eastAsia="Times New Roman" w:hint="default"/>
        </w:rPr>
        <w:t>13</w:t>
      </w:r>
      <w:r>
        <w:rPr>
          <w:rFonts w:ascii="Times New Roman" w:hAnsi="Times New Roman" w:cs="Times New Roman" w:eastAsia="Times New Roman" w:hint="default"/>
          <w:spacing w:val="3"/>
        </w:rPr>
        <w:t> </w:t>
      </w:r>
      <w:r>
        <w:rPr/>
        <w:t>日在中国证券登记结算有限责任公司深圳分公司办理完毕股份回购注销手续。本次回购股份注销完毕后，公司总股本</w:t>
      </w:r>
    </w:p>
    <w:p>
      <w:pPr>
        <w:pStyle w:val="BodyText"/>
        <w:spacing w:line="240" w:lineRule="auto" w:before="64"/>
        <w:ind w:right="0"/>
        <w:jc w:val="left"/>
      </w:pPr>
      <w:r>
        <w:rPr/>
        <w:t>由</w:t>
      </w:r>
      <w:r>
        <w:rPr>
          <w:rFonts w:ascii="Times New Roman" w:hAnsi="Times New Roman" w:cs="Times New Roman" w:eastAsia="Times New Roman" w:hint="default"/>
        </w:rPr>
        <w:t>1,494,834,382</w:t>
      </w:r>
      <w:r>
        <w:rPr/>
        <w:t>股变动为</w:t>
      </w:r>
      <w:r>
        <w:rPr>
          <w:rFonts w:ascii="Times New Roman" w:hAnsi="Times New Roman" w:cs="Times New Roman" w:eastAsia="Times New Roman" w:hint="default"/>
        </w:rPr>
        <w:t>1,464,870,450</w:t>
      </w:r>
      <w:r>
        <w:rPr/>
        <w:t>股，限售流通股的比例变动为</w:t>
      </w:r>
      <w:r>
        <w:rPr>
          <w:rFonts w:ascii="Times New Roman" w:hAnsi="Times New Roman" w:cs="Times New Roman" w:eastAsia="Times New Roman" w:hint="default"/>
        </w:rPr>
        <w:t>13.15%</w:t>
      </w:r>
      <w:r>
        <w:rPr/>
        <w:t>，无限售流通股的比例变动为</w:t>
      </w:r>
      <w:r>
        <w:rPr>
          <w:rFonts w:ascii="Times New Roman" w:hAnsi="Times New Roman" w:cs="Times New Roman" w:eastAsia="Times New Roman" w:hint="default"/>
        </w:rPr>
        <w:t>86.85%</w:t>
      </w:r>
      <w:r>
        <w:rPr/>
        <w:t>。</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3、现存的内部职工股情况" w:id="112"/>
      <w:bookmarkEnd w:id="112"/>
      <w:r>
        <w:rPr>
          <w:b w:val="0"/>
          <w:bCs w:val="0"/>
        </w:rPr>
      </w:r>
      <w:r>
        <w:rPr>
          <w:rFonts w:ascii="Times New Roman" w:hAnsi="Times New Roman" w:cs="Times New Roman" w:eastAsia="Times New Roman" w:hint="default"/>
        </w:rPr>
        <w:t>3</w:t>
      </w:r>
      <w:r>
        <w:rPr/>
        <w:t>、现存的内部职工股情况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三、股东和实际控制人情况" w:id="113"/>
      <w:bookmarkEnd w:id="113"/>
      <w:r>
        <w:rPr>
          <w:b w:val="0"/>
          <w:bCs w:val="0"/>
        </w:rPr>
      </w:r>
      <w:r>
        <w:rPr/>
        <w:t>三、股东和实际控制人情况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公司股东数量及持股情况" w:id="114"/>
      <w:bookmarkEnd w:id="114"/>
      <w:r>
        <w:rPr>
          <w:b w:val="0"/>
          <w:bCs w:val="0"/>
        </w:rPr>
      </w:r>
      <w:r>
        <w:rPr>
          <w:rFonts w:ascii="Times New Roman" w:hAnsi="Times New Roman" w:cs="Times New Roman" w:eastAsia="Times New Roman" w:hint="default"/>
        </w:rPr>
        <w:t>1</w:t>
      </w:r>
      <w:r>
        <w:rPr/>
        <w:t>、公司股东数量及持股情况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单位：股</w:t>
      </w:r>
    </w:p>
    <w:p>
      <w:pPr>
        <w:spacing w:line="240" w:lineRule="auto" w:before="13"/>
        <w:rPr>
          <w:rFonts w:ascii="宋体" w:hAnsi="宋体" w:cs="宋体" w:eastAsia="宋体" w:hint="default"/>
          <w:sz w:val="7"/>
          <w:szCs w:val="7"/>
        </w:rPr>
      </w:pPr>
    </w:p>
    <w:tbl>
      <w:tblPr>
        <w:tblW w:w="0" w:type="auto"/>
        <w:jc w:val="left"/>
        <w:tblInd w:w="133" w:type="dxa"/>
        <w:tblLayout w:type="fixed"/>
        <w:tblCellMar>
          <w:top w:w="0" w:type="dxa"/>
          <w:left w:w="0" w:type="dxa"/>
          <w:bottom w:w="0" w:type="dxa"/>
          <w:right w:w="0" w:type="dxa"/>
        </w:tblCellMar>
        <w:tblLook w:val="01E0"/>
      </w:tblPr>
      <w:tblGrid>
        <w:gridCol w:w="1153"/>
        <w:gridCol w:w="233"/>
        <w:gridCol w:w="887"/>
        <w:gridCol w:w="452"/>
        <w:gridCol w:w="701"/>
        <w:gridCol w:w="988"/>
        <w:gridCol w:w="346"/>
        <w:gridCol w:w="491"/>
        <w:gridCol w:w="923"/>
        <w:gridCol w:w="989"/>
        <w:gridCol w:w="247"/>
        <w:gridCol w:w="1001"/>
        <w:gridCol w:w="95"/>
        <w:gridCol w:w="1178"/>
      </w:tblGrid>
      <w:tr>
        <w:trPr>
          <w:trHeight w:val="474" w:hRule="exact"/>
        </w:trPr>
        <w:tc>
          <w:tcPr>
            <w:tcW w:w="1153" w:type="dxa"/>
            <w:vMerge w:val="restart"/>
            <w:tcBorders>
              <w:top w:val="single" w:sz="4" w:space="0" w:color="000000"/>
              <w:left w:val="single" w:sz="4" w:space="0" w:color="000000"/>
              <w:right w:val="single" w:sz="4" w:space="0" w:color="000000"/>
            </w:tcBorders>
            <w:shd w:val="clear" w:color="auto" w:fill="D2D2D2"/>
          </w:tcPr>
          <w:p>
            <w:pPr/>
          </w:p>
        </w:tc>
        <w:tc>
          <w:tcPr>
            <w:tcW w:w="1120" w:type="dxa"/>
            <w:gridSpan w:val="2"/>
            <w:vMerge w:val="restart"/>
            <w:tcBorders>
              <w:top w:val="single" w:sz="4" w:space="0" w:color="000000"/>
              <w:left w:val="single" w:sz="10" w:space="0" w:color="D2D2D2"/>
              <w:right w:val="single" w:sz="9"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585" w:right="0"/>
              <w:jc w:val="left"/>
              <w:rPr>
                <w:rFonts w:ascii="Times New Roman" w:hAnsi="Times New Roman" w:cs="Times New Roman" w:eastAsia="Times New Roman" w:hint="default"/>
                <w:sz w:val="18"/>
                <w:szCs w:val="18"/>
              </w:rPr>
            </w:pPr>
            <w:r>
              <w:rPr>
                <w:rFonts w:ascii="Times New Roman"/>
                <w:sz w:val="18"/>
              </w:rPr>
              <w:t>57,179</w:t>
            </w:r>
          </w:p>
        </w:tc>
        <w:tc>
          <w:tcPr>
            <w:tcW w:w="1153"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1334" w:type="dxa"/>
            <w:gridSpan w:val="2"/>
            <w:vMerge w:val="restart"/>
            <w:tcBorders>
              <w:top w:val="single" w:sz="4" w:space="0" w:color="000000"/>
              <w:left w:val="single" w:sz="9" w:space="0" w:color="D2D2D2"/>
              <w:right w:val="single" w:sz="9"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798" w:right="0"/>
              <w:jc w:val="left"/>
              <w:rPr>
                <w:rFonts w:ascii="Times New Roman" w:hAnsi="Times New Roman" w:cs="Times New Roman" w:eastAsia="Times New Roman" w:hint="default"/>
                <w:sz w:val="18"/>
                <w:szCs w:val="18"/>
              </w:rPr>
            </w:pPr>
            <w:r>
              <w:rPr>
                <w:rFonts w:ascii="Times New Roman"/>
                <w:sz w:val="18"/>
              </w:rPr>
              <w:t>53,201</w:t>
            </w:r>
          </w:p>
        </w:tc>
        <w:tc>
          <w:tcPr>
            <w:tcW w:w="1414"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1235" w:type="dxa"/>
            <w:gridSpan w:val="2"/>
            <w:vMerge w:val="restart"/>
            <w:tcBorders>
              <w:top w:val="single" w:sz="4" w:space="0" w:color="000000"/>
              <w:left w:val="single" w:sz="9" w:space="0" w:color="D2D2D2"/>
              <w:right w:val="single" w:sz="9"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z w:val="18"/>
              </w:rPr>
              <w:t>0</w:t>
            </w:r>
          </w:p>
        </w:tc>
        <w:tc>
          <w:tcPr>
            <w:tcW w:w="109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11" w:right="173"/>
              <w:jc w:val="both"/>
              <w:rPr>
                <w:rFonts w:ascii="宋体" w:hAnsi="宋体" w:cs="宋体" w:eastAsia="宋体" w:hint="default"/>
                <w:sz w:val="18"/>
                <w:szCs w:val="18"/>
              </w:rPr>
            </w:pPr>
            <w:r>
              <w:rPr>
                <w:rFonts w:ascii="宋体" w:hAnsi="宋体" w:cs="宋体" w:eastAsia="宋体" w:hint="default"/>
                <w:sz w:val="18"/>
                <w:szCs w:val="18"/>
              </w:rPr>
              <w:t>年度报告披 露日前上一 月末表决权 恢复的优先 股股东总数</w:t>
            </w:r>
          </w:p>
          <w:p>
            <w:pPr>
              <w:pStyle w:val="TableParagraph"/>
              <w:spacing w:line="319" w:lineRule="auto" w:before="19"/>
              <w:ind w:left="11" w:right="83"/>
              <w:jc w:val="both"/>
              <w:rPr>
                <w:rFonts w:ascii="宋体" w:hAnsi="宋体" w:cs="宋体" w:eastAsia="宋体" w:hint="default"/>
                <w:sz w:val="18"/>
                <w:szCs w:val="18"/>
              </w:rPr>
            </w:pPr>
            <w:r>
              <w:rPr>
                <w:rFonts w:ascii="宋体" w:hAnsi="宋体" w:cs="宋体" w:eastAsia="宋体" w:hint="default"/>
                <w:spacing w:val="-15"/>
                <w:sz w:val="18"/>
                <w:szCs w:val="18"/>
              </w:rPr>
              <w:t>（如有）（参</w:t>
            </w:r>
            <w:r>
              <w:rPr>
                <w:rFonts w:ascii="宋体" w:hAnsi="宋体" w:cs="宋体" w:eastAsia="宋体" w:hint="default"/>
                <w:sz w:val="18"/>
                <w:szCs w:val="18"/>
              </w:rPr>
              <w:t> 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宋体" w:hAnsi="宋体" w:cs="宋体" w:eastAsia="宋体" w:hint="default"/>
                <w:sz w:val="18"/>
                <w:szCs w:val="18"/>
              </w:rPr>
              <w:t>）</w:t>
            </w:r>
          </w:p>
        </w:tc>
        <w:tc>
          <w:tcPr>
            <w:tcW w:w="1178" w:type="dxa"/>
            <w:vMerge w:val="restart"/>
            <w:tcBorders>
              <w:top w:val="single" w:sz="4" w:space="0" w:color="000000"/>
              <w:left w:val="single" w:sz="13"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312" w:hRule="exact"/>
        </w:trPr>
        <w:tc>
          <w:tcPr>
            <w:tcW w:w="1153" w:type="dxa"/>
            <w:vMerge/>
            <w:tcBorders>
              <w:left w:val="single" w:sz="4" w:space="0" w:color="000000"/>
              <w:bottom w:val="nil" w:sz="6" w:space="0" w:color="auto"/>
              <w:right w:val="single" w:sz="4" w:space="0" w:color="000000"/>
            </w:tcBorders>
            <w:shd w:val="clear" w:color="auto" w:fill="D2D2D2"/>
          </w:tcPr>
          <w:p>
            <w:pPr/>
          </w:p>
        </w:tc>
        <w:tc>
          <w:tcPr>
            <w:tcW w:w="1120" w:type="dxa"/>
            <w:gridSpan w:val="2"/>
            <w:vMerge/>
            <w:tcBorders>
              <w:left w:val="single" w:sz="10" w:space="0" w:color="D2D2D2"/>
              <w:right w:val="single" w:sz="9" w:space="0" w:color="D2D2D2"/>
            </w:tcBorders>
          </w:tcPr>
          <w:p>
            <w:pPr/>
          </w:p>
        </w:tc>
        <w:tc>
          <w:tcPr>
            <w:tcW w:w="1153"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2" w:right="218"/>
              <w:jc w:val="both"/>
              <w:rPr>
                <w:rFonts w:ascii="宋体" w:hAnsi="宋体" w:cs="宋体" w:eastAsia="宋体" w:hint="default"/>
                <w:sz w:val="18"/>
                <w:szCs w:val="18"/>
              </w:rPr>
            </w:pPr>
            <w:r>
              <w:rPr>
                <w:rFonts w:ascii="宋体" w:hAnsi="宋体" w:cs="宋体" w:eastAsia="宋体" w:hint="default"/>
                <w:sz w:val="18"/>
                <w:szCs w:val="18"/>
              </w:rPr>
              <w:t>年度报告披 露日前上一 月末普通股 股东总数</w:t>
            </w:r>
          </w:p>
        </w:tc>
        <w:tc>
          <w:tcPr>
            <w:tcW w:w="1334" w:type="dxa"/>
            <w:gridSpan w:val="2"/>
            <w:vMerge/>
            <w:tcBorders>
              <w:left w:val="single" w:sz="9" w:space="0" w:color="D2D2D2"/>
              <w:right w:val="single" w:sz="9" w:space="0" w:color="D2D2D2"/>
            </w:tcBorders>
          </w:tcPr>
          <w:p>
            <w:pPr/>
          </w:p>
        </w:tc>
        <w:tc>
          <w:tcPr>
            <w:tcW w:w="1414"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2" w:right="119"/>
              <w:jc w:val="both"/>
              <w:rPr>
                <w:rFonts w:ascii="宋体" w:hAnsi="宋体" w:cs="宋体" w:eastAsia="宋体" w:hint="default"/>
                <w:sz w:val="18"/>
                <w:szCs w:val="18"/>
              </w:rPr>
            </w:pPr>
            <w:r>
              <w:rPr>
                <w:rFonts w:ascii="宋体" w:hAnsi="宋体" w:cs="宋体" w:eastAsia="宋体" w:hint="default"/>
                <w:sz w:val="18"/>
                <w:szCs w:val="18"/>
              </w:rPr>
              <w:t>报告期末表决权 恢复的优先股股 东总数（如有）</w:t>
            </w:r>
          </w:p>
          <w:p>
            <w:pPr>
              <w:pStyle w:val="TableParagraph"/>
              <w:spacing w:line="240" w:lineRule="auto" w:before="20"/>
              <w:ind w:left="22" w:right="0"/>
              <w:jc w:val="both"/>
              <w:rPr>
                <w:rFonts w:ascii="宋体" w:hAnsi="宋体" w:cs="宋体" w:eastAsia="宋体" w:hint="default"/>
                <w:sz w:val="18"/>
                <w:szCs w:val="18"/>
              </w:rPr>
            </w:pPr>
            <w:r>
              <w:rPr>
                <w:rFonts w:ascii="宋体" w:hAnsi="宋体" w:cs="宋体" w:eastAsia="宋体" w:hint="default"/>
                <w:sz w:val="18"/>
                <w:szCs w:val="18"/>
              </w:rPr>
              <w:t>（参见注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宋体" w:hAnsi="宋体" w:cs="宋体" w:eastAsia="宋体" w:hint="default"/>
                <w:sz w:val="18"/>
                <w:szCs w:val="18"/>
              </w:rPr>
              <w:t>）</w:t>
            </w:r>
          </w:p>
        </w:tc>
        <w:tc>
          <w:tcPr>
            <w:tcW w:w="1235" w:type="dxa"/>
            <w:gridSpan w:val="2"/>
            <w:vMerge/>
            <w:tcBorders>
              <w:left w:val="single" w:sz="9" w:space="0" w:color="D2D2D2"/>
              <w:right w:val="single" w:sz="9" w:space="0" w:color="D2D2D2"/>
            </w:tcBorders>
          </w:tcPr>
          <w:p>
            <w:pPr/>
          </w:p>
        </w:tc>
        <w:tc>
          <w:tcPr>
            <w:tcW w:w="1097" w:type="dxa"/>
            <w:gridSpan w:val="2"/>
            <w:vMerge/>
            <w:tcBorders>
              <w:left w:val="single" w:sz="4" w:space="0" w:color="000000"/>
              <w:right w:val="single" w:sz="4" w:space="0" w:color="000000"/>
            </w:tcBorders>
            <w:shd w:val="clear" w:color="auto" w:fill="D2D2D2"/>
          </w:tcPr>
          <w:p>
            <w:pPr/>
          </w:p>
        </w:tc>
        <w:tc>
          <w:tcPr>
            <w:tcW w:w="1178" w:type="dxa"/>
            <w:vMerge/>
            <w:tcBorders>
              <w:left w:val="single" w:sz="13" w:space="0" w:color="D2D2D2"/>
              <w:right w:val="single" w:sz="4" w:space="0" w:color="000000"/>
            </w:tcBorders>
          </w:tcPr>
          <w:p>
            <w:pPr/>
          </w:p>
        </w:tc>
      </w:tr>
      <w:tr>
        <w:trPr>
          <w:trHeight w:val="703" w:hRule="exact"/>
        </w:trPr>
        <w:tc>
          <w:tcPr>
            <w:tcW w:w="115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51"/>
              <w:ind w:left="11" w:right="51"/>
              <w:jc w:val="left"/>
              <w:rPr>
                <w:rFonts w:ascii="宋体" w:hAnsi="宋体" w:cs="宋体" w:eastAsia="宋体" w:hint="default"/>
                <w:sz w:val="18"/>
                <w:szCs w:val="18"/>
              </w:rPr>
            </w:pPr>
            <w:r>
              <w:rPr>
                <w:rFonts w:ascii="宋体" w:hAnsi="宋体" w:cs="宋体" w:eastAsia="宋体" w:hint="default"/>
                <w:sz w:val="18"/>
                <w:szCs w:val="18"/>
              </w:rPr>
              <w:t>报告期末普通 股股东总数</w:t>
            </w:r>
          </w:p>
        </w:tc>
        <w:tc>
          <w:tcPr>
            <w:tcW w:w="1120" w:type="dxa"/>
            <w:gridSpan w:val="2"/>
            <w:vMerge/>
            <w:tcBorders>
              <w:left w:val="single" w:sz="10" w:space="0" w:color="D2D2D2"/>
              <w:right w:val="single" w:sz="9" w:space="0" w:color="D2D2D2"/>
            </w:tcBorders>
          </w:tcPr>
          <w:p>
            <w:pPr/>
          </w:p>
        </w:tc>
        <w:tc>
          <w:tcPr>
            <w:tcW w:w="1153" w:type="dxa"/>
            <w:gridSpan w:val="2"/>
            <w:vMerge/>
            <w:tcBorders>
              <w:left w:val="single" w:sz="4" w:space="0" w:color="000000"/>
              <w:right w:val="single" w:sz="4" w:space="0" w:color="000000"/>
            </w:tcBorders>
            <w:shd w:val="clear" w:color="auto" w:fill="D2D2D2"/>
          </w:tcPr>
          <w:p>
            <w:pPr/>
          </w:p>
        </w:tc>
        <w:tc>
          <w:tcPr>
            <w:tcW w:w="1334" w:type="dxa"/>
            <w:gridSpan w:val="2"/>
            <w:vMerge/>
            <w:tcBorders>
              <w:left w:val="single" w:sz="9" w:space="0" w:color="D2D2D2"/>
              <w:right w:val="single" w:sz="9" w:space="0" w:color="D2D2D2"/>
            </w:tcBorders>
          </w:tcPr>
          <w:p>
            <w:pPr/>
          </w:p>
        </w:tc>
        <w:tc>
          <w:tcPr>
            <w:tcW w:w="1414" w:type="dxa"/>
            <w:gridSpan w:val="2"/>
            <w:vMerge/>
            <w:tcBorders>
              <w:left w:val="single" w:sz="4" w:space="0" w:color="000000"/>
              <w:right w:val="single" w:sz="4" w:space="0" w:color="000000"/>
            </w:tcBorders>
            <w:shd w:val="clear" w:color="auto" w:fill="D2D2D2"/>
          </w:tcPr>
          <w:p>
            <w:pPr/>
          </w:p>
        </w:tc>
        <w:tc>
          <w:tcPr>
            <w:tcW w:w="1235" w:type="dxa"/>
            <w:gridSpan w:val="2"/>
            <w:vMerge/>
            <w:tcBorders>
              <w:left w:val="single" w:sz="9" w:space="0" w:color="D2D2D2"/>
              <w:right w:val="single" w:sz="9" w:space="0" w:color="D2D2D2"/>
            </w:tcBorders>
          </w:tcPr>
          <w:p>
            <w:pPr/>
          </w:p>
        </w:tc>
        <w:tc>
          <w:tcPr>
            <w:tcW w:w="1097" w:type="dxa"/>
            <w:gridSpan w:val="2"/>
            <w:vMerge/>
            <w:tcBorders>
              <w:left w:val="single" w:sz="4" w:space="0" w:color="000000"/>
              <w:right w:val="single" w:sz="4" w:space="0" w:color="000000"/>
            </w:tcBorders>
            <w:shd w:val="clear" w:color="auto" w:fill="D2D2D2"/>
          </w:tcPr>
          <w:p>
            <w:pPr/>
          </w:p>
        </w:tc>
        <w:tc>
          <w:tcPr>
            <w:tcW w:w="1178" w:type="dxa"/>
            <w:vMerge/>
            <w:tcBorders>
              <w:left w:val="single" w:sz="13" w:space="0" w:color="D2D2D2"/>
              <w:right w:val="single" w:sz="4" w:space="0" w:color="000000"/>
            </w:tcBorders>
          </w:tcPr>
          <w:p>
            <w:pPr/>
          </w:p>
        </w:tc>
      </w:tr>
      <w:tr>
        <w:trPr>
          <w:trHeight w:val="312" w:hRule="exact"/>
        </w:trPr>
        <w:tc>
          <w:tcPr>
            <w:tcW w:w="1153" w:type="dxa"/>
            <w:vMerge w:val="restart"/>
            <w:tcBorders>
              <w:top w:val="nil" w:sz="6" w:space="0" w:color="auto"/>
              <w:left w:val="single" w:sz="4" w:space="0" w:color="000000"/>
              <w:right w:val="single" w:sz="4" w:space="0" w:color="000000"/>
            </w:tcBorders>
            <w:shd w:val="clear" w:color="auto" w:fill="D2D2D2"/>
          </w:tcPr>
          <w:p>
            <w:pPr/>
          </w:p>
        </w:tc>
        <w:tc>
          <w:tcPr>
            <w:tcW w:w="1120" w:type="dxa"/>
            <w:gridSpan w:val="2"/>
            <w:vMerge/>
            <w:tcBorders>
              <w:left w:val="single" w:sz="10" w:space="0" w:color="D2D2D2"/>
              <w:right w:val="single" w:sz="9" w:space="0" w:color="D2D2D2"/>
            </w:tcBorders>
          </w:tcPr>
          <w:p>
            <w:pPr/>
          </w:p>
        </w:tc>
        <w:tc>
          <w:tcPr>
            <w:tcW w:w="1153" w:type="dxa"/>
            <w:gridSpan w:val="2"/>
            <w:vMerge/>
            <w:tcBorders>
              <w:left w:val="single" w:sz="4" w:space="0" w:color="000000"/>
              <w:bottom w:val="nil" w:sz="6" w:space="0" w:color="auto"/>
              <w:right w:val="single" w:sz="4" w:space="0" w:color="000000"/>
            </w:tcBorders>
            <w:shd w:val="clear" w:color="auto" w:fill="D2D2D2"/>
          </w:tcPr>
          <w:p>
            <w:pPr/>
          </w:p>
        </w:tc>
        <w:tc>
          <w:tcPr>
            <w:tcW w:w="1334" w:type="dxa"/>
            <w:gridSpan w:val="2"/>
            <w:vMerge/>
            <w:tcBorders>
              <w:left w:val="single" w:sz="9" w:space="0" w:color="D2D2D2"/>
              <w:right w:val="single" w:sz="9" w:space="0" w:color="D2D2D2"/>
            </w:tcBorders>
          </w:tcPr>
          <w:p>
            <w:pPr/>
          </w:p>
        </w:tc>
        <w:tc>
          <w:tcPr>
            <w:tcW w:w="1414" w:type="dxa"/>
            <w:gridSpan w:val="2"/>
            <w:vMerge/>
            <w:tcBorders>
              <w:left w:val="single" w:sz="4" w:space="0" w:color="000000"/>
              <w:bottom w:val="nil" w:sz="6" w:space="0" w:color="auto"/>
              <w:right w:val="single" w:sz="4" w:space="0" w:color="000000"/>
            </w:tcBorders>
            <w:shd w:val="clear" w:color="auto" w:fill="D2D2D2"/>
          </w:tcPr>
          <w:p>
            <w:pPr/>
          </w:p>
        </w:tc>
        <w:tc>
          <w:tcPr>
            <w:tcW w:w="1235" w:type="dxa"/>
            <w:gridSpan w:val="2"/>
            <w:vMerge/>
            <w:tcBorders>
              <w:left w:val="single" w:sz="9" w:space="0" w:color="D2D2D2"/>
              <w:right w:val="single" w:sz="9" w:space="0" w:color="D2D2D2"/>
            </w:tcBorders>
          </w:tcPr>
          <w:p>
            <w:pPr/>
          </w:p>
        </w:tc>
        <w:tc>
          <w:tcPr>
            <w:tcW w:w="1097" w:type="dxa"/>
            <w:gridSpan w:val="2"/>
            <w:vMerge/>
            <w:tcBorders>
              <w:left w:val="single" w:sz="4" w:space="0" w:color="000000"/>
              <w:right w:val="single" w:sz="4" w:space="0" w:color="000000"/>
            </w:tcBorders>
            <w:shd w:val="clear" w:color="auto" w:fill="D2D2D2"/>
          </w:tcPr>
          <w:p>
            <w:pPr/>
          </w:p>
        </w:tc>
        <w:tc>
          <w:tcPr>
            <w:tcW w:w="1178" w:type="dxa"/>
            <w:vMerge/>
            <w:tcBorders>
              <w:left w:val="single" w:sz="13" w:space="0" w:color="D2D2D2"/>
              <w:right w:val="single" w:sz="4" w:space="0" w:color="000000"/>
            </w:tcBorders>
          </w:tcPr>
          <w:p>
            <w:pPr/>
          </w:p>
        </w:tc>
      </w:tr>
      <w:tr>
        <w:trPr>
          <w:trHeight w:val="479" w:hRule="exact"/>
        </w:trPr>
        <w:tc>
          <w:tcPr>
            <w:tcW w:w="1153" w:type="dxa"/>
            <w:vMerge/>
            <w:tcBorders>
              <w:left w:val="single" w:sz="4" w:space="0" w:color="000000"/>
              <w:bottom w:val="single" w:sz="4" w:space="0" w:color="000000"/>
              <w:right w:val="single" w:sz="4" w:space="0" w:color="000000"/>
            </w:tcBorders>
            <w:shd w:val="clear" w:color="auto" w:fill="D2D2D2"/>
          </w:tcPr>
          <w:p>
            <w:pPr/>
          </w:p>
        </w:tc>
        <w:tc>
          <w:tcPr>
            <w:tcW w:w="1120" w:type="dxa"/>
            <w:gridSpan w:val="2"/>
            <w:vMerge/>
            <w:tcBorders>
              <w:left w:val="single" w:sz="10" w:space="0" w:color="D2D2D2"/>
              <w:bottom w:val="single" w:sz="4" w:space="0" w:color="000000"/>
              <w:right w:val="single" w:sz="9" w:space="0" w:color="D2D2D2"/>
            </w:tcBorders>
          </w:tcPr>
          <w:p>
            <w:pPr/>
          </w:p>
        </w:tc>
        <w:tc>
          <w:tcPr>
            <w:tcW w:w="1153"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1334" w:type="dxa"/>
            <w:gridSpan w:val="2"/>
            <w:vMerge/>
            <w:tcBorders>
              <w:left w:val="single" w:sz="9" w:space="0" w:color="D2D2D2"/>
              <w:bottom w:val="single" w:sz="4" w:space="0" w:color="000000"/>
              <w:right w:val="single" w:sz="9" w:space="0" w:color="D2D2D2"/>
            </w:tcBorders>
          </w:tcPr>
          <w:p>
            <w:pPr/>
          </w:p>
        </w:tc>
        <w:tc>
          <w:tcPr>
            <w:tcW w:w="1414"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1235" w:type="dxa"/>
            <w:gridSpan w:val="2"/>
            <w:vMerge/>
            <w:tcBorders>
              <w:left w:val="single" w:sz="9" w:space="0" w:color="D2D2D2"/>
              <w:bottom w:val="single" w:sz="4" w:space="0" w:color="000000"/>
              <w:right w:val="single" w:sz="9" w:space="0" w:color="D2D2D2"/>
            </w:tcBorders>
          </w:tcPr>
          <w:p>
            <w:pPr/>
          </w:p>
        </w:tc>
        <w:tc>
          <w:tcPr>
            <w:tcW w:w="1097" w:type="dxa"/>
            <w:gridSpan w:val="2"/>
            <w:vMerge/>
            <w:tcBorders>
              <w:left w:val="single" w:sz="4" w:space="0" w:color="000000"/>
              <w:bottom w:val="single" w:sz="4" w:space="0" w:color="000000"/>
              <w:right w:val="single" w:sz="4" w:space="0" w:color="000000"/>
            </w:tcBorders>
            <w:shd w:val="clear" w:color="auto" w:fill="D2D2D2"/>
          </w:tcPr>
          <w:p>
            <w:pPr/>
          </w:p>
        </w:tc>
        <w:tc>
          <w:tcPr>
            <w:tcW w:w="1178" w:type="dxa"/>
            <w:vMerge/>
            <w:tcBorders>
              <w:left w:val="single" w:sz="13" w:space="0" w:color="D2D2D2"/>
              <w:bottom w:val="single" w:sz="4" w:space="0" w:color="000000"/>
              <w:right w:val="single" w:sz="4" w:space="0" w:color="000000"/>
            </w:tcBorders>
          </w:tcPr>
          <w:p>
            <w:pPr/>
          </w:p>
        </w:tc>
      </w:tr>
      <w:tr>
        <w:trPr>
          <w:trHeight w:val="391" w:hRule="exact"/>
        </w:trPr>
        <w:tc>
          <w:tcPr>
            <w:tcW w:w="9683" w:type="dxa"/>
            <w:gridSpan w:val="1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3113"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以上的股东或前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名股东持股情况</w:t>
            </w:r>
          </w:p>
        </w:tc>
      </w:tr>
      <w:tr>
        <w:trPr>
          <w:trHeight w:val="167" w:hRule="exact"/>
        </w:trPr>
        <w:tc>
          <w:tcPr>
            <w:tcW w:w="1386" w:type="dxa"/>
            <w:gridSpan w:val="2"/>
            <w:vMerge w:val="restart"/>
            <w:tcBorders>
              <w:top w:val="single" w:sz="4" w:space="0" w:color="000000"/>
              <w:left w:val="single" w:sz="4" w:space="0" w:color="000000"/>
              <w:right w:val="single" w:sz="4" w:space="0" w:color="000000"/>
            </w:tcBorders>
            <w:shd w:val="clear" w:color="auto" w:fill="D2D2D2"/>
          </w:tcPr>
          <w:p>
            <w:pPr/>
          </w:p>
        </w:tc>
        <w:tc>
          <w:tcPr>
            <w:tcW w:w="1339" w:type="dxa"/>
            <w:gridSpan w:val="2"/>
            <w:vMerge w:val="restart"/>
            <w:tcBorders>
              <w:top w:val="single" w:sz="4" w:space="0" w:color="000000"/>
              <w:left w:val="single" w:sz="4" w:space="0" w:color="000000"/>
              <w:right w:val="single" w:sz="4" w:space="0" w:color="000000"/>
            </w:tcBorders>
            <w:shd w:val="clear" w:color="auto" w:fill="D2D2D2"/>
          </w:tcPr>
          <w:p>
            <w:pPr/>
          </w:p>
        </w:tc>
        <w:tc>
          <w:tcPr>
            <w:tcW w:w="701" w:type="dxa"/>
            <w:tcBorders>
              <w:top w:val="single" w:sz="4" w:space="0" w:color="000000"/>
              <w:left w:val="single" w:sz="4" w:space="0" w:color="000000"/>
              <w:bottom w:val="nil" w:sz="6" w:space="0" w:color="auto"/>
              <w:right w:val="single" w:sz="4" w:space="0" w:color="000000"/>
            </w:tcBorders>
            <w:shd w:val="clear" w:color="auto" w:fill="D2D2D2"/>
          </w:tcPr>
          <w:p>
            <w:pPr/>
          </w:p>
        </w:tc>
        <w:tc>
          <w:tcPr>
            <w:tcW w:w="988" w:type="dxa"/>
            <w:tcBorders>
              <w:top w:val="single" w:sz="4" w:space="0" w:color="000000"/>
              <w:left w:val="single" w:sz="4" w:space="0" w:color="000000"/>
              <w:bottom w:val="nil" w:sz="6" w:space="0" w:color="auto"/>
              <w:right w:val="single" w:sz="4" w:space="0" w:color="000000"/>
            </w:tcBorders>
            <w:shd w:val="clear" w:color="auto" w:fill="D2D2D2"/>
          </w:tcPr>
          <w:p>
            <w:pPr/>
          </w:p>
        </w:tc>
        <w:tc>
          <w:tcPr>
            <w:tcW w:w="83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7"/>
              <w:ind w:left="52" w:right="53"/>
              <w:jc w:val="center"/>
              <w:rPr>
                <w:rFonts w:ascii="宋体" w:hAnsi="宋体" w:cs="宋体" w:eastAsia="宋体" w:hint="default"/>
                <w:sz w:val="18"/>
                <w:szCs w:val="18"/>
              </w:rPr>
            </w:pPr>
            <w:r>
              <w:rPr>
                <w:rFonts w:ascii="宋体" w:hAnsi="宋体" w:cs="宋体" w:eastAsia="宋体" w:hint="default"/>
                <w:sz w:val="18"/>
                <w:szCs w:val="18"/>
              </w:rPr>
              <w:t>报告期内 增减变动 情况</w:t>
            </w:r>
          </w:p>
        </w:tc>
        <w:tc>
          <w:tcPr>
            <w:tcW w:w="923"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7"/>
              <w:ind w:left="22" w:right="-10"/>
              <w:jc w:val="center"/>
              <w:rPr>
                <w:rFonts w:ascii="宋体" w:hAnsi="宋体" w:cs="宋体" w:eastAsia="宋体" w:hint="default"/>
                <w:sz w:val="18"/>
                <w:szCs w:val="18"/>
              </w:rPr>
            </w:pPr>
            <w:r>
              <w:rPr>
                <w:rFonts w:ascii="宋体" w:hAnsi="宋体" w:cs="宋体" w:eastAsia="宋体" w:hint="default"/>
                <w:sz w:val="18"/>
                <w:szCs w:val="18"/>
              </w:rPr>
              <w:t>持有有限售 条件的股份 数量</w:t>
            </w:r>
          </w:p>
        </w:tc>
        <w:tc>
          <w:tcPr>
            <w:tcW w:w="989"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7"/>
              <w:ind w:left="55" w:right="21"/>
              <w:jc w:val="center"/>
              <w:rPr>
                <w:rFonts w:ascii="宋体" w:hAnsi="宋体" w:cs="宋体" w:eastAsia="宋体" w:hint="default"/>
                <w:sz w:val="18"/>
                <w:szCs w:val="18"/>
              </w:rPr>
            </w:pPr>
            <w:r>
              <w:rPr>
                <w:rFonts w:ascii="宋体" w:hAnsi="宋体" w:cs="宋体" w:eastAsia="宋体" w:hint="default"/>
                <w:sz w:val="18"/>
                <w:szCs w:val="18"/>
              </w:rPr>
              <w:t>持有无限售 条件的股份 数量</w:t>
            </w:r>
          </w:p>
        </w:tc>
        <w:tc>
          <w:tcPr>
            <w:tcW w:w="2521" w:type="dxa"/>
            <w:gridSpan w:val="4"/>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7"/>
              <w:ind w:left="625"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156" w:hRule="exact"/>
        </w:trPr>
        <w:tc>
          <w:tcPr>
            <w:tcW w:w="1386" w:type="dxa"/>
            <w:gridSpan w:val="2"/>
            <w:vMerge/>
            <w:tcBorders>
              <w:left w:val="single" w:sz="4" w:space="0" w:color="000000"/>
              <w:bottom w:val="nil" w:sz="6" w:space="0" w:color="auto"/>
              <w:right w:val="single" w:sz="4" w:space="0" w:color="000000"/>
            </w:tcBorders>
            <w:shd w:val="clear" w:color="auto" w:fill="D2D2D2"/>
          </w:tcPr>
          <w:p>
            <w:pPr/>
          </w:p>
        </w:tc>
        <w:tc>
          <w:tcPr>
            <w:tcW w:w="1339" w:type="dxa"/>
            <w:gridSpan w:val="2"/>
            <w:vMerge/>
            <w:tcBorders>
              <w:left w:val="single" w:sz="4" w:space="0" w:color="000000"/>
              <w:bottom w:val="nil" w:sz="6" w:space="0" w:color="auto"/>
              <w:right w:val="single" w:sz="4" w:space="0" w:color="000000"/>
            </w:tcBorders>
            <w:shd w:val="clear" w:color="auto" w:fill="D2D2D2"/>
          </w:tcPr>
          <w:p>
            <w:pPr/>
          </w:p>
        </w:tc>
        <w:tc>
          <w:tcPr>
            <w:tcW w:w="701"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71" w:right="59" w:hanging="180"/>
              <w:jc w:val="left"/>
              <w:rPr>
                <w:rFonts w:ascii="宋体" w:hAnsi="宋体" w:cs="宋体" w:eastAsia="宋体" w:hint="default"/>
                <w:sz w:val="18"/>
                <w:szCs w:val="18"/>
              </w:rPr>
            </w:pPr>
            <w:r>
              <w:rPr>
                <w:rFonts w:ascii="宋体" w:hAnsi="宋体" w:cs="宋体" w:eastAsia="宋体" w:hint="default"/>
                <w:sz w:val="18"/>
                <w:szCs w:val="18"/>
              </w:rPr>
              <w:t>持股比 例</w:t>
            </w:r>
          </w:p>
        </w:tc>
        <w:tc>
          <w:tcPr>
            <w:tcW w:w="988"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5" w:right="21" w:hanging="180"/>
              <w:jc w:val="left"/>
              <w:rPr>
                <w:rFonts w:ascii="宋体" w:hAnsi="宋体" w:cs="宋体" w:eastAsia="宋体" w:hint="default"/>
                <w:sz w:val="18"/>
                <w:szCs w:val="18"/>
              </w:rPr>
            </w:pPr>
            <w:r>
              <w:rPr>
                <w:rFonts w:ascii="宋体" w:hAnsi="宋体" w:cs="宋体" w:eastAsia="宋体" w:hint="default"/>
                <w:sz w:val="18"/>
                <w:szCs w:val="18"/>
              </w:rPr>
              <w:t>报告期末持 股数量</w:t>
            </w:r>
          </w:p>
        </w:tc>
        <w:tc>
          <w:tcPr>
            <w:tcW w:w="836" w:type="dxa"/>
            <w:gridSpan w:val="2"/>
            <w:vMerge/>
            <w:tcBorders>
              <w:left w:val="single" w:sz="4" w:space="0" w:color="000000"/>
              <w:right w:val="single" w:sz="4" w:space="0" w:color="000000"/>
            </w:tcBorders>
            <w:shd w:val="clear" w:color="auto" w:fill="D2D2D2"/>
          </w:tcPr>
          <w:p>
            <w:pPr/>
          </w:p>
        </w:tc>
        <w:tc>
          <w:tcPr>
            <w:tcW w:w="923" w:type="dxa"/>
            <w:vMerge/>
            <w:tcBorders>
              <w:left w:val="single" w:sz="4" w:space="0" w:color="000000"/>
              <w:right w:val="single" w:sz="4" w:space="0" w:color="000000"/>
            </w:tcBorders>
            <w:shd w:val="clear" w:color="auto" w:fill="D2D2D2"/>
          </w:tcPr>
          <w:p>
            <w:pPr/>
          </w:p>
        </w:tc>
        <w:tc>
          <w:tcPr>
            <w:tcW w:w="989" w:type="dxa"/>
            <w:vMerge/>
            <w:tcBorders>
              <w:left w:val="single" w:sz="4" w:space="0" w:color="000000"/>
              <w:right w:val="single" w:sz="4" w:space="0" w:color="000000"/>
            </w:tcBorders>
            <w:shd w:val="clear" w:color="auto" w:fill="D2D2D2"/>
          </w:tcPr>
          <w:p>
            <w:pPr/>
          </w:p>
        </w:tc>
        <w:tc>
          <w:tcPr>
            <w:tcW w:w="2521" w:type="dxa"/>
            <w:gridSpan w:val="4"/>
            <w:vMerge/>
            <w:tcBorders>
              <w:left w:val="single" w:sz="4" w:space="0" w:color="000000"/>
              <w:right w:val="single" w:sz="4" w:space="0" w:color="000000"/>
            </w:tcBorders>
            <w:shd w:val="clear" w:color="auto" w:fill="D2D2D2"/>
          </w:tcPr>
          <w:p>
            <w:pPr/>
          </w:p>
        </w:tc>
      </w:tr>
      <w:tr>
        <w:trPr>
          <w:trHeight w:val="140" w:hRule="exact"/>
        </w:trPr>
        <w:tc>
          <w:tcPr>
            <w:tcW w:w="1386"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22"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339"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03"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701" w:type="dxa"/>
            <w:vMerge/>
            <w:tcBorders>
              <w:left w:val="single" w:sz="4" w:space="0" w:color="000000"/>
              <w:right w:val="single" w:sz="4" w:space="0" w:color="000000"/>
            </w:tcBorders>
            <w:shd w:val="clear" w:color="auto" w:fill="D2D2D2"/>
          </w:tcPr>
          <w:p>
            <w:pPr/>
          </w:p>
        </w:tc>
        <w:tc>
          <w:tcPr>
            <w:tcW w:w="988" w:type="dxa"/>
            <w:vMerge/>
            <w:tcBorders>
              <w:left w:val="single" w:sz="4" w:space="0" w:color="000000"/>
              <w:right w:val="single" w:sz="4" w:space="0" w:color="000000"/>
            </w:tcBorders>
            <w:shd w:val="clear" w:color="auto" w:fill="D2D2D2"/>
          </w:tcPr>
          <w:p>
            <w:pPr/>
          </w:p>
        </w:tc>
        <w:tc>
          <w:tcPr>
            <w:tcW w:w="836" w:type="dxa"/>
            <w:gridSpan w:val="2"/>
            <w:vMerge/>
            <w:tcBorders>
              <w:left w:val="single" w:sz="4" w:space="0" w:color="000000"/>
              <w:right w:val="single" w:sz="4" w:space="0" w:color="000000"/>
            </w:tcBorders>
            <w:shd w:val="clear" w:color="auto" w:fill="D2D2D2"/>
          </w:tcPr>
          <w:p>
            <w:pPr/>
          </w:p>
        </w:tc>
        <w:tc>
          <w:tcPr>
            <w:tcW w:w="923" w:type="dxa"/>
            <w:vMerge/>
            <w:tcBorders>
              <w:left w:val="single" w:sz="4" w:space="0" w:color="000000"/>
              <w:right w:val="single" w:sz="4" w:space="0" w:color="000000"/>
            </w:tcBorders>
            <w:shd w:val="clear" w:color="auto" w:fill="D2D2D2"/>
          </w:tcPr>
          <w:p>
            <w:pPr/>
          </w:p>
        </w:tc>
        <w:tc>
          <w:tcPr>
            <w:tcW w:w="989" w:type="dxa"/>
            <w:vMerge/>
            <w:tcBorders>
              <w:left w:val="single" w:sz="4" w:space="0" w:color="000000"/>
              <w:right w:val="single" w:sz="4" w:space="0" w:color="000000"/>
            </w:tcBorders>
            <w:shd w:val="clear" w:color="auto" w:fill="D2D2D2"/>
          </w:tcPr>
          <w:p>
            <w:pPr/>
          </w:p>
        </w:tc>
        <w:tc>
          <w:tcPr>
            <w:tcW w:w="2521" w:type="dxa"/>
            <w:gridSpan w:val="4"/>
            <w:vMerge/>
            <w:tcBorders>
              <w:left w:val="single" w:sz="4" w:space="0" w:color="000000"/>
              <w:bottom w:val="single" w:sz="4" w:space="0" w:color="000000"/>
              <w:right w:val="single" w:sz="4" w:space="0" w:color="000000"/>
            </w:tcBorders>
            <w:shd w:val="clear" w:color="auto" w:fill="D2D2D2"/>
          </w:tcPr>
          <w:p>
            <w:pPr/>
          </w:p>
        </w:tc>
      </w:tr>
      <w:tr>
        <w:trPr>
          <w:trHeight w:val="251" w:hRule="exact"/>
        </w:trPr>
        <w:tc>
          <w:tcPr>
            <w:tcW w:w="1386" w:type="dxa"/>
            <w:gridSpan w:val="2"/>
            <w:vMerge/>
            <w:tcBorders>
              <w:left w:val="single" w:sz="4" w:space="0" w:color="000000"/>
              <w:bottom w:val="nil" w:sz="6" w:space="0" w:color="auto"/>
              <w:right w:val="single" w:sz="4" w:space="0" w:color="000000"/>
            </w:tcBorders>
            <w:shd w:val="clear" w:color="auto" w:fill="D2D2D2"/>
          </w:tcPr>
          <w:p>
            <w:pPr/>
          </w:p>
        </w:tc>
        <w:tc>
          <w:tcPr>
            <w:tcW w:w="1339" w:type="dxa"/>
            <w:gridSpan w:val="2"/>
            <w:vMerge/>
            <w:tcBorders>
              <w:left w:val="single" w:sz="4" w:space="0" w:color="000000"/>
              <w:bottom w:val="nil" w:sz="6" w:space="0" w:color="auto"/>
              <w:right w:val="single" w:sz="4" w:space="0" w:color="000000"/>
            </w:tcBorders>
            <w:shd w:val="clear" w:color="auto" w:fill="D2D2D2"/>
          </w:tcPr>
          <w:p>
            <w:pPr/>
          </w:p>
        </w:tc>
        <w:tc>
          <w:tcPr>
            <w:tcW w:w="701" w:type="dxa"/>
            <w:vMerge/>
            <w:tcBorders>
              <w:left w:val="single" w:sz="4" w:space="0" w:color="000000"/>
              <w:right w:val="single" w:sz="4" w:space="0" w:color="000000"/>
            </w:tcBorders>
            <w:shd w:val="clear" w:color="auto" w:fill="D2D2D2"/>
          </w:tcPr>
          <w:p>
            <w:pPr/>
          </w:p>
        </w:tc>
        <w:tc>
          <w:tcPr>
            <w:tcW w:w="988" w:type="dxa"/>
            <w:vMerge/>
            <w:tcBorders>
              <w:left w:val="single" w:sz="4" w:space="0" w:color="000000"/>
              <w:right w:val="single" w:sz="4" w:space="0" w:color="000000"/>
            </w:tcBorders>
            <w:shd w:val="clear" w:color="auto" w:fill="D2D2D2"/>
          </w:tcPr>
          <w:p>
            <w:pPr/>
          </w:p>
        </w:tc>
        <w:tc>
          <w:tcPr>
            <w:tcW w:w="836" w:type="dxa"/>
            <w:gridSpan w:val="2"/>
            <w:vMerge/>
            <w:tcBorders>
              <w:left w:val="single" w:sz="4" w:space="0" w:color="000000"/>
              <w:right w:val="single" w:sz="4" w:space="0" w:color="000000"/>
            </w:tcBorders>
            <w:shd w:val="clear" w:color="auto" w:fill="D2D2D2"/>
          </w:tcPr>
          <w:p>
            <w:pPr/>
          </w:p>
        </w:tc>
        <w:tc>
          <w:tcPr>
            <w:tcW w:w="923" w:type="dxa"/>
            <w:vMerge/>
            <w:tcBorders>
              <w:left w:val="single" w:sz="4" w:space="0" w:color="000000"/>
              <w:right w:val="single" w:sz="4" w:space="0" w:color="000000"/>
            </w:tcBorders>
            <w:shd w:val="clear" w:color="auto" w:fill="D2D2D2"/>
          </w:tcPr>
          <w:p>
            <w:pPr/>
          </w:p>
        </w:tc>
        <w:tc>
          <w:tcPr>
            <w:tcW w:w="989" w:type="dxa"/>
            <w:vMerge/>
            <w:tcBorders>
              <w:left w:val="single" w:sz="4" w:space="0" w:color="000000"/>
              <w:right w:val="single" w:sz="4" w:space="0" w:color="000000"/>
            </w:tcBorders>
            <w:shd w:val="clear" w:color="auto" w:fill="D2D2D2"/>
          </w:tcPr>
          <w:p>
            <w:pPr/>
          </w:p>
        </w:tc>
        <w:tc>
          <w:tcPr>
            <w:tcW w:w="124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7"/>
              <w:ind w:left="257" w:right="0"/>
              <w:jc w:val="left"/>
              <w:rPr>
                <w:rFonts w:ascii="宋体" w:hAnsi="宋体" w:cs="宋体" w:eastAsia="宋体" w:hint="default"/>
                <w:sz w:val="18"/>
                <w:szCs w:val="18"/>
              </w:rPr>
            </w:pPr>
            <w:r>
              <w:rPr>
                <w:rFonts w:ascii="宋体" w:hAnsi="宋体" w:cs="宋体" w:eastAsia="宋体" w:hint="default"/>
                <w:sz w:val="18"/>
                <w:szCs w:val="18"/>
              </w:rPr>
              <w:t>股份状态</w:t>
            </w:r>
          </w:p>
        </w:tc>
        <w:tc>
          <w:tcPr>
            <w:tcW w:w="1273"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7"/>
              <w:ind w:right="1"/>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156" w:hRule="exact"/>
        </w:trPr>
        <w:tc>
          <w:tcPr>
            <w:tcW w:w="1386" w:type="dxa"/>
            <w:gridSpan w:val="2"/>
            <w:vMerge w:val="restart"/>
            <w:tcBorders>
              <w:top w:val="nil" w:sz="6" w:space="0" w:color="auto"/>
              <w:left w:val="single" w:sz="4" w:space="0" w:color="000000"/>
              <w:right w:val="single" w:sz="4" w:space="0" w:color="000000"/>
            </w:tcBorders>
            <w:shd w:val="clear" w:color="auto" w:fill="D2D2D2"/>
          </w:tcPr>
          <w:p>
            <w:pPr/>
          </w:p>
        </w:tc>
        <w:tc>
          <w:tcPr>
            <w:tcW w:w="1339" w:type="dxa"/>
            <w:gridSpan w:val="2"/>
            <w:vMerge w:val="restart"/>
            <w:tcBorders>
              <w:top w:val="nil" w:sz="6" w:space="0" w:color="auto"/>
              <w:left w:val="single" w:sz="4" w:space="0" w:color="000000"/>
              <w:right w:val="single" w:sz="4" w:space="0" w:color="000000"/>
            </w:tcBorders>
            <w:shd w:val="clear" w:color="auto" w:fill="D2D2D2"/>
          </w:tcPr>
          <w:p>
            <w:pPr/>
          </w:p>
        </w:tc>
        <w:tc>
          <w:tcPr>
            <w:tcW w:w="701" w:type="dxa"/>
            <w:vMerge/>
            <w:tcBorders>
              <w:left w:val="single" w:sz="4" w:space="0" w:color="000000"/>
              <w:bottom w:val="nil" w:sz="6" w:space="0" w:color="auto"/>
              <w:right w:val="single" w:sz="4" w:space="0" w:color="000000"/>
            </w:tcBorders>
            <w:shd w:val="clear" w:color="auto" w:fill="D2D2D2"/>
          </w:tcPr>
          <w:p>
            <w:pPr/>
          </w:p>
        </w:tc>
        <w:tc>
          <w:tcPr>
            <w:tcW w:w="988" w:type="dxa"/>
            <w:vMerge/>
            <w:tcBorders>
              <w:left w:val="single" w:sz="4" w:space="0" w:color="000000"/>
              <w:bottom w:val="nil" w:sz="6" w:space="0" w:color="auto"/>
              <w:right w:val="single" w:sz="4" w:space="0" w:color="000000"/>
            </w:tcBorders>
            <w:shd w:val="clear" w:color="auto" w:fill="D2D2D2"/>
          </w:tcPr>
          <w:p>
            <w:pPr/>
          </w:p>
        </w:tc>
        <w:tc>
          <w:tcPr>
            <w:tcW w:w="836" w:type="dxa"/>
            <w:gridSpan w:val="2"/>
            <w:vMerge/>
            <w:tcBorders>
              <w:left w:val="single" w:sz="4" w:space="0" w:color="000000"/>
              <w:right w:val="single" w:sz="4" w:space="0" w:color="000000"/>
            </w:tcBorders>
            <w:shd w:val="clear" w:color="auto" w:fill="D2D2D2"/>
          </w:tcPr>
          <w:p>
            <w:pPr/>
          </w:p>
        </w:tc>
        <w:tc>
          <w:tcPr>
            <w:tcW w:w="923" w:type="dxa"/>
            <w:vMerge/>
            <w:tcBorders>
              <w:left w:val="single" w:sz="4" w:space="0" w:color="000000"/>
              <w:right w:val="single" w:sz="4" w:space="0" w:color="000000"/>
            </w:tcBorders>
            <w:shd w:val="clear" w:color="auto" w:fill="D2D2D2"/>
          </w:tcPr>
          <w:p>
            <w:pPr/>
          </w:p>
        </w:tc>
        <w:tc>
          <w:tcPr>
            <w:tcW w:w="989" w:type="dxa"/>
            <w:vMerge/>
            <w:tcBorders>
              <w:left w:val="single" w:sz="4" w:space="0" w:color="000000"/>
              <w:right w:val="single" w:sz="4" w:space="0" w:color="000000"/>
            </w:tcBorders>
            <w:shd w:val="clear" w:color="auto" w:fill="D2D2D2"/>
          </w:tcPr>
          <w:p>
            <w:pPr/>
          </w:p>
        </w:tc>
        <w:tc>
          <w:tcPr>
            <w:tcW w:w="1248" w:type="dxa"/>
            <w:gridSpan w:val="2"/>
            <w:vMerge/>
            <w:tcBorders>
              <w:left w:val="single" w:sz="4" w:space="0" w:color="000000"/>
              <w:right w:val="single" w:sz="4" w:space="0" w:color="000000"/>
            </w:tcBorders>
            <w:shd w:val="clear" w:color="auto" w:fill="D2D2D2"/>
          </w:tcPr>
          <w:p>
            <w:pPr/>
          </w:p>
        </w:tc>
        <w:tc>
          <w:tcPr>
            <w:tcW w:w="1273" w:type="dxa"/>
            <w:gridSpan w:val="2"/>
            <w:vMerge/>
            <w:tcBorders>
              <w:left w:val="single" w:sz="4" w:space="0" w:color="000000"/>
              <w:right w:val="single" w:sz="4" w:space="0" w:color="000000"/>
            </w:tcBorders>
            <w:shd w:val="clear" w:color="auto" w:fill="D2D2D2"/>
          </w:tcPr>
          <w:p>
            <w:pPr/>
          </w:p>
        </w:tc>
      </w:tr>
      <w:tr>
        <w:trPr>
          <w:trHeight w:val="161" w:hRule="exact"/>
        </w:trPr>
        <w:tc>
          <w:tcPr>
            <w:tcW w:w="1386" w:type="dxa"/>
            <w:gridSpan w:val="2"/>
            <w:vMerge/>
            <w:tcBorders>
              <w:left w:val="single" w:sz="4" w:space="0" w:color="000000"/>
              <w:bottom w:val="single" w:sz="4" w:space="0" w:color="000000"/>
              <w:right w:val="single" w:sz="4" w:space="0" w:color="000000"/>
            </w:tcBorders>
            <w:shd w:val="clear" w:color="auto" w:fill="D2D2D2"/>
          </w:tcPr>
          <w:p>
            <w:pPr/>
          </w:p>
        </w:tc>
        <w:tc>
          <w:tcPr>
            <w:tcW w:w="1339" w:type="dxa"/>
            <w:gridSpan w:val="2"/>
            <w:vMerge/>
            <w:tcBorders>
              <w:left w:val="single" w:sz="4" w:space="0" w:color="000000"/>
              <w:bottom w:val="single" w:sz="4" w:space="0" w:color="000000"/>
              <w:right w:val="single" w:sz="4" w:space="0" w:color="000000"/>
            </w:tcBorders>
            <w:shd w:val="clear" w:color="auto" w:fill="D2D2D2"/>
          </w:tcPr>
          <w:p>
            <w:pPr/>
          </w:p>
        </w:tc>
        <w:tc>
          <w:tcPr>
            <w:tcW w:w="701" w:type="dxa"/>
            <w:tcBorders>
              <w:top w:val="nil" w:sz="6" w:space="0" w:color="auto"/>
              <w:left w:val="single" w:sz="4" w:space="0" w:color="000000"/>
              <w:bottom w:val="single" w:sz="4" w:space="0" w:color="000000"/>
              <w:right w:val="single" w:sz="4" w:space="0" w:color="000000"/>
            </w:tcBorders>
            <w:shd w:val="clear" w:color="auto" w:fill="D2D2D2"/>
          </w:tcPr>
          <w:p>
            <w:pPr/>
          </w:p>
        </w:tc>
        <w:tc>
          <w:tcPr>
            <w:tcW w:w="988" w:type="dxa"/>
            <w:tcBorders>
              <w:top w:val="nil" w:sz="6" w:space="0" w:color="auto"/>
              <w:left w:val="single" w:sz="4" w:space="0" w:color="000000"/>
              <w:bottom w:val="single" w:sz="4" w:space="0" w:color="000000"/>
              <w:right w:val="single" w:sz="4" w:space="0" w:color="000000"/>
            </w:tcBorders>
            <w:shd w:val="clear" w:color="auto" w:fill="D2D2D2"/>
          </w:tcPr>
          <w:p>
            <w:pPr/>
          </w:p>
        </w:tc>
        <w:tc>
          <w:tcPr>
            <w:tcW w:w="836" w:type="dxa"/>
            <w:gridSpan w:val="2"/>
            <w:vMerge/>
            <w:tcBorders>
              <w:left w:val="single" w:sz="4" w:space="0" w:color="000000"/>
              <w:bottom w:val="single" w:sz="4" w:space="0" w:color="000000"/>
              <w:right w:val="single" w:sz="4" w:space="0" w:color="000000"/>
            </w:tcBorders>
            <w:shd w:val="clear" w:color="auto" w:fill="D2D2D2"/>
          </w:tcPr>
          <w:p>
            <w:pPr/>
          </w:p>
        </w:tc>
        <w:tc>
          <w:tcPr>
            <w:tcW w:w="923" w:type="dxa"/>
            <w:vMerge/>
            <w:tcBorders>
              <w:left w:val="single" w:sz="4" w:space="0" w:color="000000"/>
              <w:bottom w:val="single" w:sz="4" w:space="0" w:color="000000"/>
              <w:right w:val="single" w:sz="4" w:space="0" w:color="000000"/>
            </w:tcBorders>
            <w:shd w:val="clear" w:color="auto" w:fill="D2D2D2"/>
          </w:tcPr>
          <w:p>
            <w:pPr/>
          </w:p>
        </w:tc>
        <w:tc>
          <w:tcPr>
            <w:tcW w:w="989" w:type="dxa"/>
            <w:vMerge/>
            <w:tcBorders>
              <w:left w:val="single" w:sz="4" w:space="0" w:color="000000"/>
              <w:bottom w:val="single" w:sz="4" w:space="0" w:color="000000"/>
              <w:right w:val="single" w:sz="4" w:space="0" w:color="000000"/>
            </w:tcBorders>
            <w:shd w:val="clear" w:color="auto" w:fill="D2D2D2"/>
          </w:tcPr>
          <w:p>
            <w:pPr/>
          </w:p>
        </w:tc>
        <w:tc>
          <w:tcPr>
            <w:tcW w:w="1248" w:type="dxa"/>
            <w:gridSpan w:val="2"/>
            <w:vMerge/>
            <w:tcBorders>
              <w:left w:val="single" w:sz="4" w:space="0" w:color="000000"/>
              <w:bottom w:val="single" w:sz="4" w:space="0" w:color="000000"/>
              <w:right w:val="single" w:sz="4" w:space="0" w:color="000000"/>
            </w:tcBorders>
            <w:shd w:val="clear" w:color="auto" w:fill="D2D2D2"/>
          </w:tcPr>
          <w:p>
            <w:pPr/>
          </w:p>
        </w:tc>
        <w:tc>
          <w:tcPr>
            <w:tcW w:w="1273" w:type="dxa"/>
            <w:gridSpan w:val="2"/>
            <w:vMerge/>
            <w:tcBorders>
              <w:left w:val="single" w:sz="4" w:space="0" w:color="000000"/>
              <w:bottom w:val="single" w:sz="4" w:space="0" w:color="000000"/>
              <w:right w:val="single" w:sz="4" w:space="0" w:color="000000"/>
            </w:tcBorders>
            <w:shd w:val="clear" w:color="auto" w:fill="D2D2D2"/>
          </w:tcPr>
          <w:p>
            <w:pPr/>
          </w:p>
        </w:tc>
      </w:tr>
      <w:tr>
        <w:trPr>
          <w:trHeight w:val="715" w:hRule="exact"/>
        </w:trPr>
        <w:tc>
          <w:tcPr>
            <w:tcW w:w="1386"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1" w:right="102"/>
              <w:jc w:val="left"/>
              <w:rPr>
                <w:rFonts w:ascii="宋体" w:hAnsi="宋体" w:cs="宋体" w:eastAsia="宋体" w:hint="default"/>
                <w:sz w:val="18"/>
                <w:szCs w:val="18"/>
              </w:rPr>
            </w:pPr>
            <w:r>
              <w:rPr>
                <w:rFonts w:ascii="宋体" w:hAnsi="宋体" w:cs="宋体" w:eastAsia="宋体" w:hint="default"/>
                <w:sz w:val="18"/>
                <w:szCs w:val="18"/>
              </w:rPr>
              <w:t>深圳市劲嘉创业 投资有限公司</w:t>
            </w:r>
          </w:p>
        </w:tc>
        <w:tc>
          <w:tcPr>
            <w:tcW w:w="133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45" w:right="-10"/>
              <w:jc w:val="left"/>
              <w:rPr>
                <w:rFonts w:ascii="Times New Roman" w:hAnsi="Times New Roman" w:cs="Times New Roman" w:eastAsia="Times New Roman" w:hint="default"/>
                <w:sz w:val="18"/>
                <w:szCs w:val="18"/>
              </w:rPr>
            </w:pPr>
            <w:r>
              <w:rPr>
                <w:rFonts w:ascii="Times New Roman"/>
                <w:sz w:val="18"/>
              </w:rPr>
              <w:t>30.98%</w:t>
            </w:r>
          </w:p>
        </w:tc>
        <w:tc>
          <w:tcPr>
            <w:tcW w:w="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5" w:right="0"/>
              <w:jc w:val="left"/>
              <w:rPr>
                <w:rFonts w:ascii="Times New Roman" w:hAnsi="Times New Roman" w:cs="Times New Roman" w:eastAsia="Times New Roman" w:hint="default"/>
                <w:sz w:val="18"/>
                <w:szCs w:val="18"/>
              </w:rPr>
            </w:pPr>
            <w:r>
              <w:rPr>
                <w:rFonts w:ascii="Times New Roman"/>
                <w:sz w:val="18"/>
              </w:rPr>
              <w:t>463,089,709</w:t>
            </w:r>
          </w:p>
        </w:tc>
        <w:tc>
          <w:tcPr>
            <w:tcW w:w="83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100,000</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12" w:right="-10"/>
              <w:jc w:val="left"/>
              <w:rPr>
                <w:rFonts w:ascii="Times New Roman" w:hAnsi="Times New Roman" w:cs="Times New Roman" w:eastAsia="Times New Roman" w:hint="default"/>
                <w:sz w:val="18"/>
                <w:szCs w:val="18"/>
              </w:rPr>
            </w:pPr>
            <w:r>
              <w:rPr>
                <w:rFonts w:ascii="Times New Roman"/>
                <w:sz w:val="18"/>
              </w:rPr>
              <w:t>22,883,295</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5" w:right="0"/>
              <w:jc w:val="left"/>
              <w:rPr>
                <w:rFonts w:ascii="Times New Roman" w:hAnsi="Times New Roman" w:cs="Times New Roman" w:eastAsia="Times New Roman" w:hint="default"/>
                <w:sz w:val="18"/>
                <w:szCs w:val="18"/>
              </w:rPr>
            </w:pPr>
            <w:r>
              <w:rPr>
                <w:rFonts w:ascii="Times New Roman"/>
                <w:sz w:val="18"/>
              </w:rPr>
              <w:t>440,206,414</w:t>
            </w:r>
          </w:p>
        </w:tc>
        <w:tc>
          <w:tcPr>
            <w:tcW w:w="1248" w:type="dxa"/>
            <w:gridSpan w:val="2"/>
            <w:tcBorders>
              <w:top w:val="single" w:sz="44" w:space="0" w:color="D2D2D2"/>
              <w:left w:val="single" w:sz="4" w:space="0" w:color="000000"/>
              <w:bottom w:val="single" w:sz="4" w:space="0" w:color="000000"/>
              <w:right w:val="single" w:sz="4" w:space="0" w:color="000000"/>
            </w:tcBorders>
          </w:tcPr>
          <w:p>
            <w:pPr>
              <w:pStyle w:val="TableParagraph"/>
              <w:spacing w:line="240" w:lineRule="auto" w:before="158"/>
              <w:ind w:left="22"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273" w:type="dxa"/>
            <w:gridSpan w:val="2"/>
            <w:tcBorders>
              <w:top w:val="single" w:sz="44" w:space="0" w:color="D2D2D2"/>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339" w:right="0"/>
              <w:jc w:val="left"/>
              <w:rPr>
                <w:rFonts w:ascii="Times New Roman" w:hAnsi="Times New Roman" w:cs="Times New Roman" w:eastAsia="Times New Roman" w:hint="default"/>
                <w:sz w:val="18"/>
                <w:szCs w:val="18"/>
              </w:rPr>
            </w:pPr>
            <w:r>
              <w:rPr>
                <w:rFonts w:ascii="Times New Roman"/>
                <w:sz w:val="18"/>
              </w:rPr>
              <w:t>421,507,392</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r>
        <w:rPr/>
        <w:pict>
          <v:group style="position:absolute;margin-left:193.520004pt;margin-top:520.659973pt;width:345.2pt;height:15.6pt;mso-position-horizontal-relative:page;mso-position-vertical-relative:page;z-index:-1231408" coordorigin="3870,10413" coordsize="6904,312">
            <v:shape style="position:absolute;left:3870;top:10413;width:6904;height:312" coordorigin="3870,10413" coordsize="6904,312" path="m3870,10725l10774,10725,10774,10413,3870,10413,3870,10725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21" w:type="dxa"/>
        <w:tblLayout w:type="fixed"/>
        <w:tblCellMar>
          <w:top w:w="0" w:type="dxa"/>
          <w:left w:w="0" w:type="dxa"/>
          <w:bottom w:w="0" w:type="dxa"/>
          <w:right w:w="0" w:type="dxa"/>
        </w:tblCellMar>
        <w:tblLook w:val="01E0"/>
      </w:tblPr>
      <w:tblGrid>
        <w:gridCol w:w="1397"/>
        <w:gridCol w:w="1339"/>
        <w:gridCol w:w="733"/>
        <w:gridCol w:w="708"/>
        <w:gridCol w:w="247"/>
        <w:gridCol w:w="836"/>
        <w:gridCol w:w="956"/>
        <w:gridCol w:w="956"/>
        <w:gridCol w:w="1248"/>
        <w:gridCol w:w="1273"/>
      </w:tblGrid>
      <w:tr>
        <w:trPr>
          <w:trHeight w:val="714" w:hRule="exact"/>
        </w:trPr>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2"/>
              <w:jc w:val="left"/>
              <w:rPr>
                <w:rFonts w:ascii="宋体" w:hAnsi="宋体" w:cs="宋体" w:eastAsia="宋体" w:hint="default"/>
                <w:sz w:val="18"/>
                <w:szCs w:val="18"/>
              </w:rPr>
            </w:pPr>
            <w:r>
              <w:rPr>
                <w:rFonts w:ascii="宋体" w:hAnsi="宋体" w:cs="宋体" w:eastAsia="宋体" w:hint="default"/>
                <w:sz w:val="18"/>
                <w:szCs w:val="18"/>
              </w:rPr>
              <w:t>亚东复星瑞哲安 泰发展有限公司</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9.18%</w:t>
            </w:r>
          </w:p>
        </w:tc>
        <w:tc>
          <w:tcPr>
            <w:tcW w:w="95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137,299,771</w:t>
            </w: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137,299,771</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137,299,700</w:t>
            </w:r>
          </w:p>
        </w:tc>
      </w:tr>
      <w:tr>
        <w:trPr>
          <w:trHeight w:val="1026" w:hRule="exact"/>
        </w:trPr>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2"/>
              <w:jc w:val="left"/>
              <w:rPr>
                <w:rFonts w:ascii="宋体" w:hAnsi="宋体" w:cs="宋体" w:eastAsia="宋体" w:hint="default"/>
                <w:sz w:val="18"/>
                <w:szCs w:val="18"/>
              </w:rPr>
            </w:pPr>
            <w:r>
              <w:rPr>
                <w:rFonts w:ascii="宋体" w:hAnsi="宋体" w:cs="宋体" w:eastAsia="宋体" w:hint="default"/>
                <w:sz w:val="18"/>
                <w:szCs w:val="18"/>
              </w:rPr>
              <w:t>新疆世纪运通股 权投资合伙企业</w:t>
            </w:r>
          </w:p>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（有限合伙）</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3.64%</w:t>
            </w:r>
          </w:p>
        </w:tc>
        <w:tc>
          <w:tcPr>
            <w:tcW w:w="95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12" w:right="0"/>
              <w:jc w:val="left"/>
              <w:rPr>
                <w:rFonts w:ascii="Times New Roman" w:hAnsi="Times New Roman" w:cs="Times New Roman" w:eastAsia="Times New Roman" w:hint="default"/>
                <w:sz w:val="18"/>
                <w:szCs w:val="18"/>
              </w:rPr>
            </w:pPr>
            <w:r>
              <w:rPr>
                <w:rFonts w:ascii="Times New Roman"/>
                <w:sz w:val="18"/>
              </w:rPr>
              <w:t>54,400,000</w:t>
            </w: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54,400,000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38,000,000</w:t>
            </w:r>
          </w:p>
        </w:tc>
      </w:tr>
      <w:tr>
        <w:trPr>
          <w:trHeight w:val="1650" w:hRule="exact"/>
        </w:trPr>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2"/>
              <w:jc w:val="both"/>
              <w:rPr>
                <w:rFonts w:ascii="Times New Roman" w:hAnsi="Times New Roman" w:cs="Times New Roman" w:eastAsia="Times New Roman" w:hint="default"/>
                <w:sz w:val="18"/>
                <w:szCs w:val="18"/>
              </w:rPr>
            </w:pPr>
            <w:r>
              <w:rPr>
                <w:rFonts w:ascii="宋体" w:hAnsi="宋体" w:cs="宋体" w:eastAsia="宋体" w:hint="default"/>
                <w:sz w:val="18"/>
                <w:szCs w:val="18"/>
              </w:rPr>
              <w:t>泰康人寿保险有 限责任公司－传 统－普通保险产 品</w:t>
            </w:r>
            <w:r>
              <w:rPr>
                <w:rFonts w:ascii="Times New Roman" w:hAnsi="Times New Roman" w:cs="Times New Roman" w:eastAsia="Times New Roman" w:hint="default"/>
                <w:sz w:val="18"/>
                <w:szCs w:val="18"/>
              </w:rPr>
              <w:t>-019L-CT001</w:t>
            </w:r>
          </w:p>
          <w:p>
            <w:pPr>
              <w:pStyle w:val="TableParagraph"/>
              <w:spacing w:line="240" w:lineRule="auto"/>
              <w:ind w:left="22" w:right="0"/>
              <w:jc w:val="both"/>
              <w:rPr>
                <w:rFonts w:ascii="宋体" w:hAnsi="宋体" w:cs="宋体" w:eastAsia="宋体" w:hint="default"/>
                <w:sz w:val="18"/>
                <w:szCs w:val="18"/>
              </w:rPr>
            </w:pPr>
            <w:r>
              <w:rPr>
                <w:rFonts w:ascii="宋体" w:hAnsi="宋体" w:cs="宋体" w:eastAsia="宋体" w:hint="default"/>
                <w:sz w:val="18"/>
                <w:szCs w:val="18"/>
              </w:rPr>
              <w:t>深</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1.52%</w:t>
            </w:r>
          </w:p>
        </w:tc>
        <w:tc>
          <w:tcPr>
            <w:tcW w:w="95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112" w:right="0"/>
              <w:jc w:val="left"/>
              <w:rPr>
                <w:rFonts w:ascii="Times New Roman" w:hAnsi="Times New Roman" w:cs="Times New Roman" w:eastAsia="Times New Roman" w:hint="default"/>
                <w:sz w:val="18"/>
                <w:szCs w:val="18"/>
              </w:rPr>
            </w:pPr>
            <w:r>
              <w:rPr>
                <w:rFonts w:ascii="Times New Roman"/>
                <w:sz w:val="18"/>
              </w:rPr>
              <w:t>22,763,437</w:t>
            </w: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3,255,191</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22,763,437</w:t>
            </w:r>
          </w:p>
        </w:tc>
        <w:tc>
          <w:tcPr>
            <w:tcW w:w="1248" w:type="dxa"/>
            <w:tcBorders>
              <w:top w:val="single" w:sz="4" w:space="0" w:color="000000"/>
              <w:left w:val="single" w:sz="4" w:space="0" w:color="000000"/>
              <w:bottom w:val="single" w:sz="4" w:space="0" w:color="000000"/>
              <w:right w:val="single" w:sz="4" w:space="0" w:color="000000"/>
            </w:tcBorders>
          </w:tcPr>
          <w:p>
            <w:pPr/>
          </w:p>
        </w:tc>
        <w:tc>
          <w:tcPr>
            <w:tcW w:w="1273"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2"/>
              <w:jc w:val="both"/>
              <w:rPr>
                <w:rFonts w:ascii="宋体" w:hAnsi="宋体" w:cs="宋体" w:eastAsia="宋体" w:hint="default"/>
                <w:sz w:val="18"/>
                <w:szCs w:val="18"/>
              </w:rPr>
            </w:pPr>
            <w:r>
              <w:rPr>
                <w:rFonts w:ascii="宋体" w:hAnsi="宋体" w:cs="宋体" w:eastAsia="宋体" w:hint="default"/>
                <w:sz w:val="18"/>
                <w:szCs w:val="18"/>
              </w:rPr>
              <w:t>泰康人寿保险有 限责任公司－分 红－个人分红</w:t>
            </w:r>
          </w:p>
          <w:p>
            <w:pPr>
              <w:pStyle w:val="TableParagraph"/>
              <w:spacing w:line="240" w:lineRule="auto" w:before="20"/>
              <w:ind w:left="22"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-019L-FH002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深</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1.31%</w:t>
            </w:r>
          </w:p>
        </w:tc>
        <w:tc>
          <w:tcPr>
            <w:tcW w:w="95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112" w:right="0"/>
              <w:jc w:val="left"/>
              <w:rPr>
                <w:rFonts w:ascii="Times New Roman" w:hAnsi="Times New Roman" w:cs="Times New Roman" w:eastAsia="Times New Roman" w:hint="default"/>
                <w:sz w:val="18"/>
                <w:szCs w:val="18"/>
              </w:rPr>
            </w:pPr>
            <w:r>
              <w:rPr>
                <w:rFonts w:ascii="Times New Roman"/>
                <w:sz w:val="18"/>
              </w:rPr>
              <w:t>19,607,090</w:t>
            </w: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2" w:right="0"/>
              <w:jc w:val="left"/>
              <w:rPr>
                <w:rFonts w:ascii="Times New Roman" w:hAnsi="Times New Roman" w:cs="Times New Roman" w:eastAsia="Times New Roman" w:hint="default"/>
                <w:sz w:val="18"/>
                <w:szCs w:val="18"/>
              </w:rPr>
            </w:pPr>
            <w:r>
              <w:rPr>
                <w:rFonts w:ascii="Times New Roman"/>
                <w:sz w:val="18"/>
              </w:rPr>
              <w:t>-1,082,331</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3"/>
              <w:jc w:val="right"/>
              <w:rPr>
                <w:rFonts w:ascii="Times New Roman" w:hAnsi="Times New Roman" w:cs="Times New Roman" w:eastAsia="Times New Roman" w:hint="default"/>
                <w:sz w:val="18"/>
                <w:szCs w:val="18"/>
              </w:rPr>
            </w:pPr>
            <w:r>
              <w:rPr>
                <w:rFonts w:ascii="Times New Roman"/>
                <w:sz w:val="18"/>
              </w:rPr>
              <w:t>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19,607,090</w:t>
            </w:r>
          </w:p>
        </w:tc>
        <w:tc>
          <w:tcPr>
            <w:tcW w:w="1248" w:type="dxa"/>
            <w:tcBorders>
              <w:top w:val="single" w:sz="4" w:space="0" w:color="000000"/>
              <w:left w:val="single" w:sz="4" w:space="0" w:color="000000"/>
              <w:bottom w:val="single" w:sz="4" w:space="0" w:color="000000"/>
              <w:right w:val="single" w:sz="4" w:space="0" w:color="000000"/>
            </w:tcBorders>
          </w:tcPr>
          <w:p>
            <w:pPr/>
          </w:p>
        </w:tc>
        <w:tc>
          <w:tcPr>
            <w:tcW w:w="127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黄华</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w:t>
            </w:r>
          </w:p>
        </w:tc>
        <w:tc>
          <w:tcPr>
            <w:tcW w:w="95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2" w:right="0"/>
              <w:jc w:val="left"/>
              <w:rPr>
                <w:rFonts w:ascii="Times New Roman" w:hAnsi="Times New Roman" w:cs="Times New Roman" w:eastAsia="Times New Roman" w:hint="default"/>
                <w:sz w:val="18"/>
                <w:szCs w:val="18"/>
              </w:rPr>
            </w:pPr>
            <w:r>
              <w:rPr>
                <w:rFonts w:ascii="Times New Roman"/>
                <w:sz w:val="18"/>
              </w:rPr>
              <w:t>14,934,141</w:t>
            </w: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60,000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14,919,141</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15,000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14,000,000</w:t>
            </w:r>
          </w:p>
        </w:tc>
      </w:tr>
      <w:tr>
        <w:trPr>
          <w:trHeight w:val="402" w:hRule="exact"/>
        </w:trPr>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陶秀珍</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0.66%</w:t>
            </w:r>
          </w:p>
        </w:tc>
        <w:tc>
          <w:tcPr>
            <w:tcW w:w="95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2" w:right="0"/>
              <w:jc w:val="left"/>
              <w:rPr>
                <w:rFonts w:ascii="Times New Roman" w:hAnsi="Times New Roman" w:cs="Times New Roman" w:eastAsia="Times New Roman" w:hint="default"/>
                <w:sz w:val="18"/>
                <w:szCs w:val="18"/>
              </w:rPr>
            </w:pPr>
            <w:r>
              <w:rPr>
                <w:rFonts w:ascii="Times New Roman"/>
                <w:sz w:val="18"/>
              </w:rPr>
              <w:t>9,910,000</w:t>
            </w: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2,925,894</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9,910,000</w:t>
            </w:r>
          </w:p>
        </w:tc>
        <w:tc>
          <w:tcPr>
            <w:tcW w:w="1248" w:type="dxa"/>
            <w:tcBorders>
              <w:top w:val="single" w:sz="4" w:space="0" w:color="000000"/>
              <w:left w:val="single" w:sz="4" w:space="0" w:color="000000"/>
              <w:bottom w:val="single" w:sz="4" w:space="0" w:color="000000"/>
              <w:right w:val="single" w:sz="4" w:space="0" w:color="000000"/>
            </w:tcBorders>
          </w:tcPr>
          <w:p>
            <w:pPr/>
          </w:p>
        </w:tc>
        <w:tc>
          <w:tcPr>
            <w:tcW w:w="1273"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102"/>
              <w:jc w:val="both"/>
              <w:rPr>
                <w:rFonts w:ascii="宋体" w:hAnsi="宋体" w:cs="宋体" w:eastAsia="宋体" w:hint="default"/>
                <w:sz w:val="18"/>
                <w:szCs w:val="18"/>
              </w:rPr>
            </w:pPr>
            <w:r>
              <w:rPr>
                <w:rFonts w:ascii="宋体" w:hAnsi="宋体" w:cs="宋体" w:eastAsia="宋体" w:hint="default"/>
                <w:sz w:val="18"/>
                <w:szCs w:val="18"/>
              </w:rPr>
              <w:t>中国农业银行股 份有限公司－中 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交易型开 放式指数证券投 资基金</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0.64%</w:t>
            </w:r>
          </w:p>
        </w:tc>
        <w:tc>
          <w:tcPr>
            <w:tcW w:w="95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202" w:right="0"/>
              <w:jc w:val="left"/>
              <w:rPr>
                <w:rFonts w:ascii="Times New Roman" w:hAnsi="Times New Roman" w:cs="Times New Roman" w:eastAsia="Times New Roman" w:hint="default"/>
                <w:sz w:val="18"/>
                <w:szCs w:val="18"/>
              </w:rPr>
            </w:pPr>
            <w:r>
              <w:rPr>
                <w:rFonts w:ascii="Times New Roman"/>
                <w:sz w:val="18"/>
              </w:rPr>
              <w:t>9,510,059</w:t>
            </w: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5,713,157</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9,510,059</w:t>
            </w:r>
          </w:p>
        </w:tc>
        <w:tc>
          <w:tcPr>
            <w:tcW w:w="1248" w:type="dxa"/>
            <w:tcBorders>
              <w:top w:val="single" w:sz="4" w:space="0" w:color="000000"/>
              <w:left w:val="single" w:sz="4" w:space="0" w:color="000000"/>
              <w:bottom w:val="single" w:sz="4" w:space="0" w:color="000000"/>
              <w:right w:val="single" w:sz="4" w:space="0" w:color="000000"/>
            </w:tcBorders>
          </w:tcPr>
          <w:p>
            <w:pPr/>
          </w:p>
        </w:tc>
        <w:tc>
          <w:tcPr>
            <w:tcW w:w="127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2"/>
              <w:jc w:val="left"/>
              <w:rPr>
                <w:rFonts w:ascii="宋体" w:hAnsi="宋体" w:cs="宋体" w:eastAsia="宋体" w:hint="default"/>
                <w:sz w:val="18"/>
                <w:szCs w:val="18"/>
              </w:rPr>
            </w:pPr>
            <w:r>
              <w:rPr>
                <w:rFonts w:ascii="宋体" w:hAnsi="宋体" w:cs="宋体" w:eastAsia="宋体" w:hint="default"/>
                <w:sz w:val="18"/>
                <w:szCs w:val="18"/>
              </w:rPr>
              <w:t>基本养老保险基 金一二零六组合</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0.63%</w:t>
            </w:r>
          </w:p>
        </w:tc>
        <w:tc>
          <w:tcPr>
            <w:tcW w:w="95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02" w:right="0"/>
              <w:jc w:val="left"/>
              <w:rPr>
                <w:rFonts w:ascii="Times New Roman" w:hAnsi="Times New Roman" w:cs="Times New Roman" w:eastAsia="Times New Roman" w:hint="default"/>
                <w:sz w:val="18"/>
                <w:szCs w:val="18"/>
              </w:rPr>
            </w:pPr>
            <w:r>
              <w:rPr>
                <w:rFonts w:ascii="Times New Roman"/>
                <w:sz w:val="18"/>
              </w:rPr>
              <w:t>9,410,370</w:t>
            </w: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9,410,370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9,410,370</w:t>
            </w:r>
          </w:p>
        </w:tc>
        <w:tc>
          <w:tcPr>
            <w:tcW w:w="1248" w:type="dxa"/>
            <w:tcBorders>
              <w:top w:val="single" w:sz="4" w:space="0" w:color="000000"/>
              <w:left w:val="single" w:sz="4" w:space="0" w:color="000000"/>
              <w:bottom w:val="single" w:sz="4" w:space="0" w:color="000000"/>
              <w:right w:val="single" w:sz="4" w:space="0" w:color="000000"/>
            </w:tcBorders>
          </w:tcPr>
          <w:p>
            <w:pPr/>
          </w:p>
        </w:tc>
        <w:tc>
          <w:tcPr>
            <w:tcW w:w="127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2"/>
              <w:jc w:val="left"/>
              <w:rPr>
                <w:rFonts w:ascii="宋体" w:hAnsi="宋体" w:cs="宋体" w:eastAsia="宋体" w:hint="default"/>
                <w:sz w:val="18"/>
                <w:szCs w:val="18"/>
              </w:rPr>
            </w:pPr>
            <w:r>
              <w:rPr>
                <w:rFonts w:ascii="宋体" w:hAnsi="宋体" w:cs="宋体" w:eastAsia="宋体" w:hint="default"/>
                <w:sz w:val="18"/>
                <w:szCs w:val="18"/>
              </w:rPr>
              <w:t>香港中央结算有 限公司</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境外法人</w:t>
            </w:r>
          </w:p>
        </w:tc>
        <w:tc>
          <w:tcPr>
            <w:tcW w:w="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0.57%</w:t>
            </w:r>
          </w:p>
        </w:tc>
        <w:tc>
          <w:tcPr>
            <w:tcW w:w="95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02" w:right="0"/>
              <w:jc w:val="left"/>
              <w:rPr>
                <w:rFonts w:ascii="Times New Roman" w:hAnsi="Times New Roman" w:cs="Times New Roman" w:eastAsia="Times New Roman" w:hint="default"/>
                <w:sz w:val="18"/>
                <w:szCs w:val="18"/>
              </w:rPr>
            </w:pPr>
            <w:r>
              <w:rPr>
                <w:rFonts w:ascii="Times New Roman"/>
                <w:sz w:val="18"/>
              </w:rPr>
              <w:t>8,517,488</w:t>
            </w: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6,113,463</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8,517,488</w:t>
            </w:r>
          </w:p>
        </w:tc>
        <w:tc>
          <w:tcPr>
            <w:tcW w:w="1248" w:type="dxa"/>
            <w:tcBorders>
              <w:top w:val="single" w:sz="4" w:space="0" w:color="000000"/>
              <w:left w:val="single" w:sz="4" w:space="0" w:color="000000"/>
              <w:bottom w:val="single" w:sz="4" w:space="0" w:color="000000"/>
              <w:right w:val="single" w:sz="4" w:space="0" w:color="000000"/>
            </w:tcBorders>
          </w:tcPr>
          <w:p>
            <w:pPr/>
          </w:p>
        </w:tc>
        <w:tc>
          <w:tcPr>
            <w:tcW w:w="1273"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736" w:type="dxa"/>
            <w:gridSpan w:val="2"/>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316" w:lineRule="auto" w:before="51"/>
              <w:ind w:left="22" w:right="-44"/>
              <w:jc w:val="left"/>
              <w:rPr>
                <w:rFonts w:ascii="宋体" w:hAnsi="宋体" w:cs="宋体" w:eastAsia="宋体" w:hint="default"/>
                <w:sz w:val="18"/>
                <w:szCs w:val="18"/>
              </w:rPr>
            </w:pPr>
            <w:r>
              <w:rPr>
                <w:rFonts w:ascii="宋体" w:hAnsi="宋体" w:cs="宋体" w:eastAsia="宋体" w:hint="default"/>
                <w:sz w:val="18"/>
                <w:szCs w:val="18"/>
              </w:rPr>
              <w:t>战略投资者或一般法人因配售新 股成为前</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pacing w:val="-6"/>
                <w:sz w:val="18"/>
                <w:szCs w:val="18"/>
              </w:rPr>
              <w:t>名股东的情况（如有）</w:t>
            </w:r>
            <w:r>
              <w:rPr>
                <w:rFonts w:ascii="宋体" w:hAnsi="宋体" w:cs="宋体" w:eastAsia="宋体" w:hint="default"/>
                <w:sz w:val="18"/>
                <w:szCs w:val="18"/>
              </w:rPr>
            </w: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（参见注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tc>
        <w:tc>
          <w:tcPr>
            <w:tcW w:w="6958" w:type="dxa"/>
            <w:gridSpan w:val="8"/>
            <w:tcBorders>
              <w:top w:val="single" w:sz="4" w:space="0" w:color="000000"/>
              <w:left w:val="single" w:sz="9" w:space="0" w:color="FFFFFF"/>
              <w:bottom w:val="single" w:sz="4" w:space="0" w:color="000000"/>
              <w:right w:val="single" w:sz="4" w:space="0" w:color="000000"/>
            </w:tcBorders>
          </w:tcPr>
          <w:p>
            <w:pPr>
              <w:pStyle w:val="TableParagraph"/>
              <w:spacing w:line="240" w:lineRule="auto" w:before="51"/>
              <w:ind w:left="16" w:right="-15"/>
              <w:jc w:val="left"/>
              <w:rPr>
                <w:rFonts w:ascii="宋体" w:hAnsi="宋体" w:cs="宋体" w:eastAsia="宋体" w:hint="default"/>
                <w:sz w:val="18"/>
                <w:szCs w:val="18"/>
              </w:rPr>
            </w:pPr>
            <w:r>
              <w:rPr>
                <w:rFonts w:ascii="宋体" w:hAnsi="宋体" w:cs="宋体" w:eastAsia="宋体" w:hint="default"/>
                <w:sz w:val="18"/>
                <w:szCs w:val="18"/>
              </w:rPr>
              <w:t>亚东复星</w:t>
            </w:r>
          </w:p>
          <w:p>
            <w:pPr>
              <w:pStyle w:val="TableParagraph"/>
              <w:spacing w:line="240" w:lineRule="auto" w:before="118"/>
              <w:ind w:left="16" w:right="-16"/>
              <w:jc w:val="left"/>
              <w:rPr>
                <w:rFonts w:ascii="Times New Roman" w:hAnsi="Times New Roman" w:cs="Times New Roman" w:eastAsia="Times New Roman" w:hint="default"/>
                <w:sz w:val="18"/>
                <w:szCs w:val="18"/>
              </w:rPr>
            </w:pPr>
            <w:r>
              <w:rPr>
                <w:rFonts w:ascii="Times New Roman"/>
                <w:sz w:val="18"/>
              </w:rPr>
              <w:t>137,299,7</w:t>
            </w:r>
          </w:p>
          <w:p>
            <w:pPr>
              <w:pStyle w:val="TableParagraph"/>
              <w:spacing w:line="240" w:lineRule="auto" w:before="64"/>
              <w:ind w:left="16" w:right="-15"/>
              <w:jc w:val="left"/>
              <w:rPr>
                <w:rFonts w:ascii="宋体" w:hAnsi="宋体" w:cs="宋体" w:eastAsia="宋体" w:hint="default"/>
                <w:sz w:val="18"/>
                <w:szCs w:val="18"/>
              </w:rPr>
            </w:pPr>
            <w:r>
              <w:rPr>
                <w:rFonts w:ascii="宋体" w:hAnsi="宋体" w:cs="宋体" w:eastAsia="宋体" w:hint="default"/>
                <w:sz w:val="18"/>
                <w:szCs w:val="18"/>
              </w:rPr>
              <w:t>售期为自</w:t>
            </w:r>
          </w:p>
          <w:p>
            <w:pPr>
              <w:pStyle w:val="TableParagraph"/>
              <w:spacing w:line="240" w:lineRule="auto" w:before="51"/>
              <w:ind w:left="736" w:right="0"/>
              <w:jc w:val="left"/>
              <w:rPr>
                <w:rFonts w:ascii="宋体" w:hAnsi="宋体" w:cs="宋体" w:eastAsia="宋体" w:hint="default"/>
                <w:sz w:val="18"/>
                <w:szCs w:val="18"/>
              </w:rPr>
            </w:pPr>
            <w:r>
              <w:rPr>
                <w:rFonts w:ascii="宋体" w:hAnsi="宋体" w:cs="宋体" w:eastAsia="宋体" w:hint="default"/>
                <w:sz w:val="18"/>
                <w:szCs w:val="18"/>
              </w:rPr>
              <w:t>瑞哲安泰发展有限公司为公司战略投资者，通过认购公司非公开发行股票</w:t>
            </w:r>
          </w:p>
          <w:p>
            <w:pPr>
              <w:pStyle w:val="TableParagraph"/>
              <w:spacing w:line="240" w:lineRule="auto" w:before="76"/>
              <w:ind w:left="73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71 </w:t>
            </w:r>
            <w:r>
              <w:rPr>
                <w:rFonts w:ascii="宋体" w:hAnsi="宋体" w:cs="宋体" w:eastAsia="宋体" w:hint="default"/>
                <w:sz w:val="18"/>
                <w:szCs w:val="18"/>
              </w:rPr>
              <w:t>股成为公司前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名股东，非公开发行股票的上市日为</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 </w:t>
            </w:r>
            <w:r>
              <w:rPr>
                <w:rFonts w:ascii="宋体" w:hAnsi="宋体" w:cs="宋体" w:eastAsia="宋体" w:hint="default"/>
                <w:spacing w:val="-11"/>
                <w:sz w:val="18"/>
                <w:szCs w:val="18"/>
              </w:rPr>
              <w:t>日，限</w:t>
            </w:r>
          </w:p>
          <w:p>
            <w:pPr>
              <w:pStyle w:val="TableParagraph"/>
              <w:spacing w:line="240" w:lineRule="auto" w:before="64"/>
              <w:ind w:left="736" w:right="0"/>
              <w:jc w:val="left"/>
              <w:rPr>
                <w:rFonts w:ascii="宋体" w:hAnsi="宋体" w:cs="宋体" w:eastAsia="宋体" w:hint="default"/>
                <w:sz w:val="18"/>
                <w:szCs w:val="18"/>
              </w:rPr>
            </w:pPr>
            <w:r>
              <w:rPr>
                <w:rFonts w:ascii="宋体" w:hAnsi="宋体" w:cs="宋体" w:eastAsia="宋体" w:hint="default"/>
                <w:sz w:val="18"/>
                <w:szCs w:val="18"/>
              </w:rPr>
              <w:t>上市之日起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r>
      <w:tr>
        <w:trPr>
          <w:trHeight w:val="473" w:hRule="exact"/>
        </w:trPr>
        <w:tc>
          <w:tcPr>
            <w:tcW w:w="2736"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6958" w:type="dxa"/>
            <w:gridSpan w:val="8"/>
            <w:vMerge w:val="restart"/>
            <w:tcBorders>
              <w:top w:val="single" w:sz="4" w:space="0" w:color="000000"/>
              <w:left w:val="single" w:sz="10" w:space="0" w:color="D2D2D2"/>
              <w:right w:val="single" w:sz="4" w:space="0" w:color="000000"/>
            </w:tcBorders>
          </w:tcPr>
          <w:p>
            <w:pPr>
              <w:pStyle w:val="TableParagraph"/>
              <w:spacing w:line="309" w:lineRule="auto" w:before="51"/>
              <w:ind w:left="15" w:right="68"/>
              <w:jc w:val="both"/>
              <w:rPr>
                <w:rFonts w:ascii="宋体" w:hAnsi="宋体" w:cs="宋体" w:eastAsia="宋体" w:hint="default"/>
                <w:sz w:val="18"/>
                <w:szCs w:val="18"/>
              </w:rPr>
            </w:pPr>
            <w:r>
              <w:rPr>
                <w:rFonts w:ascii="宋体" w:hAnsi="宋体" w:cs="宋体" w:eastAsia="宋体" w:hint="default"/>
                <w:sz w:val="18"/>
                <w:szCs w:val="18"/>
              </w:rPr>
              <w:t>深圳市劲嘉创业投资有限公司与新疆世纪运通股权投资合伙企业（有限合伙）存在如下 关联关系：乔鲁予持有深圳市劲嘉创业投资有限公司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90%</w:t>
            </w:r>
            <w:r>
              <w:rPr>
                <w:rFonts w:ascii="宋体" w:hAnsi="宋体" w:cs="宋体" w:eastAsia="宋体" w:hint="default"/>
                <w:sz w:val="18"/>
                <w:szCs w:val="18"/>
              </w:rPr>
              <w:t>的股份，持有新疆世纪运通股 权投资合伙企业（有限合伙）</w:t>
            </w:r>
            <w:r>
              <w:rPr>
                <w:rFonts w:ascii="Times New Roman" w:hAnsi="Times New Roman" w:cs="Times New Roman" w:eastAsia="Times New Roman" w:hint="default"/>
                <w:sz w:val="18"/>
                <w:szCs w:val="18"/>
              </w:rPr>
              <w:t>71.44%</w:t>
            </w:r>
            <w:r>
              <w:rPr>
                <w:rFonts w:ascii="宋体" w:hAnsi="宋体" w:cs="宋体" w:eastAsia="宋体" w:hint="default"/>
                <w:sz w:val="18"/>
                <w:szCs w:val="18"/>
              </w:rPr>
              <w:t>的股份，其余前十名无限售股股东之间，未知是否 存在关联关系，也未知该无限售条件股股东之间是否属于《上市公司持股变动信息披露 管理方法》规定的一致行动人。</w:t>
            </w:r>
          </w:p>
        </w:tc>
      </w:tr>
      <w:tr>
        <w:trPr>
          <w:trHeight w:val="704" w:hRule="exact"/>
        </w:trPr>
        <w:tc>
          <w:tcPr>
            <w:tcW w:w="2736"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9" w:lineRule="auto" w:before="51"/>
              <w:ind w:left="22" w:right="183"/>
              <w:jc w:val="left"/>
              <w:rPr>
                <w:rFonts w:ascii="宋体" w:hAnsi="宋体" w:cs="宋体" w:eastAsia="宋体" w:hint="default"/>
                <w:sz w:val="18"/>
                <w:szCs w:val="18"/>
              </w:rPr>
            </w:pPr>
            <w:r>
              <w:rPr>
                <w:rFonts w:ascii="宋体" w:hAnsi="宋体" w:cs="宋体" w:eastAsia="宋体" w:hint="default"/>
                <w:sz w:val="18"/>
                <w:szCs w:val="18"/>
              </w:rPr>
              <w:t>上述股东关联关系或一致行动的 说明</w:t>
            </w:r>
          </w:p>
        </w:tc>
        <w:tc>
          <w:tcPr>
            <w:tcW w:w="6958" w:type="dxa"/>
            <w:gridSpan w:val="8"/>
            <w:vMerge/>
            <w:tcBorders>
              <w:left w:val="single" w:sz="10" w:space="0" w:color="D2D2D2"/>
              <w:right w:val="single" w:sz="4" w:space="0" w:color="000000"/>
            </w:tcBorders>
          </w:tcPr>
          <w:p>
            <w:pPr/>
          </w:p>
        </w:tc>
      </w:tr>
      <w:tr>
        <w:trPr>
          <w:trHeight w:val="473" w:hRule="exact"/>
        </w:trPr>
        <w:tc>
          <w:tcPr>
            <w:tcW w:w="2736"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6958" w:type="dxa"/>
            <w:gridSpan w:val="8"/>
            <w:vMerge/>
            <w:tcBorders>
              <w:left w:val="single" w:sz="10" w:space="0" w:color="D2D2D2"/>
              <w:bottom w:val="single" w:sz="4" w:space="0" w:color="000000"/>
              <w:right w:val="single" w:sz="4" w:space="0" w:color="000000"/>
            </w:tcBorders>
          </w:tcPr>
          <w:p>
            <w:pPr/>
          </w:p>
        </w:tc>
      </w:tr>
      <w:tr>
        <w:trPr>
          <w:trHeight w:val="402" w:hRule="exact"/>
        </w:trPr>
        <w:tc>
          <w:tcPr>
            <w:tcW w:w="9695" w:type="dxa"/>
            <w:gridSpan w:val="10"/>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名无限售条件股东持股情况</w:t>
            </w:r>
          </w:p>
        </w:tc>
      </w:tr>
      <w:tr>
        <w:trPr>
          <w:trHeight w:val="206" w:hRule="exact"/>
        </w:trPr>
        <w:tc>
          <w:tcPr>
            <w:tcW w:w="4178" w:type="dxa"/>
            <w:gridSpan w:val="4"/>
            <w:tcBorders>
              <w:top w:val="single" w:sz="4" w:space="0" w:color="000000"/>
              <w:left w:val="single" w:sz="4" w:space="0" w:color="000000"/>
              <w:bottom w:val="nil" w:sz="6" w:space="0" w:color="auto"/>
              <w:right w:val="single" w:sz="4" w:space="0" w:color="000000"/>
            </w:tcBorders>
            <w:shd w:val="clear" w:color="auto" w:fill="D2D2D2"/>
          </w:tcPr>
          <w:p>
            <w:pPr/>
          </w:p>
        </w:tc>
        <w:tc>
          <w:tcPr>
            <w:tcW w:w="2996" w:type="dxa"/>
            <w:gridSpan w:val="4"/>
            <w:tcBorders>
              <w:top w:val="single" w:sz="4" w:space="0" w:color="000000"/>
              <w:left w:val="single" w:sz="4" w:space="0" w:color="000000"/>
              <w:bottom w:val="nil" w:sz="6" w:space="0" w:color="auto"/>
              <w:right w:val="single" w:sz="4" w:space="0" w:color="000000"/>
            </w:tcBorders>
            <w:shd w:val="clear" w:color="auto" w:fill="D2D2D2"/>
          </w:tcPr>
          <w:p>
            <w:pPr/>
          </w:p>
        </w:tc>
        <w:tc>
          <w:tcPr>
            <w:tcW w:w="252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191" w:hRule="exact"/>
        </w:trPr>
        <w:tc>
          <w:tcPr>
            <w:tcW w:w="4178" w:type="dxa"/>
            <w:gridSpan w:val="4"/>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2996" w:type="dxa"/>
            <w:gridSpan w:val="4"/>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42" w:right="0"/>
              <w:jc w:val="left"/>
              <w:rPr>
                <w:rFonts w:ascii="宋体" w:hAnsi="宋体" w:cs="宋体" w:eastAsia="宋体" w:hint="default"/>
                <w:sz w:val="18"/>
                <w:szCs w:val="18"/>
              </w:rPr>
            </w:pPr>
            <w:r>
              <w:rPr>
                <w:rFonts w:ascii="宋体" w:hAnsi="宋体" w:cs="宋体" w:eastAsia="宋体" w:hint="default"/>
                <w:sz w:val="18"/>
                <w:szCs w:val="18"/>
              </w:rPr>
              <w:t>报告期末持有无限售条件股份数量</w:t>
            </w:r>
          </w:p>
        </w:tc>
        <w:tc>
          <w:tcPr>
            <w:tcW w:w="2521"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4178" w:type="dxa"/>
            <w:gridSpan w:val="4"/>
            <w:vMerge/>
            <w:tcBorders>
              <w:left w:val="single" w:sz="4" w:space="0" w:color="000000"/>
              <w:bottom w:val="nil" w:sz="6" w:space="0" w:color="auto"/>
              <w:right w:val="single" w:sz="4" w:space="0" w:color="000000"/>
            </w:tcBorders>
            <w:shd w:val="clear" w:color="auto" w:fill="D2D2D2"/>
          </w:tcPr>
          <w:p>
            <w:pPr/>
          </w:p>
        </w:tc>
        <w:tc>
          <w:tcPr>
            <w:tcW w:w="2996" w:type="dxa"/>
            <w:gridSpan w:val="4"/>
            <w:vMerge/>
            <w:tcBorders>
              <w:left w:val="single" w:sz="4" w:space="0" w:color="000000"/>
              <w:bottom w:val="nil" w:sz="6" w:space="0" w:color="auto"/>
              <w:right w:val="single" w:sz="4" w:space="0" w:color="000000"/>
            </w:tcBorders>
            <w:shd w:val="clear" w:color="auto" w:fill="D2D2D2"/>
          </w:tcPr>
          <w:p>
            <w:pPr/>
          </w:p>
        </w:tc>
        <w:tc>
          <w:tcPr>
            <w:tcW w:w="124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57" w:right="0"/>
              <w:jc w:val="left"/>
              <w:rPr>
                <w:rFonts w:ascii="宋体" w:hAnsi="宋体" w:cs="宋体" w:eastAsia="宋体" w:hint="default"/>
                <w:sz w:val="18"/>
                <w:szCs w:val="18"/>
              </w:rPr>
            </w:pPr>
            <w:r>
              <w:rPr>
                <w:rFonts w:ascii="宋体" w:hAnsi="宋体" w:cs="宋体" w:eastAsia="宋体" w:hint="default"/>
                <w:sz w:val="18"/>
                <w:szCs w:val="18"/>
              </w:rPr>
              <w:t>股份种类</w:t>
            </w:r>
          </w:p>
        </w:tc>
        <w:tc>
          <w:tcPr>
            <w:tcW w:w="127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206" w:hRule="exact"/>
        </w:trPr>
        <w:tc>
          <w:tcPr>
            <w:tcW w:w="4178" w:type="dxa"/>
            <w:gridSpan w:val="4"/>
            <w:tcBorders>
              <w:top w:val="nil" w:sz="6" w:space="0" w:color="auto"/>
              <w:left w:val="single" w:sz="4" w:space="0" w:color="000000"/>
              <w:bottom w:val="single" w:sz="4" w:space="0" w:color="000000"/>
              <w:right w:val="single" w:sz="4" w:space="0" w:color="000000"/>
            </w:tcBorders>
            <w:shd w:val="clear" w:color="auto" w:fill="D2D2D2"/>
          </w:tcPr>
          <w:p>
            <w:pPr/>
          </w:p>
        </w:tc>
        <w:tc>
          <w:tcPr>
            <w:tcW w:w="2996" w:type="dxa"/>
            <w:gridSpan w:val="4"/>
            <w:tcBorders>
              <w:top w:val="nil" w:sz="6" w:space="0" w:color="auto"/>
              <w:left w:val="single" w:sz="4" w:space="0" w:color="000000"/>
              <w:bottom w:val="single" w:sz="4" w:space="0" w:color="000000"/>
              <w:right w:val="single" w:sz="4" w:space="0" w:color="000000"/>
            </w:tcBorders>
            <w:shd w:val="clear" w:color="auto" w:fill="D2D2D2"/>
          </w:tcPr>
          <w:p>
            <w:pPr/>
          </w:p>
        </w:tc>
        <w:tc>
          <w:tcPr>
            <w:tcW w:w="1248" w:type="dxa"/>
            <w:vMerge/>
            <w:tcBorders>
              <w:left w:val="single" w:sz="4" w:space="0" w:color="000000"/>
              <w:bottom w:val="single" w:sz="4" w:space="0" w:color="000000"/>
              <w:right w:val="single" w:sz="4" w:space="0" w:color="000000"/>
            </w:tcBorders>
            <w:shd w:val="clear" w:color="auto" w:fill="D2D2D2"/>
          </w:tcPr>
          <w:p>
            <w:pPr/>
          </w:p>
        </w:tc>
        <w:tc>
          <w:tcPr>
            <w:tcW w:w="1273"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4178"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深圳市劲嘉创业投资有限公司</w:t>
            </w:r>
          </w:p>
        </w:tc>
        <w:tc>
          <w:tcPr>
            <w:tcW w:w="2996"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440,206,414</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440,206,414</w:t>
            </w:r>
          </w:p>
        </w:tc>
      </w:tr>
      <w:tr>
        <w:trPr>
          <w:trHeight w:val="402" w:hRule="exact"/>
        </w:trPr>
        <w:tc>
          <w:tcPr>
            <w:tcW w:w="4178"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新疆世纪运通股权投资合伙企业（有限合伙）</w:t>
            </w:r>
          </w:p>
        </w:tc>
        <w:tc>
          <w:tcPr>
            <w:tcW w:w="2996"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54,400,000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54,400,000</w:t>
            </w:r>
          </w:p>
        </w:tc>
      </w:tr>
      <w:tr>
        <w:trPr>
          <w:trHeight w:val="402" w:hRule="exact"/>
        </w:trPr>
        <w:tc>
          <w:tcPr>
            <w:tcW w:w="4178"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泰康人寿保险有限责任公司－传统－普通保险产品</w:t>
            </w:r>
          </w:p>
        </w:tc>
        <w:tc>
          <w:tcPr>
            <w:tcW w:w="2996"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22,763,437</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22,763,437</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21" w:type="dxa"/>
        <w:tblLayout w:type="fixed"/>
        <w:tblCellMar>
          <w:top w:w="0" w:type="dxa"/>
          <w:left w:w="0" w:type="dxa"/>
          <w:bottom w:w="0" w:type="dxa"/>
          <w:right w:w="0" w:type="dxa"/>
        </w:tblCellMar>
        <w:tblLook w:val="01E0"/>
      </w:tblPr>
      <w:tblGrid>
        <w:gridCol w:w="4178"/>
        <w:gridCol w:w="2996"/>
        <w:gridCol w:w="1248"/>
        <w:gridCol w:w="1273"/>
      </w:tblGrid>
      <w:tr>
        <w:trPr>
          <w:trHeight w:val="362" w:hRule="exact"/>
        </w:trPr>
        <w:tc>
          <w:tcPr>
            <w:tcW w:w="4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-019L-CT001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深</w:t>
            </w:r>
          </w:p>
        </w:tc>
        <w:tc>
          <w:tcPr>
            <w:tcW w:w="2996"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
        </w:tc>
        <w:tc>
          <w:tcPr>
            <w:tcW w:w="127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4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泰康人寿保险有限责任公司－分红－个人分红</w:t>
            </w:r>
          </w:p>
          <w:p>
            <w:pPr>
              <w:pStyle w:val="TableParagraph"/>
              <w:spacing w:line="240" w:lineRule="auto" w:before="7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-019L-FH002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深</w:t>
            </w:r>
          </w:p>
        </w:tc>
        <w:tc>
          <w:tcPr>
            <w:tcW w:w="2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19,607,090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19,607,090</w:t>
            </w:r>
          </w:p>
        </w:tc>
      </w:tr>
      <w:tr>
        <w:trPr>
          <w:trHeight w:val="402" w:hRule="exact"/>
        </w:trPr>
        <w:tc>
          <w:tcPr>
            <w:tcW w:w="4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陶秀珍</w:t>
            </w:r>
          </w:p>
        </w:tc>
        <w:tc>
          <w:tcPr>
            <w:tcW w:w="2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9,910,000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9,910,000</w:t>
            </w:r>
          </w:p>
        </w:tc>
      </w:tr>
      <w:tr>
        <w:trPr>
          <w:trHeight w:val="714" w:hRule="exact"/>
        </w:trPr>
        <w:tc>
          <w:tcPr>
            <w:tcW w:w="417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21"/>
              <w:jc w:val="left"/>
              <w:rPr>
                <w:rFonts w:ascii="宋体" w:hAnsi="宋体" w:cs="宋体" w:eastAsia="宋体" w:hint="default"/>
                <w:sz w:val="18"/>
                <w:szCs w:val="18"/>
              </w:rPr>
            </w:pPr>
            <w:r>
              <w:rPr>
                <w:rFonts w:ascii="宋体" w:hAnsi="宋体" w:cs="宋体" w:eastAsia="宋体" w:hint="default"/>
                <w:sz w:val="18"/>
                <w:szCs w:val="18"/>
              </w:rPr>
              <w:t>中国农业银行股份有限公司－中证</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500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交易型开放式 指数证券投资基金</w:t>
            </w:r>
          </w:p>
        </w:tc>
        <w:tc>
          <w:tcPr>
            <w:tcW w:w="2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9,510,059</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9,510,059</w:t>
            </w:r>
          </w:p>
        </w:tc>
      </w:tr>
      <w:tr>
        <w:trPr>
          <w:trHeight w:val="402" w:hRule="exact"/>
        </w:trPr>
        <w:tc>
          <w:tcPr>
            <w:tcW w:w="4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基本养老保险基金一二零六组合</w:t>
            </w:r>
          </w:p>
        </w:tc>
        <w:tc>
          <w:tcPr>
            <w:tcW w:w="2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9,410,370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9,410,370</w:t>
            </w:r>
          </w:p>
        </w:tc>
      </w:tr>
      <w:tr>
        <w:trPr>
          <w:trHeight w:val="402" w:hRule="exact"/>
        </w:trPr>
        <w:tc>
          <w:tcPr>
            <w:tcW w:w="4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香港中央结算有限公司</w:t>
            </w:r>
          </w:p>
        </w:tc>
        <w:tc>
          <w:tcPr>
            <w:tcW w:w="2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8,517,488</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8,517,488</w:t>
            </w:r>
          </w:p>
        </w:tc>
      </w:tr>
      <w:tr>
        <w:trPr>
          <w:trHeight w:val="402" w:hRule="exact"/>
        </w:trPr>
        <w:tc>
          <w:tcPr>
            <w:tcW w:w="4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全国社保基金五零二组合</w:t>
            </w:r>
          </w:p>
        </w:tc>
        <w:tc>
          <w:tcPr>
            <w:tcW w:w="2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8,100,006</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8,100,006</w:t>
            </w:r>
          </w:p>
        </w:tc>
      </w:tr>
      <w:tr>
        <w:trPr>
          <w:trHeight w:val="402" w:hRule="exact"/>
        </w:trPr>
        <w:tc>
          <w:tcPr>
            <w:tcW w:w="4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泰康人寿保险有限责任公司－万能－个险万能</w:t>
            </w:r>
          </w:p>
        </w:tc>
        <w:tc>
          <w:tcPr>
            <w:tcW w:w="2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7,754,483</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7,754,483</w:t>
            </w:r>
          </w:p>
        </w:tc>
      </w:tr>
      <w:tr>
        <w:trPr>
          <w:trHeight w:val="1962" w:hRule="exact"/>
        </w:trPr>
        <w:tc>
          <w:tcPr>
            <w:tcW w:w="4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名无限售流通股股东之间，以及前</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名无限售</w:t>
            </w:r>
          </w:p>
          <w:p>
            <w:pPr>
              <w:pStyle w:val="TableParagraph"/>
              <w:spacing w:line="302" w:lineRule="auto" w:before="61"/>
              <w:ind w:left="22" w:right="93"/>
              <w:jc w:val="left"/>
              <w:rPr>
                <w:rFonts w:ascii="宋体" w:hAnsi="宋体" w:cs="宋体" w:eastAsia="宋体" w:hint="default"/>
                <w:sz w:val="18"/>
                <w:szCs w:val="18"/>
              </w:rPr>
            </w:pPr>
            <w:r>
              <w:rPr>
                <w:rFonts w:ascii="宋体" w:hAnsi="宋体" w:cs="宋体" w:eastAsia="宋体" w:hint="default"/>
                <w:sz w:val="18"/>
                <w:szCs w:val="18"/>
              </w:rPr>
              <w:t>流通股股东和前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名股东之间关联关系或一致行动 的说明</w:t>
            </w:r>
          </w:p>
        </w:tc>
        <w:tc>
          <w:tcPr>
            <w:tcW w:w="5517" w:type="dxa"/>
            <w:gridSpan w:val="3"/>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3" w:right="66"/>
              <w:jc w:val="left"/>
              <w:rPr>
                <w:rFonts w:ascii="宋体" w:hAnsi="宋体" w:cs="宋体" w:eastAsia="宋体" w:hint="default"/>
                <w:sz w:val="18"/>
                <w:szCs w:val="18"/>
              </w:rPr>
            </w:pPr>
            <w:r>
              <w:rPr>
                <w:rFonts w:ascii="宋体" w:hAnsi="宋体" w:cs="宋体" w:eastAsia="宋体" w:hint="default"/>
                <w:sz w:val="18"/>
                <w:szCs w:val="18"/>
              </w:rPr>
              <w:t>深圳市劲嘉创业投资有限公司与新疆世纪运通股权投资合伙企业（有 限合伙）存在如下关联关系：乔鲁予持有深圳市劲嘉创业投资有限公 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90%</w:t>
            </w:r>
            <w:r>
              <w:rPr>
                <w:rFonts w:ascii="宋体" w:hAnsi="宋体" w:cs="宋体" w:eastAsia="宋体" w:hint="default"/>
                <w:sz w:val="18"/>
                <w:szCs w:val="18"/>
              </w:rPr>
              <w:t>的股份，持有新疆世纪运通股权投资合伙企业（有限合伙） </w:t>
            </w:r>
            <w:r>
              <w:rPr>
                <w:rFonts w:ascii="Times New Roman" w:hAnsi="Times New Roman" w:cs="Times New Roman" w:eastAsia="Times New Roman" w:hint="default"/>
                <w:sz w:val="18"/>
                <w:szCs w:val="18"/>
              </w:rPr>
              <w:t>71.44%</w:t>
            </w:r>
            <w:r>
              <w:rPr>
                <w:rFonts w:ascii="宋体" w:hAnsi="宋体" w:cs="宋体" w:eastAsia="宋体" w:hint="default"/>
                <w:sz w:val="18"/>
                <w:szCs w:val="18"/>
              </w:rPr>
              <w:t>的股份，其余前十名无限售股股东之间，未知是否存在关联关 系，也未知该无限售条件股股东之间是否属于《上市公司持股变动信 息披露管理方法》规定的一致行动人。</w:t>
            </w:r>
          </w:p>
        </w:tc>
      </w:tr>
      <w:tr>
        <w:trPr>
          <w:trHeight w:val="714" w:hRule="exact"/>
        </w:trPr>
        <w:tc>
          <w:tcPr>
            <w:tcW w:w="4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93"/>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名普通股股东参与融资融券业务情况说明（如 </w:t>
            </w:r>
            <w:r>
              <w:rPr>
                <w:rFonts w:ascii="宋体" w:hAnsi="宋体" w:cs="宋体" w:eastAsia="宋体" w:hint="default"/>
                <w:spacing w:val="-15"/>
                <w:sz w:val="18"/>
                <w:szCs w:val="18"/>
              </w:rPr>
              <w:t>有）（参见注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c>
          <w:tcPr>
            <w:tcW w:w="551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前十名无限售条件股东中，陶秀珍通过信用证券账户持有公司股份</w:t>
            </w:r>
          </w:p>
          <w:p>
            <w:pPr>
              <w:pStyle w:val="TableParagraph"/>
              <w:spacing w:line="240" w:lineRule="auto" w:before="76"/>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9,910,000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p>
        </w:tc>
      </w:tr>
    </w:tbl>
    <w:p>
      <w:pPr>
        <w:pStyle w:val="BodyText"/>
        <w:spacing w:line="240" w:lineRule="auto" w:before="51"/>
        <w:ind w:right="0"/>
        <w:jc w:val="left"/>
      </w:pPr>
      <w:r>
        <w:rPr/>
        <w:t>公司前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名无限售条件普通股股东在报告期内是否进行约定购回交易</w:t>
      </w:r>
    </w:p>
    <w:p>
      <w:pPr>
        <w:pStyle w:val="BodyText"/>
        <w:spacing w:line="240" w:lineRule="auto" w:before="104"/>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pStyle w:val="BodyText"/>
        <w:spacing w:line="240" w:lineRule="auto" w:before="102"/>
        <w:ind w:right="0"/>
        <w:jc w:val="left"/>
      </w:pPr>
      <w:r>
        <w:rPr/>
        <w:t>公司前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名无限售条件普通股股东在报告期内未进行约定购回交易。</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2、公司控股股东情况" w:id="115"/>
      <w:bookmarkEnd w:id="115"/>
      <w:r>
        <w:rPr>
          <w:b w:val="0"/>
          <w:bCs w:val="0"/>
        </w:rPr>
      </w:r>
      <w:r>
        <w:rPr>
          <w:rFonts w:ascii="Times New Roman" w:hAnsi="Times New Roman" w:cs="Times New Roman" w:eastAsia="Times New Roman" w:hint="default"/>
        </w:rPr>
        <w:t>2</w:t>
      </w:r>
      <w:r>
        <w:rPr/>
        <w:t>、公司控股股东情况</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right="8592"/>
        <w:jc w:val="left"/>
      </w:pPr>
      <w:r>
        <w:rPr/>
        <w:t>控股股东性质：自然人控股 控股股东类型：法人</w:t>
      </w:r>
    </w:p>
    <w:tbl>
      <w:tblPr>
        <w:tblW w:w="0" w:type="auto"/>
        <w:jc w:val="left"/>
        <w:tblInd w:w="149" w:type="dxa"/>
        <w:tblLayout w:type="fixed"/>
        <w:tblCellMar>
          <w:top w:w="0" w:type="dxa"/>
          <w:left w:w="0" w:type="dxa"/>
          <w:bottom w:w="0" w:type="dxa"/>
          <w:right w:w="0" w:type="dxa"/>
        </w:tblCellMar>
        <w:tblLook w:val="01E0"/>
      </w:tblPr>
      <w:tblGrid>
        <w:gridCol w:w="2444"/>
        <w:gridCol w:w="995"/>
        <w:gridCol w:w="928"/>
        <w:gridCol w:w="1696"/>
        <w:gridCol w:w="3605"/>
      </w:tblGrid>
      <w:tr>
        <w:trPr>
          <w:trHeight w:val="1026" w:hRule="exact"/>
        </w:trPr>
        <w:tc>
          <w:tcPr>
            <w:tcW w:w="24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控股股东名称</w:t>
            </w:r>
          </w:p>
        </w:tc>
        <w:tc>
          <w:tcPr>
            <w:tcW w:w="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1" w:right="0"/>
              <w:jc w:val="left"/>
              <w:rPr>
                <w:rFonts w:ascii="宋体" w:hAnsi="宋体" w:cs="宋体" w:eastAsia="宋体" w:hint="default"/>
                <w:sz w:val="18"/>
                <w:szCs w:val="18"/>
              </w:rPr>
            </w:pPr>
            <w:r>
              <w:rPr>
                <w:rFonts w:ascii="宋体" w:hAnsi="宋体" w:cs="宋体" w:eastAsia="宋体" w:hint="default"/>
                <w:sz w:val="18"/>
                <w:szCs w:val="18"/>
              </w:rPr>
              <w:t>法定代表人</w:t>
            </w:r>
          </w:p>
          <w:p>
            <w:pPr>
              <w:pStyle w:val="TableParagraph"/>
              <w:spacing w:line="302" w:lineRule="auto" w:before="75"/>
              <w:ind w:left="401" w:right="107" w:hanging="296"/>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单位负责 人</w:t>
            </w:r>
          </w:p>
        </w:tc>
        <w:tc>
          <w:tcPr>
            <w:tcW w:w="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98" w:right="0"/>
              <w:jc w:val="left"/>
              <w:rPr>
                <w:rFonts w:ascii="宋体" w:hAnsi="宋体" w:cs="宋体" w:eastAsia="宋体" w:hint="default"/>
                <w:sz w:val="18"/>
                <w:szCs w:val="18"/>
              </w:rPr>
            </w:pPr>
            <w:r>
              <w:rPr>
                <w:rFonts w:ascii="宋体" w:hAnsi="宋体" w:cs="宋体" w:eastAsia="宋体" w:hint="default"/>
                <w:sz w:val="18"/>
                <w:szCs w:val="18"/>
              </w:rPr>
              <w:t>成立日期</w:t>
            </w:r>
          </w:p>
        </w:tc>
        <w:tc>
          <w:tcPr>
            <w:tcW w:w="1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组织机构代码</w:t>
            </w:r>
          </w:p>
        </w:tc>
        <w:tc>
          <w:tcPr>
            <w:tcW w:w="36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主要经营业务</w:t>
            </w:r>
          </w:p>
        </w:tc>
      </w:tr>
      <w:tr>
        <w:trPr>
          <w:trHeight w:val="1026" w:hRule="exact"/>
        </w:trPr>
        <w:tc>
          <w:tcPr>
            <w:tcW w:w="2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46"/>
              <w:jc w:val="center"/>
              <w:rPr>
                <w:rFonts w:ascii="宋体" w:hAnsi="宋体" w:cs="宋体" w:eastAsia="宋体" w:hint="default"/>
                <w:sz w:val="18"/>
                <w:szCs w:val="18"/>
              </w:rPr>
            </w:pPr>
            <w:r>
              <w:rPr>
                <w:rFonts w:ascii="宋体" w:hAnsi="宋体" w:cs="宋体" w:eastAsia="宋体" w:hint="default"/>
                <w:sz w:val="18"/>
                <w:szCs w:val="18"/>
              </w:rPr>
              <w:t>深圳市劲嘉创业投资有限公司</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乔鲁予</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91440300750482408E</w:t>
            </w:r>
          </w:p>
        </w:tc>
        <w:tc>
          <w:tcPr>
            <w:tcW w:w="360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8"/>
              <w:jc w:val="left"/>
              <w:rPr>
                <w:rFonts w:ascii="宋体" w:hAnsi="宋体" w:cs="宋体" w:eastAsia="宋体" w:hint="default"/>
                <w:sz w:val="18"/>
                <w:szCs w:val="18"/>
              </w:rPr>
            </w:pPr>
            <w:r>
              <w:rPr>
                <w:rFonts w:ascii="宋体" w:hAnsi="宋体" w:cs="宋体" w:eastAsia="宋体" w:hint="default"/>
                <w:sz w:val="18"/>
                <w:szCs w:val="18"/>
              </w:rPr>
              <w:t>直接投资高新技术产业和其他技术创新产业； 受托管理和经营其他创业投资公司的创业资 本。</w:t>
            </w:r>
          </w:p>
        </w:tc>
      </w:tr>
      <w:tr>
        <w:trPr>
          <w:trHeight w:val="1026" w:hRule="exact"/>
        </w:trPr>
        <w:tc>
          <w:tcPr>
            <w:tcW w:w="24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69"/>
              <w:jc w:val="both"/>
              <w:rPr>
                <w:rFonts w:ascii="宋体" w:hAnsi="宋体" w:cs="宋体" w:eastAsia="宋体" w:hint="default"/>
                <w:sz w:val="18"/>
                <w:szCs w:val="18"/>
              </w:rPr>
            </w:pPr>
            <w:r>
              <w:rPr>
                <w:rFonts w:ascii="宋体" w:hAnsi="宋体" w:cs="宋体" w:eastAsia="宋体" w:hint="default"/>
                <w:sz w:val="18"/>
                <w:szCs w:val="18"/>
              </w:rPr>
              <w:t>控股股东报告期内控股和参股 的其他境内外上市公司的股权 情况</w:t>
            </w:r>
          </w:p>
        </w:tc>
        <w:tc>
          <w:tcPr>
            <w:tcW w:w="7224"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68"/>
        <w:ind w:right="0"/>
        <w:jc w:val="left"/>
      </w:pPr>
      <w:r>
        <w:rPr/>
        <w:t>控股股东报告期内变更</w:t>
      </w:r>
    </w:p>
    <w:p>
      <w:pPr>
        <w:pStyle w:val="BodyText"/>
        <w:spacing w:line="338" w:lineRule="auto" w:before="117"/>
        <w:ind w:right="805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公司报告期控股股东未发生变更。</w:t>
      </w:r>
    </w:p>
    <w:p>
      <w:pPr>
        <w:spacing w:after="0" w:line="338"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bookmarkStart w:name="3、公司实际控制人及其一致行动人" w:id="116"/>
      <w:bookmarkEnd w:id="116"/>
      <w:r>
        <w:rPr>
          <w:b w:val="0"/>
          <w:bCs w:val="0"/>
        </w:rPr>
      </w:r>
      <w:r>
        <w:rPr>
          <w:rFonts w:ascii="Times New Roman" w:hAnsi="Times New Roman" w:cs="Times New Roman" w:eastAsia="Times New Roman" w:hint="default"/>
        </w:rPr>
        <w:t>3</w:t>
      </w:r>
      <w:r>
        <w:rPr/>
        <w:t>、公司实际控制人及其一致行动人</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right="8412"/>
        <w:jc w:val="left"/>
      </w:pPr>
      <w:r>
        <w:rPr/>
        <w:t>实际控制人性质：境内自然人 实际控制人类型：自然人</w:t>
      </w: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60" w:right="0"/>
              <w:jc w:val="left"/>
              <w:rPr>
                <w:rFonts w:ascii="宋体" w:hAnsi="宋体" w:cs="宋体" w:eastAsia="宋体" w:hint="default"/>
                <w:sz w:val="18"/>
                <w:szCs w:val="18"/>
              </w:rPr>
            </w:pPr>
            <w:r>
              <w:rPr>
                <w:rFonts w:ascii="宋体" w:hAnsi="宋体" w:cs="宋体" w:eastAsia="宋体" w:hint="default"/>
                <w:sz w:val="18"/>
                <w:szCs w:val="18"/>
              </w:rPr>
              <w:t>实际控制人姓名</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71" w:right="0"/>
              <w:jc w:val="left"/>
              <w:rPr>
                <w:rFonts w:ascii="宋体" w:hAnsi="宋体" w:cs="宋体" w:eastAsia="宋体" w:hint="default"/>
                <w:sz w:val="18"/>
                <w:szCs w:val="18"/>
              </w:rPr>
            </w:pPr>
            <w:r>
              <w:rPr>
                <w:rFonts w:ascii="宋体" w:hAnsi="宋体" w:cs="宋体" w:eastAsia="宋体" w:hint="default"/>
                <w:sz w:val="18"/>
                <w:szCs w:val="18"/>
              </w:rPr>
              <w:t>与实际控制人关系</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国籍</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10" w:right="109" w:hanging="900"/>
              <w:jc w:val="left"/>
              <w:rPr>
                <w:rFonts w:ascii="宋体" w:hAnsi="宋体" w:cs="宋体" w:eastAsia="宋体" w:hint="default"/>
                <w:sz w:val="18"/>
                <w:szCs w:val="18"/>
              </w:rPr>
            </w:pPr>
            <w:r>
              <w:rPr>
                <w:rFonts w:ascii="宋体" w:hAnsi="宋体" w:cs="宋体" w:eastAsia="宋体" w:hint="default"/>
                <w:sz w:val="18"/>
                <w:szCs w:val="18"/>
              </w:rPr>
              <w:t>是否取得其他国家或地区居 留权</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乔鲁予</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本人</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7177" w:type="dxa"/>
            <w:gridSpan w:val="3"/>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3" w:right="32"/>
              <w:jc w:val="left"/>
              <w:rPr>
                <w:rFonts w:ascii="宋体" w:hAnsi="宋体" w:cs="宋体" w:eastAsia="宋体" w:hint="default"/>
                <w:sz w:val="18"/>
                <w:szCs w:val="18"/>
              </w:rPr>
            </w:pPr>
            <w:r>
              <w:rPr>
                <w:rFonts w:ascii="Times New Roman" w:hAnsi="Times New Roman" w:cs="Times New Roman" w:eastAsia="Times New Roman" w:hint="default"/>
                <w:sz w:val="18"/>
                <w:szCs w:val="18"/>
              </w:rPr>
              <w:t>2003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2006 </w:t>
            </w:r>
            <w:r>
              <w:rPr>
                <w:rFonts w:ascii="宋体" w:hAnsi="宋体" w:cs="宋体" w:eastAsia="宋体" w:hint="default"/>
                <w:sz w:val="18"/>
                <w:szCs w:val="18"/>
              </w:rPr>
              <w:t>年，任本公司董事长；</w:t>
            </w: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年任本公司董事长、总经理；现任本 公司董事长。</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107"/>
              <w:jc w:val="left"/>
              <w:rPr>
                <w:rFonts w:ascii="宋体" w:hAnsi="宋体" w:cs="宋体" w:eastAsia="宋体" w:hint="default"/>
                <w:sz w:val="18"/>
                <w:szCs w:val="18"/>
              </w:rPr>
            </w:pPr>
            <w:r>
              <w:rPr>
                <w:rFonts w:ascii="宋体" w:hAnsi="宋体" w:cs="宋体" w:eastAsia="宋体" w:hint="default"/>
                <w:sz w:val="18"/>
                <w:szCs w:val="18"/>
              </w:rPr>
              <w:t>过去</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年曾控股的境内外上 市公司情况</w:t>
            </w:r>
          </w:p>
        </w:tc>
        <w:tc>
          <w:tcPr>
            <w:tcW w:w="717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68"/>
        <w:ind w:right="0"/>
        <w:jc w:val="left"/>
      </w:pPr>
      <w:r>
        <w:rPr/>
        <w:t>实际控制人报告期内变更</w:t>
      </w:r>
    </w:p>
    <w:p>
      <w:pPr>
        <w:pStyle w:val="BodyText"/>
        <w:spacing w:line="348" w:lineRule="auto" w:before="117"/>
        <w:ind w:right="67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公司报告期实际控制人未发生变更。 公司与实际控制人之间的产权及控制关系的方框图</w:t>
      </w:r>
    </w:p>
    <w:p>
      <w:pPr>
        <w:spacing w:line="240" w:lineRule="auto" w:before="9"/>
        <w:rPr>
          <w:rFonts w:ascii="宋体" w:hAnsi="宋体" w:cs="宋体" w:eastAsia="宋体" w:hint="default"/>
          <w:sz w:val="18"/>
          <w:szCs w:val="18"/>
        </w:rPr>
      </w:pPr>
    </w:p>
    <w:p>
      <w:pPr>
        <w:spacing w:line="4554" w:lineRule="exact"/>
        <w:ind w:left="1827" w:right="0" w:firstLine="0"/>
        <w:rPr>
          <w:rFonts w:ascii="宋体" w:hAnsi="宋体" w:cs="宋体" w:eastAsia="宋体" w:hint="default"/>
          <w:sz w:val="20"/>
          <w:szCs w:val="20"/>
        </w:rPr>
      </w:pPr>
      <w:r>
        <w:rPr>
          <w:rFonts w:ascii="宋体" w:hAnsi="宋体" w:cs="宋体" w:eastAsia="宋体" w:hint="default"/>
          <w:position w:val="-90"/>
          <w:sz w:val="20"/>
          <w:szCs w:val="20"/>
        </w:rPr>
        <w:drawing>
          <wp:inline distT="0" distB="0" distL="0" distR="0">
            <wp:extent cx="3993818" cy="2892075"/>
            <wp:effectExtent l="0" t="0" r="0" b="0"/>
            <wp:docPr id="3" name="image3.jpeg" descr=""/>
            <wp:cNvGraphicFramePr>
              <a:graphicFrameLocks noChangeAspect="1"/>
            </wp:cNvGraphicFramePr>
            <a:graphic>
              <a:graphicData uri="http://schemas.openxmlformats.org/drawingml/2006/picture">
                <pic:pic>
                  <pic:nvPicPr>
                    <pic:cNvPr id="4" name="image3.jpeg"/>
                    <pic:cNvPicPr/>
                  </pic:nvPicPr>
                  <pic:blipFill>
                    <a:blip r:embed="rId13" cstate="print"/>
                    <a:stretch>
                      <a:fillRect/>
                    </a:stretch>
                  </pic:blipFill>
                  <pic:spPr>
                    <a:xfrm>
                      <a:off x="0" y="0"/>
                      <a:ext cx="3993818" cy="2892075"/>
                    </a:xfrm>
                    <a:prstGeom prst="rect">
                      <a:avLst/>
                    </a:prstGeom>
                  </pic:spPr>
                </pic:pic>
              </a:graphicData>
            </a:graphic>
          </wp:inline>
        </w:drawing>
      </w:r>
      <w:r>
        <w:rPr>
          <w:rFonts w:ascii="宋体" w:hAnsi="宋体" w:cs="宋体" w:eastAsia="宋体" w:hint="default"/>
          <w:position w:val="-90"/>
          <w:sz w:val="20"/>
          <w:szCs w:val="20"/>
        </w:rPr>
      </w:r>
    </w:p>
    <w:p>
      <w:pPr>
        <w:spacing w:line="240" w:lineRule="auto" w:before="3"/>
        <w:rPr>
          <w:rFonts w:ascii="宋体" w:hAnsi="宋体" w:cs="宋体" w:eastAsia="宋体" w:hint="default"/>
          <w:sz w:val="21"/>
          <w:szCs w:val="21"/>
        </w:rPr>
      </w:pPr>
    </w:p>
    <w:p>
      <w:pPr>
        <w:pStyle w:val="BodyText"/>
        <w:spacing w:line="240" w:lineRule="auto"/>
        <w:ind w:right="0"/>
        <w:jc w:val="left"/>
      </w:pPr>
      <w:r>
        <w:rPr/>
        <w:t>实际控制人通过信托或其他资产管理方式控制公司</w:t>
      </w:r>
    </w:p>
    <w:p>
      <w:pPr>
        <w:pStyle w:val="BodyText"/>
        <w:spacing w:line="240" w:lineRule="auto" w:before="116"/>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4、其他持股在10%以上的法人股东" w:id="117"/>
      <w:bookmarkEnd w:id="117"/>
      <w:r>
        <w:rPr>
          <w:b w:val="0"/>
          <w:bCs w:val="0"/>
        </w:rPr>
      </w:r>
      <w:r>
        <w:rPr>
          <w:rFonts w:ascii="Times New Roman" w:hAnsi="Times New Roman" w:cs="Times New Roman" w:eastAsia="Times New Roman" w:hint="default"/>
        </w:rPr>
        <w:t>4</w:t>
      </w:r>
      <w:r>
        <w:rPr/>
        <w:t>、其他持股在</w:t>
      </w:r>
      <w:r>
        <w:rPr>
          <w:spacing w:val="-57"/>
        </w:rPr>
        <w:t> </w:t>
      </w:r>
      <w:r>
        <w:rPr>
          <w:rFonts w:ascii="Times New Roman" w:hAnsi="Times New Roman" w:cs="Times New Roman" w:eastAsia="Times New Roman" w:hint="default"/>
        </w:rPr>
        <w:t>10%</w:t>
      </w:r>
      <w:r>
        <w:rPr/>
        <w:t>以上的法人股东</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5、控股股东、实际控制人、重组方及其他承诺主体股份限制减持情况" w:id="118"/>
      <w:bookmarkEnd w:id="118"/>
      <w:r>
        <w:rPr>
          <w:b w:val="0"/>
          <w:bCs w:val="0"/>
        </w:rPr>
      </w:r>
      <w:r>
        <w:rPr>
          <w:rFonts w:ascii="Times New Roman" w:hAnsi="Times New Roman" w:cs="Times New Roman" w:eastAsia="Times New Roman" w:hint="default"/>
        </w:rPr>
        <w:t>5</w:t>
      </w:r>
      <w:r>
        <w:rPr/>
        <w:t>、控股股东、实际控制人、重组方及其他承诺主体股份限制减持情况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3286" w:right="0"/>
        <w:jc w:val="left"/>
        <w:rPr>
          <w:b w:val="0"/>
          <w:bCs w:val="0"/>
        </w:rPr>
      </w:pPr>
      <w:bookmarkStart w:name="第七节 优先股相关情况" w:id="119"/>
      <w:bookmarkEnd w:id="119"/>
      <w:r>
        <w:rPr>
          <w:b w:val="0"/>
          <w:bCs w:val="0"/>
        </w:rPr>
      </w:r>
      <w:bookmarkStart w:name="_bookmark5" w:id="120"/>
      <w:bookmarkEnd w:id="120"/>
      <w:r>
        <w:rPr>
          <w:b w:val="0"/>
          <w:bCs w:val="0"/>
        </w:rPr>
      </w:r>
      <w:r>
        <w:rPr/>
        <w:t>第七节</w:t>
      </w:r>
      <w:r>
        <w:rPr>
          <w:spacing w:val="-8"/>
        </w:rPr>
        <w:t> </w:t>
      </w:r>
      <w:r>
        <w:rPr/>
        <w:t>优先股相关情况</w:t>
      </w:r>
      <w:r>
        <w:rPr>
          <w:b w:val="0"/>
          <w:bCs w:val="0"/>
        </w:rPr>
      </w: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9"/>
          <w:szCs w:val="19"/>
        </w:rPr>
      </w:pPr>
    </w:p>
    <w:p>
      <w:pPr>
        <w:pStyle w:val="BodyText"/>
        <w:spacing w:line="338" w:lineRule="auto" w:before="44"/>
        <w:ind w:right="85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报告期公司不存在优先股。</w:t>
      </w:r>
    </w:p>
    <w:p>
      <w:pPr>
        <w:spacing w:after="0" w:line="338"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1680" w:right="0"/>
        <w:jc w:val="left"/>
        <w:rPr>
          <w:b w:val="0"/>
          <w:bCs w:val="0"/>
        </w:rPr>
      </w:pPr>
      <w:bookmarkStart w:name="第八节 董事、监事、高级管理人员和员工情况" w:id="121"/>
      <w:bookmarkEnd w:id="121"/>
      <w:r>
        <w:rPr>
          <w:b w:val="0"/>
          <w:bCs w:val="0"/>
        </w:rPr>
      </w:r>
      <w:bookmarkStart w:name="_bookmark6" w:id="122"/>
      <w:bookmarkEnd w:id="122"/>
      <w:r>
        <w:rPr>
          <w:b w:val="0"/>
          <w:bCs w:val="0"/>
        </w:rPr>
      </w:r>
      <w:r>
        <w:rPr/>
        <w:t>第八节</w:t>
      </w:r>
      <w:r>
        <w:rPr>
          <w:spacing w:val="-16"/>
        </w:rPr>
        <w:t> </w:t>
      </w:r>
      <w:r>
        <w:rPr/>
        <w:t>董事、监事、高级管理人员和员工情况</w:t>
      </w:r>
      <w:r>
        <w:rPr>
          <w:b w:val="0"/>
          <w:bCs w:val="0"/>
        </w:rPr>
      </w:r>
    </w:p>
    <w:p>
      <w:pPr>
        <w:spacing w:line="240" w:lineRule="auto" w:before="12"/>
        <w:rPr>
          <w:rFonts w:ascii="宋体" w:hAnsi="宋体" w:cs="宋体" w:eastAsia="宋体" w:hint="default"/>
          <w:b/>
          <w:bCs/>
          <w:sz w:val="38"/>
          <w:szCs w:val="38"/>
        </w:rPr>
      </w:pPr>
    </w:p>
    <w:p>
      <w:pPr>
        <w:pStyle w:val="Heading2"/>
        <w:spacing w:line="240" w:lineRule="auto"/>
        <w:ind w:right="0"/>
        <w:jc w:val="left"/>
        <w:rPr>
          <w:b w:val="0"/>
          <w:bCs w:val="0"/>
        </w:rPr>
      </w:pPr>
      <w:bookmarkStart w:name="一、董事、监事和高级管理人员持股变动" w:id="123"/>
      <w:bookmarkEnd w:id="123"/>
      <w:r>
        <w:rPr>
          <w:b w:val="0"/>
          <w:bCs w:val="0"/>
        </w:rPr>
      </w:r>
      <w:r>
        <w:rPr/>
        <w:t>一、董事、监事和高级管理人员持股变动</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798"/>
        <w:gridCol w:w="797"/>
        <w:gridCol w:w="797"/>
        <w:gridCol w:w="798"/>
        <w:gridCol w:w="798"/>
        <w:gridCol w:w="797"/>
        <w:gridCol w:w="798"/>
        <w:gridCol w:w="798"/>
        <w:gridCol w:w="798"/>
        <w:gridCol w:w="798"/>
        <w:gridCol w:w="798"/>
        <w:gridCol w:w="798"/>
      </w:tblGrid>
      <w:tr>
        <w:trPr>
          <w:trHeight w:val="1025"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14"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年龄</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13" w:right="31" w:hanging="180"/>
              <w:jc w:val="left"/>
              <w:rPr>
                <w:rFonts w:ascii="宋体" w:hAnsi="宋体" w:cs="宋体" w:eastAsia="宋体" w:hint="default"/>
                <w:sz w:val="18"/>
                <w:szCs w:val="18"/>
              </w:rPr>
            </w:pPr>
            <w:r>
              <w:rPr>
                <w:rFonts w:ascii="宋体" w:hAnsi="宋体" w:cs="宋体" w:eastAsia="宋体" w:hint="default"/>
                <w:sz w:val="18"/>
                <w:szCs w:val="18"/>
              </w:rPr>
              <w:t>任期起始 日期</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任期终止 日期</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期初持股 数（股）</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3" w:right="33"/>
              <w:jc w:val="left"/>
              <w:rPr>
                <w:rFonts w:ascii="宋体" w:hAnsi="宋体" w:cs="宋体" w:eastAsia="宋体" w:hint="default"/>
                <w:sz w:val="18"/>
                <w:szCs w:val="18"/>
              </w:rPr>
            </w:pPr>
            <w:r>
              <w:rPr>
                <w:rFonts w:ascii="宋体" w:hAnsi="宋体" w:cs="宋体" w:eastAsia="宋体" w:hint="default"/>
                <w:sz w:val="18"/>
                <w:szCs w:val="18"/>
              </w:rPr>
              <w:t>本期增持 股份数量</w:t>
            </w:r>
          </w:p>
          <w:p>
            <w:pPr>
              <w:pStyle w:val="TableParagraph"/>
              <w:spacing w:line="240" w:lineRule="auto" w:before="20"/>
              <w:ind w:left="123"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3" w:right="32"/>
              <w:jc w:val="left"/>
              <w:rPr>
                <w:rFonts w:ascii="宋体" w:hAnsi="宋体" w:cs="宋体" w:eastAsia="宋体" w:hint="default"/>
                <w:sz w:val="18"/>
                <w:szCs w:val="18"/>
              </w:rPr>
            </w:pPr>
            <w:r>
              <w:rPr>
                <w:rFonts w:ascii="宋体" w:hAnsi="宋体" w:cs="宋体" w:eastAsia="宋体" w:hint="default"/>
                <w:sz w:val="18"/>
                <w:szCs w:val="18"/>
              </w:rPr>
              <w:t>本期减持 股份数量</w:t>
            </w:r>
          </w:p>
          <w:p>
            <w:pPr>
              <w:pStyle w:val="TableParagraph"/>
              <w:spacing w:line="240" w:lineRule="auto" w:before="20"/>
              <w:ind w:left="123"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2" w:right="-44" w:firstLine="10"/>
              <w:jc w:val="left"/>
              <w:rPr>
                <w:rFonts w:ascii="宋体" w:hAnsi="宋体" w:cs="宋体" w:eastAsia="宋体" w:hint="default"/>
                <w:sz w:val="18"/>
                <w:szCs w:val="18"/>
              </w:rPr>
            </w:pPr>
            <w:r>
              <w:rPr>
                <w:rFonts w:ascii="宋体" w:hAnsi="宋体" w:cs="宋体" w:eastAsia="宋体" w:hint="default"/>
                <w:sz w:val="18"/>
                <w:szCs w:val="18"/>
              </w:rPr>
              <w:t>其他增减 </w:t>
            </w:r>
            <w:r>
              <w:rPr>
                <w:rFonts w:ascii="宋体" w:hAnsi="宋体" w:cs="宋体" w:eastAsia="宋体" w:hint="default"/>
                <w:spacing w:val="-19"/>
                <w:sz w:val="18"/>
                <w:szCs w:val="18"/>
              </w:rPr>
              <w:t>变动（股）</w:t>
            </w:r>
            <w:r>
              <w:rPr>
                <w:rFonts w:ascii="宋体" w:hAnsi="宋体" w:cs="宋体" w:eastAsia="宋体" w:hint="default"/>
                <w:sz w:val="18"/>
                <w:szCs w:val="18"/>
              </w:rPr>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期末持股 数（股）</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乔鲁予</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63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侯旭东</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2" w:right="42"/>
              <w:jc w:val="left"/>
              <w:rPr>
                <w:rFonts w:ascii="宋体" w:hAnsi="宋体" w:cs="宋体" w:eastAsia="宋体" w:hint="default"/>
                <w:sz w:val="18"/>
                <w:szCs w:val="18"/>
              </w:rPr>
            </w:pPr>
            <w:r>
              <w:rPr>
                <w:rFonts w:ascii="宋体" w:hAnsi="宋体" w:cs="宋体" w:eastAsia="宋体" w:hint="default"/>
                <w:sz w:val="18"/>
                <w:szCs w:val="18"/>
              </w:rPr>
              <w:t>董事、总 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6,154,324</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70,000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6,224,324</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杨伟强</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李德华</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22" w:right="42"/>
              <w:jc w:val="both"/>
              <w:rPr>
                <w:rFonts w:ascii="宋体" w:hAnsi="宋体" w:cs="宋体" w:eastAsia="宋体" w:hint="default"/>
                <w:sz w:val="18"/>
                <w:szCs w:val="18"/>
              </w:rPr>
            </w:pPr>
            <w:r>
              <w:rPr>
                <w:rFonts w:ascii="宋体" w:hAnsi="宋体" w:cs="宋体" w:eastAsia="宋体" w:hint="default"/>
                <w:sz w:val="18"/>
                <w:szCs w:val="18"/>
              </w:rPr>
              <w:t>董事、常 务副总经 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6,154,324</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6,154,324</w:t>
            </w:r>
          </w:p>
        </w:tc>
      </w:tr>
      <w:tr>
        <w:trPr>
          <w:trHeight w:val="1338"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李晓华</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42"/>
              <w:jc w:val="both"/>
              <w:rPr>
                <w:rFonts w:ascii="宋体" w:hAnsi="宋体" w:cs="宋体" w:eastAsia="宋体" w:hint="default"/>
                <w:sz w:val="18"/>
                <w:szCs w:val="18"/>
              </w:rPr>
            </w:pPr>
            <w:r>
              <w:rPr>
                <w:rFonts w:ascii="宋体" w:hAnsi="宋体" w:cs="宋体" w:eastAsia="宋体" w:hint="default"/>
                <w:sz w:val="18"/>
                <w:szCs w:val="18"/>
              </w:rPr>
              <w:t>董事、副 总经理、 董事会秘 书</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980,000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60,083</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1,040,083</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龙隆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64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于秀峰</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王艳梅</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孙进山</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李青山</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2"/>
              <w:jc w:val="both"/>
              <w:rPr>
                <w:rFonts w:ascii="宋体" w:hAnsi="宋体" w:cs="宋体" w:eastAsia="宋体" w:hint="default"/>
                <w:sz w:val="18"/>
                <w:szCs w:val="18"/>
              </w:rPr>
            </w:pPr>
            <w:r>
              <w:rPr>
                <w:rFonts w:ascii="宋体" w:hAnsi="宋体" w:cs="宋体" w:eastAsia="宋体" w:hint="default"/>
                <w:sz w:val="18"/>
                <w:szCs w:val="18"/>
              </w:rPr>
              <w:t>监事、人 力资源总 监</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798"/>
        <w:gridCol w:w="797"/>
        <w:gridCol w:w="797"/>
        <w:gridCol w:w="798"/>
        <w:gridCol w:w="798"/>
        <w:gridCol w:w="797"/>
        <w:gridCol w:w="798"/>
        <w:gridCol w:w="798"/>
        <w:gridCol w:w="798"/>
        <w:gridCol w:w="798"/>
        <w:gridCol w:w="798"/>
        <w:gridCol w:w="798"/>
      </w:tblGrid>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马晓惠</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陈顺芹</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职工监事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1,100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1,100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富培军</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22" w:right="42"/>
              <w:jc w:val="left"/>
              <w:rPr>
                <w:rFonts w:ascii="宋体" w:hAnsi="宋体" w:cs="宋体" w:eastAsia="宋体" w:hint="default"/>
                <w:sz w:val="18"/>
                <w:szCs w:val="18"/>
              </w:rPr>
            </w:pPr>
            <w:r>
              <w:rPr>
                <w:rFonts w:ascii="宋体" w:hAnsi="宋体" w:cs="宋体" w:eastAsia="宋体" w:hint="default"/>
                <w:sz w:val="18"/>
                <w:szCs w:val="18"/>
              </w:rPr>
              <w:t>财务负责 人</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672,000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672,000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黄华</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14,874,14</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1</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60,000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14,934,14</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1</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姜华</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22" w:right="42"/>
              <w:jc w:val="left"/>
              <w:rPr>
                <w:rFonts w:ascii="宋体" w:hAnsi="宋体" w:cs="宋体" w:eastAsia="宋体" w:hint="default"/>
                <w:sz w:val="18"/>
                <w:szCs w:val="18"/>
              </w:rPr>
            </w:pPr>
            <w:r>
              <w:rPr>
                <w:rFonts w:ascii="宋体" w:hAnsi="宋体" w:cs="宋体" w:eastAsia="宋体" w:hint="default"/>
                <w:sz w:val="18"/>
                <w:szCs w:val="18"/>
              </w:rPr>
              <w:t>原副总经 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张明义</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22" w:right="42"/>
              <w:jc w:val="left"/>
              <w:rPr>
                <w:rFonts w:ascii="宋体" w:hAnsi="宋体" w:cs="宋体" w:eastAsia="宋体" w:hint="default"/>
                <w:sz w:val="18"/>
                <w:szCs w:val="18"/>
              </w:rPr>
            </w:pPr>
            <w:r>
              <w:rPr>
                <w:rFonts w:ascii="宋体" w:hAnsi="宋体" w:cs="宋体" w:eastAsia="宋体" w:hint="default"/>
                <w:sz w:val="18"/>
                <w:szCs w:val="18"/>
              </w:rPr>
              <w:t>原常务副 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78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4,641,327</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4,641,327</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2" w:right="104"/>
              <w:jc w:val="left"/>
              <w:rPr>
                <w:rFonts w:ascii="Times New Roman" w:hAnsi="Times New Roman" w:cs="Times New Roman" w:eastAsia="Times New Roman" w:hint="default"/>
                <w:sz w:val="18"/>
                <w:szCs w:val="18"/>
              </w:rPr>
            </w:pPr>
            <w:r>
              <w:rPr>
                <w:rFonts w:ascii="Times New Roman"/>
                <w:spacing w:val="-6"/>
                <w:sz w:val="18"/>
              </w:rPr>
              <w:t>WANG</w:t>
            </w:r>
            <w:r>
              <w:rPr>
                <w:rFonts w:ascii="Times New Roman"/>
                <w:w w:val="99"/>
                <w:sz w:val="18"/>
              </w:rPr>
              <w:t> </w:t>
            </w:r>
            <w:r>
              <w:rPr>
                <w:rFonts w:ascii="Times New Roman"/>
                <w:sz w:val="18"/>
              </w:rPr>
              <w:t>WEIXIN</w:t>
            </w:r>
            <w:r>
              <w:rPr>
                <w:rFonts w:ascii="Times New Roman"/>
                <w:w w:val="99"/>
                <w:sz w:val="18"/>
              </w:rPr>
              <w:t> </w:t>
            </w:r>
            <w:r>
              <w:rPr>
                <w:rFonts w:ascii="Times New Roman"/>
                <w:sz w:val="18"/>
              </w:rPr>
              <w:t>G</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22" w:right="42"/>
              <w:jc w:val="left"/>
              <w:rPr>
                <w:rFonts w:ascii="宋体" w:hAnsi="宋体" w:cs="宋体" w:eastAsia="宋体" w:hint="default"/>
                <w:sz w:val="18"/>
                <w:szCs w:val="18"/>
              </w:rPr>
            </w:pPr>
            <w:r>
              <w:rPr>
                <w:rFonts w:ascii="宋体" w:hAnsi="宋体" w:cs="宋体" w:eastAsia="宋体" w:hint="default"/>
                <w:sz w:val="18"/>
                <w:szCs w:val="18"/>
              </w:rPr>
              <w:t>原副总经 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王忠年</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22" w:right="42"/>
              <w:jc w:val="left"/>
              <w:rPr>
                <w:rFonts w:ascii="宋体" w:hAnsi="宋体" w:cs="宋体" w:eastAsia="宋体" w:hint="default"/>
                <w:sz w:val="18"/>
                <w:szCs w:val="18"/>
              </w:rPr>
            </w:pPr>
            <w:r>
              <w:rPr>
                <w:rFonts w:ascii="宋体" w:hAnsi="宋体" w:cs="宋体" w:eastAsia="宋体" w:hint="default"/>
                <w:sz w:val="18"/>
                <w:szCs w:val="18"/>
              </w:rPr>
              <w:t>原独立董 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1,600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1,600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33,478,81</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6</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190,083</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1,600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33,667,29</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9</w:t>
            </w:r>
          </w:p>
        </w:tc>
      </w:tr>
    </w:tbl>
    <w:p>
      <w:pPr>
        <w:spacing w:line="240" w:lineRule="auto" w:before="2"/>
        <w:rPr>
          <w:rFonts w:ascii="宋体" w:hAnsi="宋体" w:cs="宋体" w:eastAsia="宋体" w:hint="default"/>
          <w:b/>
          <w:bCs/>
          <w:sz w:val="18"/>
          <w:szCs w:val="18"/>
        </w:rPr>
      </w:pPr>
    </w:p>
    <w:p>
      <w:pPr>
        <w:pStyle w:val="Heading2"/>
        <w:spacing w:line="240" w:lineRule="auto" w:before="26"/>
        <w:ind w:right="0"/>
        <w:jc w:val="left"/>
        <w:rPr>
          <w:b w:val="0"/>
          <w:bCs w:val="0"/>
        </w:rPr>
      </w:pPr>
      <w:bookmarkStart w:name="二、公司董事、监事、高级管理人员变动情况" w:id="124"/>
      <w:bookmarkEnd w:id="124"/>
      <w:r>
        <w:rPr>
          <w:b w:val="0"/>
          <w:bCs w:val="0"/>
        </w:rPr>
      </w:r>
      <w:r>
        <w:rPr/>
        <w:t>二、公司董事、监事、高级管理人员变动情况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30"/>
        <w:gridCol w:w="1331"/>
        <w:gridCol w:w="1330"/>
        <w:gridCol w:w="1330"/>
        <w:gridCol w:w="4248"/>
      </w:tblGrid>
      <w:tr>
        <w:trPr>
          <w:trHeight w:val="402" w:hRule="exact"/>
        </w:trPr>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1" w:right="0"/>
              <w:jc w:val="left"/>
              <w:rPr>
                <w:rFonts w:ascii="宋体" w:hAnsi="宋体" w:cs="宋体" w:eastAsia="宋体" w:hint="default"/>
                <w:sz w:val="18"/>
                <w:szCs w:val="18"/>
              </w:rPr>
            </w:pPr>
            <w:r>
              <w:rPr>
                <w:rFonts w:ascii="宋体" w:hAnsi="宋体" w:cs="宋体" w:eastAsia="宋体" w:hint="default"/>
                <w:sz w:val="18"/>
                <w:szCs w:val="18"/>
              </w:rPr>
              <w:t>担任的职务</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类型</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日期</w:t>
            </w:r>
          </w:p>
        </w:tc>
        <w:tc>
          <w:tcPr>
            <w:tcW w:w="42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1026"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张明义</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3" w:right="20"/>
              <w:jc w:val="both"/>
              <w:rPr>
                <w:rFonts w:ascii="宋体" w:hAnsi="宋体" w:cs="宋体" w:eastAsia="宋体" w:hint="default"/>
                <w:sz w:val="18"/>
                <w:szCs w:val="18"/>
              </w:rPr>
            </w:pPr>
            <w:r>
              <w:rPr>
                <w:rFonts w:ascii="宋体" w:hAnsi="宋体" w:cs="宋体" w:eastAsia="宋体" w:hint="default"/>
                <w:sz w:val="18"/>
                <w:szCs w:val="18"/>
              </w:rPr>
              <w:t>经第五届董事会</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2018 </w:t>
            </w:r>
            <w:r>
              <w:rPr>
                <w:rFonts w:ascii="宋体" w:hAnsi="宋体" w:cs="宋体" w:eastAsia="宋体" w:hint="default"/>
                <w:spacing w:val="-3"/>
                <w:sz w:val="18"/>
                <w:szCs w:val="18"/>
              </w:rPr>
              <w:t>年第三次会议审议通过，张明义</w:t>
            </w:r>
            <w:r>
              <w:rPr>
                <w:rFonts w:ascii="宋体" w:hAnsi="宋体" w:cs="宋体" w:eastAsia="宋体" w:hint="default"/>
                <w:sz w:val="18"/>
                <w:szCs w:val="18"/>
              </w:rPr>
              <w:t> 先生不再担任公司常务副总经理，离任后将继续在公 司担任首席顾问等职务</w:t>
            </w:r>
          </w:p>
        </w:tc>
      </w:tr>
      <w:tr>
        <w:trPr>
          <w:trHeight w:val="1026"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362" w:lineRule="auto"/>
              <w:ind w:left="22" w:right="506"/>
              <w:jc w:val="left"/>
              <w:rPr>
                <w:rFonts w:ascii="Times New Roman" w:hAnsi="Times New Roman" w:cs="Times New Roman" w:eastAsia="Times New Roman" w:hint="default"/>
                <w:sz w:val="18"/>
                <w:szCs w:val="18"/>
              </w:rPr>
            </w:pPr>
            <w:r>
              <w:rPr>
                <w:rFonts w:ascii="Times New Roman"/>
                <w:spacing w:val="-6"/>
                <w:sz w:val="18"/>
              </w:rPr>
              <w:t>WANG</w:t>
            </w:r>
            <w:r>
              <w:rPr>
                <w:rFonts w:ascii="Times New Roman"/>
                <w:w w:val="99"/>
                <w:sz w:val="18"/>
              </w:rPr>
              <w:t> </w:t>
            </w:r>
            <w:r>
              <w:rPr>
                <w:rFonts w:ascii="Times New Roman"/>
                <w:sz w:val="18"/>
              </w:rPr>
              <w:t>WEIXING</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3" w:right="21"/>
              <w:jc w:val="both"/>
              <w:rPr>
                <w:rFonts w:ascii="宋体" w:hAnsi="宋体" w:cs="宋体" w:eastAsia="宋体" w:hint="default"/>
                <w:sz w:val="18"/>
                <w:szCs w:val="18"/>
              </w:rPr>
            </w:pPr>
            <w:r>
              <w:rPr>
                <w:rFonts w:ascii="宋体" w:hAnsi="宋体" w:cs="宋体" w:eastAsia="宋体" w:hint="default"/>
                <w:sz w:val="18"/>
                <w:szCs w:val="18"/>
              </w:rPr>
              <w:t>经第五届董事会</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pacing w:val="-4"/>
                <w:sz w:val="18"/>
                <w:szCs w:val="18"/>
              </w:rPr>
              <w:t>年第三次会议审议通过，</w:t>
            </w:r>
            <w:r>
              <w:rPr>
                <w:rFonts w:ascii="Times New Roman" w:hAnsi="Times New Roman" w:cs="Times New Roman" w:eastAsia="Times New Roman" w:hint="default"/>
                <w:spacing w:val="-4"/>
                <w:sz w:val="18"/>
                <w:szCs w:val="18"/>
              </w:rPr>
              <w:t>WANG</w:t>
            </w:r>
            <w:r>
              <w:rPr>
                <w:rFonts w:ascii="Times New Roman" w:hAnsi="Times New Roman" w:cs="Times New Roman" w:eastAsia="Times New Roman" w:hint="default"/>
                <w:w w:val="99"/>
                <w:sz w:val="18"/>
                <w:szCs w:val="18"/>
              </w:rPr>
              <w:t> </w:t>
            </w:r>
            <w:r>
              <w:rPr>
                <w:rFonts w:ascii="Times New Roman" w:hAnsi="Times New Roman" w:cs="Times New Roman" w:eastAsia="Times New Roman" w:hint="default"/>
                <w:sz w:val="18"/>
                <w:szCs w:val="18"/>
              </w:rPr>
              <w:t>WEIXING</w:t>
            </w:r>
            <w:r>
              <w:rPr>
                <w:rFonts w:ascii="Times New Roman" w:hAnsi="Times New Roman" w:cs="Times New Roman" w:eastAsia="Times New Roman" w:hint="default"/>
                <w:spacing w:val="7"/>
                <w:sz w:val="18"/>
                <w:szCs w:val="18"/>
              </w:rPr>
              <w:t> </w:t>
            </w:r>
            <w:r>
              <w:rPr>
                <w:rFonts w:ascii="宋体" w:hAnsi="宋体" w:cs="宋体" w:eastAsia="宋体" w:hint="default"/>
                <w:spacing w:val="-4"/>
                <w:sz w:val="18"/>
                <w:szCs w:val="18"/>
              </w:rPr>
              <w:t>先生不再担任公司副总经理，离任后将不在</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公司担任任何职务</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李德华</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常务副总经理</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3" w:right="20"/>
              <w:jc w:val="left"/>
              <w:rPr>
                <w:rFonts w:ascii="宋体" w:hAnsi="宋体" w:cs="宋体" w:eastAsia="宋体" w:hint="default"/>
                <w:sz w:val="18"/>
                <w:szCs w:val="18"/>
              </w:rPr>
            </w:pPr>
            <w:r>
              <w:rPr>
                <w:rFonts w:ascii="宋体" w:hAnsi="宋体" w:cs="宋体" w:eastAsia="宋体" w:hint="default"/>
                <w:sz w:val="18"/>
                <w:szCs w:val="18"/>
              </w:rPr>
              <w:t>经第五届董事会</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2018 </w:t>
            </w:r>
            <w:r>
              <w:rPr>
                <w:rFonts w:ascii="宋体" w:hAnsi="宋体" w:cs="宋体" w:eastAsia="宋体" w:hint="default"/>
                <w:spacing w:val="-3"/>
                <w:sz w:val="18"/>
                <w:szCs w:val="18"/>
              </w:rPr>
              <w:t>年第三次会议审议通过，聘任李</w:t>
            </w:r>
            <w:r>
              <w:rPr>
                <w:rFonts w:ascii="宋体" w:hAnsi="宋体" w:cs="宋体" w:eastAsia="宋体" w:hint="default"/>
                <w:sz w:val="18"/>
                <w:szCs w:val="18"/>
              </w:rPr>
              <w:t> 德华先生为公司常务副总经理</w:t>
            </w:r>
          </w:p>
        </w:tc>
      </w:tr>
      <w:tr>
        <w:trPr>
          <w:trHeight w:val="402"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李晓华</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25"/>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 w:right="0"/>
              <w:jc w:val="center"/>
              <w:rPr>
                <w:rFonts w:ascii="宋体" w:hAnsi="宋体" w:cs="宋体" w:eastAsia="宋体" w:hint="default"/>
                <w:sz w:val="18"/>
                <w:szCs w:val="18"/>
              </w:rPr>
            </w:pPr>
            <w:r>
              <w:rPr>
                <w:rFonts w:ascii="宋体" w:hAnsi="宋体" w:cs="宋体" w:eastAsia="宋体" w:hint="default"/>
                <w:sz w:val="18"/>
                <w:szCs w:val="18"/>
              </w:rPr>
              <w:t>经第五届董事会</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年第三次会议审议通过，聘任李</w:t>
            </w:r>
          </w:p>
        </w:tc>
      </w:tr>
    </w:tbl>
    <w:p>
      <w:pPr>
        <w:spacing w:after="0" w:line="240" w:lineRule="auto"/>
        <w:jc w:val="center"/>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30"/>
        <w:gridCol w:w="1331"/>
        <w:gridCol w:w="1330"/>
        <w:gridCol w:w="1330"/>
        <w:gridCol w:w="4248"/>
      </w:tblGrid>
      <w:tr>
        <w:trPr>
          <w:trHeight w:val="362" w:hRule="exact"/>
        </w:trPr>
        <w:tc>
          <w:tcPr>
            <w:tcW w:w="1330" w:type="dxa"/>
            <w:tcBorders>
              <w:top w:val="single" w:sz="4" w:space="0" w:color="000000"/>
              <w:left w:val="single" w:sz="4" w:space="0" w:color="000000"/>
              <w:bottom w:val="single" w:sz="4" w:space="0" w:color="000000"/>
              <w:right w:val="single" w:sz="4" w:space="0" w:color="000000"/>
            </w:tcBorders>
          </w:tcPr>
          <w:p>
            <w:pPr/>
          </w:p>
        </w:tc>
        <w:tc>
          <w:tcPr>
            <w:tcW w:w="1331"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晓华女士为公司副总经理</w:t>
            </w:r>
          </w:p>
        </w:tc>
      </w:tr>
      <w:tr>
        <w:trPr>
          <w:trHeight w:val="1026"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姜华</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3" w:right="72"/>
              <w:jc w:val="both"/>
              <w:rPr>
                <w:rFonts w:ascii="宋体" w:hAnsi="宋体" w:cs="宋体" w:eastAsia="宋体" w:hint="default"/>
                <w:sz w:val="18"/>
                <w:szCs w:val="18"/>
              </w:rPr>
            </w:pPr>
            <w:r>
              <w:rPr>
                <w:rFonts w:ascii="宋体" w:hAnsi="宋体" w:cs="宋体" w:eastAsia="宋体" w:hint="default"/>
                <w:sz w:val="18"/>
                <w:szCs w:val="18"/>
              </w:rPr>
              <w:t>公司董事会于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日收到姜华先生的书面 辞职报告，姜华先生因个人原因，申请辞去公司副总 经理职务，离职后不再担任公司任何职务</w:t>
            </w:r>
          </w:p>
        </w:tc>
      </w:tr>
    </w:tbl>
    <w:p>
      <w:pPr>
        <w:spacing w:line="240" w:lineRule="auto" w:before="2"/>
        <w:rPr>
          <w:rFonts w:ascii="宋体" w:hAnsi="宋体" w:cs="宋体" w:eastAsia="宋体" w:hint="default"/>
          <w:sz w:val="18"/>
          <w:szCs w:val="18"/>
        </w:rPr>
      </w:pPr>
    </w:p>
    <w:p>
      <w:pPr>
        <w:pStyle w:val="Heading2"/>
        <w:spacing w:line="240" w:lineRule="auto" w:before="26"/>
        <w:ind w:right="0"/>
        <w:jc w:val="left"/>
        <w:rPr>
          <w:b w:val="0"/>
          <w:bCs w:val="0"/>
        </w:rPr>
      </w:pPr>
      <w:bookmarkStart w:name="三、任职情况" w:id="125"/>
      <w:bookmarkEnd w:id="125"/>
      <w:r>
        <w:rPr>
          <w:b w:val="0"/>
          <w:bCs w:val="0"/>
        </w:rPr>
      </w:r>
      <w:r>
        <w:rPr/>
        <w:t>三、任职情况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公司现任董事、监事、高级管理人员专业背景、主要工作经历以及目前在公司的主要职责</w:t>
      </w:r>
    </w:p>
    <w:p>
      <w:pPr>
        <w:pStyle w:val="BodyText"/>
        <w:spacing w:line="319" w:lineRule="auto" w:before="116"/>
        <w:ind w:right="0"/>
        <w:jc w:val="left"/>
      </w:pPr>
      <w:r>
        <w:rPr>
          <w:rFonts w:ascii="Times New Roman" w:hAnsi="Times New Roman" w:cs="Times New Roman" w:eastAsia="Times New Roman" w:hint="default"/>
        </w:rPr>
        <w:t>1</w:t>
      </w:r>
      <w:r>
        <w:rPr/>
        <w:t>、董事主要工作经历 乔鲁予，男，</w:t>
      </w:r>
      <w:r>
        <w:rPr>
          <w:rFonts w:ascii="Times New Roman" w:hAnsi="Times New Roman" w:cs="Times New Roman" w:eastAsia="Times New Roman" w:hint="default"/>
        </w:rPr>
        <w:t>1956</w:t>
      </w:r>
      <w:r>
        <w:rPr/>
        <w:t>年出生，中国籍，澳大利亚长期居住权，高中学历。</w:t>
      </w:r>
      <w:r>
        <w:rPr>
          <w:rFonts w:ascii="Times New Roman" w:hAnsi="Times New Roman" w:cs="Times New Roman" w:eastAsia="Times New Roman" w:hint="default"/>
        </w:rPr>
        <w:t>2003</w:t>
      </w:r>
      <w:r>
        <w:rPr/>
        <w:t>年至</w:t>
      </w:r>
      <w:r>
        <w:rPr>
          <w:rFonts w:ascii="Times New Roman" w:hAnsi="Times New Roman" w:cs="Times New Roman" w:eastAsia="Times New Roman" w:hint="default"/>
        </w:rPr>
        <w:t>2006</w:t>
      </w:r>
      <w:r>
        <w:rPr/>
        <w:t>年，任本公司董事长；</w:t>
      </w:r>
      <w:r>
        <w:rPr>
          <w:rFonts w:ascii="Times New Roman" w:hAnsi="Times New Roman" w:cs="Times New Roman" w:eastAsia="Times New Roman" w:hint="default"/>
        </w:rPr>
        <w:t>2006</w:t>
      </w:r>
      <w:r>
        <w:rPr/>
        <w:t>年至</w:t>
      </w:r>
      <w:r>
        <w:rPr>
          <w:rFonts w:ascii="Times New Roman" w:hAnsi="Times New Roman" w:cs="Times New Roman" w:eastAsia="Times New Roman" w:hint="default"/>
        </w:rPr>
        <w:t>2010 </w:t>
      </w:r>
      <w:r>
        <w:rPr/>
        <w:t>年任本公司董事长、总经理；现任本公司董事长。</w:t>
      </w:r>
    </w:p>
    <w:p>
      <w:pPr>
        <w:pStyle w:val="BodyText"/>
        <w:spacing w:line="300" w:lineRule="auto" w:before="136"/>
        <w:ind w:right="0"/>
        <w:jc w:val="left"/>
      </w:pPr>
      <w:r>
        <w:rPr/>
        <w:t>杨伟强，男，</w:t>
      </w:r>
      <w:r>
        <w:rPr>
          <w:rFonts w:ascii="Times New Roman" w:hAnsi="Times New Roman" w:cs="Times New Roman" w:eastAsia="Times New Roman" w:hint="default"/>
        </w:rPr>
        <w:t>1967</w:t>
      </w:r>
      <w:r>
        <w:rPr/>
        <w:t>年出生，中国籍，无永久境外居留权，毕业于郑州大学计算机系，并获得了北大光华管理学院</w:t>
      </w:r>
      <w:r>
        <w:rPr>
          <w:rFonts w:ascii="Times New Roman" w:hAnsi="Times New Roman" w:cs="Times New Roman" w:eastAsia="Times New Roman" w:hint="default"/>
        </w:rPr>
        <w:t>EMBA</w:t>
      </w:r>
      <w:r>
        <w:rPr/>
        <w:t>学位 </w:t>
      </w:r>
      <w:r>
        <w:rPr>
          <w:spacing w:val="-3"/>
          <w:w w:val="99"/>
        </w:rPr>
        <w:t>及长江商学院</w:t>
      </w:r>
      <w:r>
        <w:rPr>
          <w:rFonts w:ascii="Times New Roman" w:hAnsi="Times New Roman" w:cs="Times New Roman" w:eastAsia="Times New Roman" w:hint="default"/>
          <w:spacing w:val="-3"/>
          <w:w w:val="99"/>
        </w:rPr>
        <w:t>EMBA</w:t>
      </w:r>
      <w:r>
        <w:rPr>
          <w:spacing w:val="-3"/>
          <w:w w:val="99"/>
        </w:rPr>
        <w:t>学位。</w:t>
      </w:r>
      <w:r>
        <w:rPr>
          <w:rFonts w:ascii="Times New Roman" w:hAnsi="Times New Roman" w:cs="Times New Roman" w:eastAsia="Times New Roman" w:hint="default"/>
          <w:spacing w:val="-3"/>
          <w:w w:val="99"/>
        </w:rPr>
        <w:t>2008</w:t>
      </w:r>
      <w:r>
        <w:rPr>
          <w:spacing w:val="-3"/>
          <w:w w:val="99"/>
        </w:rPr>
        <w:t>年至</w:t>
      </w:r>
      <w:r>
        <w:rPr>
          <w:rFonts w:ascii="Times New Roman" w:hAnsi="Times New Roman" w:cs="Times New Roman" w:eastAsia="Times New Roman" w:hint="default"/>
          <w:spacing w:val="-3"/>
          <w:w w:val="99"/>
        </w:rPr>
        <w:t>2013</w:t>
      </w:r>
      <w:r>
        <w:rPr>
          <w:spacing w:val="-3"/>
          <w:w w:val="99"/>
        </w:rPr>
        <w:t>年间担任硅谷天堂资产管理集团股份有限公司执行总裁。现任复星集团全球合伙人，</w:t>
      </w:r>
      <w:r>
        <w:rPr>
          <w:spacing w:val="-63"/>
          <w:w w:val="99"/>
        </w:rPr>
        <w:t> </w:t>
      </w:r>
      <w:r>
        <w:rPr>
          <w:spacing w:val="-63"/>
          <w:w w:val="99"/>
        </w:rPr>
      </w:r>
      <w:r>
        <w:rPr/>
        <w:t>深圳前海复星瑞哲资产管理有限公司董事长、总裁，亚东复星瑞哲安泰发展有限公司执行董事等职务。</w:t>
      </w:r>
    </w:p>
    <w:p>
      <w:pPr>
        <w:pStyle w:val="BodyText"/>
        <w:spacing w:line="300" w:lineRule="auto" w:before="130"/>
        <w:ind w:right="1132"/>
        <w:jc w:val="both"/>
      </w:pPr>
      <w:r>
        <w:rPr/>
        <w:t>侯旭东，男，</w:t>
      </w:r>
      <w:r>
        <w:rPr>
          <w:rFonts w:ascii="Times New Roman" w:hAnsi="Times New Roman" w:cs="Times New Roman" w:eastAsia="Times New Roman" w:hint="default"/>
        </w:rPr>
        <w:t>1961</w:t>
      </w:r>
      <w:r>
        <w:rPr/>
        <w:t>年出生，中国籍，无永久境外居留权，中专学历，高级经济师。</w:t>
      </w:r>
      <w:r>
        <w:rPr>
          <w:rFonts w:ascii="Times New Roman" w:hAnsi="Times New Roman" w:cs="Times New Roman" w:eastAsia="Times New Roman" w:hint="default"/>
        </w:rPr>
        <w:t>2003</w:t>
      </w:r>
      <w:r>
        <w:rPr/>
        <w:t>年至</w:t>
      </w:r>
      <w:r>
        <w:rPr>
          <w:rFonts w:ascii="Times New Roman" w:hAnsi="Times New Roman" w:cs="Times New Roman" w:eastAsia="Times New Roman" w:hint="default"/>
        </w:rPr>
        <w:t>2007</w:t>
      </w:r>
      <w:r>
        <w:rPr/>
        <w:t>年</w:t>
      </w:r>
      <w:r>
        <w:rPr>
          <w:rFonts w:ascii="Times New Roman" w:hAnsi="Times New Roman" w:cs="Times New Roman" w:eastAsia="Times New Roman" w:hint="default"/>
        </w:rPr>
        <w:t>5</w:t>
      </w:r>
      <w:r>
        <w:rPr/>
        <w:t>月，任本公司董事、副 总经理；</w:t>
      </w:r>
      <w:r>
        <w:rPr>
          <w:rFonts w:ascii="Times New Roman" w:hAnsi="Times New Roman" w:cs="Times New Roman" w:eastAsia="Times New Roman" w:hint="default"/>
        </w:rPr>
        <w:t>2007</w:t>
      </w:r>
      <w:r>
        <w:rPr/>
        <w:t>年</w:t>
      </w:r>
      <w:r>
        <w:rPr>
          <w:rFonts w:ascii="Times New Roman" w:hAnsi="Times New Roman" w:cs="Times New Roman" w:eastAsia="Times New Roman" w:hint="default"/>
        </w:rPr>
        <w:t>5</w:t>
      </w:r>
      <w:r>
        <w:rPr/>
        <w:t>月至</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12</w:t>
      </w:r>
      <w:r>
        <w:rPr/>
        <w:t>月，任本公司董事、安徽安泰新型包装材料有限公司总经理；</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1</w:t>
      </w:r>
      <w:r>
        <w:rPr/>
        <w:t>月至</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2</w:t>
      </w:r>
      <w:r>
        <w:rPr/>
        <w:t>月任本公 司董事、副总经理；现任本公司董事、总经理。</w:t>
      </w:r>
    </w:p>
    <w:p>
      <w:pPr>
        <w:pStyle w:val="BodyText"/>
        <w:spacing w:line="302" w:lineRule="auto" w:before="130"/>
        <w:ind w:right="0"/>
        <w:jc w:val="left"/>
      </w:pPr>
      <w:r>
        <w:rPr>
          <w:spacing w:val="-2"/>
        </w:rPr>
        <w:t>李德华，男，</w:t>
      </w:r>
      <w:r>
        <w:rPr>
          <w:rFonts w:ascii="Times New Roman" w:hAnsi="Times New Roman" w:cs="Times New Roman" w:eastAsia="Times New Roman" w:hint="default"/>
          <w:spacing w:val="-2"/>
        </w:rPr>
        <w:t>1968</w:t>
      </w:r>
      <w:r>
        <w:rPr>
          <w:spacing w:val="-2"/>
        </w:rPr>
        <w:t>年出生，中国籍，无永久境外居留权，高中文化。</w:t>
      </w:r>
      <w:r>
        <w:rPr>
          <w:rFonts w:ascii="Times New Roman" w:hAnsi="Times New Roman" w:cs="Times New Roman" w:eastAsia="Times New Roman" w:hint="default"/>
          <w:spacing w:val="-2"/>
        </w:rPr>
        <w:t>1996</w:t>
      </w:r>
      <w:r>
        <w:rPr>
          <w:spacing w:val="-2"/>
        </w:rPr>
        <w:t>年至今任职于本公司，现任公司董事、常务副总经</w:t>
      </w:r>
      <w:r>
        <w:rPr>
          <w:spacing w:val="-59"/>
        </w:rPr>
        <w:t> </w:t>
      </w:r>
      <w:r>
        <w:rPr>
          <w:spacing w:val="-59"/>
        </w:rPr>
      </w:r>
      <w:r>
        <w:rPr/>
        <w:t>理、生产营销分公司总经理。</w:t>
      </w:r>
    </w:p>
    <w:p>
      <w:pPr>
        <w:pStyle w:val="BodyText"/>
        <w:spacing w:line="302" w:lineRule="auto" w:before="129"/>
        <w:ind w:right="0"/>
        <w:jc w:val="left"/>
      </w:pPr>
      <w:r>
        <w:rPr>
          <w:spacing w:val="-2"/>
        </w:rPr>
        <w:t>李晓华，女，</w:t>
      </w:r>
      <w:r>
        <w:rPr>
          <w:rFonts w:ascii="Times New Roman" w:hAnsi="Times New Roman" w:cs="Times New Roman" w:eastAsia="Times New Roman" w:hint="default"/>
          <w:spacing w:val="-2"/>
        </w:rPr>
        <w:t>1978</w:t>
      </w:r>
      <w:r>
        <w:rPr>
          <w:spacing w:val="-2"/>
        </w:rPr>
        <w:t>年出生，中国籍，无永久境外居留权，武汉大学经济学学士。曾任深圳和而泰智能控制股份有限公司（股</w:t>
      </w:r>
      <w:r>
        <w:rPr>
          <w:spacing w:val="-66"/>
        </w:rPr>
        <w:t> </w:t>
      </w:r>
      <w:r>
        <w:rPr>
          <w:spacing w:val="-66"/>
        </w:rPr>
      </w:r>
      <w:r>
        <w:rPr/>
        <w:t>票代码：</w:t>
      </w:r>
      <w:r>
        <w:rPr>
          <w:rFonts w:ascii="Times New Roman" w:hAnsi="Times New Roman" w:cs="Times New Roman" w:eastAsia="Times New Roman" w:hint="default"/>
        </w:rPr>
        <w:t>002402</w:t>
      </w:r>
      <w:r>
        <w:rPr/>
        <w:t>）副总经理、董事会秘书等职务；</w:t>
      </w:r>
      <w:r>
        <w:rPr>
          <w:rFonts w:ascii="Times New Roman" w:hAnsi="Times New Roman" w:cs="Times New Roman" w:eastAsia="Times New Roman" w:hint="default"/>
        </w:rPr>
        <w:t>2012</w:t>
      </w:r>
      <w:r>
        <w:rPr/>
        <w:t>年至今任职于本公司，现任本公司董事、副总经理、董事会秘书。</w:t>
      </w:r>
    </w:p>
    <w:p>
      <w:pPr>
        <w:pStyle w:val="BodyText"/>
        <w:spacing w:line="309" w:lineRule="auto" w:before="49"/>
        <w:ind w:right="1132"/>
        <w:jc w:val="both"/>
      </w:pPr>
      <w:r>
        <w:rPr>
          <w:spacing w:val="-2"/>
        </w:rPr>
        <w:t>龙隆，男，</w:t>
      </w:r>
      <w:r>
        <w:rPr>
          <w:rFonts w:ascii="Times New Roman" w:hAnsi="Times New Roman" w:cs="Times New Roman" w:eastAsia="Times New Roman" w:hint="default"/>
          <w:spacing w:val="-2"/>
        </w:rPr>
        <w:t>1955</w:t>
      </w:r>
      <w:r>
        <w:rPr>
          <w:spacing w:val="-2"/>
        </w:rPr>
        <w:t>年出生，中国籍，无永久境外居留权，本科学历。</w:t>
      </w:r>
      <w:r>
        <w:rPr>
          <w:rFonts w:ascii="Times New Roman" w:hAnsi="Times New Roman" w:cs="Times New Roman" w:eastAsia="Times New Roman" w:hint="default"/>
          <w:spacing w:val="-2"/>
        </w:rPr>
        <w:t>1990</w:t>
      </w:r>
      <w:r>
        <w:rPr>
          <w:spacing w:val="-2"/>
        </w:rPr>
        <w:t>年至今，历任综合开发研究院（中国深圳）周边地区</w:t>
      </w:r>
      <w:r>
        <w:rPr>
          <w:spacing w:val="-61"/>
        </w:rPr>
        <w:t> </w:t>
      </w:r>
      <w:r>
        <w:rPr>
          <w:spacing w:val="-61"/>
        </w:rPr>
      </w:r>
      <w:r>
        <w:rPr>
          <w:spacing w:val="-2"/>
        </w:rPr>
        <w:t>研究中心副主任、开放政策研究所所长等职，本公司第二届、第三届独立董事；现任综合开发研究院（中国深圳）理事、产</w:t>
      </w:r>
      <w:r>
        <w:rPr>
          <w:spacing w:val="-71"/>
        </w:rPr>
        <w:t> </w:t>
      </w:r>
      <w:r>
        <w:rPr>
          <w:spacing w:val="-71"/>
        </w:rPr>
      </w:r>
      <w:r>
        <w:rPr/>
        <w:t>业经济研究中心主任、本公司董事。</w:t>
      </w:r>
    </w:p>
    <w:p>
      <w:pPr>
        <w:pStyle w:val="BodyText"/>
        <w:spacing w:line="309" w:lineRule="auto" w:before="122"/>
        <w:ind w:right="1132"/>
        <w:jc w:val="both"/>
      </w:pPr>
      <w:r>
        <w:rPr>
          <w:spacing w:val="-2"/>
        </w:rPr>
        <w:t>于秀峰，男，</w:t>
      </w:r>
      <w:r>
        <w:rPr>
          <w:rFonts w:ascii="Times New Roman" w:hAnsi="Times New Roman" w:cs="Times New Roman" w:eastAsia="Times New Roman" w:hint="default"/>
          <w:spacing w:val="-2"/>
        </w:rPr>
        <w:t>1964</w:t>
      </w:r>
      <w:r>
        <w:rPr>
          <w:spacing w:val="-2"/>
        </w:rPr>
        <w:t>年出生，中国籍，无永久境外居留权，博士学历。</w:t>
      </w:r>
      <w:r>
        <w:rPr>
          <w:rFonts w:ascii="Times New Roman" w:hAnsi="Times New Roman" w:cs="Times New Roman" w:eastAsia="Times New Roman" w:hint="default"/>
          <w:spacing w:val="-2"/>
        </w:rPr>
        <w:t>1988</w:t>
      </w:r>
      <w:r>
        <w:rPr>
          <w:spacing w:val="-2"/>
        </w:rPr>
        <w:t>年起，历任吉林省桦甸市司法局团委书记，吉林省</w:t>
      </w:r>
      <w:r>
        <w:rPr>
          <w:spacing w:val="-59"/>
        </w:rPr>
        <w:t> </w:t>
      </w:r>
      <w:r>
        <w:rPr>
          <w:spacing w:val="-59"/>
        </w:rPr>
      </w:r>
      <w:r>
        <w:rPr>
          <w:spacing w:val="-2"/>
        </w:rPr>
        <w:t>国际信托投资公司总经理助理，深圳市人大法制委员会委员，深圳市律师协会副会长。现任北京德恒（深圳）律师事务所主</w:t>
      </w:r>
      <w:r>
        <w:rPr>
          <w:spacing w:val="-66"/>
        </w:rPr>
        <w:t> </w:t>
      </w:r>
      <w:r>
        <w:rPr>
          <w:spacing w:val="-66"/>
        </w:rPr>
      </w:r>
      <w:r>
        <w:rPr/>
        <w:t>任、高级合伙人，深圳赤湾石油基地股份有限公司独立董事、本公司独立董事。</w:t>
      </w:r>
    </w:p>
    <w:p>
      <w:pPr>
        <w:pStyle w:val="BodyText"/>
        <w:spacing w:line="307" w:lineRule="auto" w:before="124"/>
        <w:ind w:right="0"/>
        <w:jc w:val="left"/>
      </w:pPr>
      <w:r>
        <w:rPr/>
        <w:t>王艳梅，女，</w:t>
      </w:r>
      <w:r>
        <w:rPr>
          <w:rFonts w:ascii="Times New Roman" w:hAnsi="Times New Roman" w:cs="Times New Roman" w:eastAsia="Times New Roman" w:hint="default"/>
        </w:rPr>
        <w:t>1965</w:t>
      </w:r>
      <w:r>
        <w:rPr>
          <w:rFonts w:ascii="Times New Roman" w:hAnsi="Times New Roman" w:cs="Times New Roman" w:eastAsia="Times New Roman" w:hint="default"/>
          <w:spacing w:val="27"/>
        </w:rPr>
        <w:t> </w:t>
      </w:r>
      <w:r>
        <w:rPr/>
        <w:t>年出生，中国国籍，无永久境外居留权，博士研究生学历。曾任职辽宁鞍山钢铁集团公司研究所、深圳 </w:t>
      </w:r>
      <w:r>
        <w:rPr>
          <w:spacing w:val="-2"/>
        </w:rPr>
        <w:t>市科学技术学会、深圳清华大学研究院、深圳清华国际技术转移中心、深圳力合孵化器发展有限公司；曾任浩宁达股份有限</w:t>
      </w:r>
      <w:r>
        <w:rPr>
          <w:spacing w:val="-66"/>
        </w:rPr>
        <w:t> </w:t>
      </w:r>
      <w:r>
        <w:rPr>
          <w:spacing w:val="-66"/>
        </w:rPr>
      </w:r>
      <w:r>
        <w:rPr/>
        <w:t>公司独立董事；</w:t>
      </w:r>
      <w:r>
        <w:rPr>
          <w:rFonts w:ascii="Times New Roman" w:hAnsi="Times New Roman" w:cs="Times New Roman" w:eastAsia="Times New Roman" w:hint="default"/>
        </w:rPr>
        <w:t>2007 </w:t>
      </w:r>
      <w:r>
        <w:rPr/>
        <w:t>年 </w:t>
      </w:r>
      <w:r>
        <w:rPr>
          <w:rFonts w:ascii="Times New Roman" w:hAnsi="Times New Roman" w:cs="Times New Roman" w:eastAsia="Times New Roman" w:hint="default"/>
        </w:rPr>
        <w:t>11</w:t>
      </w:r>
      <w:r>
        <w:rPr>
          <w:rFonts w:ascii="Times New Roman" w:hAnsi="Times New Roman" w:cs="Times New Roman" w:eastAsia="Times New Roman" w:hint="default"/>
          <w:spacing w:val="-10"/>
        </w:rPr>
        <w:t> </w:t>
      </w:r>
      <w:r>
        <w:rPr/>
        <w:t>月开始组建深圳市南山科技事务所并出任所长，现任深圳市生命科学与生物技术协会秘书长、 深圳市卓翼科技股份有限公司独立董事、本公司独立董事。</w:t>
      </w:r>
    </w:p>
    <w:p>
      <w:pPr>
        <w:pStyle w:val="BodyText"/>
        <w:spacing w:line="312" w:lineRule="auto" w:before="124"/>
        <w:ind w:right="0"/>
        <w:jc w:val="left"/>
      </w:pPr>
      <w:r>
        <w:rPr>
          <w:spacing w:val="-4"/>
        </w:rPr>
        <w:t>孙进山，男，</w:t>
      </w:r>
      <w:r>
        <w:rPr>
          <w:rFonts w:ascii="Times New Roman" w:hAnsi="Times New Roman" w:cs="Times New Roman" w:eastAsia="Times New Roman" w:hint="default"/>
          <w:spacing w:val="-4"/>
        </w:rPr>
        <w:t>1964</w:t>
      </w:r>
      <w:r>
        <w:rPr>
          <w:spacing w:val="-4"/>
        </w:rPr>
        <w:t>年出生，中国国籍，无永久境外居留权，本科学历。中国注册会计师非执业会员，现任职于深圳技师学院。</w:t>
      </w:r>
      <w:r>
        <w:rPr>
          <w:spacing w:val="-39"/>
        </w:rPr>
        <w:t> </w:t>
      </w:r>
      <w:r>
        <w:rPr>
          <w:spacing w:val="-39"/>
        </w:rPr>
      </w:r>
      <w:r>
        <w:rPr>
          <w:spacing w:val="-2"/>
        </w:rPr>
        <w:t>历任深圳达实智能股份有限公司独立董事、深圳和而泰智能控制股份有限公司独立董事、上海亚泽金属屋面系统股份有限公</w:t>
      </w:r>
      <w:r>
        <w:rPr>
          <w:spacing w:val="-64"/>
        </w:rPr>
        <w:t> </w:t>
      </w:r>
      <w:r>
        <w:rPr>
          <w:spacing w:val="-64"/>
        </w:rPr>
      </w:r>
      <w:r>
        <w:rPr>
          <w:spacing w:val="-2"/>
        </w:rPr>
        <w:t>司独立董事、惠州硕贝德股份有限公司独立董事等职务，现任新疆麦趣尔集团股份有限公司独立董事、深圳瑞和建筑装饰股</w:t>
      </w:r>
      <w:r>
        <w:rPr>
          <w:spacing w:val="-66"/>
        </w:rPr>
        <w:t> </w:t>
      </w:r>
      <w:r>
        <w:rPr>
          <w:spacing w:val="-66"/>
        </w:rPr>
      </w:r>
      <w:r>
        <w:rPr/>
        <w:t>份有限公司独立董事、本公司独立董事等职务。</w:t>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3"/>
          <w:szCs w:val="13"/>
        </w:rPr>
      </w:pPr>
    </w:p>
    <w:p>
      <w:pPr>
        <w:pStyle w:val="BodyText"/>
        <w:spacing w:line="319" w:lineRule="auto"/>
        <w:ind w:right="0"/>
        <w:jc w:val="left"/>
      </w:pPr>
      <w:r>
        <w:rPr>
          <w:rFonts w:ascii="Times New Roman" w:hAnsi="Times New Roman" w:cs="Times New Roman" w:eastAsia="Times New Roman" w:hint="default"/>
        </w:rPr>
        <w:t>2</w:t>
      </w:r>
      <w:r>
        <w:rPr/>
        <w:t>、监事主要工作经历 </w:t>
      </w:r>
      <w:r>
        <w:rPr>
          <w:spacing w:val="-2"/>
        </w:rPr>
        <w:t>李青山，男，</w:t>
      </w:r>
      <w:r>
        <w:rPr>
          <w:rFonts w:ascii="Times New Roman" w:hAnsi="Times New Roman" w:cs="Times New Roman" w:eastAsia="Times New Roman" w:hint="default"/>
          <w:spacing w:val="-2"/>
        </w:rPr>
        <w:t>1973</w:t>
      </w:r>
      <w:r>
        <w:rPr>
          <w:spacing w:val="-2"/>
        </w:rPr>
        <w:t>年出生，中国籍，无永久境外居留权，研究生学历。</w:t>
      </w:r>
      <w:r>
        <w:rPr>
          <w:rFonts w:ascii="Times New Roman" w:hAnsi="Times New Roman" w:cs="Times New Roman" w:eastAsia="Times New Roman" w:hint="default"/>
          <w:spacing w:val="-2"/>
        </w:rPr>
        <w:t>2007</w:t>
      </w:r>
      <w:r>
        <w:rPr>
          <w:spacing w:val="-2"/>
        </w:rPr>
        <w:t>年至今，任职于本公司人力资源部，现任本公司</w:t>
      </w:r>
      <w:r>
        <w:rPr>
          <w:spacing w:val="-59"/>
        </w:rPr>
        <w:t> </w:t>
      </w:r>
      <w:r>
        <w:rPr>
          <w:spacing w:val="-59"/>
        </w:rPr>
      </w:r>
      <w:r>
        <w:rPr/>
        <w:t>人力资源部总监、监事会主席。</w:t>
      </w:r>
    </w:p>
    <w:p>
      <w:pPr>
        <w:pStyle w:val="BodyText"/>
        <w:spacing w:line="302" w:lineRule="auto" w:before="115"/>
        <w:ind w:right="0"/>
        <w:jc w:val="left"/>
      </w:pPr>
      <w:r>
        <w:rPr>
          <w:spacing w:val="-2"/>
        </w:rPr>
        <w:t>马晓惠，女，</w:t>
      </w:r>
      <w:r>
        <w:rPr>
          <w:rFonts w:ascii="Times New Roman" w:hAnsi="Times New Roman" w:cs="Times New Roman" w:eastAsia="Times New Roman" w:hint="default"/>
          <w:spacing w:val="-2"/>
        </w:rPr>
        <w:t>1989</w:t>
      </w:r>
      <w:r>
        <w:rPr>
          <w:spacing w:val="-2"/>
        </w:rPr>
        <w:t>年出生，中国籍，无永久境外居留权，本科学历。</w:t>
      </w:r>
      <w:r>
        <w:rPr>
          <w:rFonts w:ascii="Times New Roman" w:hAnsi="Times New Roman" w:cs="Times New Roman" w:eastAsia="Times New Roman" w:hint="default"/>
          <w:spacing w:val="-2"/>
        </w:rPr>
        <w:t>2011</w:t>
      </w:r>
      <w:r>
        <w:rPr>
          <w:spacing w:val="-2"/>
        </w:rPr>
        <w:t>年至今，任职于公司集团办公室，现任公司公共事</w:t>
      </w:r>
      <w:r>
        <w:rPr>
          <w:spacing w:val="-59"/>
        </w:rPr>
        <w:t> </w:t>
      </w:r>
      <w:r>
        <w:rPr>
          <w:spacing w:val="-59"/>
        </w:rPr>
      </w:r>
      <w:r>
        <w:rPr/>
        <w:t>务关系主管、监事。</w:t>
      </w:r>
    </w:p>
    <w:p>
      <w:pPr>
        <w:spacing w:after="0" w:line="302"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02" w:lineRule="auto" w:before="44"/>
        <w:ind w:right="1122"/>
        <w:jc w:val="left"/>
      </w:pPr>
      <w:r>
        <w:rPr/>
        <w:t>陈顺芹，女，</w:t>
      </w:r>
      <w:r>
        <w:rPr>
          <w:rFonts w:ascii="Times New Roman" w:hAnsi="Times New Roman" w:cs="Times New Roman" w:eastAsia="Times New Roman" w:hint="default"/>
        </w:rPr>
        <w:t>1980</w:t>
      </w:r>
      <w:r>
        <w:rPr/>
        <w:t>年出生，中国籍，无永久境外居留权，大专学历。</w:t>
      </w:r>
      <w:r>
        <w:rPr>
          <w:rFonts w:ascii="Times New Roman" w:hAnsi="Times New Roman" w:cs="Times New Roman" w:eastAsia="Times New Roman" w:hint="default"/>
        </w:rPr>
        <w:t>2002</w:t>
      </w:r>
      <w:r>
        <w:rPr/>
        <w:t>年</w:t>
      </w:r>
      <w:r>
        <w:rPr>
          <w:rFonts w:ascii="Times New Roman" w:hAnsi="Times New Roman" w:cs="Times New Roman" w:eastAsia="Times New Roman" w:hint="default"/>
        </w:rPr>
        <w:t>4</w:t>
      </w:r>
      <w:r>
        <w:rPr/>
        <w:t>月至今在公司生产事业部任职，现任公司生产 营销分公司总经办秘书、职工代表监事。</w:t>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14"/>
          <w:szCs w:val="14"/>
        </w:rPr>
      </w:pPr>
    </w:p>
    <w:p>
      <w:pPr>
        <w:pStyle w:val="BodyText"/>
        <w:spacing w:line="338" w:lineRule="auto"/>
        <w:ind w:right="6472"/>
        <w:jc w:val="left"/>
      </w:pPr>
      <w:r>
        <w:rPr>
          <w:rFonts w:ascii="Times New Roman" w:hAnsi="Times New Roman" w:cs="Times New Roman" w:eastAsia="Times New Roman" w:hint="default"/>
        </w:rPr>
        <w:t>3</w:t>
      </w:r>
      <w:r>
        <w:rPr/>
        <w:t>、高级管理人员主要工作经历 侯旭东，公司总经理，简介见前述董事介绍。</w:t>
      </w:r>
    </w:p>
    <w:p>
      <w:pPr>
        <w:pStyle w:val="BodyText"/>
        <w:spacing w:line="420" w:lineRule="auto" w:before="102"/>
        <w:ind w:right="5892"/>
        <w:jc w:val="left"/>
      </w:pPr>
      <w:r>
        <w:rPr/>
        <w:t>李德华，公司常务副总经理，简介见前述董事介绍。 李晓华，公司副总经理、董事会秘书，简介见前述董事介绍。</w:t>
      </w:r>
    </w:p>
    <w:p>
      <w:pPr>
        <w:pStyle w:val="BodyText"/>
        <w:spacing w:line="300" w:lineRule="auto" w:before="40"/>
        <w:ind w:right="1131"/>
        <w:jc w:val="both"/>
      </w:pPr>
      <w:r>
        <w:rPr>
          <w:spacing w:val="-2"/>
        </w:rPr>
        <w:t>黄华，男，</w:t>
      </w:r>
      <w:r>
        <w:rPr>
          <w:rFonts w:ascii="Times New Roman" w:hAnsi="Times New Roman" w:cs="Times New Roman" w:eastAsia="Times New Roman" w:hint="default"/>
          <w:spacing w:val="-2"/>
        </w:rPr>
        <w:t>1963</w:t>
      </w:r>
      <w:r>
        <w:rPr>
          <w:spacing w:val="-2"/>
        </w:rPr>
        <w:t>年出生，中国籍，无永久境外居留权，本科学历，</w:t>
      </w:r>
      <w:r>
        <w:rPr>
          <w:rFonts w:ascii="Times New Roman" w:hAnsi="Times New Roman" w:cs="Times New Roman" w:eastAsia="Times New Roman" w:hint="default"/>
          <w:spacing w:val="-2"/>
        </w:rPr>
        <w:t>2011</w:t>
      </w:r>
      <w:r>
        <w:rPr>
          <w:spacing w:val="-2"/>
        </w:rPr>
        <w:t>年至</w:t>
      </w:r>
      <w:r>
        <w:rPr>
          <w:rFonts w:ascii="Times New Roman" w:hAnsi="Times New Roman" w:cs="Times New Roman" w:eastAsia="Times New Roman" w:hint="default"/>
          <w:spacing w:val="-2"/>
        </w:rPr>
        <w:t>2016</w:t>
      </w:r>
      <w:r>
        <w:rPr>
          <w:spacing w:val="-2"/>
        </w:rPr>
        <w:t>年任深圳市劲嘉创业投资有限公司常务副总</w:t>
      </w:r>
      <w:r>
        <w:rPr>
          <w:spacing w:val="-54"/>
        </w:rPr>
        <w:t> </w:t>
      </w:r>
      <w:r>
        <w:rPr/>
        <w:t>裁，</w:t>
      </w:r>
      <w:r>
        <w:rPr>
          <w:rFonts w:ascii="Times New Roman" w:hAnsi="Times New Roman" w:cs="Times New Roman" w:eastAsia="Times New Roman" w:hint="default"/>
        </w:rPr>
        <w:t>2016</w:t>
      </w:r>
      <w:r>
        <w:rPr/>
        <w:t>年至今任公司董事长助理、战略投资发展中心副主任，</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3</w:t>
      </w:r>
      <w:r>
        <w:rPr/>
        <w:t>月至今任公司子公司深圳劲嘉新型智能包装有限公 司执行董事、总经理。</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18</w:t>
      </w:r>
      <w:r>
        <w:rPr/>
        <w:t>日聘任为公司副总经理，任期与第五届董事会一致。</w:t>
      </w:r>
    </w:p>
    <w:p>
      <w:pPr>
        <w:pStyle w:val="BodyText"/>
        <w:spacing w:line="302" w:lineRule="auto" w:before="111"/>
        <w:ind w:right="1125"/>
        <w:jc w:val="left"/>
      </w:pPr>
      <w:r>
        <w:rPr>
          <w:spacing w:val="-3"/>
        </w:rPr>
        <w:t>富培军，男，</w:t>
      </w:r>
      <w:r>
        <w:rPr>
          <w:rFonts w:ascii="Times New Roman" w:hAnsi="Times New Roman" w:cs="Times New Roman" w:eastAsia="Times New Roman" w:hint="default"/>
          <w:spacing w:val="-3"/>
        </w:rPr>
        <w:t>1968</w:t>
      </w:r>
      <w:r>
        <w:rPr>
          <w:spacing w:val="-3"/>
        </w:rPr>
        <w:t>年生，中国籍，无永久境外居留权，大学本科学历，会计师、注册会计师、注册税务师。</w:t>
      </w:r>
      <w:r>
        <w:rPr>
          <w:rFonts w:ascii="Times New Roman" w:hAnsi="Times New Roman" w:cs="Times New Roman" w:eastAsia="Times New Roman" w:hint="default"/>
          <w:spacing w:val="-3"/>
        </w:rPr>
        <w:t>2006</w:t>
      </w:r>
      <w:r>
        <w:rPr>
          <w:spacing w:val="-3"/>
        </w:rPr>
        <w:t>年</w:t>
      </w:r>
      <w:r>
        <w:rPr>
          <w:rFonts w:ascii="Times New Roman" w:hAnsi="Times New Roman" w:cs="Times New Roman" w:eastAsia="Times New Roman" w:hint="default"/>
          <w:spacing w:val="-3"/>
        </w:rPr>
        <w:t>7</w:t>
      </w:r>
      <w:r>
        <w:rPr>
          <w:spacing w:val="-3"/>
        </w:rPr>
        <w:t>月至</w:t>
      </w:r>
      <w:r>
        <w:rPr>
          <w:rFonts w:ascii="Times New Roman" w:hAnsi="Times New Roman" w:cs="Times New Roman" w:eastAsia="Times New Roman" w:hint="default"/>
          <w:spacing w:val="-3"/>
        </w:rPr>
        <w:t>2008</w:t>
      </w:r>
      <w:r>
        <w:rPr>
          <w:rFonts w:ascii="Times New Roman" w:hAnsi="Times New Roman" w:cs="Times New Roman" w:eastAsia="Times New Roman" w:hint="default"/>
          <w:spacing w:val="-40"/>
        </w:rPr>
        <w:t> </w:t>
      </w:r>
      <w:r>
        <w:rPr/>
        <w:t>年</w:t>
      </w:r>
      <w:r>
        <w:rPr>
          <w:rFonts w:ascii="Times New Roman" w:hAnsi="Times New Roman" w:cs="Times New Roman" w:eastAsia="Times New Roman" w:hint="default"/>
        </w:rPr>
        <w:t>9</w:t>
      </w:r>
      <w:r>
        <w:rPr/>
        <w:t>月任广东新会美达锦纶股份有限公司财务总监；</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10</w:t>
      </w:r>
      <w:r>
        <w:rPr/>
        <w:t>月至今任本公司财务总监。</w:t>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2"/>
          <w:szCs w:val="12"/>
        </w:rPr>
      </w:pPr>
    </w:p>
    <w:p>
      <w:pPr>
        <w:pStyle w:val="BodyText"/>
        <w:spacing w:line="240" w:lineRule="auto"/>
        <w:ind w:right="0"/>
        <w:jc w:val="both"/>
      </w:pPr>
      <w:r>
        <w:rPr/>
        <w:t>在股东单位任职情况</w:t>
      </w:r>
    </w:p>
    <w:p>
      <w:pPr>
        <w:pStyle w:val="BodyText"/>
        <w:spacing w:line="240" w:lineRule="auto" w:before="116"/>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217"/>
        <w:gridCol w:w="3231"/>
        <w:gridCol w:w="1076"/>
        <w:gridCol w:w="1212"/>
        <w:gridCol w:w="1348"/>
        <w:gridCol w:w="1484"/>
      </w:tblGrid>
      <w:tr>
        <w:trPr>
          <w:trHeight w:val="714" w:hRule="exact"/>
        </w:trPr>
        <w:tc>
          <w:tcPr>
            <w:tcW w:w="12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63"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69" w:right="0"/>
              <w:jc w:val="left"/>
              <w:rPr>
                <w:rFonts w:ascii="宋体" w:hAnsi="宋体" w:cs="宋体" w:eastAsia="宋体" w:hint="default"/>
                <w:sz w:val="18"/>
                <w:szCs w:val="18"/>
              </w:rPr>
            </w:pPr>
            <w:r>
              <w:rPr>
                <w:rFonts w:ascii="宋体" w:hAnsi="宋体" w:cs="宋体" w:eastAsia="宋体" w:hint="default"/>
                <w:sz w:val="18"/>
                <w:szCs w:val="18"/>
              </w:rPr>
              <w:t>股东单位名称</w:t>
            </w:r>
          </w:p>
        </w:tc>
        <w:tc>
          <w:tcPr>
            <w:tcW w:w="10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82" w:right="83"/>
              <w:jc w:val="left"/>
              <w:rPr>
                <w:rFonts w:ascii="宋体" w:hAnsi="宋体" w:cs="宋体" w:eastAsia="宋体" w:hint="default"/>
                <w:sz w:val="18"/>
                <w:szCs w:val="18"/>
              </w:rPr>
            </w:pPr>
            <w:r>
              <w:rPr>
                <w:rFonts w:ascii="宋体" w:hAnsi="宋体" w:cs="宋体" w:eastAsia="宋体" w:hint="default"/>
                <w:sz w:val="18"/>
                <w:szCs w:val="18"/>
              </w:rPr>
              <w:t>在股东单位 担任的职务</w:t>
            </w:r>
          </w:p>
        </w:tc>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61"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3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29"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96" w:right="107" w:hanging="90"/>
              <w:jc w:val="left"/>
              <w:rPr>
                <w:rFonts w:ascii="宋体" w:hAnsi="宋体" w:cs="宋体" w:eastAsia="宋体" w:hint="default"/>
                <w:sz w:val="18"/>
                <w:szCs w:val="18"/>
              </w:rPr>
            </w:pPr>
            <w:r>
              <w:rPr>
                <w:rFonts w:ascii="宋体" w:hAnsi="宋体" w:cs="宋体" w:eastAsia="宋体" w:hint="default"/>
                <w:sz w:val="18"/>
                <w:szCs w:val="18"/>
              </w:rPr>
              <w:t>在股东单位是否 领取报酬津贴</w:t>
            </w:r>
          </w:p>
        </w:tc>
      </w:tr>
      <w:tr>
        <w:trPr>
          <w:trHeight w:val="714" w:hRule="exact"/>
        </w:trPr>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乔鲁予</w:t>
            </w:r>
          </w:p>
        </w:tc>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深圳市劲嘉创业投资有限公司</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法定代表人</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48" w:type="dxa"/>
            <w:tcBorders>
              <w:top w:val="single" w:sz="4" w:space="0" w:color="000000"/>
              <w:left w:val="single" w:sz="4" w:space="0" w:color="000000"/>
              <w:bottom w:val="single" w:sz="4" w:space="0" w:color="000000"/>
              <w:right w:val="single" w:sz="4" w:space="0" w:color="000000"/>
            </w:tcBorders>
          </w:tcPr>
          <w:p>
            <w:pP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李德华</w:t>
            </w:r>
          </w:p>
        </w:tc>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pacing w:val="-4"/>
                <w:sz w:val="18"/>
                <w:szCs w:val="18"/>
              </w:rPr>
              <w:t>新疆世纪运通股权投资合伙企业（有限合</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伙）</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43"/>
              <w:jc w:val="left"/>
              <w:rPr>
                <w:rFonts w:ascii="宋体" w:hAnsi="宋体" w:cs="宋体" w:eastAsia="宋体" w:hint="default"/>
                <w:sz w:val="18"/>
                <w:szCs w:val="18"/>
              </w:rPr>
            </w:pPr>
            <w:r>
              <w:rPr>
                <w:rFonts w:ascii="宋体" w:hAnsi="宋体" w:cs="宋体" w:eastAsia="宋体" w:hint="default"/>
                <w:sz w:val="18"/>
                <w:szCs w:val="18"/>
              </w:rPr>
              <w:t>执行事务合 伙人</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48" w:type="dxa"/>
            <w:tcBorders>
              <w:top w:val="single" w:sz="4" w:space="0" w:color="000000"/>
              <w:left w:val="single" w:sz="4" w:space="0" w:color="000000"/>
              <w:bottom w:val="single" w:sz="4" w:space="0" w:color="000000"/>
              <w:right w:val="single" w:sz="4" w:space="0" w:color="000000"/>
            </w:tcBorders>
          </w:tcPr>
          <w:p>
            <w:pP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杨伟强</w:t>
            </w:r>
          </w:p>
        </w:tc>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亚东复星瑞哲安泰发展有限公司</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48" w:type="dxa"/>
            <w:tcBorders>
              <w:top w:val="single" w:sz="4" w:space="0" w:color="000000"/>
              <w:left w:val="single" w:sz="4" w:space="0" w:color="000000"/>
              <w:bottom w:val="single" w:sz="4" w:space="0" w:color="000000"/>
              <w:right w:val="single" w:sz="4" w:space="0" w:color="000000"/>
            </w:tcBorders>
          </w:tcPr>
          <w:p>
            <w:pP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02"/>
              <w:jc w:val="left"/>
              <w:rPr>
                <w:rFonts w:ascii="宋体" w:hAnsi="宋体" w:cs="宋体" w:eastAsia="宋体" w:hint="default"/>
                <w:sz w:val="18"/>
                <w:szCs w:val="18"/>
              </w:rPr>
            </w:pPr>
            <w:r>
              <w:rPr>
                <w:rFonts w:ascii="宋体" w:hAnsi="宋体" w:cs="宋体" w:eastAsia="宋体" w:hint="default"/>
                <w:sz w:val="18"/>
                <w:szCs w:val="18"/>
              </w:rPr>
              <w:t>在股东单位任 职情况的说明</w:t>
            </w:r>
          </w:p>
        </w:tc>
        <w:tc>
          <w:tcPr>
            <w:tcW w:w="8352"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除以上任职外，公司董事、监事、高级管理人员未在股东单位担任职务。</w:t>
            </w:r>
          </w:p>
        </w:tc>
      </w:tr>
    </w:tbl>
    <w:p>
      <w:pPr>
        <w:pStyle w:val="BodyText"/>
        <w:spacing w:line="240" w:lineRule="auto" w:before="51"/>
        <w:ind w:right="0"/>
        <w:jc w:val="left"/>
      </w:pPr>
      <w:r>
        <w:rPr/>
        <w:t>在其他单位主要任职情况</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1234"/>
        <w:gridCol w:w="3020"/>
        <w:gridCol w:w="1134"/>
        <w:gridCol w:w="1702"/>
        <w:gridCol w:w="1103"/>
        <w:gridCol w:w="1376"/>
      </w:tblGrid>
      <w:tr>
        <w:trPr>
          <w:trHeight w:val="714" w:hRule="exact"/>
        </w:trPr>
        <w:tc>
          <w:tcPr>
            <w:tcW w:w="12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0"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0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964" w:right="0"/>
              <w:jc w:val="left"/>
              <w:rPr>
                <w:rFonts w:ascii="宋体" w:hAnsi="宋体" w:cs="宋体" w:eastAsia="宋体" w:hint="default"/>
                <w:sz w:val="18"/>
                <w:szCs w:val="18"/>
              </w:rPr>
            </w:pPr>
            <w:r>
              <w:rPr>
                <w:rFonts w:ascii="宋体" w:hAnsi="宋体" w:cs="宋体" w:eastAsia="宋体" w:hint="default"/>
                <w:sz w:val="18"/>
                <w:szCs w:val="18"/>
              </w:rPr>
              <w:t>其他单位名称</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1" w:right="110"/>
              <w:jc w:val="left"/>
              <w:rPr>
                <w:rFonts w:ascii="宋体" w:hAnsi="宋体" w:cs="宋体" w:eastAsia="宋体" w:hint="default"/>
                <w:sz w:val="18"/>
                <w:szCs w:val="18"/>
              </w:rPr>
            </w:pPr>
            <w:r>
              <w:rPr>
                <w:rFonts w:ascii="宋体" w:hAnsi="宋体" w:cs="宋体" w:eastAsia="宋体" w:hint="default"/>
                <w:sz w:val="18"/>
                <w:szCs w:val="18"/>
              </w:rPr>
              <w:t>在其他单位 担任的职务</w:t>
            </w: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4"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56" w:right="95" w:hanging="360"/>
              <w:jc w:val="left"/>
              <w:rPr>
                <w:rFonts w:ascii="宋体" w:hAnsi="宋体" w:cs="宋体" w:eastAsia="宋体" w:hint="default"/>
                <w:sz w:val="18"/>
                <w:szCs w:val="18"/>
              </w:rPr>
            </w:pPr>
            <w:r>
              <w:rPr>
                <w:rFonts w:ascii="宋体" w:hAnsi="宋体" w:cs="宋体" w:eastAsia="宋体" w:hint="default"/>
                <w:sz w:val="18"/>
                <w:szCs w:val="18"/>
              </w:rPr>
              <w:t>任期终止日 期</w:t>
            </w:r>
          </w:p>
        </w:tc>
        <w:tc>
          <w:tcPr>
            <w:tcW w:w="13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42" w:right="53" w:hanging="90"/>
              <w:jc w:val="left"/>
              <w:rPr>
                <w:rFonts w:ascii="宋体" w:hAnsi="宋体" w:cs="宋体" w:eastAsia="宋体" w:hint="default"/>
                <w:sz w:val="18"/>
                <w:szCs w:val="18"/>
              </w:rPr>
            </w:pPr>
            <w:r>
              <w:rPr>
                <w:rFonts w:ascii="宋体" w:hAnsi="宋体" w:cs="宋体" w:eastAsia="宋体" w:hint="default"/>
                <w:sz w:val="18"/>
                <w:szCs w:val="18"/>
              </w:rPr>
              <w:t>在其他单位是否 领取报酬津贴</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乔鲁予</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重庆宏劲印务有限责任公司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03"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乔鲁予</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重庆宏声印务有限责任公司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03"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乔鲁予</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深圳前海劲嘉供应链有限公司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z w:val="18"/>
                <w:szCs w:val="18"/>
              </w:rPr>
              <w:t>总经理、执行 董事</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03"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乔鲁予</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深圳合元劲嘉电子科技有限公司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03"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乔鲁予</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中华香港国际烟草集团有限公司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103"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乔鲁予</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东方英莎特有限公司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103"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乔鲁予</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佳信（香港）有限公司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03"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乔鲁予</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深圳劲嘉投资控股有限公司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执行董事、总</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03"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234"/>
        <w:gridCol w:w="3020"/>
        <w:gridCol w:w="1134"/>
        <w:gridCol w:w="1702"/>
        <w:gridCol w:w="1103"/>
        <w:gridCol w:w="1376"/>
      </w:tblGrid>
      <w:tr>
        <w:trPr>
          <w:trHeight w:val="362" w:hRule="exact"/>
        </w:trPr>
        <w:tc>
          <w:tcPr>
            <w:tcW w:w="1234" w:type="dxa"/>
            <w:tcBorders>
              <w:top w:val="single" w:sz="4" w:space="0" w:color="000000"/>
              <w:left w:val="single" w:sz="4" w:space="0" w:color="000000"/>
              <w:bottom w:val="single" w:sz="4" w:space="0" w:color="000000"/>
              <w:right w:val="single" w:sz="4" w:space="0" w:color="000000"/>
            </w:tcBorders>
          </w:tcPr>
          <w:p>
            <w:pPr/>
          </w:p>
        </w:tc>
        <w:tc>
          <w:tcPr>
            <w:tcW w:w="3020"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经理</w:t>
            </w:r>
          </w:p>
        </w:tc>
        <w:tc>
          <w:tcPr>
            <w:tcW w:w="1702" w:type="dxa"/>
            <w:tcBorders>
              <w:top w:val="single" w:sz="4" w:space="0" w:color="000000"/>
              <w:left w:val="single" w:sz="4" w:space="0" w:color="000000"/>
              <w:bottom w:val="single" w:sz="4" w:space="0" w:color="000000"/>
              <w:right w:val="single" w:sz="4" w:space="0" w:color="000000"/>
            </w:tcBorders>
          </w:tcPr>
          <w:p>
            <w:pPr/>
          </w:p>
        </w:tc>
        <w:tc>
          <w:tcPr>
            <w:tcW w:w="1103"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乔鲁予</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深圳市劲嘉房地产开发有限公司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z w:val="18"/>
                <w:szCs w:val="18"/>
              </w:rPr>
              <w:t>执行董事、总 经理</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03"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乔鲁予</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深圳永丰田科技有限公司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z w:val="18"/>
                <w:szCs w:val="18"/>
              </w:rPr>
              <w:t>执行董事、总 经理</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03"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乔鲁予</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长春吉星印务有限责任公司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03"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乔鲁予</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深圳市华旭科技开发有限公司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103"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乔鲁予</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深圳市华旭信息技术有限公司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03"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乔鲁予</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贵州劲嘉新型包装材料有限公司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03"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乔鲁予</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青岛嘉颐泽印刷包装有限公司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03"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乔鲁予</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安徽安泰新型包装材料有限公司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103"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乔鲁予</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深圳劲嘉健康产业管理有限公司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03"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乔鲁予</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5"/>
              <w:jc w:val="left"/>
              <w:rPr>
                <w:rFonts w:ascii="宋体" w:hAnsi="宋体" w:cs="宋体" w:eastAsia="宋体" w:hint="default"/>
                <w:sz w:val="18"/>
                <w:szCs w:val="18"/>
              </w:rPr>
            </w:pPr>
            <w:r>
              <w:rPr>
                <w:rFonts w:ascii="宋体" w:hAnsi="宋体" w:cs="宋体" w:eastAsia="宋体" w:hint="default"/>
                <w:sz w:val="18"/>
                <w:szCs w:val="18"/>
              </w:rPr>
              <w:t>贵州省仁怀市申仁包装印务有限责任 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03"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乔鲁予</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深圳嘉星健康科技有限公司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03"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乔鲁予</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深圳劲嘉盒知科技有限公司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03"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乔鲁予</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深圳因味科技有限公司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03"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乔鲁予</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深圳嘉玉科技有限公司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03"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杨伟强</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深圳前海复星瑞哲资产管理有限公司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99"/>
              <w:jc w:val="left"/>
              <w:rPr>
                <w:rFonts w:ascii="宋体" w:hAnsi="宋体" w:cs="宋体" w:eastAsia="宋体" w:hint="default"/>
                <w:sz w:val="18"/>
                <w:szCs w:val="18"/>
              </w:rPr>
            </w:pPr>
            <w:r>
              <w:rPr>
                <w:rFonts w:ascii="宋体" w:hAnsi="宋体" w:cs="宋体" w:eastAsia="宋体" w:hint="default"/>
                <w:sz w:val="18"/>
                <w:szCs w:val="18"/>
              </w:rPr>
              <w:t>董事长兼总 经理</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03"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杨伟强</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青岛酷特智能股份有限公司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03"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杨伟强</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深圳广田集团股份有限公司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03"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杨伟强</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深圳嘉星健康科技有限公司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03"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侯旭东</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安徽安泰新型包装材料有限公司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103"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侯旭东</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重庆宏声印务有限责任公司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03"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侯旭东</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青岛嘉颐泽印刷包装有限公司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03"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侯旭东</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贵州劲嘉新型包装材料有限公司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03"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侯旭东</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长春吉星印务有限责任公司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03"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李德华</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昆明彩印有限责任公司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03"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李德华</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江西丰彩丽印刷包装有限公司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103"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李德华</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重庆宏声印务有限责任公司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03"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李德华</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深圳市劲嘉科技有限公司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9"/>
              <w:jc w:val="left"/>
              <w:rPr>
                <w:rFonts w:ascii="宋体" w:hAnsi="宋体" w:cs="宋体" w:eastAsia="宋体" w:hint="default"/>
                <w:sz w:val="18"/>
                <w:szCs w:val="18"/>
              </w:rPr>
            </w:pPr>
            <w:r>
              <w:rPr>
                <w:rFonts w:ascii="宋体" w:hAnsi="宋体" w:cs="宋体" w:eastAsia="宋体" w:hint="default"/>
                <w:sz w:val="18"/>
                <w:szCs w:val="18"/>
              </w:rPr>
              <w:t>执行（常务） 董事</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03"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李德华</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深圳前海蓝莓文化传播有限公司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03"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李青山</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深圳劲嘉健康产业管理有限公司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234"/>
        <w:gridCol w:w="3020"/>
        <w:gridCol w:w="1134"/>
        <w:gridCol w:w="1702"/>
        <w:gridCol w:w="1103"/>
        <w:gridCol w:w="1376"/>
      </w:tblGrid>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李青山</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深圳劲嘉健康产业管理有限公司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03"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李青山</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昆明彩印有限责任公司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03"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李青山</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深圳市劲嘉物业管理有限公司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103"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李青山</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深圳前海蓝莓文化传播有限公司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03"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李青山</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广州劲嘉健康产业投资管理有限公司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03"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李青山</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深圳劲嘉盒知科技有限公司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03"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富培军</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江苏劲嘉新型包装材料有限公司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103"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富培军</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安徽安泰新型包装材料有限公司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103"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富培军</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重庆宏声印务有限责任公司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03"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富培军</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昆明彩印有限责任公司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03"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富培军</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江苏顺泰印刷包裝科技有限公司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03"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富培军</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中丰田光电科技（珠海）有限公司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03"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李晓华</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劲嘉集团（香港森洋）有限公司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03"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李晓华</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深圳劲嘉健康产业管理有限公司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03"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李晓华</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广州劲嘉健康产业投资管理有限公司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99"/>
              <w:jc w:val="left"/>
              <w:rPr>
                <w:rFonts w:ascii="宋体" w:hAnsi="宋体" w:cs="宋体" w:eastAsia="宋体" w:hint="default"/>
                <w:sz w:val="18"/>
                <w:szCs w:val="18"/>
              </w:rPr>
            </w:pPr>
            <w:r>
              <w:rPr>
                <w:rFonts w:ascii="宋体" w:hAnsi="宋体" w:cs="宋体" w:eastAsia="宋体" w:hint="default"/>
                <w:sz w:val="18"/>
                <w:szCs w:val="18"/>
              </w:rPr>
              <w:t>执行董事兼 总经理</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03"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李晓华</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深圳嘉星健康科技有限公司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03"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李晓华</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深圳因味科技有限公司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03"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李晓华</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深圳嘉玉科技有限公司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03"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龙隆</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pacing w:val="-6"/>
                <w:sz w:val="18"/>
                <w:szCs w:val="18"/>
              </w:rPr>
              <w:t>综合开发研究院（中国深圳）、产业经</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济研究中心</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z w:val="18"/>
                <w:szCs w:val="18"/>
              </w:rPr>
              <w:t>理事、中心主 任</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03"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龙隆</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深圳市决策咨询委员会</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委员</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103"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龙隆</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广东世荣兆业股份有限公司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03"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王艳梅</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深圳市卓翼科技股份有限公司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王艳梅</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深圳市南山科技事务所</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所长</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03"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王艳梅</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深圳市生命科学与生物技术协会</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秘书长</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03"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王艳梅</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深圳市铭心科技服务有限公司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孙进山</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惠州硕贝德无线科技股份有限公司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孙进山</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5"/>
              <w:jc w:val="left"/>
              <w:rPr>
                <w:rFonts w:ascii="宋体" w:hAnsi="宋体" w:cs="宋体" w:eastAsia="宋体" w:hint="default"/>
                <w:sz w:val="18"/>
                <w:szCs w:val="18"/>
              </w:rPr>
            </w:pPr>
            <w:r>
              <w:rPr>
                <w:rFonts w:ascii="宋体" w:hAnsi="宋体" w:cs="宋体" w:eastAsia="宋体" w:hint="default"/>
                <w:sz w:val="18"/>
                <w:szCs w:val="18"/>
              </w:rPr>
              <w:t>深圳市菲菱科思通信技术股份有限公 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孙金山</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5"/>
              <w:jc w:val="left"/>
              <w:rPr>
                <w:rFonts w:ascii="宋体" w:hAnsi="宋体" w:cs="宋体" w:eastAsia="宋体" w:hint="default"/>
                <w:sz w:val="18"/>
                <w:szCs w:val="18"/>
              </w:rPr>
            </w:pPr>
            <w:r>
              <w:rPr>
                <w:rFonts w:ascii="宋体" w:hAnsi="宋体" w:cs="宋体" w:eastAsia="宋体" w:hint="default"/>
                <w:sz w:val="18"/>
                <w:szCs w:val="18"/>
              </w:rPr>
              <w:t>深圳市捷佳伟创新能源装备股份有限 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孙进山</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深圳瑞和建筑装饰股份有限公司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234"/>
        <w:gridCol w:w="3020"/>
        <w:gridCol w:w="1134"/>
        <w:gridCol w:w="1702"/>
        <w:gridCol w:w="1103"/>
        <w:gridCol w:w="1376"/>
      </w:tblGrid>
      <w:tr>
        <w:trPr>
          <w:trHeight w:val="362" w:hRule="exact"/>
        </w:trPr>
        <w:tc>
          <w:tcPr>
            <w:tcW w:w="1234" w:type="dxa"/>
            <w:tcBorders>
              <w:top w:val="single" w:sz="4" w:space="0" w:color="000000"/>
              <w:left w:val="single" w:sz="4" w:space="0" w:color="000000"/>
              <w:bottom w:val="single" w:sz="4" w:space="0" w:color="000000"/>
              <w:right w:val="single" w:sz="4" w:space="0" w:color="000000"/>
            </w:tcBorders>
          </w:tcPr>
          <w:p>
            <w:pPr/>
          </w:p>
        </w:tc>
        <w:tc>
          <w:tcPr>
            <w:tcW w:w="3020"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孙进山</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深圳技师学院</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财务人员</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1997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03"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于秀峰</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中国政法大学亚洲法研究中心</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研究员</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03"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于秀峰</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深圳市六届人民代表大会</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人大代表</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03"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于秀峰</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深圳国际仲裁院</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仲裁员</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03"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于秀峰</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5"/>
              <w:jc w:val="left"/>
              <w:rPr>
                <w:rFonts w:ascii="宋体" w:hAnsi="宋体" w:cs="宋体" w:eastAsia="宋体" w:hint="default"/>
                <w:sz w:val="18"/>
                <w:szCs w:val="18"/>
              </w:rPr>
            </w:pPr>
            <w:r>
              <w:rPr>
                <w:rFonts w:ascii="宋体" w:hAnsi="宋体" w:cs="宋体" w:eastAsia="宋体" w:hint="default"/>
                <w:sz w:val="18"/>
                <w:szCs w:val="18"/>
              </w:rPr>
              <w:t>深圳市第六届人民代表大会法制委员 会</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委员</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03"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于秀峰</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深圳赤湾石油基地股份有限公司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于秀峰</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北京德恒（深圳）律师事务所</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主任、合伙人</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03"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于秀峰</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深圳以诺生物制药有限公司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03"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于秀峰</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深水海纳水务集团股份有限公司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03"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黄华</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深圳市恒兴翔贸易有限公司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03"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黄华</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贵州劲嘉投资有限公司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z w:val="18"/>
                <w:szCs w:val="18"/>
              </w:rPr>
              <w:t>执行董事、总 经理</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03"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黄华</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深圳信元恒丰投资有限公司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03"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黄华</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深圳昱荣和资产管理有限公司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03"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黄华</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深圳市科力康创意文化有限公司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黄华</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信元（香港）投资有限公司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03"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黄华</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贵州劲嘉物业有限公司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z w:val="18"/>
                <w:szCs w:val="18"/>
              </w:rPr>
              <w:t>执行董事、总 经理</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03"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黄华</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百时企业有限公司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03"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黄华</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贵州山桥市场开发经营有限公司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03"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黄华</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贵州山桥房地产开发有限公司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03"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黄华</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贵州山桥金石农资经营管理有限公司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03"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黄华</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深圳华大北斗科技有限公司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03"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黄华</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深圳劲嘉新型智能包装有限公司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9"/>
              <w:jc w:val="left"/>
              <w:rPr>
                <w:rFonts w:ascii="宋体" w:hAnsi="宋体" w:cs="宋体" w:eastAsia="宋体" w:hint="default"/>
                <w:sz w:val="18"/>
                <w:szCs w:val="18"/>
              </w:rPr>
            </w:pPr>
            <w:r>
              <w:rPr>
                <w:rFonts w:ascii="宋体" w:hAnsi="宋体" w:cs="宋体" w:eastAsia="宋体" w:hint="default"/>
                <w:sz w:val="18"/>
                <w:szCs w:val="18"/>
              </w:rPr>
              <w:t>执行（常务） 董事</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03"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黄华</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5"/>
              <w:jc w:val="left"/>
              <w:rPr>
                <w:rFonts w:ascii="宋体" w:hAnsi="宋体" w:cs="宋体" w:eastAsia="宋体" w:hint="default"/>
                <w:sz w:val="18"/>
                <w:szCs w:val="18"/>
              </w:rPr>
            </w:pPr>
            <w:r>
              <w:rPr>
                <w:rFonts w:ascii="宋体" w:hAnsi="宋体" w:cs="宋体" w:eastAsia="宋体" w:hint="default"/>
                <w:sz w:val="18"/>
                <w:szCs w:val="18"/>
              </w:rPr>
              <w:t>贵州省仁怀市申仁包装印务有限责任 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03"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黄华</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上海丽兴绿色包装有限公司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65"/>
              <w:jc w:val="left"/>
              <w:rPr>
                <w:rFonts w:ascii="宋体" w:hAnsi="宋体" w:cs="宋体" w:eastAsia="宋体" w:hint="default"/>
                <w:sz w:val="18"/>
                <w:szCs w:val="18"/>
              </w:rPr>
            </w:pPr>
            <w:r>
              <w:rPr>
                <w:rFonts w:ascii="宋体" w:hAnsi="宋体" w:cs="宋体" w:eastAsia="宋体" w:hint="default"/>
                <w:sz w:val="18"/>
                <w:szCs w:val="18"/>
              </w:rPr>
              <w:t>执行董事</w:t>
            </w:r>
            <w:r>
              <w:rPr>
                <w:rFonts w:ascii="Times New Roman" w:hAnsi="Times New Roman" w:cs="Times New Roman" w:eastAsia="Times New Roman" w:hint="default"/>
                <w:sz w:val="18"/>
                <w:szCs w:val="18"/>
              </w:rPr>
              <w:t>, </w:t>
            </w:r>
            <w:r>
              <w:rPr>
                <w:rFonts w:ascii="宋体" w:hAnsi="宋体" w:cs="宋体" w:eastAsia="宋体" w:hint="default"/>
                <w:sz w:val="18"/>
                <w:szCs w:val="18"/>
              </w:rPr>
              <w:t>总 经理</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03"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黄华</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上海仁彩印务有限公司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03"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19"/>
              <w:jc w:val="left"/>
              <w:rPr>
                <w:rFonts w:ascii="宋体" w:hAnsi="宋体" w:cs="宋体" w:eastAsia="宋体" w:hint="default"/>
                <w:sz w:val="18"/>
                <w:szCs w:val="18"/>
              </w:rPr>
            </w:pPr>
            <w:r>
              <w:rPr>
                <w:rFonts w:ascii="宋体" w:hAnsi="宋体" w:cs="宋体" w:eastAsia="宋体" w:hint="default"/>
                <w:sz w:val="18"/>
                <w:szCs w:val="18"/>
              </w:rPr>
              <w:t>在其他单位任 职情况的说明</w:t>
            </w:r>
          </w:p>
        </w:tc>
        <w:tc>
          <w:tcPr>
            <w:tcW w:w="8335"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51"/>
        <w:ind w:right="0"/>
        <w:jc w:val="left"/>
      </w:pPr>
      <w:r>
        <w:rPr/>
        <w:t>公司现任及报告期内离任董事、监事和高级管理人员近三年证券监管机构处罚的情况</w:t>
      </w:r>
    </w:p>
    <w:p>
      <w:pPr>
        <w:spacing w:after="0" w:line="240" w:lineRule="auto"/>
        <w:jc w:val="left"/>
        <w:sectPr>
          <w:footerReference w:type="default" r:id="rId14"/>
          <w:pgSz w:w="11910" w:h="16840"/>
          <w:pgMar w:footer="979" w:header="747" w:top="1060" w:bottom="1160" w:left="980" w:right="0"/>
          <w:pgNumType w:start="79"/>
        </w:sectPr>
      </w:pPr>
    </w:p>
    <w:p>
      <w:pPr>
        <w:spacing w:line="240" w:lineRule="auto" w:before="13"/>
        <w:rPr>
          <w:rFonts w:ascii="宋体" w:hAnsi="宋体" w:cs="宋体" w:eastAsia="宋体" w:hint="default"/>
          <w:sz w:val="25"/>
          <w:szCs w:val="25"/>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四、董事、监事、高级管理人员报酬情况" w:id="126"/>
      <w:bookmarkEnd w:id="126"/>
      <w:r>
        <w:rPr>
          <w:b w:val="0"/>
          <w:bCs w:val="0"/>
        </w:rPr>
      </w:r>
      <w:r>
        <w:rPr/>
        <w:t>四、董事、监事、高级管理人员报酬情况</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left="514" w:right="0" w:hanging="360"/>
        <w:jc w:val="left"/>
      </w:pPr>
      <w:r>
        <w:rPr/>
        <w:t>董事、监事、高级管理人员报酬的决策程序、确定依据、实际支付情况 </w:t>
      </w:r>
      <w:r>
        <w:rPr>
          <w:spacing w:val="-2"/>
        </w:rPr>
        <w:t>董事、监事、高级管理人员报酬的决策程序：公司董事、监事的报酬由董事会薪酬与考核委员会初审后提交董事会、监</w:t>
      </w:r>
    </w:p>
    <w:p>
      <w:pPr>
        <w:pStyle w:val="BodyText"/>
        <w:spacing w:line="357" w:lineRule="auto"/>
        <w:ind w:left="514" w:right="1122" w:hanging="360"/>
        <w:jc w:val="left"/>
      </w:pPr>
      <w:r>
        <w:rPr/>
        <w:t>事会审议并经股东大会批准，公司高级管理人员的薪酬由董事会薪酬与考核委员会初审后提交公司董事会审议批准。 董事、监事、高级管理人员报酬的确定依据：</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10</w:t>
      </w:r>
      <w:r>
        <w:rPr/>
        <w:t>日，公司</w:t>
      </w:r>
      <w:r>
        <w:rPr>
          <w:rFonts w:ascii="Times New Roman" w:hAnsi="Times New Roman" w:cs="Times New Roman" w:eastAsia="Times New Roman" w:hint="default"/>
        </w:rPr>
        <w:t>2017</w:t>
      </w:r>
      <w:r>
        <w:rPr/>
        <w:t>年第二次临时股东大会审议通过公司第五届董</w:t>
      </w:r>
    </w:p>
    <w:p>
      <w:pPr>
        <w:pStyle w:val="BodyText"/>
        <w:spacing w:line="214" w:lineRule="exact"/>
        <w:ind w:right="0"/>
        <w:jc w:val="left"/>
      </w:pPr>
      <w:r>
        <w:rPr/>
        <w:t>事会独立董事津贴标准为 </w:t>
      </w:r>
      <w:r>
        <w:rPr>
          <w:rFonts w:ascii="Times New Roman" w:hAnsi="Times New Roman" w:cs="Times New Roman" w:eastAsia="Times New Roman" w:hint="default"/>
        </w:rPr>
        <w:t>10</w:t>
      </w:r>
      <w:r>
        <w:rPr>
          <w:rFonts w:ascii="Times New Roman" w:hAnsi="Times New Roman" w:cs="Times New Roman" w:eastAsia="Times New Roman" w:hint="default"/>
          <w:spacing w:val="8"/>
        </w:rPr>
        <w:t> </w:t>
      </w:r>
      <w:r>
        <w:rPr/>
        <w:t>万元</w:t>
      </w:r>
      <w:r>
        <w:rPr>
          <w:rFonts w:ascii="Times New Roman" w:hAnsi="Times New Roman" w:cs="Times New Roman" w:eastAsia="Times New Roman" w:hint="default"/>
        </w:rPr>
        <w:t>/</w:t>
      </w:r>
      <w:r>
        <w:rPr/>
        <w:t>年（含税），对未在公司任职的非独立董事，参照公司独立董事薪酬标准发放；对在公</w:t>
      </w:r>
    </w:p>
    <w:p>
      <w:pPr>
        <w:pStyle w:val="BodyText"/>
        <w:spacing w:line="357" w:lineRule="auto" w:before="64"/>
        <w:ind w:left="514" w:right="2292" w:hanging="360"/>
        <w:jc w:val="left"/>
      </w:pPr>
      <w:r>
        <w:rPr/>
        <w:t>司任职的非独立董事、监事及高级管理人员，同意按照其任职岗位标准给付薪酬，不再单独支付薪酬。 董事、监事、高级管理人员报酬的实际支付情况：根据公司的薪酬管理制度与绩效考评体系按期支付。</w:t>
      </w:r>
    </w:p>
    <w:p>
      <w:pPr>
        <w:spacing w:line="240" w:lineRule="auto" w:before="8"/>
        <w:rPr>
          <w:rFonts w:ascii="宋体" w:hAnsi="宋体" w:cs="宋体" w:eastAsia="宋体" w:hint="default"/>
          <w:sz w:val="25"/>
          <w:szCs w:val="25"/>
        </w:rPr>
      </w:pPr>
    </w:p>
    <w:p>
      <w:pPr>
        <w:pStyle w:val="BodyText"/>
        <w:spacing w:line="240" w:lineRule="auto" w:before="44"/>
        <w:ind w:right="0"/>
        <w:jc w:val="left"/>
      </w:pPr>
      <w:r>
        <w:rPr/>
        <w:t>公司报告期内董事、监事和高级管理人员报酬情况</w:t>
      </w:r>
    </w:p>
    <w:p>
      <w:pPr>
        <w:pStyle w:val="BodyText"/>
        <w:spacing w:line="240" w:lineRule="auto" w:before="117"/>
        <w:ind w:left="0" w:right="1130"/>
        <w:jc w:val="right"/>
      </w:pPr>
      <w:r>
        <w:rPr/>
        <w:t>单位：万元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413"/>
        <w:gridCol w:w="2340"/>
        <w:gridCol w:w="487"/>
        <w:gridCol w:w="515"/>
        <w:gridCol w:w="1200"/>
        <w:gridCol w:w="2126"/>
        <w:gridCol w:w="1662"/>
      </w:tblGrid>
      <w:tr>
        <w:trPr>
          <w:trHeight w:val="713" w:hRule="exact"/>
        </w:trPr>
        <w:tc>
          <w:tcPr>
            <w:tcW w:w="14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23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4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7"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5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71"/>
              <w:jc w:val="right"/>
              <w:rPr>
                <w:rFonts w:ascii="宋体" w:hAnsi="宋体" w:cs="宋体" w:eastAsia="宋体" w:hint="default"/>
                <w:sz w:val="18"/>
                <w:szCs w:val="18"/>
              </w:rPr>
            </w:pPr>
            <w:r>
              <w:rPr>
                <w:rFonts w:ascii="宋体" w:hAnsi="宋体" w:cs="宋体" w:eastAsia="宋体" w:hint="default"/>
                <w:sz w:val="18"/>
                <w:szCs w:val="18"/>
              </w:rPr>
              <w:t>年龄</w:t>
            </w:r>
          </w:p>
        </w:tc>
        <w:tc>
          <w:tcPr>
            <w:tcW w:w="1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4"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2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967" w:right="66" w:hanging="900"/>
              <w:jc w:val="left"/>
              <w:rPr>
                <w:rFonts w:ascii="宋体" w:hAnsi="宋体" w:cs="宋体" w:eastAsia="宋体" w:hint="default"/>
                <w:sz w:val="18"/>
                <w:szCs w:val="18"/>
              </w:rPr>
            </w:pPr>
            <w:r>
              <w:rPr>
                <w:rFonts w:ascii="宋体" w:hAnsi="宋体" w:cs="宋体" w:eastAsia="宋体" w:hint="default"/>
                <w:sz w:val="18"/>
                <w:szCs w:val="18"/>
              </w:rPr>
              <w:t>从公司获得的税前报酬总 额</w:t>
            </w:r>
          </w:p>
        </w:tc>
        <w:tc>
          <w:tcPr>
            <w:tcW w:w="1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66" w:right="103" w:hanging="360"/>
              <w:jc w:val="left"/>
              <w:rPr>
                <w:rFonts w:ascii="宋体" w:hAnsi="宋体" w:cs="宋体" w:eastAsia="宋体" w:hint="default"/>
                <w:sz w:val="18"/>
                <w:szCs w:val="18"/>
              </w:rPr>
            </w:pPr>
            <w:r>
              <w:rPr>
                <w:rFonts w:ascii="宋体" w:hAnsi="宋体" w:cs="宋体" w:eastAsia="宋体" w:hint="default"/>
                <w:sz w:val="18"/>
                <w:szCs w:val="18"/>
              </w:rPr>
              <w:t>是否在公司关联方 获取报酬</w:t>
            </w:r>
          </w:p>
        </w:tc>
      </w:tr>
      <w:tr>
        <w:trPr>
          <w:trHeight w:val="402" w:hRule="exact"/>
        </w:trPr>
        <w:tc>
          <w:tcPr>
            <w:tcW w:w="14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乔鲁予</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63</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hAnsi="宋体" w:cs="宋体" w:eastAsia="宋体" w:hint="default"/>
                <w:sz w:val="18"/>
                <w:szCs w:val="18"/>
              </w:rPr>
              <w:t>现任</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192</w:t>
            </w:r>
          </w:p>
        </w:tc>
        <w:tc>
          <w:tcPr>
            <w:tcW w:w="1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4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侯旭东</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董事、总经理</w:t>
            </w:r>
          </w:p>
        </w:tc>
        <w:tc>
          <w:tcPr>
            <w:tcW w:w="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58</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hAnsi="宋体" w:cs="宋体" w:eastAsia="宋体" w:hint="default"/>
                <w:sz w:val="18"/>
                <w:szCs w:val="18"/>
              </w:rPr>
              <w:t>现任</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145.41</w:t>
            </w:r>
          </w:p>
        </w:tc>
        <w:tc>
          <w:tcPr>
            <w:tcW w:w="1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4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杨伟强</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52</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hAnsi="宋体" w:cs="宋体" w:eastAsia="宋体" w:hint="default"/>
                <w:sz w:val="18"/>
                <w:szCs w:val="18"/>
              </w:rPr>
              <w:t>现任</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10</w:t>
            </w:r>
          </w:p>
        </w:tc>
        <w:tc>
          <w:tcPr>
            <w:tcW w:w="1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4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李德华</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董事、常务副总经理</w:t>
            </w:r>
          </w:p>
        </w:tc>
        <w:tc>
          <w:tcPr>
            <w:tcW w:w="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51</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hAnsi="宋体" w:cs="宋体" w:eastAsia="宋体" w:hint="default"/>
                <w:sz w:val="18"/>
                <w:szCs w:val="18"/>
              </w:rPr>
              <w:t>现任</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139.61</w:t>
            </w:r>
          </w:p>
        </w:tc>
        <w:tc>
          <w:tcPr>
            <w:tcW w:w="1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4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李晓华</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pacing w:val="-5"/>
                <w:sz w:val="18"/>
                <w:szCs w:val="18"/>
              </w:rPr>
              <w:t>董事、副总经理、董事会秘书</w:t>
            </w:r>
          </w:p>
        </w:tc>
        <w:tc>
          <w:tcPr>
            <w:tcW w:w="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41</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3"/>
              <w:jc w:val="right"/>
              <w:rPr>
                <w:rFonts w:ascii="宋体" w:hAnsi="宋体" w:cs="宋体" w:eastAsia="宋体" w:hint="default"/>
                <w:sz w:val="18"/>
                <w:szCs w:val="18"/>
              </w:rPr>
            </w:pPr>
            <w:r>
              <w:rPr>
                <w:rFonts w:ascii="宋体" w:hAnsi="宋体" w:cs="宋体" w:eastAsia="宋体" w:hint="default"/>
                <w:sz w:val="18"/>
                <w:szCs w:val="18"/>
              </w:rPr>
              <w:t>现任</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68.91</w:t>
            </w:r>
          </w:p>
        </w:tc>
        <w:tc>
          <w:tcPr>
            <w:tcW w:w="1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4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黄华</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56</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hAnsi="宋体" w:cs="宋体" w:eastAsia="宋体" w:hint="default"/>
                <w:sz w:val="18"/>
                <w:szCs w:val="18"/>
              </w:rPr>
              <w:t>现任</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68.41</w:t>
            </w:r>
          </w:p>
        </w:tc>
        <w:tc>
          <w:tcPr>
            <w:tcW w:w="1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4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龙隆</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64</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hAnsi="宋体" w:cs="宋体" w:eastAsia="宋体" w:hint="default"/>
                <w:sz w:val="18"/>
                <w:szCs w:val="18"/>
              </w:rPr>
              <w:t>现任</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10</w:t>
            </w:r>
          </w:p>
        </w:tc>
        <w:tc>
          <w:tcPr>
            <w:tcW w:w="1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4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于秀峰</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55</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hAnsi="宋体" w:cs="宋体" w:eastAsia="宋体" w:hint="default"/>
                <w:sz w:val="18"/>
                <w:szCs w:val="18"/>
              </w:rPr>
              <w:t>现任</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10</w:t>
            </w:r>
          </w:p>
        </w:tc>
        <w:tc>
          <w:tcPr>
            <w:tcW w:w="1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4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孙进山</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55</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hAnsi="宋体" w:cs="宋体" w:eastAsia="宋体" w:hint="default"/>
                <w:sz w:val="18"/>
                <w:szCs w:val="18"/>
              </w:rPr>
              <w:t>现任</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10</w:t>
            </w:r>
          </w:p>
        </w:tc>
        <w:tc>
          <w:tcPr>
            <w:tcW w:w="1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4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王艳梅</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54</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hAnsi="宋体" w:cs="宋体" w:eastAsia="宋体" w:hint="default"/>
                <w:sz w:val="18"/>
                <w:szCs w:val="18"/>
              </w:rPr>
              <w:t>现任</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10</w:t>
            </w:r>
          </w:p>
        </w:tc>
        <w:tc>
          <w:tcPr>
            <w:tcW w:w="1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4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李青山</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监事、人力资源总监</w:t>
            </w:r>
          </w:p>
        </w:tc>
        <w:tc>
          <w:tcPr>
            <w:tcW w:w="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46</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hAnsi="宋体" w:cs="宋体" w:eastAsia="宋体" w:hint="default"/>
                <w:sz w:val="18"/>
                <w:szCs w:val="18"/>
              </w:rPr>
              <w:t>现任</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42.86</w:t>
            </w:r>
          </w:p>
        </w:tc>
        <w:tc>
          <w:tcPr>
            <w:tcW w:w="1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4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马晓惠</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监事、公共事务主管</w:t>
            </w:r>
          </w:p>
        </w:tc>
        <w:tc>
          <w:tcPr>
            <w:tcW w:w="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30</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hAnsi="宋体" w:cs="宋体" w:eastAsia="宋体" w:hint="default"/>
                <w:sz w:val="18"/>
                <w:szCs w:val="18"/>
              </w:rPr>
              <w:t>现任</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18.8</w:t>
            </w:r>
          </w:p>
        </w:tc>
        <w:tc>
          <w:tcPr>
            <w:tcW w:w="1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4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陈顺芹</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监事、秘书</w:t>
            </w:r>
          </w:p>
        </w:tc>
        <w:tc>
          <w:tcPr>
            <w:tcW w:w="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39</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hAnsi="宋体" w:cs="宋体" w:eastAsia="宋体" w:hint="default"/>
                <w:sz w:val="18"/>
                <w:szCs w:val="18"/>
              </w:rPr>
              <w:t>现任</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14.39</w:t>
            </w:r>
          </w:p>
        </w:tc>
        <w:tc>
          <w:tcPr>
            <w:tcW w:w="1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4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富培军</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财务负责人</w:t>
            </w:r>
          </w:p>
        </w:tc>
        <w:tc>
          <w:tcPr>
            <w:tcW w:w="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51</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hAnsi="宋体" w:cs="宋体" w:eastAsia="宋体" w:hint="default"/>
                <w:sz w:val="18"/>
                <w:szCs w:val="18"/>
              </w:rPr>
              <w:t>现任</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54.7</w:t>
            </w:r>
          </w:p>
        </w:tc>
        <w:tc>
          <w:tcPr>
            <w:tcW w:w="1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4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张明义</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原常务副总经理</w:t>
            </w:r>
          </w:p>
        </w:tc>
        <w:tc>
          <w:tcPr>
            <w:tcW w:w="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78</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hAnsi="宋体" w:cs="宋体" w:eastAsia="宋体" w:hint="default"/>
                <w:sz w:val="18"/>
                <w:szCs w:val="18"/>
              </w:rPr>
              <w:t>离任</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90</w:t>
            </w:r>
          </w:p>
        </w:tc>
        <w:tc>
          <w:tcPr>
            <w:tcW w:w="1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4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姜华</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原副总经理</w:t>
            </w:r>
          </w:p>
        </w:tc>
        <w:tc>
          <w:tcPr>
            <w:tcW w:w="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42</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hAnsi="宋体" w:cs="宋体" w:eastAsia="宋体" w:hint="default"/>
                <w:sz w:val="18"/>
                <w:szCs w:val="18"/>
              </w:rPr>
              <w:t>离任</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47</w:t>
            </w:r>
          </w:p>
        </w:tc>
        <w:tc>
          <w:tcPr>
            <w:tcW w:w="1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413"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2"/>
              <w:ind w:left="22" w:right="589"/>
              <w:jc w:val="left"/>
              <w:rPr>
                <w:rFonts w:ascii="Times New Roman" w:hAnsi="Times New Roman" w:cs="Times New Roman" w:eastAsia="Times New Roman" w:hint="default"/>
                <w:sz w:val="18"/>
                <w:szCs w:val="18"/>
              </w:rPr>
            </w:pPr>
            <w:r>
              <w:rPr>
                <w:rFonts w:ascii="Times New Roman"/>
                <w:spacing w:val="-6"/>
                <w:sz w:val="18"/>
              </w:rPr>
              <w:t>WANG</w:t>
            </w:r>
            <w:r>
              <w:rPr>
                <w:rFonts w:ascii="Times New Roman"/>
                <w:w w:val="99"/>
                <w:sz w:val="18"/>
              </w:rPr>
              <w:t> </w:t>
            </w:r>
            <w:r>
              <w:rPr>
                <w:rFonts w:ascii="Times New Roman"/>
                <w:sz w:val="18"/>
              </w:rPr>
              <w:t>WEIXING</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原副总经理</w:t>
            </w:r>
          </w:p>
        </w:tc>
        <w:tc>
          <w:tcPr>
            <w:tcW w:w="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55</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hAnsi="宋体" w:cs="宋体" w:eastAsia="宋体" w:hint="default"/>
                <w:sz w:val="18"/>
                <w:szCs w:val="18"/>
              </w:rPr>
              <w:t>离任</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10.5</w:t>
            </w:r>
          </w:p>
        </w:tc>
        <w:tc>
          <w:tcPr>
            <w:tcW w:w="1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4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4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5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1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942.59</w:t>
            </w:r>
          </w:p>
        </w:tc>
        <w:tc>
          <w:tcPr>
            <w:tcW w:w="1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2"/>
        <w:ind w:right="0"/>
        <w:jc w:val="left"/>
      </w:pPr>
      <w:r>
        <w:rPr/>
        <w:t>公司董事、高级管理人员报告期内被授予的股权激励情况</w:t>
      </w:r>
    </w:p>
    <w:p>
      <w:pPr>
        <w:pStyle w:val="BodyText"/>
        <w:spacing w:line="240" w:lineRule="auto" w:before="116"/>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0"/>
        <w:jc w:val="left"/>
        <w:rPr>
          <w:b w:val="0"/>
          <w:bCs w:val="0"/>
        </w:rPr>
      </w:pPr>
      <w:bookmarkStart w:name="五、公司员工情况" w:id="127"/>
      <w:bookmarkEnd w:id="127"/>
      <w:r>
        <w:rPr>
          <w:b w:val="0"/>
          <w:bCs w:val="0"/>
        </w:rPr>
      </w:r>
      <w:r>
        <w:rPr/>
        <w:t>五、公司员工情况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员工数量、专业构成及教育程度" w:id="128"/>
      <w:bookmarkEnd w:id="128"/>
      <w:r>
        <w:rPr>
          <w:b w:val="0"/>
          <w:bCs w:val="0"/>
        </w:rPr>
      </w:r>
      <w:r>
        <w:rPr>
          <w:rFonts w:ascii="Times New Roman" w:hAnsi="Times New Roman" w:cs="Times New Roman" w:eastAsia="Times New Roman" w:hint="default"/>
        </w:rPr>
        <w:t>1</w:t>
      </w:r>
      <w:r>
        <w:rPr/>
        <w:t>、员工数量、专业构成及教育程度</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4766"/>
        <w:gridCol w:w="4792"/>
      </w:tblGrid>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母公司在职员工的数量（人）</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674</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主要子公司在职员工的数量（人）</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3,730</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在职员工的数量合计（人）</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4,404</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当期领取薪酬员工总人数（人）</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4,856</w:t>
            </w:r>
          </w:p>
        </w:tc>
      </w:tr>
      <w:tr>
        <w:trPr>
          <w:trHeight w:val="407"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母公司及主要子公司需承担费用的离退休职工人数（人）</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404</w:t>
            </w:r>
          </w:p>
        </w:tc>
      </w:tr>
      <w:tr>
        <w:trPr>
          <w:trHeight w:val="392"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 w:right="10"/>
              <w:jc w:val="center"/>
              <w:rPr>
                <w:rFonts w:ascii="宋体" w:hAnsi="宋体" w:cs="宋体" w:eastAsia="宋体" w:hint="default"/>
                <w:sz w:val="18"/>
                <w:szCs w:val="18"/>
              </w:rPr>
            </w:pPr>
            <w:r>
              <w:rPr>
                <w:rFonts w:ascii="宋体" w:hAnsi="宋体" w:cs="宋体" w:eastAsia="宋体" w:hint="default"/>
                <w:sz w:val="18"/>
                <w:szCs w:val="18"/>
              </w:rPr>
              <w:t>专业构成</w:t>
            </w:r>
          </w:p>
        </w:tc>
      </w:tr>
      <w:tr>
        <w:trPr>
          <w:trHeight w:val="407"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 w:right="2"/>
              <w:jc w:val="center"/>
              <w:rPr>
                <w:rFonts w:ascii="宋体" w:hAnsi="宋体" w:cs="宋体" w:eastAsia="宋体" w:hint="default"/>
                <w:sz w:val="18"/>
                <w:szCs w:val="18"/>
              </w:rPr>
            </w:pPr>
            <w:r>
              <w:rPr>
                <w:rFonts w:ascii="宋体" w:hAnsi="宋体" w:cs="宋体" w:eastAsia="宋体" w:hint="default"/>
                <w:sz w:val="18"/>
                <w:szCs w:val="18"/>
              </w:rPr>
              <w:t>专业构成类别</w:t>
            </w:r>
          </w:p>
        </w:tc>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584" w:right="0"/>
              <w:jc w:val="left"/>
              <w:rPr>
                <w:rFonts w:ascii="宋体" w:hAnsi="宋体" w:cs="宋体" w:eastAsia="宋体" w:hint="default"/>
                <w:sz w:val="18"/>
                <w:szCs w:val="18"/>
              </w:rPr>
            </w:pPr>
            <w:r>
              <w:rPr>
                <w:rFonts w:ascii="宋体" w:hAnsi="宋体" w:cs="宋体" w:eastAsia="宋体" w:hint="default"/>
                <w:sz w:val="18"/>
                <w:szCs w:val="18"/>
              </w:rPr>
              <w:t>专业构成人数（人）</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生产人员</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2,927</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销售人员</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183</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技术人员</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601</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财务人员</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85</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行政人员</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608</w:t>
            </w:r>
          </w:p>
        </w:tc>
      </w:tr>
      <w:tr>
        <w:trPr>
          <w:trHeight w:val="407"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4,404</w:t>
            </w:r>
          </w:p>
        </w:tc>
      </w:tr>
      <w:tr>
        <w:trPr>
          <w:trHeight w:val="392"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 w:right="10"/>
              <w:jc w:val="center"/>
              <w:rPr>
                <w:rFonts w:ascii="宋体" w:hAnsi="宋体" w:cs="宋体" w:eastAsia="宋体" w:hint="default"/>
                <w:sz w:val="18"/>
                <w:szCs w:val="18"/>
              </w:rPr>
            </w:pPr>
            <w:r>
              <w:rPr>
                <w:rFonts w:ascii="宋体" w:hAnsi="宋体" w:cs="宋体" w:eastAsia="宋体" w:hint="default"/>
                <w:sz w:val="18"/>
                <w:szCs w:val="18"/>
              </w:rPr>
              <w:t>教育程度</w:t>
            </w:r>
          </w:p>
        </w:tc>
      </w:tr>
      <w:tr>
        <w:trPr>
          <w:trHeight w:val="407"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1" w:right="0"/>
              <w:jc w:val="left"/>
              <w:rPr>
                <w:rFonts w:ascii="宋体" w:hAnsi="宋体" w:cs="宋体" w:eastAsia="宋体" w:hint="default"/>
                <w:sz w:val="18"/>
                <w:szCs w:val="18"/>
              </w:rPr>
            </w:pPr>
            <w:r>
              <w:rPr>
                <w:rFonts w:ascii="宋体" w:hAnsi="宋体" w:cs="宋体" w:eastAsia="宋体" w:hint="default"/>
                <w:sz w:val="18"/>
                <w:szCs w:val="18"/>
              </w:rPr>
              <w:t>教育程度类别</w:t>
            </w:r>
          </w:p>
        </w:tc>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0" w:right="0"/>
              <w:jc w:val="left"/>
              <w:rPr>
                <w:rFonts w:ascii="宋体" w:hAnsi="宋体" w:cs="宋体" w:eastAsia="宋体" w:hint="default"/>
                <w:sz w:val="18"/>
                <w:szCs w:val="18"/>
              </w:rPr>
            </w:pPr>
            <w:r>
              <w:rPr>
                <w:rFonts w:ascii="宋体" w:hAnsi="宋体" w:cs="宋体" w:eastAsia="宋体" w:hint="default"/>
                <w:sz w:val="18"/>
                <w:szCs w:val="18"/>
              </w:rPr>
              <w:t>数量（人）</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研究生及以上</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本科</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439</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大专</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675</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大专以下</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3,266</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4,404</w:t>
            </w:r>
          </w:p>
        </w:tc>
      </w:tr>
    </w:tbl>
    <w:p>
      <w:pPr>
        <w:spacing w:line="240" w:lineRule="auto" w:before="2"/>
        <w:rPr>
          <w:rFonts w:ascii="宋体" w:hAnsi="宋体" w:cs="宋体" w:eastAsia="宋体" w:hint="default"/>
          <w:b/>
          <w:bCs/>
          <w:sz w:val="19"/>
          <w:szCs w:val="19"/>
        </w:rPr>
      </w:pPr>
    </w:p>
    <w:p>
      <w:pPr>
        <w:pStyle w:val="Heading3"/>
        <w:spacing w:line="240" w:lineRule="auto" w:before="35"/>
        <w:ind w:right="0"/>
        <w:jc w:val="left"/>
        <w:rPr>
          <w:b w:val="0"/>
          <w:bCs w:val="0"/>
        </w:rPr>
      </w:pPr>
      <w:bookmarkStart w:name="2、薪酬政策" w:id="129"/>
      <w:bookmarkEnd w:id="129"/>
      <w:r>
        <w:rPr>
          <w:b w:val="0"/>
          <w:bCs w:val="0"/>
        </w:rPr>
      </w:r>
      <w:r>
        <w:rPr>
          <w:rFonts w:ascii="Times New Roman" w:hAnsi="Times New Roman" w:cs="Times New Roman" w:eastAsia="Times New Roman" w:hint="default"/>
        </w:rPr>
        <w:t>2</w:t>
      </w:r>
      <w:r>
        <w:rPr/>
        <w:t>、薪酬政策</w:t>
      </w:r>
      <w:r>
        <w:rPr>
          <w:b w:val="0"/>
          <w:bCs w:val="0"/>
        </w:rPr>
      </w:r>
    </w:p>
    <w:p>
      <w:pPr>
        <w:spacing w:line="240" w:lineRule="auto" w:before="8"/>
        <w:rPr>
          <w:rFonts w:ascii="宋体" w:hAnsi="宋体" w:cs="宋体" w:eastAsia="宋体" w:hint="default"/>
          <w:b/>
          <w:bCs/>
          <w:sz w:val="26"/>
          <w:szCs w:val="26"/>
        </w:rPr>
      </w:pPr>
    </w:p>
    <w:p>
      <w:pPr>
        <w:pStyle w:val="BodyText"/>
        <w:spacing w:line="316" w:lineRule="auto"/>
        <w:ind w:right="1130" w:firstLine="360"/>
        <w:jc w:val="both"/>
      </w:pPr>
      <w:r>
        <w:rPr>
          <w:spacing w:val="-2"/>
        </w:rPr>
        <w:t>报告期内，公司严格遵守《劳动合同法》等有关法律法规，依法建立了企业职工社会保险、公积金缴纳管理等体系，并</w:t>
      </w:r>
      <w:r>
        <w:rPr/>
        <w:t> </w:t>
      </w:r>
      <w:r>
        <w:rPr>
          <w:spacing w:val="-2"/>
        </w:rPr>
        <w:t>结合行业特点，以市场为导向，以岗位价值和业绩为衡量标准，设立具有外部竞争力和内部公平性的薪酬福利体系和激励机</w:t>
      </w:r>
      <w:r>
        <w:rPr>
          <w:spacing w:val="-66"/>
        </w:rPr>
        <w:t> </w:t>
      </w:r>
      <w:r>
        <w:rPr>
          <w:spacing w:val="-66"/>
        </w:rPr>
      </w:r>
      <w:r>
        <w:rPr>
          <w:spacing w:val="-2"/>
        </w:rPr>
        <w:t>制，确保公司整体薪酬水平合理、公正、公平。报告期内，公司薪酬与考核委员会根据相关规定，对公司董事、监事、高级</w:t>
      </w:r>
      <w:r>
        <w:rPr>
          <w:spacing w:val="-68"/>
        </w:rPr>
        <w:t> </w:t>
      </w:r>
      <w:r>
        <w:rPr>
          <w:spacing w:val="-68"/>
        </w:rPr>
      </w:r>
      <w:r>
        <w:rPr/>
        <w:t>管理人员的绩效考核进行了核查，进一步完善和健全对相关人员的考评及长期激励与约束机制。</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35"/>
        <w:ind w:right="0"/>
        <w:jc w:val="left"/>
        <w:rPr>
          <w:b w:val="0"/>
          <w:bCs w:val="0"/>
        </w:rPr>
      </w:pPr>
      <w:bookmarkStart w:name="3、培训计划" w:id="130"/>
      <w:bookmarkEnd w:id="130"/>
      <w:r>
        <w:rPr>
          <w:b w:val="0"/>
          <w:bCs w:val="0"/>
        </w:rPr>
      </w:r>
      <w:r>
        <w:rPr>
          <w:rFonts w:ascii="Times New Roman" w:hAnsi="Times New Roman" w:cs="Times New Roman" w:eastAsia="Times New Roman" w:hint="default"/>
        </w:rPr>
        <w:t>3</w:t>
      </w:r>
      <w:r>
        <w:rPr/>
        <w:t>、培训计划</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130" w:firstLine="360"/>
        <w:jc w:val="both"/>
      </w:pPr>
      <w:r>
        <w:rPr>
          <w:spacing w:val="-2"/>
        </w:rPr>
        <w:t>年初公司依据公司战略、岗位需求、员工培训需求制定培训计划，并依据年度实际情况实施调整培训计划。公司针对不</w:t>
      </w:r>
      <w:r>
        <w:rPr/>
        <w:t> </w:t>
      </w:r>
      <w:r>
        <w:rPr>
          <w:spacing w:val="-2"/>
        </w:rPr>
        <w:t>同职级、不同工种及岗位的员工设置有不同的培训计划，已形成有公司特色的培训体系。公司有多个可供培训的场所，配置</w:t>
      </w:r>
      <w:r>
        <w:rPr>
          <w:spacing w:val="-66"/>
        </w:rPr>
        <w:t> </w:t>
      </w:r>
      <w:r>
        <w:rPr>
          <w:spacing w:val="-66"/>
        </w:rPr>
      </w:r>
      <w:r>
        <w:rPr>
          <w:spacing w:val="-2"/>
        </w:rPr>
        <w:t>了网络视频设备，可同时进行视讯培训，可有效进行互动交流，大幅提高培训效果。具体培训包括新员工岗前培训、业务技</w:t>
      </w:r>
      <w:r>
        <w:rPr>
          <w:spacing w:val="-66"/>
        </w:rPr>
        <w:t> </w:t>
      </w:r>
      <w:r>
        <w:rPr>
          <w:spacing w:val="-66"/>
        </w:rPr>
      </w:r>
      <w:r>
        <w:rPr>
          <w:spacing w:val="-2"/>
        </w:rPr>
        <w:t>能培训、管理培训、企业文化培训、管理能力培训、团队建设培训等。公司将继续坚持以人为本的管理理念，高度重视人才</w:t>
      </w:r>
    </w:p>
    <w:p>
      <w:pPr>
        <w:spacing w:after="0" w:line="316" w:lineRule="auto"/>
        <w:jc w:val="both"/>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240" w:lineRule="auto" w:before="44"/>
        <w:ind w:right="0"/>
        <w:jc w:val="left"/>
      </w:pPr>
      <w:r>
        <w:rPr/>
        <w:t>的培养，持续开展岗位能力提升培训，精心培训和储备核心人才。</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4"/>
          <w:szCs w:val="14"/>
        </w:rPr>
      </w:pPr>
    </w:p>
    <w:p>
      <w:pPr>
        <w:pStyle w:val="Heading3"/>
        <w:spacing w:line="240" w:lineRule="auto"/>
        <w:ind w:right="0"/>
        <w:jc w:val="left"/>
        <w:rPr>
          <w:b w:val="0"/>
          <w:bCs w:val="0"/>
        </w:rPr>
      </w:pPr>
      <w:bookmarkStart w:name="4、劳务外包情况" w:id="131"/>
      <w:bookmarkEnd w:id="131"/>
      <w:r>
        <w:rPr>
          <w:b w:val="0"/>
          <w:bCs w:val="0"/>
        </w:rPr>
      </w:r>
      <w:r>
        <w:rPr>
          <w:rFonts w:ascii="Times New Roman" w:hAnsi="Times New Roman" w:cs="Times New Roman" w:eastAsia="Times New Roman" w:hint="default"/>
        </w:rPr>
        <w:t>4</w:t>
      </w:r>
      <w:r>
        <w:rPr/>
        <w:t>、劳务外包情况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right="3763"/>
        <w:jc w:val="center"/>
        <w:rPr>
          <w:b w:val="0"/>
          <w:bCs w:val="0"/>
        </w:rPr>
      </w:pPr>
      <w:bookmarkStart w:name="第九节 公司治理" w:id="132"/>
      <w:bookmarkEnd w:id="132"/>
      <w:r>
        <w:rPr>
          <w:b w:val="0"/>
          <w:bCs w:val="0"/>
        </w:rPr>
      </w:r>
      <w:bookmarkStart w:name="_bookmark7" w:id="133"/>
      <w:bookmarkEnd w:id="133"/>
      <w:r>
        <w:rPr>
          <w:b w:val="0"/>
          <w:bCs w:val="0"/>
        </w:rPr>
      </w:r>
      <w:r>
        <w:rPr/>
        <w:t>第九节</w:t>
      </w:r>
      <w:r>
        <w:rPr>
          <w:spacing w:val="-5"/>
        </w:rPr>
        <w:t> </w:t>
      </w:r>
      <w:r>
        <w:rPr/>
        <w:t>公司治理</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bookmarkStart w:name="一、公司治理的基本状况" w:id="134"/>
      <w:bookmarkEnd w:id="134"/>
      <w:r>
        <w:rPr>
          <w:b w:val="0"/>
          <w:bCs w:val="0"/>
        </w:rPr>
      </w:r>
      <w:r>
        <w:rPr/>
        <w:t>一、公司治理的基本状况</w:t>
      </w:r>
      <w:r>
        <w:rPr>
          <w:b w:val="0"/>
          <w:bCs w:val="0"/>
        </w:rPr>
      </w:r>
    </w:p>
    <w:p>
      <w:pPr>
        <w:spacing w:line="240" w:lineRule="auto" w:before="6"/>
        <w:rPr>
          <w:rFonts w:ascii="宋体" w:hAnsi="宋体" w:cs="宋体" w:eastAsia="宋体" w:hint="default"/>
          <w:b/>
          <w:bCs/>
          <w:sz w:val="26"/>
          <w:szCs w:val="26"/>
        </w:rPr>
      </w:pPr>
    </w:p>
    <w:p>
      <w:pPr>
        <w:pStyle w:val="BodyText"/>
        <w:spacing w:line="316" w:lineRule="auto"/>
        <w:ind w:right="0" w:firstLine="360"/>
        <w:jc w:val="left"/>
      </w:pPr>
      <w:r>
        <w:rPr>
          <w:spacing w:val="-2"/>
        </w:rPr>
        <w:t>报告期内，公司严格按照《公司法》、《证券法》、《上市公司治理准则》等相关法律、法规、规章和规范性文件的要</w:t>
      </w:r>
      <w:r>
        <w:rPr/>
        <w:t> 求，积极开展公司治理工作，不断完善公司法人治理结构和各项治理制度，不断提高公司规范运作水平。</w:t>
      </w:r>
    </w:p>
    <w:p>
      <w:pPr>
        <w:pStyle w:val="BodyText"/>
        <w:spacing w:line="316" w:lineRule="auto" w:before="19"/>
        <w:ind w:right="1032" w:firstLine="360"/>
        <w:jc w:val="left"/>
      </w:pPr>
      <w:r>
        <w:rPr/>
        <w:t>目前，公司已经形成了权责明确、制衡有效、决策科学、运作协调的法人治理结构，公司治理实际状况符合相关法律、 </w:t>
      </w:r>
      <w:r>
        <w:rPr>
          <w:spacing w:val="-2"/>
        </w:rPr>
        <w:t>法规规定和监管层要求，不存在监管部门要求限期整改的问题。公司股东大会、董事会、监事会、管理层各尽其责、恪尽职</w:t>
      </w:r>
      <w:r>
        <w:rPr>
          <w:spacing w:val="-68"/>
        </w:rPr>
        <w:t> </w:t>
      </w:r>
      <w:r>
        <w:rPr>
          <w:spacing w:val="-68"/>
        </w:rPr>
      </w:r>
      <w:r>
        <w:rPr/>
        <w:t>守、规范运作，切实维护了广大投资者和公司的利益。</w:t>
      </w:r>
    </w:p>
    <w:p>
      <w:pPr>
        <w:spacing w:line="240" w:lineRule="auto" w:before="0"/>
        <w:rPr>
          <w:rFonts w:ascii="宋体" w:hAnsi="宋体" w:cs="宋体" w:eastAsia="宋体" w:hint="default"/>
          <w:sz w:val="18"/>
          <w:szCs w:val="18"/>
        </w:rPr>
      </w:pPr>
    </w:p>
    <w:p>
      <w:pPr>
        <w:pStyle w:val="BodyText"/>
        <w:spacing w:line="240" w:lineRule="auto" w:before="136"/>
        <w:ind w:right="0"/>
        <w:jc w:val="left"/>
      </w:pPr>
      <w:r>
        <w:rPr/>
        <w:t>公司治理的实际状况与中国证监会发布的有关上市公司治理的规范性文件是否存在重大差异</w:t>
      </w:r>
    </w:p>
    <w:p>
      <w:pPr>
        <w:pStyle w:val="BodyText"/>
        <w:spacing w:line="338" w:lineRule="auto" w:before="117"/>
        <w:ind w:right="355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公司治理的实际状况与中国证监会发布的有关上市公司治理的规范性文件不存在重大差异。</w:t>
      </w:r>
    </w:p>
    <w:p>
      <w:pPr>
        <w:spacing w:line="240" w:lineRule="auto" w:before="6"/>
        <w:rPr>
          <w:rFonts w:ascii="宋体" w:hAnsi="宋体" w:cs="宋体" w:eastAsia="宋体" w:hint="default"/>
          <w:sz w:val="19"/>
          <w:szCs w:val="19"/>
        </w:rPr>
      </w:pPr>
    </w:p>
    <w:p>
      <w:pPr>
        <w:pStyle w:val="Heading2"/>
        <w:spacing w:line="240" w:lineRule="auto"/>
        <w:ind w:right="0"/>
        <w:jc w:val="left"/>
        <w:rPr>
          <w:b w:val="0"/>
          <w:bCs w:val="0"/>
        </w:rPr>
      </w:pPr>
      <w:bookmarkStart w:name="二、公司相对于控股股东在业务、人员、资产、机构、财务等方面的独立情况" w:id="135"/>
      <w:bookmarkEnd w:id="135"/>
      <w:r>
        <w:rPr>
          <w:b w:val="0"/>
          <w:bCs w:val="0"/>
        </w:rPr>
      </w:r>
      <w:r>
        <w:rPr/>
        <w:t>二、公司相对于控股股东在业务、人员、资产、机构、财务等方面的独立情况</w:t>
      </w:r>
      <w:r>
        <w:rPr>
          <w:b w:val="0"/>
          <w:bCs w:val="0"/>
        </w:rPr>
      </w:r>
    </w:p>
    <w:p>
      <w:pPr>
        <w:spacing w:line="240" w:lineRule="auto" w:before="6"/>
        <w:rPr>
          <w:rFonts w:ascii="宋体" w:hAnsi="宋体" w:cs="宋体" w:eastAsia="宋体" w:hint="default"/>
          <w:b/>
          <w:bCs/>
          <w:sz w:val="26"/>
          <w:szCs w:val="26"/>
        </w:rPr>
      </w:pPr>
    </w:p>
    <w:p>
      <w:pPr>
        <w:pStyle w:val="BodyText"/>
        <w:spacing w:line="316" w:lineRule="auto"/>
        <w:ind w:right="0" w:firstLine="357"/>
        <w:jc w:val="left"/>
      </w:pPr>
      <w:r>
        <w:rPr>
          <w:spacing w:val="-2"/>
        </w:rPr>
        <w:t>公司自设立以来，严格按照《公司法》、《证券法》等有关法律、法规和公司章程的要求规范运作，公司与控股股东在</w:t>
      </w:r>
      <w:r>
        <w:rPr/>
        <w:t> 业务、人员、资产、机构、财务等方面完全分开，具有独立完整的业务及自主经营能力。</w:t>
      </w:r>
    </w:p>
    <w:p>
      <w:pPr>
        <w:pStyle w:val="BodyText"/>
        <w:spacing w:line="300" w:lineRule="auto" w:before="19"/>
        <w:ind w:right="1125" w:firstLine="357"/>
        <w:jc w:val="left"/>
      </w:pPr>
      <w:r>
        <w:rPr>
          <w:rFonts w:ascii="Times New Roman" w:hAnsi="Times New Roman" w:cs="Times New Roman" w:eastAsia="Times New Roman" w:hint="default"/>
        </w:rPr>
        <w:t>1</w:t>
      </w:r>
      <w:r>
        <w:rPr/>
        <w:t>、业务：公司业务独立于控股股东及其下属企业，拥有独立完整的供应、生产和销售系统，独立开展业务，不依赖于 股东或其它任何关联方。</w:t>
      </w:r>
    </w:p>
    <w:p>
      <w:pPr>
        <w:pStyle w:val="BodyText"/>
        <w:spacing w:line="300" w:lineRule="auto" w:before="31"/>
        <w:ind w:right="1125" w:firstLine="357"/>
        <w:jc w:val="left"/>
      </w:pPr>
      <w:r>
        <w:rPr>
          <w:rFonts w:ascii="Times New Roman" w:hAnsi="Times New Roman" w:cs="Times New Roman" w:eastAsia="Times New Roman" w:hint="default"/>
        </w:rPr>
        <w:t>2</w:t>
      </w:r>
      <w:r>
        <w:rPr/>
        <w:t>、人员：公司人员、劳动、人事及工资完全独立。公司总经理、副总经理、董事会秘书、财务负责人等高级管理人员 均在公司工作并领取薪酬，未在控股股东及其下属企业担任除董事、监事以外的任何职务和领取报酬。</w:t>
      </w:r>
    </w:p>
    <w:p>
      <w:pPr>
        <w:pStyle w:val="BodyText"/>
        <w:spacing w:line="300" w:lineRule="auto" w:before="31"/>
        <w:ind w:right="1125" w:firstLine="357"/>
        <w:jc w:val="left"/>
      </w:pPr>
      <w:r>
        <w:rPr>
          <w:rFonts w:ascii="Times New Roman" w:hAnsi="Times New Roman" w:cs="Times New Roman" w:eastAsia="Times New Roman" w:hint="default"/>
        </w:rPr>
        <w:t>3</w:t>
      </w:r>
      <w:r>
        <w:rPr/>
        <w:t>、资产：公司拥有独立于控股股东的生产经营场所，拥有独立完整的资产结构，拥有独立的生产系统、辅助生产系统 和配套设施、土地使用权、房屋所有权等资产，拥有独立的采购和销售系统。</w:t>
      </w:r>
    </w:p>
    <w:p>
      <w:pPr>
        <w:pStyle w:val="BodyText"/>
        <w:spacing w:line="240" w:lineRule="auto" w:before="31"/>
        <w:ind w:left="511" w:right="0"/>
        <w:jc w:val="left"/>
      </w:pPr>
      <w:r>
        <w:rPr>
          <w:rFonts w:ascii="Times New Roman" w:hAnsi="Times New Roman" w:cs="Times New Roman" w:eastAsia="Times New Roman" w:hint="default"/>
        </w:rPr>
        <w:t>4</w:t>
      </w:r>
      <w:r>
        <w:rPr/>
        <w:t>、机构：公司设立了健全的组织机构体系，独立运作，不存在与控股股东或其职能部门之间的从属关系。</w:t>
      </w:r>
    </w:p>
    <w:p>
      <w:pPr>
        <w:pStyle w:val="BodyText"/>
        <w:spacing w:line="300" w:lineRule="auto" w:before="63"/>
        <w:ind w:right="1125" w:firstLine="357"/>
        <w:jc w:val="left"/>
      </w:pPr>
      <w:r>
        <w:rPr>
          <w:rFonts w:ascii="Times New Roman" w:hAnsi="Times New Roman" w:cs="Times New Roman" w:eastAsia="Times New Roman" w:hint="default"/>
        </w:rPr>
        <w:t>5</w:t>
      </w:r>
      <w:r>
        <w:rPr/>
        <w:t>、财务：公司有独立的财务会计部门，建立了独立的会计核算体系和财务管理制度，独立进行财务决策。公司独立开 设银行账户，独立纳税。</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2"/>
        <w:spacing w:line="240" w:lineRule="auto" w:before="125"/>
        <w:ind w:right="0"/>
        <w:jc w:val="left"/>
        <w:rPr>
          <w:b w:val="0"/>
          <w:bCs w:val="0"/>
        </w:rPr>
      </w:pPr>
      <w:bookmarkStart w:name="三、同业竞争情况" w:id="136"/>
      <w:bookmarkEnd w:id="136"/>
      <w:r>
        <w:rPr>
          <w:b w:val="0"/>
          <w:bCs w:val="0"/>
        </w:rPr>
      </w:r>
      <w:r>
        <w:rPr/>
        <w:t>三、同业竞争情况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bookmarkStart w:name="四、报告期内召开的年度股东大会和临时股东大会的有关情况" w:id="137"/>
      <w:bookmarkEnd w:id="137"/>
      <w:r>
        <w:rPr>
          <w:b w:val="0"/>
          <w:bCs w:val="0"/>
        </w:rPr>
      </w:r>
      <w:r>
        <w:rPr/>
        <w:t>四、报告期内召开的年度股东大会和临时股东大会的有关情况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本报告期股东大会情况" w:id="138"/>
      <w:bookmarkEnd w:id="138"/>
      <w:r>
        <w:rPr>
          <w:b w:val="0"/>
          <w:bCs w:val="0"/>
        </w:rPr>
      </w:r>
      <w:r>
        <w:rPr>
          <w:rFonts w:ascii="Times New Roman" w:hAnsi="Times New Roman" w:cs="Times New Roman" w:eastAsia="Times New Roman" w:hint="default"/>
        </w:rPr>
        <w:t>1</w:t>
      </w:r>
      <w:r>
        <w:rPr/>
        <w:t>、本报告期股东大会情况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054"/>
        <w:gridCol w:w="547"/>
        <w:gridCol w:w="856"/>
        <w:gridCol w:w="805"/>
        <w:gridCol w:w="804"/>
        <w:gridCol w:w="5601"/>
      </w:tblGrid>
      <w:tr>
        <w:trPr>
          <w:trHeight w:val="714" w:hRule="exact"/>
        </w:trPr>
        <w:tc>
          <w:tcPr>
            <w:tcW w:w="1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62" w:right="0"/>
              <w:jc w:val="left"/>
              <w:rPr>
                <w:rFonts w:ascii="宋体" w:hAnsi="宋体" w:cs="宋体" w:eastAsia="宋体" w:hint="default"/>
                <w:sz w:val="18"/>
                <w:szCs w:val="18"/>
              </w:rPr>
            </w:pPr>
            <w:r>
              <w:rPr>
                <w:rFonts w:ascii="宋体" w:hAnsi="宋体" w:cs="宋体" w:eastAsia="宋体" w:hint="default"/>
                <w:sz w:val="18"/>
                <w:szCs w:val="18"/>
              </w:rPr>
              <w:t>会议届次</w:t>
            </w:r>
          </w:p>
        </w:tc>
        <w:tc>
          <w:tcPr>
            <w:tcW w:w="5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88" w:right="86"/>
              <w:jc w:val="left"/>
              <w:rPr>
                <w:rFonts w:ascii="宋体" w:hAnsi="宋体" w:cs="宋体" w:eastAsia="宋体" w:hint="default"/>
                <w:sz w:val="18"/>
                <w:szCs w:val="18"/>
              </w:rPr>
            </w:pPr>
            <w:r>
              <w:rPr>
                <w:rFonts w:ascii="宋体" w:hAnsi="宋体" w:cs="宋体" w:eastAsia="宋体" w:hint="default"/>
                <w:sz w:val="18"/>
                <w:szCs w:val="18"/>
              </w:rPr>
              <w:t>会议 类型</w:t>
            </w:r>
          </w:p>
        </w:tc>
        <w:tc>
          <w:tcPr>
            <w:tcW w:w="8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52" w:right="61" w:hanging="90"/>
              <w:jc w:val="left"/>
              <w:rPr>
                <w:rFonts w:ascii="宋体" w:hAnsi="宋体" w:cs="宋体" w:eastAsia="宋体" w:hint="default"/>
                <w:sz w:val="18"/>
                <w:szCs w:val="18"/>
              </w:rPr>
            </w:pPr>
            <w:r>
              <w:rPr>
                <w:rFonts w:ascii="宋体" w:hAnsi="宋体" w:cs="宋体" w:eastAsia="宋体" w:hint="default"/>
                <w:sz w:val="18"/>
                <w:szCs w:val="18"/>
              </w:rPr>
              <w:t>投资者参 与比例</w:t>
            </w:r>
          </w:p>
        </w:tc>
        <w:tc>
          <w:tcPr>
            <w:tcW w:w="8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37" w:right="0"/>
              <w:jc w:val="left"/>
              <w:rPr>
                <w:rFonts w:ascii="宋体" w:hAnsi="宋体" w:cs="宋体" w:eastAsia="宋体" w:hint="default"/>
                <w:sz w:val="18"/>
                <w:szCs w:val="18"/>
              </w:rPr>
            </w:pPr>
            <w:r>
              <w:rPr>
                <w:rFonts w:ascii="宋体" w:hAnsi="宋体" w:cs="宋体" w:eastAsia="宋体" w:hint="default"/>
                <w:sz w:val="18"/>
                <w:szCs w:val="18"/>
              </w:rPr>
              <w:t>召开日期</w:t>
            </w:r>
          </w:p>
        </w:tc>
        <w:tc>
          <w:tcPr>
            <w:tcW w:w="8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37" w:right="0"/>
              <w:jc w:val="left"/>
              <w:rPr>
                <w:rFonts w:ascii="宋体" w:hAnsi="宋体" w:cs="宋体" w:eastAsia="宋体" w:hint="default"/>
                <w:sz w:val="18"/>
                <w:szCs w:val="18"/>
              </w:rPr>
            </w:pPr>
            <w:r>
              <w:rPr>
                <w:rFonts w:ascii="宋体" w:hAnsi="宋体" w:cs="宋体" w:eastAsia="宋体" w:hint="default"/>
                <w:sz w:val="18"/>
                <w:szCs w:val="18"/>
              </w:rPr>
              <w:t>披露日期</w:t>
            </w:r>
          </w:p>
        </w:tc>
        <w:tc>
          <w:tcPr>
            <w:tcW w:w="56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披露索引</w:t>
            </w:r>
          </w:p>
        </w:tc>
      </w:tr>
      <w:tr>
        <w:trPr>
          <w:trHeight w:val="673"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75"/>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 次临时股东</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51"/>
              <w:jc w:val="left"/>
              <w:rPr>
                <w:rFonts w:ascii="宋体" w:hAnsi="宋体" w:cs="宋体" w:eastAsia="宋体" w:hint="default"/>
                <w:sz w:val="18"/>
                <w:szCs w:val="18"/>
              </w:rPr>
            </w:pPr>
            <w:r>
              <w:rPr>
                <w:rFonts w:ascii="宋体" w:hAnsi="宋体" w:cs="宋体" w:eastAsia="宋体" w:hint="default"/>
                <w:sz w:val="18"/>
                <w:szCs w:val="18"/>
              </w:rPr>
              <w:t>临时 股东</w:t>
            </w:r>
          </w:p>
        </w:tc>
        <w:tc>
          <w:tcPr>
            <w:tcW w:w="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7"/>
                <w:szCs w:val="17"/>
              </w:rPr>
            </w:pPr>
          </w:p>
          <w:p>
            <w:pPr>
              <w:pStyle w:val="TableParagraph"/>
              <w:spacing w:line="240" w:lineRule="auto"/>
              <w:ind w:left="267" w:right="0"/>
              <w:jc w:val="left"/>
              <w:rPr>
                <w:rFonts w:ascii="Times New Roman" w:hAnsi="Times New Roman" w:cs="Times New Roman" w:eastAsia="Times New Roman" w:hint="default"/>
                <w:sz w:val="18"/>
                <w:szCs w:val="18"/>
              </w:rPr>
            </w:pPr>
            <w:r>
              <w:rPr>
                <w:rFonts w:ascii="Times New Roman"/>
                <w:sz w:val="18"/>
              </w:rPr>
              <w:t>48.51%</w:t>
            </w:r>
          </w:p>
        </w:tc>
        <w:tc>
          <w:tcPr>
            <w:tcW w:w="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tc>
        <w:tc>
          <w:tcPr>
            <w:tcW w:w="5601"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4" w:right="22"/>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年第一次临时股东大会决议公告</w:t>
            </w:r>
            <w:r>
              <w:rPr>
                <w:rFonts w:ascii="宋体" w:hAnsi="宋体" w:cs="宋体" w:eastAsia="宋体" w:hint="default"/>
                <w:spacing w:val="-81"/>
                <w:sz w:val="18"/>
                <w:szCs w:val="18"/>
              </w:rPr>
              <w:t>》</w:t>
            </w:r>
            <w:r>
              <w:rPr>
                <w:rFonts w:ascii="宋体" w:hAnsi="宋体" w:cs="宋体" w:eastAsia="宋体" w:hint="default"/>
                <w:spacing w:val="-2"/>
                <w:sz w:val="18"/>
                <w:szCs w:val="18"/>
              </w:rPr>
              <w:t>刊</w:t>
            </w:r>
            <w:r>
              <w:rPr>
                <w:rFonts w:ascii="宋体" w:hAnsi="宋体" w:cs="宋体" w:eastAsia="宋体" w:hint="default"/>
                <w:sz w:val="18"/>
                <w:szCs w:val="18"/>
              </w:rPr>
              <w:t>载于信息披露网站巨潮资讯</w:t>
            </w:r>
            <w:r>
              <w:rPr>
                <w:rFonts w:ascii="宋体" w:hAnsi="宋体" w:cs="宋体" w:eastAsia="宋体" w:hint="default"/>
                <w:sz w:val="18"/>
                <w:szCs w:val="18"/>
              </w:rPr>
              <w:t> 网</w:t>
            </w:r>
            <w:r>
              <w:rPr>
                <w:rFonts w:ascii="宋体" w:hAnsi="宋体" w:cs="宋体" w:eastAsia="宋体" w:hint="default"/>
                <w:spacing w:val="-46"/>
                <w:sz w:val="18"/>
                <w:szCs w:val="18"/>
              </w:rPr>
              <w:t> </w:t>
            </w:r>
            <w:hyperlink r:id="rId11">
              <w:r>
                <w:rPr>
                  <w:rFonts w:ascii="Times New Roman" w:hAnsi="Times New Roman" w:cs="Times New Roman" w:eastAsia="Times New Roman" w:hint="default"/>
                  <w:w w:val="99"/>
                  <w:sz w:val="18"/>
                  <w:szCs w:val="18"/>
                </w:rPr>
                <w:t>ww</w:t>
              </w:r>
              <w:r>
                <w:rPr>
                  <w:rFonts w:ascii="Times New Roman" w:hAnsi="Times New Roman" w:cs="Times New Roman" w:eastAsia="Times New Roman" w:hint="default"/>
                  <w:spacing w:val="-12"/>
                  <w:w w:val="99"/>
                  <w:sz w:val="18"/>
                  <w:szCs w:val="18"/>
                </w:rPr>
                <w:t>w</w:t>
              </w:r>
              <w:r>
                <w:rPr>
                  <w:rFonts w:ascii="Times New Roman" w:hAnsi="Times New Roman" w:cs="Times New Roman" w:eastAsia="Times New Roman" w:hint="default"/>
                  <w:sz w:val="18"/>
                  <w:szCs w:val="18"/>
                </w:rPr>
                <w:t>.cninfo</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z w:val="18"/>
                  <w:szCs w:val="18"/>
                </w:rPr>
                <w:t>com.cn</w:t>
              </w:r>
              <w:r>
                <w:rPr>
                  <w:rFonts w:ascii="Times New Roman" w:hAnsi="Times New Roman" w:cs="Times New Roman" w:eastAsia="Times New Roman" w:hint="default"/>
                  <w:spacing w:val="-1"/>
                  <w:sz w:val="18"/>
                  <w:szCs w:val="18"/>
                </w:rPr>
                <w:t> </w:t>
              </w:r>
            </w:hyperlink>
            <w:r>
              <w:rPr>
                <w:rFonts w:ascii="宋体" w:hAnsi="宋体" w:cs="宋体" w:eastAsia="宋体" w:hint="default"/>
                <w:sz w:val="18"/>
                <w:szCs w:val="18"/>
              </w:rPr>
              <w:t>和信息披露媒体《证券日报</w:t>
            </w:r>
            <w:r>
              <w:rPr>
                <w:rFonts w:ascii="宋体" w:hAnsi="宋体" w:cs="宋体" w:eastAsia="宋体" w:hint="default"/>
                <w:spacing w:val="-90"/>
                <w:sz w:val="18"/>
                <w:szCs w:val="18"/>
              </w:rPr>
              <w:t>》、</w:t>
            </w:r>
            <w:r>
              <w:rPr>
                <w:rFonts w:ascii="宋体" w:hAnsi="宋体" w:cs="宋体" w:eastAsia="宋体" w:hint="default"/>
                <w:sz w:val="18"/>
                <w:szCs w:val="18"/>
              </w:rPr>
              <w:t>《证券时报</w:t>
            </w:r>
            <w:r>
              <w:rPr>
                <w:rFonts w:ascii="宋体" w:hAnsi="宋体" w:cs="宋体" w:eastAsia="宋体" w:hint="default"/>
                <w:spacing w:val="-90"/>
                <w:sz w:val="18"/>
                <w:szCs w:val="18"/>
              </w:rPr>
              <w:t>》、</w:t>
            </w:r>
            <w:r>
              <w:rPr>
                <w:rFonts w:ascii="宋体" w:hAnsi="宋体" w:cs="宋体" w:eastAsia="宋体" w:hint="default"/>
                <w:sz w:val="18"/>
                <w:szCs w:val="18"/>
              </w:rPr>
              <w:t>《中</w:t>
            </w:r>
          </w:p>
        </w:tc>
      </w:tr>
    </w:tbl>
    <w:p>
      <w:pPr>
        <w:spacing w:after="0" w:line="30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1054"/>
        <w:gridCol w:w="547"/>
        <w:gridCol w:w="856"/>
        <w:gridCol w:w="805"/>
        <w:gridCol w:w="804"/>
        <w:gridCol w:w="5601"/>
      </w:tblGrid>
      <w:tr>
        <w:trPr>
          <w:trHeight w:val="362"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大会</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大会</w:t>
            </w:r>
          </w:p>
        </w:tc>
        <w:tc>
          <w:tcPr>
            <w:tcW w:w="856" w:type="dxa"/>
            <w:tcBorders>
              <w:top w:val="single" w:sz="4" w:space="0" w:color="000000"/>
              <w:left w:val="single" w:sz="4" w:space="0" w:color="000000"/>
              <w:bottom w:val="single" w:sz="4" w:space="0" w:color="000000"/>
              <w:right w:val="single" w:sz="4" w:space="0" w:color="000000"/>
            </w:tcBorders>
          </w:tcPr>
          <w:p>
            <w:pPr/>
          </w:p>
        </w:tc>
        <w:tc>
          <w:tcPr>
            <w:tcW w:w="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国证券报</w:t>
            </w:r>
            <w:r>
              <w:rPr>
                <w:rFonts w:ascii="宋体" w:hAnsi="宋体" w:cs="宋体" w:eastAsia="宋体" w:hint="default"/>
                <w:spacing w:val="-90"/>
                <w:sz w:val="18"/>
                <w:szCs w:val="18"/>
              </w:rPr>
              <w:t>》、</w:t>
            </w:r>
            <w:r>
              <w:rPr>
                <w:rFonts w:ascii="宋体" w:hAnsi="宋体" w:cs="宋体" w:eastAsia="宋体" w:hint="default"/>
                <w:sz w:val="18"/>
                <w:szCs w:val="18"/>
              </w:rPr>
              <w:t>《上海证券报》</w:t>
            </w:r>
          </w:p>
        </w:tc>
      </w:tr>
      <w:tr>
        <w:trPr>
          <w:trHeight w:val="1026"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75"/>
              <w:jc w:val="both"/>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年第二 次临时股东 大会</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51"/>
              <w:jc w:val="both"/>
              <w:rPr>
                <w:rFonts w:ascii="宋体" w:hAnsi="宋体" w:cs="宋体" w:eastAsia="宋体" w:hint="default"/>
                <w:sz w:val="18"/>
                <w:szCs w:val="18"/>
              </w:rPr>
            </w:pPr>
            <w:r>
              <w:rPr>
                <w:rFonts w:ascii="宋体" w:hAnsi="宋体" w:cs="宋体" w:eastAsia="宋体" w:hint="default"/>
                <w:sz w:val="18"/>
                <w:szCs w:val="18"/>
              </w:rPr>
              <w:t>临时 股东 大会</w:t>
            </w:r>
          </w:p>
        </w:tc>
        <w:tc>
          <w:tcPr>
            <w:tcW w:w="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50.49%</w:t>
            </w:r>
          </w:p>
        </w:tc>
        <w:tc>
          <w:tcPr>
            <w:tcW w:w="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01"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4" w:right="22"/>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年第二次临时股东大会决议公告</w:t>
            </w:r>
            <w:r>
              <w:rPr>
                <w:rFonts w:ascii="宋体" w:hAnsi="宋体" w:cs="宋体" w:eastAsia="宋体" w:hint="default"/>
                <w:spacing w:val="-81"/>
                <w:sz w:val="18"/>
                <w:szCs w:val="18"/>
              </w:rPr>
              <w:t>》</w:t>
            </w:r>
            <w:r>
              <w:rPr>
                <w:rFonts w:ascii="宋体" w:hAnsi="宋体" w:cs="宋体" w:eastAsia="宋体" w:hint="default"/>
                <w:spacing w:val="-2"/>
                <w:sz w:val="18"/>
                <w:szCs w:val="18"/>
              </w:rPr>
              <w:t>刊</w:t>
            </w:r>
            <w:r>
              <w:rPr>
                <w:rFonts w:ascii="宋体" w:hAnsi="宋体" w:cs="宋体" w:eastAsia="宋体" w:hint="default"/>
                <w:sz w:val="18"/>
                <w:szCs w:val="18"/>
              </w:rPr>
              <w:t>载于信息披露网站巨潮资讯</w:t>
            </w:r>
            <w:r>
              <w:rPr>
                <w:rFonts w:ascii="宋体" w:hAnsi="宋体" w:cs="宋体" w:eastAsia="宋体" w:hint="default"/>
                <w:sz w:val="18"/>
                <w:szCs w:val="18"/>
              </w:rPr>
              <w:t> 网</w:t>
            </w:r>
            <w:r>
              <w:rPr>
                <w:rFonts w:ascii="宋体" w:hAnsi="宋体" w:cs="宋体" w:eastAsia="宋体" w:hint="default"/>
                <w:spacing w:val="-46"/>
                <w:sz w:val="18"/>
                <w:szCs w:val="18"/>
              </w:rPr>
              <w:t> </w:t>
            </w:r>
            <w:hyperlink r:id="rId11">
              <w:r>
                <w:rPr>
                  <w:rFonts w:ascii="Times New Roman" w:hAnsi="Times New Roman" w:cs="Times New Roman" w:eastAsia="Times New Roman" w:hint="default"/>
                  <w:w w:val="99"/>
                  <w:sz w:val="18"/>
                  <w:szCs w:val="18"/>
                </w:rPr>
                <w:t>ww</w:t>
              </w:r>
              <w:r>
                <w:rPr>
                  <w:rFonts w:ascii="Times New Roman" w:hAnsi="Times New Roman" w:cs="Times New Roman" w:eastAsia="Times New Roman" w:hint="default"/>
                  <w:spacing w:val="-12"/>
                  <w:w w:val="99"/>
                  <w:sz w:val="18"/>
                  <w:szCs w:val="18"/>
                </w:rPr>
                <w:t>w</w:t>
              </w:r>
              <w:r>
                <w:rPr>
                  <w:rFonts w:ascii="Times New Roman" w:hAnsi="Times New Roman" w:cs="Times New Roman" w:eastAsia="Times New Roman" w:hint="default"/>
                  <w:sz w:val="18"/>
                  <w:szCs w:val="18"/>
                </w:rPr>
                <w:t>.cninfo</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z w:val="18"/>
                  <w:szCs w:val="18"/>
                </w:rPr>
                <w:t>com.cn</w:t>
              </w:r>
              <w:r>
                <w:rPr>
                  <w:rFonts w:ascii="Times New Roman" w:hAnsi="Times New Roman" w:cs="Times New Roman" w:eastAsia="Times New Roman" w:hint="default"/>
                  <w:spacing w:val="-1"/>
                  <w:sz w:val="18"/>
                  <w:szCs w:val="18"/>
                </w:rPr>
                <w:t> </w:t>
              </w:r>
            </w:hyperlink>
            <w:r>
              <w:rPr>
                <w:rFonts w:ascii="宋体" w:hAnsi="宋体" w:cs="宋体" w:eastAsia="宋体" w:hint="default"/>
                <w:sz w:val="18"/>
                <w:szCs w:val="18"/>
              </w:rPr>
              <w:t>和信息披露媒体《证券日报</w:t>
            </w:r>
            <w:r>
              <w:rPr>
                <w:rFonts w:ascii="宋体" w:hAnsi="宋体" w:cs="宋体" w:eastAsia="宋体" w:hint="default"/>
                <w:spacing w:val="-90"/>
                <w:sz w:val="18"/>
                <w:szCs w:val="18"/>
              </w:rPr>
              <w:t>》、</w:t>
            </w:r>
            <w:r>
              <w:rPr>
                <w:rFonts w:ascii="宋体" w:hAnsi="宋体" w:cs="宋体" w:eastAsia="宋体" w:hint="default"/>
                <w:sz w:val="18"/>
                <w:szCs w:val="18"/>
              </w:rPr>
              <w:t>《证券时报</w:t>
            </w:r>
            <w:r>
              <w:rPr>
                <w:rFonts w:ascii="宋体" w:hAnsi="宋体" w:cs="宋体" w:eastAsia="宋体" w:hint="default"/>
                <w:spacing w:val="-90"/>
                <w:sz w:val="18"/>
                <w:szCs w:val="18"/>
              </w:rPr>
              <w:t>》、</w:t>
            </w:r>
            <w:r>
              <w:rPr>
                <w:rFonts w:ascii="宋体" w:hAnsi="宋体" w:cs="宋体" w:eastAsia="宋体" w:hint="default"/>
                <w:sz w:val="18"/>
                <w:szCs w:val="18"/>
              </w:rPr>
              <w:t>《中</w:t>
            </w:r>
            <w:r>
              <w:rPr>
                <w:rFonts w:ascii="宋体" w:hAnsi="宋体" w:cs="宋体" w:eastAsia="宋体" w:hint="default"/>
                <w:sz w:val="18"/>
                <w:szCs w:val="18"/>
              </w:rPr>
              <w:t> 国证券报</w:t>
            </w:r>
            <w:r>
              <w:rPr>
                <w:rFonts w:ascii="宋体" w:hAnsi="宋体" w:cs="宋体" w:eastAsia="宋体" w:hint="default"/>
                <w:spacing w:val="-90"/>
                <w:sz w:val="18"/>
                <w:szCs w:val="18"/>
              </w:rPr>
              <w:t>》、</w:t>
            </w:r>
            <w:r>
              <w:rPr>
                <w:rFonts w:ascii="宋体" w:hAnsi="宋体" w:cs="宋体" w:eastAsia="宋体" w:hint="default"/>
                <w:sz w:val="18"/>
                <w:szCs w:val="18"/>
              </w:rPr>
              <w:t>《上海证券报》</w:t>
            </w:r>
          </w:p>
        </w:tc>
      </w:tr>
      <w:tr>
        <w:trPr>
          <w:trHeight w:val="1026"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00" w:lineRule="auto"/>
              <w:ind w:left="22" w:right="75"/>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 股东大会</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51"/>
              <w:jc w:val="both"/>
              <w:rPr>
                <w:rFonts w:ascii="宋体" w:hAnsi="宋体" w:cs="宋体" w:eastAsia="宋体" w:hint="default"/>
                <w:sz w:val="18"/>
                <w:szCs w:val="18"/>
              </w:rPr>
            </w:pPr>
            <w:r>
              <w:rPr>
                <w:rFonts w:ascii="宋体" w:hAnsi="宋体" w:cs="宋体" w:eastAsia="宋体" w:hint="default"/>
                <w:sz w:val="18"/>
                <w:szCs w:val="18"/>
              </w:rPr>
              <w:t>年度 股东 大会</w:t>
            </w:r>
          </w:p>
        </w:tc>
        <w:tc>
          <w:tcPr>
            <w:tcW w:w="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48.68%</w:t>
            </w:r>
          </w:p>
        </w:tc>
        <w:tc>
          <w:tcPr>
            <w:tcW w:w="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01"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4" w:right="107"/>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年年度股东大会决议公告》刊载于信息披露网站巨潮资讯网 </w:t>
            </w:r>
            <w:hyperlink r:id="rId11">
              <w:r>
                <w:rPr>
                  <w:rFonts w:ascii="Times New Roman" w:hAnsi="Times New Roman" w:cs="Times New Roman" w:eastAsia="Times New Roman" w:hint="default"/>
                  <w:spacing w:val="-1"/>
                  <w:w w:val="99"/>
                  <w:sz w:val="18"/>
                  <w:szCs w:val="18"/>
                </w:rPr>
                <w:t>www.cninfo.com.cn</w:t>
              </w:r>
            </w:hyperlink>
            <w:r>
              <w:rPr>
                <w:rFonts w:ascii="Times New Roman" w:hAnsi="Times New Roman" w:cs="Times New Roman" w:eastAsia="Times New Roman" w:hint="default"/>
                <w:w w:val="99"/>
                <w:sz w:val="18"/>
                <w:szCs w:val="18"/>
              </w:rPr>
              <w:t> </w:t>
            </w:r>
            <w:r>
              <w:rPr>
                <w:rFonts w:ascii="宋体" w:hAnsi="宋体" w:cs="宋体" w:eastAsia="宋体" w:hint="default"/>
                <w:spacing w:val="-15"/>
                <w:sz w:val="18"/>
                <w:szCs w:val="18"/>
              </w:rPr>
              <w:t>和信息披露媒体《证券日报》、《证券时报》、《中国</w:t>
            </w:r>
            <w:r>
              <w:rPr>
                <w:rFonts w:ascii="宋体" w:hAnsi="宋体" w:cs="宋体" w:eastAsia="宋体" w:hint="default"/>
                <w:sz w:val="18"/>
                <w:szCs w:val="18"/>
              </w:rPr>
              <w:t> </w:t>
            </w:r>
            <w:r>
              <w:rPr>
                <w:rFonts w:ascii="宋体" w:hAnsi="宋体" w:cs="宋体" w:eastAsia="宋体" w:hint="default"/>
                <w:spacing w:val="-15"/>
                <w:sz w:val="18"/>
                <w:szCs w:val="18"/>
              </w:rPr>
              <w:t>证券报》、《上海证券报》</w:t>
            </w:r>
          </w:p>
        </w:tc>
      </w:tr>
      <w:tr>
        <w:trPr>
          <w:trHeight w:val="1026"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75"/>
              <w:jc w:val="both"/>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年第三 次临时股东 大会</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51"/>
              <w:jc w:val="both"/>
              <w:rPr>
                <w:rFonts w:ascii="宋体" w:hAnsi="宋体" w:cs="宋体" w:eastAsia="宋体" w:hint="default"/>
                <w:sz w:val="18"/>
                <w:szCs w:val="18"/>
              </w:rPr>
            </w:pPr>
            <w:r>
              <w:rPr>
                <w:rFonts w:ascii="宋体" w:hAnsi="宋体" w:cs="宋体" w:eastAsia="宋体" w:hint="default"/>
                <w:sz w:val="18"/>
                <w:szCs w:val="18"/>
              </w:rPr>
              <w:t>临时 股东 大会</w:t>
            </w:r>
          </w:p>
        </w:tc>
        <w:tc>
          <w:tcPr>
            <w:tcW w:w="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49.35%</w:t>
            </w:r>
          </w:p>
        </w:tc>
        <w:tc>
          <w:tcPr>
            <w:tcW w:w="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01"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4" w:right="22"/>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年第三次临时股东大会决议公告</w:t>
            </w:r>
            <w:r>
              <w:rPr>
                <w:rFonts w:ascii="宋体" w:hAnsi="宋体" w:cs="宋体" w:eastAsia="宋体" w:hint="default"/>
                <w:spacing w:val="-81"/>
                <w:sz w:val="18"/>
                <w:szCs w:val="18"/>
              </w:rPr>
              <w:t>》</w:t>
            </w:r>
            <w:r>
              <w:rPr>
                <w:rFonts w:ascii="宋体" w:hAnsi="宋体" w:cs="宋体" w:eastAsia="宋体" w:hint="default"/>
                <w:spacing w:val="-2"/>
                <w:sz w:val="18"/>
                <w:szCs w:val="18"/>
              </w:rPr>
              <w:t>刊</w:t>
            </w:r>
            <w:r>
              <w:rPr>
                <w:rFonts w:ascii="宋体" w:hAnsi="宋体" w:cs="宋体" w:eastAsia="宋体" w:hint="default"/>
                <w:sz w:val="18"/>
                <w:szCs w:val="18"/>
              </w:rPr>
              <w:t>载于信息披露网站巨潮资讯</w:t>
            </w:r>
            <w:r>
              <w:rPr>
                <w:rFonts w:ascii="宋体" w:hAnsi="宋体" w:cs="宋体" w:eastAsia="宋体" w:hint="default"/>
                <w:sz w:val="18"/>
                <w:szCs w:val="18"/>
              </w:rPr>
              <w:t> 网</w:t>
            </w:r>
            <w:r>
              <w:rPr>
                <w:rFonts w:ascii="宋体" w:hAnsi="宋体" w:cs="宋体" w:eastAsia="宋体" w:hint="default"/>
                <w:spacing w:val="-46"/>
                <w:sz w:val="18"/>
                <w:szCs w:val="18"/>
              </w:rPr>
              <w:t> </w:t>
            </w:r>
            <w:hyperlink r:id="rId11">
              <w:r>
                <w:rPr>
                  <w:rFonts w:ascii="Times New Roman" w:hAnsi="Times New Roman" w:cs="Times New Roman" w:eastAsia="Times New Roman" w:hint="default"/>
                  <w:w w:val="99"/>
                  <w:sz w:val="18"/>
                  <w:szCs w:val="18"/>
                </w:rPr>
                <w:t>ww</w:t>
              </w:r>
              <w:r>
                <w:rPr>
                  <w:rFonts w:ascii="Times New Roman" w:hAnsi="Times New Roman" w:cs="Times New Roman" w:eastAsia="Times New Roman" w:hint="default"/>
                  <w:spacing w:val="-12"/>
                  <w:w w:val="99"/>
                  <w:sz w:val="18"/>
                  <w:szCs w:val="18"/>
                </w:rPr>
                <w:t>w</w:t>
              </w:r>
              <w:r>
                <w:rPr>
                  <w:rFonts w:ascii="Times New Roman" w:hAnsi="Times New Roman" w:cs="Times New Roman" w:eastAsia="Times New Roman" w:hint="default"/>
                  <w:sz w:val="18"/>
                  <w:szCs w:val="18"/>
                </w:rPr>
                <w:t>.cninfo</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z w:val="18"/>
                  <w:szCs w:val="18"/>
                </w:rPr>
                <w:t>com.cn</w:t>
              </w:r>
              <w:r>
                <w:rPr>
                  <w:rFonts w:ascii="Times New Roman" w:hAnsi="Times New Roman" w:cs="Times New Roman" w:eastAsia="Times New Roman" w:hint="default"/>
                  <w:spacing w:val="-1"/>
                  <w:sz w:val="18"/>
                  <w:szCs w:val="18"/>
                </w:rPr>
                <w:t> </w:t>
              </w:r>
            </w:hyperlink>
            <w:r>
              <w:rPr>
                <w:rFonts w:ascii="宋体" w:hAnsi="宋体" w:cs="宋体" w:eastAsia="宋体" w:hint="default"/>
                <w:sz w:val="18"/>
                <w:szCs w:val="18"/>
              </w:rPr>
              <w:t>和信息披露媒体《证券日报</w:t>
            </w:r>
            <w:r>
              <w:rPr>
                <w:rFonts w:ascii="宋体" w:hAnsi="宋体" w:cs="宋体" w:eastAsia="宋体" w:hint="default"/>
                <w:spacing w:val="-90"/>
                <w:sz w:val="18"/>
                <w:szCs w:val="18"/>
              </w:rPr>
              <w:t>》、</w:t>
            </w:r>
            <w:r>
              <w:rPr>
                <w:rFonts w:ascii="宋体" w:hAnsi="宋体" w:cs="宋体" w:eastAsia="宋体" w:hint="default"/>
                <w:sz w:val="18"/>
                <w:szCs w:val="18"/>
              </w:rPr>
              <w:t>《证券时报</w:t>
            </w:r>
            <w:r>
              <w:rPr>
                <w:rFonts w:ascii="宋体" w:hAnsi="宋体" w:cs="宋体" w:eastAsia="宋体" w:hint="default"/>
                <w:spacing w:val="-90"/>
                <w:sz w:val="18"/>
                <w:szCs w:val="18"/>
              </w:rPr>
              <w:t>》、</w:t>
            </w:r>
            <w:r>
              <w:rPr>
                <w:rFonts w:ascii="宋体" w:hAnsi="宋体" w:cs="宋体" w:eastAsia="宋体" w:hint="default"/>
                <w:sz w:val="18"/>
                <w:szCs w:val="18"/>
              </w:rPr>
              <w:t>《中</w:t>
            </w:r>
            <w:r>
              <w:rPr>
                <w:rFonts w:ascii="宋体" w:hAnsi="宋体" w:cs="宋体" w:eastAsia="宋体" w:hint="default"/>
                <w:sz w:val="18"/>
                <w:szCs w:val="18"/>
              </w:rPr>
              <w:t> 国证券报</w:t>
            </w:r>
            <w:r>
              <w:rPr>
                <w:rFonts w:ascii="宋体" w:hAnsi="宋体" w:cs="宋体" w:eastAsia="宋体" w:hint="default"/>
                <w:spacing w:val="-90"/>
                <w:sz w:val="18"/>
                <w:szCs w:val="18"/>
              </w:rPr>
              <w:t>》、</w:t>
            </w:r>
            <w:r>
              <w:rPr>
                <w:rFonts w:ascii="宋体" w:hAnsi="宋体" w:cs="宋体" w:eastAsia="宋体" w:hint="default"/>
                <w:sz w:val="18"/>
                <w:szCs w:val="18"/>
              </w:rPr>
              <w:t>《上海证券报》</w:t>
            </w:r>
          </w:p>
        </w:tc>
      </w:tr>
    </w:tbl>
    <w:p>
      <w:pPr>
        <w:spacing w:line="240" w:lineRule="auto" w:before="2"/>
        <w:rPr>
          <w:rFonts w:ascii="宋体" w:hAnsi="宋体" w:cs="宋体" w:eastAsia="宋体" w:hint="default"/>
          <w:b/>
          <w:bCs/>
          <w:sz w:val="19"/>
          <w:szCs w:val="19"/>
        </w:rPr>
      </w:pPr>
    </w:p>
    <w:p>
      <w:pPr>
        <w:pStyle w:val="Heading3"/>
        <w:spacing w:line="240" w:lineRule="auto" w:before="35"/>
        <w:ind w:right="0"/>
        <w:jc w:val="left"/>
        <w:rPr>
          <w:b w:val="0"/>
          <w:bCs w:val="0"/>
        </w:rPr>
      </w:pPr>
      <w:bookmarkStart w:name="2、表决权恢复的优先股股东请求召开临时股东大会" w:id="139"/>
      <w:bookmarkEnd w:id="139"/>
      <w:r>
        <w:rPr>
          <w:b w:val="0"/>
          <w:bCs w:val="0"/>
        </w:rPr>
      </w:r>
      <w:r>
        <w:rPr>
          <w:rFonts w:ascii="Times New Roman" w:hAnsi="Times New Roman" w:cs="Times New Roman" w:eastAsia="Times New Roman" w:hint="default"/>
        </w:rPr>
        <w:t>2</w:t>
      </w:r>
      <w:r>
        <w:rPr/>
        <w:t>、表决权恢复的优先股股东请求召开临时股东大会</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五、报告期内独立董事履行职责的情况" w:id="140"/>
      <w:bookmarkEnd w:id="140"/>
      <w:r>
        <w:rPr>
          <w:b w:val="0"/>
          <w:bCs w:val="0"/>
        </w:rPr>
      </w:r>
      <w:r>
        <w:rPr/>
        <w:t>五、报告期内独立董事履行职责的情况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独立董事出席董事会及股东大会的情况" w:id="141"/>
      <w:bookmarkEnd w:id="141"/>
      <w:r>
        <w:rPr>
          <w:b w:val="0"/>
          <w:bCs w:val="0"/>
        </w:rPr>
      </w:r>
      <w:r>
        <w:rPr>
          <w:rFonts w:ascii="Times New Roman" w:hAnsi="Times New Roman" w:cs="Times New Roman" w:eastAsia="Times New Roman" w:hint="default"/>
        </w:rPr>
        <w:t>1</w:t>
      </w:r>
      <w:r>
        <w:rPr/>
        <w:t>、独立董事出席董事会及股东大会的情况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427"/>
        <w:gridCol w:w="1164"/>
        <w:gridCol w:w="1164"/>
        <w:gridCol w:w="1163"/>
        <w:gridCol w:w="1164"/>
        <w:gridCol w:w="1163"/>
        <w:gridCol w:w="1163"/>
        <w:gridCol w:w="1163"/>
      </w:tblGrid>
      <w:tr>
        <w:trPr>
          <w:trHeight w:val="402" w:hRule="exact"/>
        </w:trPr>
        <w:tc>
          <w:tcPr>
            <w:tcW w:w="9571"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独立董事出席董事会及股东大会的情况</w:t>
            </w:r>
          </w:p>
        </w:tc>
      </w:tr>
      <w:tr>
        <w:trPr>
          <w:trHeight w:val="1026"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168" w:right="0"/>
              <w:jc w:val="left"/>
              <w:rPr>
                <w:rFonts w:ascii="宋体" w:hAnsi="宋体" w:cs="宋体" w:eastAsia="宋体" w:hint="default"/>
                <w:sz w:val="18"/>
                <w:szCs w:val="18"/>
              </w:rPr>
            </w:pPr>
            <w:r>
              <w:rPr>
                <w:rFonts w:ascii="宋体" w:hAnsi="宋体" w:cs="宋体" w:eastAsia="宋体" w:hint="default"/>
                <w:sz w:val="18"/>
                <w:szCs w:val="18"/>
              </w:rPr>
              <w:t>独立董事姓名</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35" w:right="36"/>
              <w:jc w:val="left"/>
              <w:rPr>
                <w:rFonts w:ascii="宋体" w:hAnsi="宋体" w:cs="宋体" w:eastAsia="宋体" w:hint="default"/>
                <w:sz w:val="18"/>
                <w:szCs w:val="18"/>
              </w:rPr>
            </w:pPr>
            <w:r>
              <w:rPr>
                <w:rFonts w:ascii="宋体" w:hAnsi="宋体" w:cs="宋体" w:eastAsia="宋体" w:hint="default"/>
                <w:sz w:val="18"/>
                <w:szCs w:val="18"/>
              </w:rPr>
              <w:t>本报告期应参 加董事会次数</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305" w:right="36" w:hanging="270"/>
              <w:jc w:val="left"/>
              <w:rPr>
                <w:rFonts w:ascii="宋体" w:hAnsi="宋体" w:cs="宋体" w:eastAsia="宋体" w:hint="default"/>
                <w:sz w:val="18"/>
                <w:szCs w:val="18"/>
              </w:rPr>
            </w:pPr>
            <w:r>
              <w:rPr>
                <w:rFonts w:ascii="宋体" w:hAnsi="宋体" w:cs="宋体" w:eastAsia="宋体" w:hint="default"/>
                <w:sz w:val="18"/>
                <w:szCs w:val="18"/>
              </w:rPr>
              <w:t>现场出席董事 会次数</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35" w:right="35"/>
              <w:jc w:val="left"/>
              <w:rPr>
                <w:rFonts w:ascii="宋体" w:hAnsi="宋体" w:cs="宋体" w:eastAsia="宋体" w:hint="default"/>
                <w:sz w:val="18"/>
                <w:szCs w:val="18"/>
              </w:rPr>
            </w:pPr>
            <w:r>
              <w:rPr>
                <w:rFonts w:ascii="宋体" w:hAnsi="宋体" w:cs="宋体" w:eastAsia="宋体" w:hint="default"/>
                <w:sz w:val="18"/>
                <w:szCs w:val="18"/>
              </w:rPr>
              <w:t>以通讯方式参 加董事会次数</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307" w:right="35" w:hanging="270"/>
              <w:jc w:val="left"/>
              <w:rPr>
                <w:rFonts w:ascii="宋体" w:hAnsi="宋体" w:cs="宋体" w:eastAsia="宋体" w:hint="default"/>
                <w:sz w:val="18"/>
                <w:szCs w:val="18"/>
              </w:rPr>
            </w:pPr>
            <w:r>
              <w:rPr>
                <w:rFonts w:ascii="宋体" w:hAnsi="宋体" w:cs="宋体" w:eastAsia="宋体" w:hint="default"/>
                <w:sz w:val="18"/>
                <w:szCs w:val="18"/>
              </w:rPr>
              <w:t>委托出席董事 会次数</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485" w:right="35" w:hanging="450"/>
              <w:jc w:val="left"/>
              <w:rPr>
                <w:rFonts w:ascii="宋体" w:hAnsi="宋体" w:cs="宋体" w:eastAsia="宋体" w:hint="default"/>
                <w:sz w:val="18"/>
                <w:szCs w:val="18"/>
              </w:rPr>
            </w:pPr>
            <w:r>
              <w:rPr>
                <w:rFonts w:ascii="宋体" w:hAnsi="宋体" w:cs="宋体" w:eastAsia="宋体" w:hint="default"/>
                <w:sz w:val="18"/>
                <w:szCs w:val="18"/>
              </w:rPr>
              <w:t>缺席董事会次 数</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35" w:right="35"/>
              <w:jc w:val="center"/>
              <w:rPr>
                <w:rFonts w:ascii="宋体" w:hAnsi="宋体" w:cs="宋体" w:eastAsia="宋体" w:hint="default"/>
                <w:sz w:val="18"/>
                <w:szCs w:val="18"/>
              </w:rPr>
            </w:pPr>
            <w:r>
              <w:rPr>
                <w:rFonts w:ascii="宋体" w:hAnsi="宋体" w:cs="宋体" w:eastAsia="宋体" w:hint="default"/>
                <w:sz w:val="18"/>
                <w:szCs w:val="18"/>
              </w:rPr>
              <w:t>是否连续两次 未亲自参加董 事会会议</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395" w:right="35" w:hanging="360"/>
              <w:jc w:val="left"/>
              <w:rPr>
                <w:rFonts w:ascii="宋体" w:hAnsi="宋体" w:cs="宋体" w:eastAsia="宋体" w:hint="default"/>
                <w:sz w:val="18"/>
                <w:szCs w:val="18"/>
              </w:rPr>
            </w:pPr>
            <w:r>
              <w:rPr>
                <w:rFonts w:ascii="宋体" w:hAnsi="宋体" w:cs="宋体" w:eastAsia="宋体" w:hint="default"/>
                <w:sz w:val="18"/>
                <w:szCs w:val="18"/>
              </w:rPr>
              <w:t>出席股东大会 次数</w:t>
            </w: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于秀峰</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12</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6</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王艳梅</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12</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10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w:t>
            </w:r>
          </w:p>
        </w:tc>
      </w:tr>
      <w:tr>
        <w:trPr>
          <w:trHeight w:val="403" w:hRule="exact"/>
        </w:trPr>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孙进山</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12</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9</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w:t>
            </w:r>
          </w:p>
        </w:tc>
      </w:tr>
    </w:tbl>
    <w:p>
      <w:pPr>
        <w:pStyle w:val="BodyText"/>
        <w:spacing w:line="357" w:lineRule="auto" w:before="51"/>
        <w:ind w:right="8052"/>
        <w:jc w:val="left"/>
      </w:pPr>
      <w:r>
        <w:rPr/>
        <w:t>连续两次未亲自出席董事会的说明 无</w:t>
      </w:r>
    </w:p>
    <w:p>
      <w:pPr>
        <w:spacing w:line="240" w:lineRule="auto" w:before="1"/>
        <w:rPr>
          <w:rFonts w:ascii="宋体" w:hAnsi="宋体" w:cs="宋体" w:eastAsia="宋体" w:hint="default"/>
          <w:sz w:val="20"/>
          <w:szCs w:val="20"/>
        </w:rPr>
      </w:pPr>
    </w:p>
    <w:p>
      <w:pPr>
        <w:pStyle w:val="Heading3"/>
        <w:spacing w:line="240" w:lineRule="auto"/>
        <w:ind w:right="0"/>
        <w:jc w:val="left"/>
        <w:rPr>
          <w:b w:val="0"/>
          <w:bCs w:val="0"/>
        </w:rPr>
      </w:pPr>
      <w:bookmarkStart w:name="2、独立董事对公司有关事项提出异议的情况" w:id="142"/>
      <w:bookmarkEnd w:id="142"/>
      <w:r>
        <w:rPr>
          <w:b w:val="0"/>
          <w:bCs w:val="0"/>
        </w:rPr>
      </w:r>
      <w:r>
        <w:rPr>
          <w:rFonts w:ascii="Times New Roman" w:hAnsi="Times New Roman" w:cs="Times New Roman" w:eastAsia="Times New Roman" w:hint="default"/>
        </w:rPr>
        <w:t>2</w:t>
      </w:r>
      <w:r>
        <w:rPr/>
        <w:t>、独立董事对公司有关事项提出异议的情况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独立董事对公司有关事项是否提出异议</w:t>
      </w:r>
    </w:p>
    <w:p>
      <w:pPr>
        <w:pStyle w:val="BodyText"/>
        <w:spacing w:line="338" w:lineRule="auto" w:before="117"/>
        <w:ind w:right="697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报告期内独立董事对公司有关事项未提出异议。</w:t>
      </w:r>
    </w:p>
    <w:p>
      <w:pPr>
        <w:spacing w:line="240" w:lineRule="auto" w:before="1"/>
        <w:rPr>
          <w:rFonts w:ascii="宋体" w:hAnsi="宋体" w:cs="宋体" w:eastAsia="宋体" w:hint="default"/>
          <w:sz w:val="21"/>
          <w:szCs w:val="21"/>
        </w:rPr>
      </w:pPr>
    </w:p>
    <w:p>
      <w:pPr>
        <w:pStyle w:val="Heading3"/>
        <w:spacing w:line="240" w:lineRule="auto"/>
        <w:ind w:right="0"/>
        <w:jc w:val="left"/>
        <w:rPr>
          <w:b w:val="0"/>
          <w:bCs w:val="0"/>
        </w:rPr>
      </w:pPr>
      <w:bookmarkStart w:name="3、独立董事履行职责的其他说明" w:id="143"/>
      <w:bookmarkEnd w:id="143"/>
      <w:r>
        <w:rPr>
          <w:b w:val="0"/>
          <w:bCs w:val="0"/>
        </w:rPr>
      </w:r>
      <w:r>
        <w:rPr>
          <w:rFonts w:ascii="Times New Roman" w:hAnsi="Times New Roman" w:cs="Times New Roman" w:eastAsia="Times New Roman" w:hint="default"/>
        </w:rPr>
        <w:t>3</w:t>
      </w:r>
      <w:r>
        <w:rPr/>
        <w:t>、独立董事履行职责的其他说明</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独立董事对公司有关建议是否被采纳</w:t>
      </w:r>
    </w:p>
    <w:p>
      <w:pPr>
        <w:pStyle w:val="BodyText"/>
        <w:spacing w:line="340" w:lineRule="auto" w:before="116"/>
        <w:ind w:right="679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独立董事对公司有关建议被采纳或未被采纳的说明</w:t>
      </w:r>
    </w:p>
    <w:p>
      <w:pPr>
        <w:pStyle w:val="BodyText"/>
        <w:spacing w:line="240" w:lineRule="auto" w:before="39"/>
        <w:ind w:left="514" w:right="0"/>
        <w:jc w:val="left"/>
      </w:pPr>
      <w:r>
        <w:rPr/>
        <w:t>报告期内，独立董事按照《公司章程》、《独立董事工作条例》以及相关法律法规，勤勉尽责地开展工作。独立董事以</w:t>
      </w:r>
    </w:p>
    <w:p>
      <w:pPr>
        <w:spacing w:after="0" w:line="24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6" w:lineRule="auto" w:before="44"/>
        <w:ind w:right="1131"/>
        <w:jc w:val="both"/>
      </w:pPr>
      <w:r>
        <w:rPr>
          <w:spacing w:val="-2"/>
        </w:rPr>
        <w:t>认真负责的态度参加历次董事会并审议各项议案。深入公司现场调查，对公司的长远发展战略、内控制度建设、生产经营事</w:t>
      </w:r>
      <w:r>
        <w:rPr>
          <w:spacing w:val="-66"/>
        </w:rPr>
        <w:t> </w:t>
      </w:r>
      <w:r>
        <w:rPr>
          <w:spacing w:val="-66"/>
        </w:rPr>
      </w:r>
      <w:r>
        <w:rPr>
          <w:spacing w:val="-2"/>
        </w:rPr>
        <w:t>项提出了宝贵建议，对公司的重大事项发表独立意见，为公司的正常运作、公司管理层的科学决策以及维护公司与全体股东</w:t>
      </w:r>
      <w:r>
        <w:rPr>
          <w:spacing w:val="-66"/>
        </w:rPr>
        <w:t> </w:t>
      </w:r>
      <w:r>
        <w:rPr>
          <w:spacing w:val="-66"/>
        </w:rPr>
      </w:r>
      <w:r>
        <w:rPr/>
        <w:t>的合法权益发挥了积极的作用。</w:t>
      </w: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6"/>
          <w:szCs w:val="26"/>
        </w:rPr>
      </w:pPr>
    </w:p>
    <w:p>
      <w:pPr>
        <w:pStyle w:val="Heading2"/>
        <w:spacing w:line="240" w:lineRule="auto"/>
        <w:ind w:right="0"/>
        <w:jc w:val="left"/>
        <w:rPr>
          <w:b w:val="0"/>
          <w:bCs w:val="0"/>
        </w:rPr>
      </w:pPr>
      <w:bookmarkStart w:name="六、董事会下设专门委员会在报告期内履行职责情况" w:id="144"/>
      <w:bookmarkEnd w:id="144"/>
      <w:r>
        <w:rPr>
          <w:b w:val="0"/>
          <w:bCs w:val="0"/>
        </w:rPr>
      </w:r>
      <w:r>
        <w:rPr/>
        <w:t>六、董事会下设专门委员会在报告期内履行职责情况</w:t>
      </w:r>
      <w:r>
        <w:rPr>
          <w:b w:val="0"/>
          <w:bCs w:val="0"/>
        </w:rPr>
      </w:r>
    </w:p>
    <w:p>
      <w:pPr>
        <w:spacing w:line="240" w:lineRule="auto" w:before="6"/>
        <w:rPr>
          <w:rFonts w:ascii="宋体" w:hAnsi="宋体" w:cs="宋体" w:eastAsia="宋体" w:hint="default"/>
          <w:b/>
          <w:bCs/>
          <w:sz w:val="26"/>
          <w:szCs w:val="26"/>
        </w:rPr>
      </w:pPr>
    </w:p>
    <w:p>
      <w:pPr>
        <w:pStyle w:val="BodyText"/>
        <w:spacing w:line="300" w:lineRule="auto"/>
        <w:ind w:left="514" w:right="1122"/>
        <w:jc w:val="left"/>
      </w:pPr>
      <w:r>
        <w:rPr>
          <w:rFonts w:ascii="Times New Roman" w:hAnsi="Times New Roman" w:cs="Times New Roman" w:eastAsia="Times New Roman" w:hint="default"/>
        </w:rPr>
        <w:t>1</w:t>
      </w:r>
      <w:r>
        <w:rPr/>
        <w:t>、董事会审计委员会履职情况 报告期内，董事会审计委员会共召开了</w:t>
      </w:r>
      <w:r>
        <w:rPr>
          <w:rFonts w:ascii="Times New Roman" w:hAnsi="Times New Roman" w:cs="Times New Roman" w:eastAsia="Times New Roman" w:hint="default"/>
        </w:rPr>
        <w:t>9</w:t>
      </w:r>
      <w:r>
        <w:rPr/>
        <w:t>次会议，督促公司内部控制制度的建立健全及有效执行；认真审阅公司各期定</w:t>
      </w:r>
    </w:p>
    <w:p>
      <w:pPr>
        <w:pStyle w:val="BodyText"/>
        <w:spacing w:line="316" w:lineRule="auto" w:before="13"/>
        <w:ind w:right="1032"/>
        <w:jc w:val="left"/>
      </w:pPr>
      <w:r>
        <w:rPr>
          <w:spacing w:val="-2"/>
        </w:rPr>
        <w:t>期报告，重点审核公司财务信息，确保财务信息披露的真实、准确和完整；加强公司内部审计和外部审计之间的沟通；在公</w:t>
      </w:r>
      <w:r>
        <w:rPr>
          <w:spacing w:val="-66"/>
        </w:rPr>
        <w:t> </w:t>
      </w:r>
      <w:r>
        <w:rPr>
          <w:spacing w:val="-66"/>
        </w:rPr>
      </w:r>
      <w:r>
        <w:rPr/>
        <w:t>司年度财务报告的审计和年报的编制过程中，与瑞华会计师事务所（特殊普通合伙）就审计安排与进度等进行沟通、协商， 并积极予以解决发现的问题。</w:t>
      </w:r>
    </w:p>
    <w:p>
      <w:pPr>
        <w:pStyle w:val="BodyText"/>
        <w:spacing w:line="300" w:lineRule="auto" w:before="19"/>
        <w:ind w:left="514" w:right="0"/>
        <w:jc w:val="left"/>
      </w:pPr>
      <w:r>
        <w:rPr>
          <w:rFonts w:ascii="Times New Roman" w:hAnsi="Times New Roman" w:cs="Times New Roman" w:eastAsia="Times New Roman" w:hint="default"/>
        </w:rPr>
        <w:t>2</w:t>
      </w:r>
      <w:r>
        <w:rPr/>
        <w:t>、董事会战略委员会履职情况 </w:t>
      </w:r>
      <w:r>
        <w:rPr>
          <w:spacing w:val="-2"/>
        </w:rPr>
        <w:t>报告期内，董事会战略委员会共召开了</w:t>
      </w:r>
      <w:r>
        <w:rPr>
          <w:rFonts w:ascii="Times New Roman" w:hAnsi="Times New Roman" w:cs="Times New Roman" w:eastAsia="Times New Roman" w:hint="default"/>
          <w:spacing w:val="-2"/>
        </w:rPr>
        <w:t>10</w:t>
      </w:r>
      <w:r>
        <w:rPr>
          <w:spacing w:val="-2"/>
        </w:rPr>
        <w:t>次会议，结合国内外经济形势及行业动态，对公司长期发展战略和重大投资决</w:t>
      </w:r>
    </w:p>
    <w:p>
      <w:pPr>
        <w:pStyle w:val="BodyText"/>
        <w:spacing w:line="316" w:lineRule="auto" w:before="13"/>
        <w:ind w:right="0"/>
        <w:jc w:val="left"/>
      </w:pPr>
      <w:r>
        <w:rPr>
          <w:spacing w:val="-2"/>
        </w:rPr>
        <w:t>策进行深入探讨，对重大投资融资方案、重大资本运作、资产经营项目等进行研究并提出建议，保证公司发展规划和战略决</w:t>
      </w:r>
      <w:r>
        <w:rPr>
          <w:spacing w:val="-66"/>
        </w:rPr>
        <w:t> </w:t>
      </w:r>
      <w:r>
        <w:rPr>
          <w:spacing w:val="-66"/>
        </w:rPr>
      </w:r>
      <w:r>
        <w:rPr/>
        <w:t>策的科学性，为公司持续、稳健发展提供了战略层面的支持。</w:t>
      </w:r>
    </w:p>
    <w:p>
      <w:pPr>
        <w:pStyle w:val="BodyText"/>
        <w:spacing w:line="300" w:lineRule="auto" w:before="19"/>
        <w:ind w:left="514" w:right="0"/>
        <w:jc w:val="left"/>
      </w:pPr>
      <w:r>
        <w:rPr>
          <w:rFonts w:ascii="Times New Roman" w:hAnsi="Times New Roman" w:cs="Times New Roman" w:eastAsia="Times New Roman" w:hint="default"/>
        </w:rPr>
        <w:t>3</w:t>
      </w:r>
      <w:r>
        <w:rPr/>
        <w:t>、董事会提名委员会履职情况 </w:t>
      </w:r>
      <w:r>
        <w:rPr>
          <w:spacing w:val="-2"/>
        </w:rPr>
        <w:t>报告期内，董事会提名委员会共召开了</w:t>
      </w:r>
      <w:r>
        <w:rPr>
          <w:rFonts w:ascii="Times New Roman" w:hAnsi="Times New Roman" w:cs="Times New Roman" w:eastAsia="Times New Roman" w:hint="default"/>
          <w:spacing w:val="-2"/>
        </w:rPr>
        <w:t>1</w:t>
      </w:r>
      <w:r>
        <w:rPr>
          <w:spacing w:val="-2"/>
        </w:rPr>
        <w:t>次会议，切实履行职责，对公司第五届董事会高级管理人员候选人的个人履历、</w:t>
      </w:r>
    </w:p>
    <w:p>
      <w:pPr>
        <w:pStyle w:val="BodyText"/>
        <w:spacing w:line="309" w:lineRule="auto" w:before="13"/>
        <w:ind w:left="514" w:right="1122" w:hanging="360"/>
        <w:jc w:val="left"/>
      </w:pPr>
      <w:r>
        <w:rPr/>
        <w:t>任职资格、工作实绩等情况进行审查，保障相关人事决策合规和符合公司人力资源需要。 </w:t>
      </w:r>
      <w:r>
        <w:rPr>
          <w:rFonts w:ascii="Times New Roman" w:hAnsi="Times New Roman" w:cs="Times New Roman" w:eastAsia="Times New Roman" w:hint="default"/>
        </w:rPr>
        <w:t>4</w:t>
      </w:r>
      <w:r>
        <w:rPr/>
        <w:t>、董事会薪酬与考核委员会履职情况 报告期内，董事会薪酬与考核委员会共召开了</w:t>
      </w:r>
      <w:r>
        <w:rPr>
          <w:rFonts w:ascii="Times New Roman" w:hAnsi="Times New Roman" w:cs="Times New Roman" w:eastAsia="Times New Roman" w:hint="default"/>
        </w:rPr>
        <w:t>1</w:t>
      </w:r>
      <w:r>
        <w:rPr/>
        <w:t>次会议，根据对公司管理层的绩效考核，确定了公司管理层年度的绩效</w:t>
      </w:r>
    </w:p>
    <w:p>
      <w:pPr>
        <w:pStyle w:val="BodyText"/>
        <w:spacing w:line="240" w:lineRule="auto" w:before="5"/>
        <w:ind w:right="0"/>
        <w:jc w:val="left"/>
      </w:pPr>
      <w:r>
        <w:rPr/>
        <w:t>薪酬总额。</w:t>
      </w:r>
    </w:p>
    <w:p>
      <w:pPr>
        <w:pStyle w:val="BodyText"/>
        <w:spacing w:line="300" w:lineRule="auto" w:before="77"/>
        <w:ind w:left="514" w:right="1122"/>
        <w:jc w:val="left"/>
      </w:pPr>
      <w:r>
        <w:rPr>
          <w:rFonts w:ascii="Times New Roman" w:hAnsi="Times New Roman" w:cs="Times New Roman" w:eastAsia="Times New Roman" w:hint="default"/>
        </w:rPr>
        <w:t>5</w:t>
      </w:r>
      <w:r>
        <w:rPr/>
        <w:t>、董事会信息披露委员会履职情况 报告期内，董事会信息披露委员会共召开了</w:t>
      </w:r>
      <w:r>
        <w:rPr>
          <w:rFonts w:ascii="Times New Roman" w:hAnsi="Times New Roman" w:cs="Times New Roman" w:eastAsia="Times New Roman" w:hint="default"/>
        </w:rPr>
        <w:t>2</w:t>
      </w:r>
      <w:r>
        <w:rPr/>
        <w:t>次会议，就公司信息披露工作总结和相关计划的事项进行了审议，董事会</w:t>
      </w:r>
    </w:p>
    <w:p>
      <w:pPr>
        <w:pStyle w:val="BodyText"/>
        <w:spacing w:line="316" w:lineRule="auto" w:before="13"/>
        <w:ind w:right="0"/>
        <w:jc w:val="left"/>
      </w:pPr>
      <w:r>
        <w:rPr>
          <w:spacing w:val="-2"/>
        </w:rPr>
        <w:t>信息披露委员会对公司信息披露工作进行阶段性总结，并周密部署下阶段的工作安排，推动建立、完善信息披露内部控制机</w:t>
      </w:r>
      <w:r>
        <w:rPr>
          <w:spacing w:val="-66"/>
        </w:rPr>
        <w:t> </w:t>
      </w:r>
      <w:r>
        <w:rPr>
          <w:spacing w:val="-66"/>
        </w:rPr>
      </w:r>
      <w:r>
        <w:rPr/>
        <w:t>制，确保了公司的信息披露合法合规。</w:t>
      </w: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6"/>
          <w:szCs w:val="26"/>
        </w:rPr>
      </w:pPr>
    </w:p>
    <w:p>
      <w:pPr>
        <w:pStyle w:val="Heading2"/>
        <w:spacing w:line="240" w:lineRule="auto"/>
        <w:ind w:right="0"/>
        <w:jc w:val="left"/>
        <w:rPr>
          <w:b w:val="0"/>
          <w:bCs w:val="0"/>
        </w:rPr>
      </w:pPr>
      <w:bookmarkStart w:name="七、监事会工作情况" w:id="145"/>
      <w:bookmarkEnd w:id="145"/>
      <w:r>
        <w:rPr>
          <w:b w:val="0"/>
          <w:bCs w:val="0"/>
        </w:rPr>
      </w:r>
      <w:r>
        <w:rPr/>
        <w:t>七、监事会工作情况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监事会在报告期内的监督活动中发现公司是否存在风险</w:t>
      </w:r>
    </w:p>
    <w:p>
      <w:pPr>
        <w:pStyle w:val="BodyText"/>
        <w:spacing w:line="340" w:lineRule="auto" w:before="116"/>
        <w:ind w:right="769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监事会对报告期内的监督事项无异议。</w:t>
      </w:r>
    </w:p>
    <w:p>
      <w:pPr>
        <w:spacing w:line="240" w:lineRule="auto" w:before="3"/>
        <w:rPr>
          <w:rFonts w:ascii="宋体" w:hAnsi="宋体" w:cs="宋体" w:eastAsia="宋体" w:hint="default"/>
          <w:sz w:val="19"/>
          <w:szCs w:val="19"/>
        </w:rPr>
      </w:pPr>
    </w:p>
    <w:p>
      <w:pPr>
        <w:pStyle w:val="Heading2"/>
        <w:spacing w:line="240" w:lineRule="auto"/>
        <w:ind w:right="0"/>
        <w:jc w:val="left"/>
        <w:rPr>
          <w:b w:val="0"/>
          <w:bCs w:val="0"/>
        </w:rPr>
      </w:pPr>
      <w:bookmarkStart w:name="八、高级管理人员的考评及激励情况" w:id="146"/>
      <w:bookmarkEnd w:id="146"/>
      <w:r>
        <w:rPr>
          <w:b w:val="0"/>
          <w:bCs w:val="0"/>
        </w:rPr>
      </w:r>
      <w:r>
        <w:rPr/>
        <w:t>八、高级管理人员的考评及激励情况</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right="1131" w:firstLine="360"/>
        <w:jc w:val="both"/>
      </w:pPr>
      <w:r>
        <w:rPr>
          <w:spacing w:val="-2"/>
        </w:rPr>
        <w:t>公司已经建立起符合现代企业管理制度的绩效考评机制，每年对包括高级管理人员在内的全体员工实施年度目标责任考</w:t>
      </w:r>
      <w:r>
        <w:rPr/>
        <w:t> </w:t>
      </w:r>
      <w:r>
        <w:rPr>
          <w:spacing w:val="-2"/>
        </w:rPr>
        <w:t>核，依照公司全年经营目标完成情况和年度个人考核评价结果，决定高级管理人员的薪酬发放和调整。董事会下设薪酬与考</w:t>
      </w:r>
      <w:r>
        <w:rPr>
          <w:spacing w:val="-66"/>
        </w:rPr>
        <w:t> </w:t>
      </w:r>
      <w:r>
        <w:rPr>
          <w:spacing w:val="-66"/>
        </w:rPr>
      </w:r>
      <w:r>
        <w:rPr>
          <w:spacing w:val="-2"/>
        </w:rPr>
        <w:t>核委员会，薪酬与考核委员会根据《董事会薪酬与考核委员会工作细则》，对公司经营层高管的业绩完成情况进行复核，强</w:t>
      </w:r>
      <w:r>
        <w:rPr>
          <w:spacing w:val="-66"/>
        </w:rPr>
        <w:t> </w:t>
      </w:r>
      <w:r>
        <w:rPr>
          <w:spacing w:val="-66"/>
        </w:rPr>
      </w:r>
      <w:r>
        <w:rPr/>
        <w:t>化了对高级管理人员的绩效考评，有力地调动了高级管理人员的工作积极性和创造性。</w:t>
      </w:r>
    </w:p>
    <w:p>
      <w:pPr>
        <w:spacing w:after="0" w:line="319" w:lineRule="auto"/>
        <w:jc w:val="both"/>
        <w:sectPr>
          <w:pgSz w:w="11910" w:h="16840"/>
          <w:pgMar w:header="747" w:footer="979" w:top="1060" w:bottom="1160" w:left="980" w:right="0"/>
        </w:sectPr>
      </w:pPr>
    </w:p>
    <w:p>
      <w:pPr>
        <w:spacing w:line="240" w:lineRule="auto" w:before="9"/>
        <w:rPr>
          <w:rFonts w:ascii="宋体" w:hAnsi="宋体" w:cs="宋体" w:eastAsia="宋体" w:hint="default"/>
          <w:sz w:val="23"/>
          <w:szCs w:val="23"/>
        </w:rPr>
      </w:pPr>
      <w:r>
        <w:rPr/>
        <w:pict>
          <v:group style="position:absolute;margin-left:383.980011pt;margin-top:551.73999pt;width:149.8pt;height:31.2pt;mso-position-horizontal-relative:page;mso-position-vertical-relative:page;z-index:-1231384" coordorigin="7680,11035" coordsize="2996,624">
            <v:group style="position:absolute;left:7680;top:11035;width:2996;height:312" coordorigin="7680,11035" coordsize="2996,312">
              <v:shape style="position:absolute;left:7680;top:11035;width:2996;height:312" coordorigin="7680,11035" coordsize="2996,312" path="m7680,11347l10675,11347,10675,11035,7680,11035,7680,11347xe" filled="true" fillcolor="#ffffff" stroked="false">
                <v:path arrowok="t"/>
                <v:fill type="solid"/>
              </v:shape>
            </v:group>
            <v:group style="position:absolute;left:7680;top:11347;width:2996;height:312" coordorigin="7680,11347" coordsize="2996,312">
              <v:shape style="position:absolute;left:7680;top:11347;width:2996;height:312" coordorigin="7680,11347" coordsize="2996,312" path="m7680,11659l10675,11659,10675,11347,7680,11347,7680,11659xe" filled="true" fillcolor="#ffffff" stroked="false">
                <v:path arrowok="t"/>
                <v:fill type="solid"/>
              </v:shape>
            </v:group>
            <w10:wrap type="none"/>
          </v:group>
        </w:pict>
      </w:r>
    </w:p>
    <w:p>
      <w:pPr>
        <w:pStyle w:val="Heading2"/>
        <w:spacing w:line="240" w:lineRule="auto" w:before="26"/>
        <w:ind w:right="0"/>
        <w:jc w:val="left"/>
        <w:rPr>
          <w:b w:val="0"/>
          <w:bCs w:val="0"/>
        </w:rPr>
      </w:pPr>
      <w:bookmarkStart w:name="九、内部控制评价报告" w:id="147"/>
      <w:bookmarkEnd w:id="147"/>
      <w:r>
        <w:rPr>
          <w:b w:val="0"/>
          <w:bCs w:val="0"/>
        </w:rPr>
      </w:r>
      <w:r>
        <w:rPr/>
        <w:t>九、内部控制评价报告</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报告期内发现的内部控制重大缺陷的具体情况" w:id="148"/>
      <w:bookmarkEnd w:id="148"/>
      <w:r>
        <w:rPr>
          <w:b w:val="0"/>
          <w:bCs w:val="0"/>
        </w:rPr>
      </w:r>
      <w:r>
        <w:rPr>
          <w:rFonts w:ascii="Times New Roman" w:hAnsi="Times New Roman" w:cs="Times New Roman" w:eastAsia="Times New Roman" w:hint="default"/>
        </w:rPr>
        <w:t>1</w:t>
      </w:r>
      <w:r>
        <w:rPr/>
        <w:t>、报告期内发现的内部控制重大缺陷的具体情况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2、内控自我评价报告" w:id="149"/>
      <w:bookmarkEnd w:id="149"/>
      <w:r>
        <w:rPr>
          <w:b w:val="0"/>
          <w:bCs w:val="0"/>
        </w:rPr>
      </w:r>
      <w:r>
        <w:rPr>
          <w:rFonts w:ascii="Times New Roman" w:hAnsi="Times New Roman" w:cs="Times New Roman" w:eastAsia="Times New Roman" w:hint="default"/>
        </w:rPr>
        <w:t>2</w:t>
      </w:r>
      <w:r>
        <w:rPr/>
        <w:t>、内控自我评价报告</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189"/>
        <w:gridCol w:w="3341"/>
        <w:gridCol w:w="3039"/>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内部控制评价报告全文披露日期</w:t>
            </w:r>
          </w:p>
        </w:tc>
        <w:tc>
          <w:tcPr>
            <w:tcW w:w="638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内部控制评价报告全文披露索引</w:t>
            </w:r>
          </w:p>
        </w:tc>
        <w:tc>
          <w:tcPr>
            <w:tcW w:w="638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714"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94"/>
              <w:jc w:val="left"/>
              <w:rPr>
                <w:rFonts w:ascii="宋体" w:hAnsi="宋体" w:cs="宋体" w:eastAsia="宋体" w:hint="default"/>
                <w:sz w:val="18"/>
                <w:szCs w:val="18"/>
              </w:rPr>
            </w:pPr>
            <w:r>
              <w:rPr>
                <w:rFonts w:ascii="宋体" w:hAnsi="宋体" w:cs="宋体" w:eastAsia="宋体" w:hint="default"/>
                <w:sz w:val="18"/>
                <w:szCs w:val="18"/>
              </w:rPr>
              <w:t>纳入评价范围单位资产总额占公司合并 财务报表资产总额的比例</w:t>
            </w:r>
          </w:p>
        </w:tc>
        <w:tc>
          <w:tcPr>
            <w:tcW w:w="638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r>
      <w:tr>
        <w:trPr>
          <w:trHeight w:val="715"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94"/>
              <w:jc w:val="left"/>
              <w:rPr>
                <w:rFonts w:ascii="宋体" w:hAnsi="宋体" w:cs="宋体" w:eastAsia="宋体" w:hint="default"/>
                <w:sz w:val="18"/>
                <w:szCs w:val="18"/>
              </w:rPr>
            </w:pPr>
            <w:r>
              <w:rPr>
                <w:rFonts w:ascii="宋体" w:hAnsi="宋体" w:cs="宋体" w:eastAsia="宋体" w:hint="default"/>
                <w:sz w:val="18"/>
                <w:szCs w:val="18"/>
              </w:rPr>
              <w:t>纳入评价范围单位营业收入占公司合并 财务报表营业收入的比例</w:t>
            </w:r>
          </w:p>
        </w:tc>
        <w:tc>
          <w:tcPr>
            <w:tcW w:w="638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956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缺陷认定标准</w:t>
            </w:r>
          </w:p>
        </w:tc>
      </w:tr>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3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
              <w:jc w:val="center"/>
              <w:rPr>
                <w:rFonts w:ascii="宋体" w:hAnsi="宋体" w:cs="宋体" w:eastAsia="宋体" w:hint="default"/>
                <w:sz w:val="18"/>
                <w:szCs w:val="18"/>
              </w:rPr>
            </w:pPr>
            <w:r>
              <w:rPr>
                <w:rFonts w:ascii="宋体" w:hAnsi="宋体" w:cs="宋体" w:eastAsia="宋体" w:hint="default"/>
                <w:sz w:val="18"/>
                <w:szCs w:val="18"/>
              </w:rPr>
              <w:t>财务报告</w:t>
            </w:r>
          </w:p>
        </w:tc>
        <w:tc>
          <w:tcPr>
            <w:tcW w:w="30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9"/>
              <w:jc w:val="center"/>
              <w:rPr>
                <w:rFonts w:ascii="宋体" w:hAnsi="宋体" w:cs="宋体" w:eastAsia="宋体" w:hint="default"/>
                <w:sz w:val="18"/>
                <w:szCs w:val="18"/>
              </w:rPr>
            </w:pPr>
            <w:r>
              <w:rPr>
                <w:rFonts w:ascii="宋体" w:hAnsi="宋体" w:cs="宋体" w:eastAsia="宋体" w:hint="default"/>
                <w:sz w:val="18"/>
                <w:szCs w:val="18"/>
              </w:rPr>
              <w:t>非财务报告</w:t>
            </w:r>
          </w:p>
        </w:tc>
      </w:tr>
      <w:tr>
        <w:trPr>
          <w:trHeight w:val="2658" w:hRule="exact"/>
        </w:trPr>
        <w:tc>
          <w:tcPr>
            <w:tcW w:w="3189" w:type="dxa"/>
            <w:tcBorders>
              <w:top w:val="single" w:sz="4" w:space="0" w:color="000000"/>
              <w:left w:val="single" w:sz="4" w:space="0" w:color="000000"/>
              <w:bottom w:val="nil" w:sz="6" w:space="0" w:color="auto"/>
              <w:right w:val="single" w:sz="4" w:space="0" w:color="000000"/>
            </w:tcBorders>
            <w:shd w:val="clear" w:color="auto" w:fill="D2D2D2"/>
          </w:tcPr>
          <w:p>
            <w:pPr/>
          </w:p>
        </w:tc>
        <w:tc>
          <w:tcPr>
            <w:tcW w:w="3341" w:type="dxa"/>
            <w:vMerge w:val="restart"/>
            <w:tcBorders>
              <w:top w:val="single" w:sz="4" w:space="0" w:color="000000"/>
              <w:left w:val="single" w:sz="9" w:space="0" w:color="D2D2D2"/>
              <w:right w:val="single" w:sz="9" w:space="0" w:color="FFFFFF"/>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出现下列情形之一的，认定为重大缺陷：</w:t>
            </w:r>
          </w:p>
          <w:p>
            <w:pPr>
              <w:pStyle w:val="TableParagraph"/>
              <w:spacing w:line="316" w:lineRule="auto" w:before="75"/>
              <w:ind w:left="22" w:right="25"/>
              <w:jc w:val="both"/>
              <w:rPr>
                <w:rFonts w:ascii="宋体" w:hAnsi="宋体" w:cs="宋体" w:eastAsia="宋体" w:hint="default"/>
                <w:sz w:val="18"/>
                <w:szCs w:val="18"/>
              </w:rPr>
            </w:pPr>
            <w:r>
              <w:rPr>
                <w:rFonts w:ascii="宋体" w:hAnsi="宋体" w:cs="宋体" w:eastAsia="宋体" w:hint="default"/>
                <w:sz w:val="18"/>
                <w:szCs w:val="18"/>
              </w:rPr>
              <w:t>①公司控制环境无效；</w:t>
            </w:r>
            <w:r>
              <w:rPr>
                <w:rFonts w:ascii="宋体" w:hAnsi="宋体" w:cs="宋体" w:eastAsia="宋体" w:hint="default"/>
                <w:spacing w:val="-31"/>
                <w:sz w:val="18"/>
                <w:szCs w:val="18"/>
              </w:rPr>
              <w:t> </w:t>
            </w:r>
            <w:r>
              <w:rPr>
                <w:rFonts w:ascii="宋体" w:hAnsi="宋体" w:cs="宋体" w:eastAsia="宋体" w:hint="default"/>
                <w:spacing w:val="-4"/>
                <w:sz w:val="18"/>
                <w:szCs w:val="18"/>
              </w:rPr>
              <w:t>②公司董事、监事</w:t>
            </w:r>
            <w:r>
              <w:rPr>
                <w:rFonts w:ascii="宋体" w:hAnsi="宋体" w:cs="宋体" w:eastAsia="宋体" w:hint="default"/>
                <w:sz w:val="18"/>
                <w:szCs w:val="18"/>
              </w:rPr>
              <w:t> 和高级管理人员舞弊；③对已经公告的财 务报告出现的重大差错进行错报更正（由 于政策变化或其他客观因素变化导致的对 </w:t>
            </w:r>
            <w:r>
              <w:rPr>
                <w:rFonts w:ascii="宋体" w:hAnsi="宋体" w:cs="宋体" w:eastAsia="宋体" w:hint="default"/>
                <w:spacing w:val="-9"/>
                <w:sz w:val="18"/>
                <w:szCs w:val="18"/>
              </w:rPr>
              <w:t>以前年度的追溯调整除外）；④注册会计师</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发现当期财务报表存在重大错报，而公司 内部控制在运行过程中未能发现该错报；</w:t>
            </w:r>
          </w:p>
          <w:p>
            <w:pPr>
              <w:pStyle w:val="TableParagraph"/>
              <w:spacing w:line="319" w:lineRule="auto" w:before="19"/>
              <w:ind w:left="22" w:right="25"/>
              <w:jc w:val="left"/>
              <w:rPr>
                <w:rFonts w:ascii="宋体" w:hAnsi="宋体" w:cs="宋体" w:eastAsia="宋体" w:hint="default"/>
                <w:sz w:val="18"/>
                <w:szCs w:val="18"/>
              </w:rPr>
            </w:pPr>
            <w:r>
              <w:rPr>
                <w:rFonts w:ascii="宋体" w:hAnsi="宋体" w:cs="宋体" w:eastAsia="宋体" w:hint="default"/>
                <w:sz w:val="18"/>
                <w:szCs w:val="18"/>
              </w:rPr>
              <w:t>⑤公司审计委员会和审计部门对内部控制 的监督无效。出现下列情形之一的，认定 为重要缺陷：</w:t>
            </w:r>
            <w:r>
              <w:rPr>
                <w:rFonts w:ascii="宋体" w:hAnsi="宋体" w:cs="宋体" w:eastAsia="宋体" w:hint="default"/>
                <w:spacing w:val="-64"/>
                <w:sz w:val="18"/>
                <w:szCs w:val="18"/>
              </w:rPr>
              <w:t> </w:t>
            </w:r>
            <w:r>
              <w:rPr>
                <w:rFonts w:ascii="宋体" w:hAnsi="宋体" w:cs="宋体" w:eastAsia="宋体" w:hint="default"/>
                <w:sz w:val="18"/>
                <w:szCs w:val="18"/>
              </w:rPr>
              <w:t>①未依照公认会计准则选择</w:t>
            </w:r>
            <w:r>
              <w:rPr>
                <w:rFonts w:ascii="宋体" w:hAnsi="宋体" w:cs="宋体" w:eastAsia="宋体" w:hint="default"/>
                <w:sz w:val="18"/>
                <w:szCs w:val="18"/>
              </w:rPr>
              <w:t> 和应用会计政策；</w:t>
            </w:r>
            <w:r>
              <w:rPr>
                <w:rFonts w:ascii="宋体" w:hAnsi="宋体" w:cs="宋体" w:eastAsia="宋体" w:hint="default"/>
                <w:spacing w:val="-63"/>
                <w:sz w:val="18"/>
                <w:szCs w:val="18"/>
              </w:rPr>
              <w:t> </w:t>
            </w:r>
            <w:r>
              <w:rPr>
                <w:rFonts w:ascii="宋体" w:hAnsi="宋体" w:cs="宋体" w:eastAsia="宋体" w:hint="default"/>
                <w:sz w:val="18"/>
                <w:szCs w:val="18"/>
              </w:rPr>
              <w:t>②未建立反舞弊程序和</w:t>
            </w:r>
            <w:r>
              <w:rPr>
                <w:rFonts w:ascii="宋体" w:hAnsi="宋体" w:cs="宋体" w:eastAsia="宋体" w:hint="default"/>
                <w:sz w:val="18"/>
                <w:szCs w:val="18"/>
              </w:rPr>
              <w:t> 控制措施；</w:t>
            </w:r>
            <w:r>
              <w:rPr>
                <w:rFonts w:ascii="宋体" w:hAnsi="宋体" w:cs="宋体" w:eastAsia="宋体" w:hint="default"/>
                <w:spacing w:val="-63"/>
                <w:sz w:val="18"/>
                <w:szCs w:val="18"/>
              </w:rPr>
              <w:t> </w:t>
            </w:r>
            <w:r>
              <w:rPr>
                <w:rFonts w:ascii="宋体" w:hAnsi="宋体" w:cs="宋体" w:eastAsia="宋体" w:hint="default"/>
                <w:sz w:val="18"/>
                <w:szCs w:val="18"/>
              </w:rPr>
              <w:t>③财务报告过程中出现单独或</w:t>
            </w:r>
            <w:r>
              <w:rPr>
                <w:rFonts w:ascii="宋体" w:hAnsi="宋体" w:cs="宋体" w:eastAsia="宋体" w:hint="default"/>
                <w:sz w:val="18"/>
                <w:szCs w:val="18"/>
              </w:rPr>
              <w:t> </w:t>
            </w:r>
            <w:r>
              <w:rPr>
                <w:rFonts w:ascii="宋体" w:hAnsi="宋体" w:cs="宋体" w:eastAsia="宋体" w:hint="default"/>
                <w:spacing w:val="-4"/>
                <w:sz w:val="18"/>
                <w:szCs w:val="18"/>
              </w:rPr>
              <w:t>多项缺陷，虽然未达到重大缺陷认定标准</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但影响到财务报告的真实、准确目标。</w:t>
            </w:r>
            <w:r>
              <w:rPr>
                <w:rFonts w:ascii="宋体" w:hAnsi="宋体" w:cs="宋体" w:eastAsia="宋体" w:hint="default"/>
                <w:spacing w:val="-54"/>
                <w:sz w:val="18"/>
                <w:szCs w:val="18"/>
              </w:rPr>
              <w:t> </w:t>
            </w:r>
            <w:r>
              <w:rPr>
                <w:rFonts w:ascii="宋体" w:hAnsi="宋体" w:cs="宋体" w:eastAsia="宋体" w:hint="default"/>
                <w:sz w:val="18"/>
                <w:szCs w:val="18"/>
              </w:rPr>
              <w:t>一</w:t>
            </w:r>
            <w:r>
              <w:rPr>
                <w:rFonts w:ascii="宋体" w:hAnsi="宋体" w:cs="宋体" w:eastAsia="宋体" w:hint="default"/>
                <w:sz w:val="18"/>
                <w:szCs w:val="18"/>
              </w:rPr>
              <w:t> 般缺陷：未构成重大缺陷、重要缺陷标准 的其他内部控制缺陷。</w:t>
            </w:r>
          </w:p>
        </w:tc>
        <w:tc>
          <w:tcPr>
            <w:tcW w:w="3039" w:type="dxa"/>
            <w:vMerge w:val="restart"/>
            <w:tcBorders>
              <w:top w:val="single" w:sz="4" w:space="0" w:color="000000"/>
              <w:left w:val="single" w:sz="9" w:space="0" w:color="FFFFFF"/>
              <w:right w:val="single" w:sz="4" w:space="0" w:color="000000"/>
            </w:tcBorders>
          </w:tcPr>
          <w:p>
            <w:pPr>
              <w:pStyle w:val="TableParagraph"/>
              <w:spacing w:line="316" w:lineRule="auto" w:before="52"/>
              <w:ind w:left="4" w:right="-42"/>
              <w:jc w:val="left"/>
              <w:rPr>
                <w:rFonts w:ascii="宋体" w:hAnsi="宋体" w:cs="宋体" w:eastAsia="宋体" w:hint="default"/>
                <w:sz w:val="18"/>
                <w:szCs w:val="18"/>
              </w:rPr>
            </w:pPr>
            <w:r>
              <w:rPr>
                <w:rFonts w:ascii="宋体" w:hAnsi="宋体" w:cs="宋体" w:eastAsia="宋体" w:hint="default"/>
                <w:spacing w:val="-4"/>
                <w:sz w:val="18"/>
                <w:szCs w:val="18"/>
              </w:rPr>
              <w:t>如果缺陷发生的可能性高，会严重降低</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工作效率或效果、或严重加大效果的不</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确定性、或使之严重偏离预期目标为重</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大缺陷；如果缺陷发生的可能性较高， </w:t>
            </w:r>
            <w:r>
              <w:rPr>
                <w:rFonts w:ascii="宋体" w:hAnsi="宋体" w:cs="宋体" w:eastAsia="宋体" w:hint="default"/>
                <w:spacing w:val="-4"/>
                <w:sz w:val="18"/>
                <w:szCs w:val="18"/>
              </w:rPr>
              <w:t>会显著降低工作效率或效果、或显著加</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大效果的不确定性、或使之显著偏离预</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期目标为重要缺陷；如果缺陷发生的可</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能性较小，会降低工作效率或效果、或</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4"/>
                <w:sz w:val="18"/>
                <w:szCs w:val="18"/>
              </w:rPr>
              <w:t>加大效果的不确定性、或使之偏离预期</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目标为一般缺陷。出现以下情形的，认</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4"/>
                <w:sz w:val="18"/>
                <w:szCs w:val="18"/>
              </w:rPr>
              <w:t>定为重大缺陷，其他情形按影响程度分</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别确定为重要缺陷或一般缺陷：①违反</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国家法律、法规或规范性文件；②决策</w:t>
            </w:r>
          </w:p>
          <w:p>
            <w:pPr>
              <w:pStyle w:val="TableParagraph"/>
              <w:spacing w:line="196" w:lineRule="exact" w:before="19"/>
              <w:ind w:left="4" w:right="0"/>
              <w:jc w:val="left"/>
              <w:rPr>
                <w:rFonts w:ascii="宋体" w:hAnsi="宋体" w:cs="宋体" w:eastAsia="宋体" w:hint="default"/>
                <w:sz w:val="18"/>
                <w:szCs w:val="18"/>
              </w:rPr>
            </w:pPr>
            <w:r>
              <w:rPr>
                <w:rFonts w:ascii="宋体" w:hAnsi="宋体" w:cs="宋体" w:eastAsia="宋体" w:hint="default"/>
                <w:spacing w:val="-4"/>
                <w:sz w:val="18"/>
                <w:szCs w:val="18"/>
              </w:rPr>
              <w:t>程序不科学导致重大决策失误；③重要</w:t>
            </w:r>
          </w:p>
          <w:p>
            <w:pPr>
              <w:pStyle w:val="TableParagraph"/>
              <w:spacing w:line="156" w:lineRule="exact"/>
              <w:ind w:left="-143"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96" w:lineRule="exact"/>
              <w:ind w:left="4" w:right="-42"/>
              <w:jc w:val="left"/>
              <w:rPr>
                <w:rFonts w:ascii="宋体" w:hAnsi="宋体" w:cs="宋体" w:eastAsia="宋体" w:hint="default"/>
                <w:sz w:val="18"/>
                <w:szCs w:val="18"/>
              </w:rPr>
            </w:pPr>
            <w:r>
              <w:rPr>
                <w:rFonts w:ascii="宋体" w:hAnsi="宋体" w:cs="宋体" w:eastAsia="宋体" w:hint="default"/>
                <w:sz w:val="18"/>
                <w:szCs w:val="18"/>
              </w:rPr>
              <w:t>业务缺乏制度控制或制度系统性失效；</w:t>
            </w:r>
          </w:p>
          <w:p>
            <w:pPr>
              <w:pStyle w:val="TableParagraph"/>
              <w:spacing w:line="319" w:lineRule="auto" w:before="76"/>
              <w:ind w:left="4" w:right="20"/>
              <w:jc w:val="left"/>
              <w:rPr>
                <w:rFonts w:ascii="宋体" w:hAnsi="宋体" w:cs="宋体" w:eastAsia="宋体" w:hint="default"/>
                <w:sz w:val="18"/>
                <w:szCs w:val="18"/>
              </w:rPr>
            </w:pPr>
            <w:r>
              <w:rPr>
                <w:rFonts w:ascii="宋体" w:hAnsi="宋体" w:cs="宋体" w:eastAsia="宋体" w:hint="default"/>
                <w:sz w:val="18"/>
                <w:szCs w:val="18"/>
              </w:rPr>
              <w:t>④内部控制评价的结果特别是重大或 </w:t>
            </w:r>
            <w:r>
              <w:rPr>
                <w:rFonts w:ascii="宋体" w:hAnsi="宋体" w:cs="宋体" w:eastAsia="宋体" w:hint="default"/>
                <w:spacing w:val="-4"/>
                <w:sz w:val="18"/>
                <w:szCs w:val="18"/>
              </w:rPr>
              <w:t>重要缺陷未得到整改；⑤安全、环保事</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故对公司造成重大负面影响的情形。</w:t>
            </w:r>
          </w:p>
        </w:tc>
      </w:tr>
      <w:tr>
        <w:trPr>
          <w:trHeight w:val="391" w:hRule="exact"/>
        </w:trPr>
        <w:tc>
          <w:tcPr>
            <w:tcW w:w="318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定性标准</w:t>
            </w:r>
          </w:p>
        </w:tc>
        <w:tc>
          <w:tcPr>
            <w:tcW w:w="3341" w:type="dxa"/>
            <w:vMerge/>
            <w:tcBorders>
              <w:left w:val="single" w:sz="9" w:space="0" w:color="D2D2D2"/>
              <w:right w:val="single" w:sz="9" w:space="0" w:color="FFFFFF"/>
            </w:tcBorders>
          </w:tcPr>
          <w:p>
            <w:pPr/>
          </w:p>
        </w:tc>
        <w:tc>
          <w:tcPr>
            <w:tcW w:w="3039" w:type="dxa"/>
            <w:vMerge/>
            <w:tcBorders>
              <w:left w:val="single" w:sz="9" w:space="0" w:color="FFFFFF"/>
              <w:right w:val="single" w:sz="4" w:space="0" w:color="000000"/>
            </w:tcBorders>
          </w:tcPr>
          <w:p>
            <w:pPr/>
          </w:p>
        </w:tc>
      </w:tr>
      <w:tr>
        <w:trPr>
          <w:trHeight w:val="2657" w:hRule="exact"/>
        </w:trPr>
        <w:tc>
          <w:tcPr>
            <w:tcW w:w="3189" w:type="dxa"/>
            <w:tcBorders>
              <w:top w:val="nil" w:sz="6" w:space="0" w:color="auto"/>
              <w:left w:val="single" w:sz="4" w:space="0" w:color="000000"/>
              <w:bottom w:val="single" w:sz="4" w:space="0" w:color="000000"/>
              <w:right w:val="single" w:sz="4" w:space="0" w:color="000000"/>
            </w:tcBorders>
            <w:shd w:val="clear" w:color="auto" w:fill="D2D2D2"/>
          </w:tcPr>
          <w:p>
            <w:pPr/>
          </w:p>
        </w:tc>
        <w:tc>
          <w:tcPr>
            <w:tcW w:w="3341" w:type="dxa"/>
            <w:vMerge/>
            <w:tcBorders>
              <w:left w:val="single" w:sz="9" w:space="0" w:color="D2D2D2"/>
              <w:bottom w:val="single" w:sz="4" w:space="0" w:color="000000"/>
              <w:right w:val="single" w:sz="9" w:space="0" w:color="FFFFFF"/>
            </w:tcBorders>
          </w:tcPr>
          <w:p>
            <w:pPr/>
          </w:p>
        </w:tc>
        <w:tc>
          <w:tcPr>
            <w:tcW w:w="3039" w:type="dxa"/>
            <w:vMerge/>
            <w:tcBorders>
              <w:left w:val="single" w:sz="9" w:space="0" w:color="FFFFFF"/>
              <w:bottom w:val="single" w:sz="4" w:space="0" w:color="000000"/>
              <w:right w:val="single" w:sz="4" w:space="0" w:color="000000"/>
            </w:tcBorders>
          </w:tcPr>
          <w:p>
            <w:pPr/>
          </w:p>
        </w:tc>
      </w:tr>
      <w:tr>
        <w:trPr>
          <w:trHeight w:val="1078" w:hRule="exact"/>
        </w:trPr>
        <w:tc>
          <w:tcPr>
            <w:tcW w:w="3189" w:type="dxa"/>
            <w:tcBorders>
              <w:top w:val="single" w:sz="4" w:space="0" w:color="000000"/>
              <w:left w:val="single" w:sz="4" w:space="0" w:color="000000"/>
              <w:bottom w:val="nil" w:sz="6" w:space="0" w:color="auto"/>
              <w:right w:val="single" w:sz="4" w:space="0" w:color="000000"/>
            </w:tcBorders>
            <w:shd w:val="clear" w:color="auto" w:fill="D2D2D2"/>
          </w:tcPr>
          <w:p>
            <w:pPr/>
          </w:p>
        </w:tc>
        <w:tc>
          <w:tcPr>
            <w:tcW w:w="3341" w:type="dxa"/>
            <w:vMerge w:val="restart"/>
            <w:tcBorders>
              <w:top w:val="single" w:sz="4" w:space="0" w:color="000000"/>
              <w:left w:val="single" w:sz="9" w:space="0" w:color="D2D2D2"/>
              <w:right w:val="single" w:sz="4" w:space="0" w:color="000000"/>
            </w:tcBorders>
          </w:tcPr>
          <w:p>
            <w:pPr>
              <w:pStyle w:val="TableParagraph"/>
              <w:spacing w:line="300" w:lineRule="auto" w:before="52"/>
              <w:ind w:left="22" w:right="32"/>
              <w:jc w:val="left"/>
              <w:rPr>
                <w:rFonts w:ascii="宋体" w:hAnsi="宋体" w:cs="宋体" w:eastAsia="宋体" w:hint="default"/>
                <w:sz w:val="18"/>
                <w:szCs w:val="18"/>
              </w:rPr>
            </w:pPr>
            <w:r>
              <w:rPr>
                <w:rFonts w:ascii="宋体" w:hAnsi="宋体" w:cs="宋体" w:eastAsia="宋体" w:hint="default"/>
                <w:spacing w:val="-4"/>
                <w:sz w:val="18"/>
                <w:szCs w:val="18"/>
              </w:rPr>
              <w:t>资产总额潜在错报：重大缺陷：错报金额</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spacing w:val="-41"/>
                <w:sz w:val="18"/>
                <w:szCs w:val="18"/>
              </w:rPr>
              <w:t> </w:t>
            </w:r>
            <w:r>
              <w:rPr>
                <w:rFonts w:ascii="宋体" w:hAnsi="宋体" w:cs="宋体" w:eastAsia="宋体" w:hint="default"/>
                <w:sz w:val="18"/>
                <w:szCs w:val="18"/>
              </w:rPr>
              <w:t>资产总额的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；重要缺陷：资产总额的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z w:val="18"/>
                <w:szCs w:val="18"/>
              </w:rPr>
              <w:t>≤</w:t>
            </w:r>
            <w:r>
              <w:rPr>
                <w:rFonts w:ascii="宋体" w:hAnsi="宋体" w:cs="宋体" w:eastAsia="宋体" w:hint="default"/>
                <w:sz w:val="18"/>
                <w:szCs w:val="18"/>
              </w:rPr>
              <w:t>错报金额＜资产总额的</w:t>
            </w:r>
            <w:r>
              <w:rPr>
                <w:rFonts w:ascii="宋体" w:hAnsi="宋体" w:cs="宋体" w:eastAsia="宋体" w:hint="default"/>
                <w:spacing w:val="-44"/>
                <w:sz w:val="18"/>
                <w:szCs w:val="18"/>
              </w:rPr>
              <w:t> </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；一般缺</w:t>
            </w:r>
            <w:r>
              <w:rPr>
                <w:rFonts w:ascii="宋体" w:hAnsi="宋体" w:cs="宋体" w:eastAsia="宋体" w:hint="default"/>
                <w:sz w:val="18"/>
                <w:szCs w:val="18"/>
              </w:rPr>
              <w:t> </w:t>
            </w:r>
            <w:r>
              <w:rPr>
                <w:rFonts w:ascii="宋体" w:hAnsi="宋体" w:cs="宋体" w:eastAsia="宋体" w:hint="default"/>
                <w:spacing w:val="-3"/>
                <w:sz w:val="18"/>
                <w:szCs w:val="18"/>
              </w:rPr>
              <w:t>陷：错报金额＜资产总额的</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0.5%</w:t>
            </w:r>
            <w:r>
              <w:rPr>
                <w:rFonts w:ascii="宋体" w:hAnsi="宋体" w:cs="宋体" w:eastAsia="宋体" w:hint="default"/>
                <w:sz w:val="18"/>
                <w:szCs w:val="18"/>
              </w:rPr>
              <w:t>营业收入 潜在错报</w:t>
            </w:r>
            <w:r>
              <w:rPr>
                <w:rFonts w:ascii="Times New Roman" w:hAnsi="Times New Roman" w:cs="Times New Roman" w:eastAsia="Times New Roman" w:hint="default"/>
                <w:sz w:val="18"/>
                <w:szCs w:val="18"/>
              </w:rPr>
              <w:t>:</w:t>
            </w:r>
            <w:r>
              <w:rPr>
                <w:rFonts w:ascii="宋体" w:hAnsi="宋体" w:cs="宋体" w:eastAsia="宋体" w:hint="default"/>
                <w:sz w:val="18"/>
                <w:szCs w:val="18"/>
              </w:rPr>
              <w:t>重大缺陷</w:t>
            </w:r>
            <w:r>
              <w:rPr>
                <w:rFonts w:ascii="Times New Roman" w:hAnsi="Times New Roman" w:cs="Times New Roman" w:eastAsia="Times New Roman" w:hint="default"/>
                <w:sz w:val="18"/>
                <w:szCs w:val="18"/>
              </w:rPr>
              <w:t>:</w:t>
            </w:r>
            <w:r>
              <w:rPr>
                <w:rFonts w:ascii="宋体" w:hAnsi="宋体" w:cs="宋体" w:eastAsia="宋体" w:hint="default"/>
                <w:sz w:val="18"/>
                <w:szCs w:val="18"/>
              </w:rPr>
              <w:t>错报金额</w:t>
            </w:r>
            <w:r>
              <w:rPr>
                <w:rFonts w:ascii="Times New Roman" w:hAnsi="Times New Roman" w:cs="Times New Roman" w:eastAsia="Times New Roman" w:hint="default"/>
                <w:sz w:val="18"/>
                <w:szCs w:val="18"/>
              </w:rPr>
              <w:t>≥</w:t>
            </w:r>
            <w:r>
              <w:rPr>
                <w:rFonts w:ascii="宋体" w:hAnsi="宋体" w:cs="宋体" w:eastAsia="宋体" w:hint="default"/>
                <w:sz w:val="18"/>
                <w:szCs w:val="18"/>
              </w:rPr>
              <w:t>营业收入的 </w:t>
            </w:r>
            <w:r>
              <w:rPr>
                <w:rFonts w:ascii="Times New Roman" w:hAnsi="Times New Roman" w:cs="Times New Roman" w:eastAsia="Times New Roman" w:hint="default"/>
                <w:sz w:val="18"/>
                <w:szCs w:val="18"/>
              </w:rPr>
              <w:t>1%;</w:t>
            </w:r>
            <w:r>
              <w:rPr>
                <w:rFonts w:ascii="宋体" w:hAnsi="宋体" w:cs="宋体" w:eastAsia="宋体" w:hint="default"/>
                <w:sz w:val="18"/>
                <w:szCs w:val="18"/>
              </w:rPr>
              <w:t>重要缺陷</w:t>
            </w:r>
            <w:r>
              <w:rPr>
                <w:rFonts w:ascii="Times New Roman" w:hAnsi="Times New Roman" w:cs="Times New Roman" w:eastAsia="Times New Roman" w:hint="default"/>
                <w:sz w:val="18"/>
                <w:szCs w:val="18"/>
              </w:rPr>
              <w:t>:</w:t>
            </w:r>
            <w:r>
              <w:rPr>
                <w:rFonts w:ascii="宋体" w:hAnsi="宋体" w:cs="宋体" w:eastAsia="宋体" w:hint="default"/>
                <w:sz w:val="18"/>
                <w:szCs w:val="18"/>
              </w:rPr>
              <w:t>一般缺陷</w:t>
            </w:r>
            <w:r>
              <w:rPr>
                <w:rFonts w:ascii="Times New Roman" w:hAnsi="Times New Roman" w:cs="Times New Roman" w:eastAsia="Times New Roman" w:hint="default"/>
                <w:sz w:val="18"/>
                <w:szCs w:val="18"/>
              </w:rPr>
              <w:t>:</w:t>
            </w:r>
            <w:r>
              <w:rPr>
                <w:rFonts w:ascii="宋体" w:hAnsi="宋体" w:cs="宋体" w:eastAsia="宋体" w:hint="default"/>
                <w:sz w:val="18"/>
                <w:szCs w:val="18"/>
              </w:rPr>
              <w:t>错报金额＜营业 收入的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宋体" w:hAnsi="宋体" w:cs="宋体" w:eastAsia="宋体" w:hint="default"/>
                <w:sz w:val="18"/>
                <w:szCs w:val="18"/>
              </w:rPr>
              <w:t>利润总额潜在错报</w:t>
            </w:r>
            <w:r>
              <w:rPr>
                <w:rFonts w:ascii="Times New Roman" w:hAnsi="Times New Roman" w:cs="Times New Roman" w:eastAsia="Times New Roman" w:hint="default"/>
                <w:sz w:val="18"/>
                <w:szCs w:val="18"/>
              </w:rPr>
              <w:t>:</w:t>
            </w:r>
            <w:r>
              <w:rPr>
                <w:rFonts w:ascii="宋体" w:hAnsi="宋体" w:cs="宋体" w:eastAsia="宋体" w:hint="default"/>
                <w:sz w:val="18"/>
                <w:szCs w:val="18"/>
              </w:rPr>
              <w:t>重大缺陷</w:t>
            </w:r>
            <w:r>
              <w:rPr>
                <w:rFonts w:ascii="Times New Roman" w:hAnsi="Times New Roman" w:cs="Times New Roman" w:eastAsia="Times New Roman" w:hint="default"/>
                <w:sz w:val="18"/>
                <w:szCs w:val="18"/>
              </w:rPr>
              <w:t>: </w:t>
            </w:r>
            <w:r>
              <w:rPr>
                <w:rFonts w:ascii="宋体" w:hAnsi="宋体" w:cs="宋体" w:eastAsia="宋体" w:hint="default"/>
                <w:sz w:val="18"/>
                <w:szCs w:val="18"/>
              </w:rPr>
              <w:t>错报金额</w:t>
            </w:r>
            <w:r>
              <w:rPr>
                <w:rFonts w:ascii="Times New Roman" w:hAnsi="Times New Roman" w:cs="Times New Roman" w:eastAsia="Times New Roman" w:hint="default"/>
                <w:sz w:val="18"/>
                <w:szCs w:val="18"/>
              </w:rPr>
              <w:t>≥</w:t>
            </w:r>
            <w:r>
              <w:rPr>
                <w:rFonts w:ascii="宋体" w:hAnsi="宋体" w:cs="宋体" w:eastAsia="宋体" w:hint="default"/>
                <w:sz w:val="18"/>
                <w:szCs w:val="18"/>
              </w:rPr>
              <w:t>利润总额的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重要缺陷</w:t>
            </w:r>
            <w:r>
              <w:rPr>
                <w:rFonts w:ascii="Times New Roman" w:hAnsi="Times New Roman" w:cs="Times New Roman" w:eastAsia="Times New Roman" w:hint="default"/>
                <w:sz w:val="18"/>
                <w:szCs w:val="18"/>
              </w:rPr>
              <w:t>:</w:t>
            </w:r>
            <w:r>
              <w:rPr>
                <w:rFonts w:ascii="宋体" w:hAnsi="宋体" w:cs="宋体" w:eastAsia="宋体" w:hint="default"/>
                <w:sz w:val="18"/>
                <w:szCs w:val="18"/>
              </w:rPr>
              <w:t>利润</w:t>
            </w:r>
          </w:p>
        </w:tc>
        <w:tc>
          <w:tcPr>
            <w:tcW w:w="303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
              <w:ind w:right="0"/>
              <w:jc w:val="left"/>
              <w:rPr>
                <w:rFonts w:ascii="宋体" w:hAnsi="宋体" w:cs="宋体" w:eastAsia="宋体" w:hint="default"/>
                <w:b/>
                <w:bCs/>
                <w:sz w:val="26"/>
                <w:szCs w:val="26"/>
              </w:rPr>
            </w:pPr>
          </w:p>
          <w:p>
            <w:pPr>
              <w:pStyle w:val="TableParagraph"/>
              <w:spacing w:line="319" w:lineRule="auto"/>
              <w:ind w:left="11" w:right="136"/>
              <w:jc w:val="both"/>
              <w:rPr>
                <w:rFonts w:ascii="宋体" w:hAnsi="宋体" w:cs="宋体" w:eastAsia="宋体" w:hint="default"/>
                <w:sz w:val="18"/>
                <w:szCs w:val="18"/>
              </w:rPr>
            </w:pPr>
            <w:r>
              <w:rPr>
                <w:rFonts w:ascii="宋体" w:hAnsi="宋体" w:cs="宋体" w:eastAsia="宋体" w:hint="default"/>
                <w:sz w:val="18"/>
                <w:szCs w:val="18"/>
              </w:rPr>
              <w:t>非财务报告内部控制缺陷评价的定量 标准参照财务报告内部控制缺陷评价 的定量标准执行。</w:t>
            </w:r>
          </w:p>
        </w:tc>
      </w:tr>
      <w:tr>
        <w:trPr>
          <w:trHeight w:val="392" w:hRule="exact"/>
        </w:trPr>
        <w:tc>
          <w:tcPr>
            <w:tcW w:w="318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定量标准</w:t>
            </w:r>
          </w:p>
        </w:tc>
        <w:tc>
          <w:tcPr>
            <w:tcW w:w="3341" w:type="dxa"/>
            <w:vMerge/>
            <w:tcBorders>
              <w:left w:val="single" w:sz="9" w:space="0" w:color="D2D2D2"/>
              <w:right w:val="single" w:sz="4" w:space="0" w:color="000000"/>
            </w:tcBorders>
          </w:tcPr>
          <w:p>
            <w:pPr/>
          </w:p>
        </w:tc>
        <w:tc>
          <w:tcPr>
            <w:tcW w:w="3039" w:type="dxa"/>
            <w:vMerge/>
            <w:tcBorders>
              <w:left w:val="single" w:sz="4" w:space="0" w:color="000000"/>
              <w:right w:val="single" w:sz="4" w:space="0" w:color="000000"/>
            </w:tcBorders>
          </w:tcPr>
          <w:p>
            <w:pPr/>
          </w:p>
        </w:tc>
      </w:tr>
      <w:tr>
        <w:trPr>
          <w:trHeight w:val="1078" w:hRule="exact"/>
        </w:trPr>
        <w:tc>
          <w:tcPr>
            <w:tcW w:w="3189" w:type="dxa"/>
            <w:tcBorders>
              <w:top w:val="nil" w:sz="6" w:space="0" w:color="auto"/>
              <w:left w:val="single" w:sz="4" w:space="0" w:color="000000"/>
              <w:bottom w:val="single" w:sz="4" w:space="0" w:color="000000"/>
              <w:right w:val="single" w:sz="4" w:space="0" w:color="000000"/>
            </w:tcBorders>
            <w:shd w:val="clear" w:color="auto" w:fill="D2D2D2"/>
          </w:tcPr>
          <w:p>
            <w:pPr/>
          </w:p>
        </w:tc>
        <w:tc>
          <w:tcPr>
            <w:tcW w:w="3341" w:type="dxa"/>
            <w:vMerge/>
            <w:tcBorders>
              <w:left w:val="single" w:sz="9" w:space="0" w:color="D2D2D2"/>
              <w:bottom w:val="single" w:sz="4" w:space="0" w:color="000000"/>
              <w:right w:val="single" w:sz="4" w:space="0" w:color="000000"/>
            </w:tcBorders>
          </w:tcPr>
          <w:p>
            <w:pPr/>
          </w:p>
        </w:tc>
        <w:tc>
          <w:tcPr>
            <w:tcW w:w="3039"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3194"/>
        <w:gridCol w:w="3324"/>
        <w:gridCol w:w="3051"/>
      </w:tblGrid>
      <w:tr>
        <w:trPr>
          <w:trHeight w:val="674"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24"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10"/>
              <w:ind w:left="23" w:right="49"/>
              <w:jc w:val="left"/>
              <w:rPr>
                <w:rFonts w:ascii="Times New Roman" w:hAnsi="Times New Roman" w:cs="Times New Roman" w:eastAsia="Times New Roman" w:hint="default"/>
                <w:sz w:val="18"/>
                <w:szCs w:val="18"/>
              </w:rPr>
            </w:pPr>
            <w:r>
              <w:rPr>
                <w:rFonts w:ascii="宋体" w:hAnsi="宋体" w:cs="宋体" w:eastAsia="宋体" w:hint="default"/>
                <w:sz w:val="18"/>
                <w:szCs w:val="18"/>
              </w:rPr>
              <w:t>总额的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z w:val="18"/>
                <w:szCs w:val="18"/>
              </w:rPr>
              <w:t>≤</w:t>
            </w:r>
            <w:r>
              <w:rPr>
                <w:rFonts w:ascii="宋体" w:hAnsi="宋体" w:cs="宋体" w:eastAsia="宋体" w:hint="default"/>
                <w:sz w:val="18"/>
                <w:szCs w:val="18"/>
              </w:rPr>
              <w:t>错报金额＜利润总额的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一 般缺陷</w:t>
            </w:r>
            <w:r>
              <w:rPr>
                <w:rFonts w:ascii="Times New Roman" w:hAnsi="Times New Roman" w:cs="Times New Roman" w:eastAsia="Times New Roman" w:hint="default"/>
                <w:sz w:val="18"/>
                <w:szCs w:val="18"/>
              </w:rPr>
              <w:t>:</w:t>
            </w:r>
            <w:r>
              <w:rPr>
                <w:rFonts w:ascii="宋体" w:hAnsi="宋体" w:cs="宋体" w:eastAsia="宋体" w:hint="default"/>
                <w:sz w:val="18"/>
                <w:szCs w:val="18"/>
              </w:rPr>
              <w:t>错报金额＜利润总额的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p>
        </w:tc>
        <w:tc>
          <w:tcPr>
            <w:tcW w:w="305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财务报告重大缺陷数量（个）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非财务报告重大缺陷数量（个）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财务报告重要缺陷数量（个）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非财务报告重要缺陷数量（个）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bl>
    <w:p>
      <w:pPr>
        <w:spacing w:line="240" w:lineRule="auto" w:before="2"/>
        <w:rPr>
          <w:rFonts w:ascii="宋体" w:hAnsi="宋体" w:cs="宋体" w:eastAsia="宋体" w:hint="default"/>
          <w:b/>
          <w:bCs/>
          <w:sz w:val="18"/>
          <w:szCs w:val="18"/>
        </w:rPr>
      </w:pPr>
    </w:p>
    <w:p>
      <w:pPr>
        <w:pStyle w:val="Heading2"/>
        <w:spacing w:line="240" w:lineRule="auto" w:before="26"/>
        <w:ind w:right="0"/>
        <w:jc w:val="left"/>
        <w:rPr>
          <w:b w:val="0"/>
          <w:bCs w:val="0"/>
        </w:rPr>
      </w:pPr>
      <w:bookmarkStart w:name="十、内部控制审计报告或鉴证报告" w:id="150"/>
      <w:bookmarkEnd w:id="150"/>
      <w:r>
        <w:rPr>
          <w:b w:val="0"/>
          <w:bCs w:val="0"/>
        </w:rPr>
      </w:r>
      <w:r>
        <w:rPr/>
        <w:t>十、内部控制审计报告或鉴证报告</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不适用</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3126" w:right="0"/>
        <w:jc w:val="left"/>
        <w:rPr>
          <w:b w:val="0"/>
          <w:bCs w:val="0"/>
        </w:rPr>
      </w:pPr>
      <w:bookmarkStart w:name="第十节 公司债券相关情况" w:id="151"/>
      <w:bookmarkEnd w:id="151"/>
      <w:r>
        <w:rPr>
          <w:b w:val="0"/>
          <w:bCs w:val="0"/>
        </w:rPr>
      </w:r>
      <w:bookmarkStart w:name="_bookmark8" w:id="152"/>
      <w:bookmarkEnd w:id="152"/>
      <w:r>
        <w:rPr>
          <w:b w:val="0"/>
          <w:bCs w:val="0"/>
        </w:rPr>
      </w:r>
      <w:r>
        <w:rPr/>
        <w:t>第十节</w:t>
      </w:r>
      <w:r>
        <w:rPr>
          <w:spacing w:val="-9"/>
        </w:rPr>
        <w:t> </w:t>
      </w:r>
      <w:r>
        <w:rPr/>
        <w:t>公司债券相关情况</w:t>
      </w:r>
      <w:r>
        <w:rPr>
          <w:b w:val="0"/>
          <w:bCs w:val="0"/>
        </w:rPr>
      </w:r>
    </w:p>
    <w:p>
      <w:pPr>
        <w:spacing w:line="240" w:lineRule="auto" w:before="8"/>
        <w:rPr>
          <w:rFonts w:ascii="宋体" w:hAnsi="宋体" w:cs="宋体" w:eastAsia="宋体" w:hint="default"/>
          <w:b/>
          <w:bCs/>
          <w:sz w:val="42"/>
          <w:szCs w:val="42"/>
        </w:rPr>
      </w:pPr>
    </w:p>
    <w:p>
      <w:pPr>
        <w:pStyle w:val="BodyText"/>
        <w:spacing w:line="357" w:lineRule="auto"/>
        <w:ind w:right="2112"/>
        <w:jc w:val="left"/>
      </w:pPr>
      <w:r>
        <w:rPr/>
        <w:t>公司是否存在公开发行并在证券交易所上市，且在年度报告批准报出日未到期或到期未能全额兑付的公司债券 否</w:t>
      </w:r>
    </w:p>
    <w:p>
      <w:pPr>
        <w:spacing w:after="0" w:line="357"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3608" w:right="0"/>
        <w:jc w:val="left"/>
        <w:rPr>
          <w:b w:val="0"/>
          <w:bCs w:val="0"/>
        </w:rPr>
      </w:pPr>
      <w:bookmarkStart w:name="第十一节 财务报告" w:id="153"/>
      <w:bookmarkEnd w:id="153"/>
      <w:r>
        <w:rPr>
          <w:b w:val="0"/>
          <w:bCs w:val="0"/>
        </w:rPr>
      </w:r>
      <w:bookmarkStart w:name="_bookmark9" w:id="154"/>
      <w:bookmarkEnd w:id="154"/>
      <w:r>
        <w:rPr>
          <w:b w:val="0"/>
          <w:bCs w:val="0"/>
        </w:rPr>
      </w:r>
      <w:r>
        <w:rPr/>
        <w:t>第十一节</w:t>
      </w:r>
      <w:r>
        <w:rPr>
          <w:spacing w:val="-6"/>
        </w:rPr>
        <w:t> </w:t>
      </w:r>
      <w:r>
        <w:rPr/>
        <w:t>财务报告</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bookmarkStart w:name="一、审计报告" w:id="155"/>
      <w:bookmarkEnd w:id="155"/>
      <w:r>
        <w:rPr>
          <w:b w:val="0"/>
          <w:bCs w:val="0"/>
        </w:rPr>
      </w:r>
      <w:r>
        <w:rPr/>
        <w:t>一、审计报告</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4"/>
        <w:gridCol w:w="4785"/>
      </w:tblGrid>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标准的无保留意见</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瑞华会计师事务所（特殊普通合伙）</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瑞华审字</w:t>
            </w:r>
            <w:r>
              <w:rPr>
                <w:rFonts w:ascii="Times New Roman" w:hAnsi="Times New Roman" w:cs="Times New Roman" w:eastAsia="Times New Roman" w:hint="default"/>
                <w:sz w:val="18"/>
                <w:szCs w:val="18"/>
              </w:rPr>
              <w:t>[2019]48210005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注册会计师姓名</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印碧辉，荣矾</w:t>
            </w:r>
          </w:p>
        </w:tc>
      </w:tr>
    </w:tbl>
    <w:p>
      <w:pPr>
        <w:pStyle w:val="BodyText"/>
        <w:spacing w:line="240" w:lineRule="auto" w:before="51"/>
        <w:ind w:left="2786" w:right="3762"/>
        <w:jc w:val="center"/>
      </w:pPr>
      <w:r>
        <w:rPr/>
        <w:t>审计报告正文</w:t>
      </w:r>
    </w:p>
    <w:p>
      <w:pPr>
        <w:spacing w:before="125"/>
        <w:ind w:left="2786" w:right="3763" w:firstLine="0"/>
        <w:jc w:val="center"/>
        <w:rPr>
          <w:rFonts w:ascii="宋体" w:hAnsi="宋体" w:cs="宋体" w:eastAsia="宋体" w:hint="default"/>
          <w:sz w:val="36"/>
          <w:szCs w:val="36"/>
        </w:rPr>
      </w:pPr>
      <w:r>
        <w:rPr>
          <w:rFonts w:ascii="宋体" w:hAnsi="宋体" w:cs="宋体" w:eastAsia="宋体" w:hint="default"/>
          <w:b/>
          <w:bCs/>
          <w:sz w:val="36"/>
          <w:szCs w:val="36"/>
        </w:rPr>
        <w:t>审 计 报</w:t>
      </w:r>
      <w:r>
        <w:rPr>
          <w:rFonts w:ascii="宋体" w:hAnsi="宋体" w:cs="宋体" w:eastAsia="宋体" w:hint="default"/>
          <w:b/>
          <w:bCs/>
          <w:spacing w:val="-87"/>
          <w:sz w:val="36"/>
          <w:szCs w:val="36"/>
        </w:rPr>
        <w:t> </w:t>
      </w:r>
      <w:r>
        <w:rPr>
          <w:rFonts w:ascii="宋体" w:hAnsi="宋体" w:cs="宋体" w:eastAsia="宋体" w:hint="default"/>
          <w:b/>
          <w:bCs/>
          <w:sz w:val="36"/>
          <w:szCs w:val="36"/>
        </w:rPr>
        <w:t>告</w:t>
      </w:r>
      <w:r>
        <w:rPr>
          <w:rFonts w:ascii="宋体" w:hAnsi="宋体" w:cs="宋体" w:eastAsia="宋体" w:hint="default"/>
          <w:sz w:val="36"/>
          <w:szCs w:val="36"/>
        </w:rPr>
      </w: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14"/>
          <w:szCs w:val="14"/>
        </w:rPr>
      </w:pPr>
    </w:p>
    <w:p>
      <w:pPr>
        <w:pStyle w:val="BodyText"/>
        <w:spacing w:line="240" w:lineRule="auto"/>
        <w:ind w:left="0" w:right="1156"/>
        <w:jc w:val="right"/>
      </w:pPr>
      <w:r>
        <w:rPr>
          <w:spacing w:val="-1"/>
        </w:rPr>
        <w:t>瑞华审字</w:t>
      </w:r>
      <w:r>
        <w:rPr>
          <w:rFonts w:ascii="Times New Roman" w:hAnsi="Times New Roman" w:cs="Times New Roman" w:eastAsia="Times New Roman" w:hint="default"/>
          <w:spacing w:val="-1"/>
        </w:rPr>
        <w:t>[2019]48210005</w:t>
      </w:r>
      <w:r>
        <w:rPr>
          <w:spacing w:val="-1"/>
        </w:rPr>
        <w:t>号</w:t>
      </w:r>
    </w:p>
    <w:p>
      <w:pPr>
        <w:pStyle w:val="Heading4"/>
        <w:spacing w:line="240" w:lineRule="auto" w:before="63"/>
        <w:ind w:left="154" w:right="0"/>
        <w:jc w:val="left"/>
        <w:rPr>
          <w:b w:val="0"/>
          <w:bCs w:val="0"/>
        </w:rPr>
      </w:pPr>
      <w:r>
        <w:rPr/>
        <w:t>深圳劲嘉集团股份有限公司全体股东：</w:t>
      </w:r>
      <w:r>
        <w:rPr>
          <w:b w:val="0"/>
          <w:bCs w:val="0"/>
        </w:rPr>
      </w:r>
    </w:p>
    <w:p>
      <w:pPr>
        <w:spacing w:line="240" w:lineRule="auto" w:before="4"/>
        <w:rPr>
          <w:rFonts w:ascii="宋体" w:hAnsi="宋体" w:cs="宋体" w:eastAsia="宋体" w:hint="default"/>
          <w:b/>
          <w:bCs/>
          <w:sz w:val="26"/>
          <w:szCs w:val="26"/>
        </w:rPr>
      </w:pPr>
    </w:p>
    <w:p>
      <w:pPr>
        <w:pStyle w:val="BodyText"/>
        <w:spacing w:line="316" w:lineRule="auto" w:before="44"/>
        <w:ind w:left="634" w:right="1112" w:firstLine="2"/>
        <w:jc w:val="left"/>
      </w:pPr>
      <w:r>
        <w:rPr>
          <w:rFonts w:ascii="宋体" w:hAnsi="宋体" w:cs="宋体" w:eastAsia="宋体" w:hint="default"/>
          <w:b/>
          <w:bCs/>
        </w:rPr>
        <w:t>一、审计意见</w:t>
      </w:r>
      <w:r>
        <w:rPr>
          <w:rFonts w:ascii="宋体" w:hAnsi="宋体" w:cs="宋体" w:eastAsia="宋体" w:hint="default"/>
          <w:b/>
          <w:bCs/>
          <w:w w:val="99"/>
        </w:rPr>
        <w:t> </w:t>
      </w:r>
      <w:r>
        <w:rPr/>
        <w:t>我们审计了深圳劲嘉集团股份有限公司（以下简称</w:t>
      </w:r>
      <w:r>
        <w:rPr>
          <w:rFonts w:ascii="Times New Roman" w:hAnsi="Times New Roman" w:cs="Times New Roman" w:eastAsia="Times New Roman" w:hint="default"/>
        </w:rPr>
        <w:t>“</w:t>
      </w:r>
      <w:r>
        <w:rPr/>
        <w:t>劲嘉股份公司</w:t>
      </w:r>
      <w:r>
        <w:rPr>
          <w:rFonts w:ascii="Times New Roman" w:hAnsi="Times New Roman" w:cs="Times New Roman" w:eastAsia="Times New Roman" w:hint="default"/>
        </w:rPr>
        <w:t>”</w:t>
      </w:r>
      <w:r>
        <w:rPr/>
        <w:t>）财务报表，包括</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日的合并及公司资</w:t>
      </w:r>
    </w:p>
    <w:p>
      <w:pPr>
        <w:pStyle w:val="BodyText"/>
        <w:spacing w:line="300" w:lineRule="auto"/>
        <w:ind w:left="634" w:right="0" w:hanging="480"/>
        <w:jc w:val="left"/>
      </w:pPr>
      <w:r>
        <w:rPr/>
        <w:t>产负债表，</w:t>
      </w:r>
      <w:r>
        <w:rPr>
          <w:rFonts w:ascii="Times New Roman" w:hAnsi="Times New Roman" w:cs="Times New Roman" w:eastAsia="Times New Roman" w:hint="default"/>
        </w:rPr>
        <w:t>2018</w:t>
      </w:r>
      <w:r>
        <w:rPr/>
        <w:t>年度的合并及公司利润表、合并及公司现金流量表、合并及公司股东权益变动表以及相关财务报表附注。 </w:t>
      </w:r>
      <w:r>
        <w:rPr>
          <w:spacing w:val="-1"/>
        </w:rPr>
        <w:t>我们认为，后附的财务报表在所有重大方面按照企业会计准则的规定编制，公允反映了劲嘉股份公司</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w:t>
      </w:r>
    </w:p>
    <w:p>
      <w:pPr>
        <w:pStyle w:val="BodyText"/>
        <w:spacing w:line="240" w:lineRule="auto" w:before="13"/>
        <w:ind w:right="0"/>
        <w:jc w:val="left"/>
      </w:pPr>
      <w:r>
        <w:rPr/>
        <w:t>合并及公司的财务状况以及</w:t>
      </w:r>
      <w:r>
        <w:rPr>
          <w:rFonts w:ascii="Times New Roman" w:hAnsi="Times New Roman" w:cs="Times New Roman" w:eastAsia="Times New Roman" w:hint="default"/>
        </w:rPr>
        <w:t>2018</w:t>
      </w:r>
      <w:r>
        <w:rPr/>
        <w:t>年度合并及公司的经营成果和现金流量。</w:t>
      </w:r>
    </w:p>
    <w:p>
      <w:pPr>
        <w:spacing w:line="240" w:lineRule="auto" w:before="0"/>
        <w:rPr>
          <w:rFonts w:ascii="宋体" w:hAnsi="宋体" w:cs="宋体" w:eastAsia="宋体" w:hint="default"/>
          <w:sz w:val="18"/>
          <w:szCs w:val="18"/>
        </w:rPr>
      </w:pPr>
    </w:p>
    <w:p>
      <w:pPr>
        <w:pStyle w:val="BodyText"/>
        <w:spacing w:line="316" w:lineRule="auto" w:before="139"/>
        <w:ind w:left="634" w:right="1112" w:firstLine="2"/>
        <w:jc w:val="left"/>
      </w:pPr>
      <w:r>
        <w:rPr>
          <w:rFonts w:ascii="宋体" w:hAnsi="宋体" w:cs="宋体" w:eastAsia="宋体" w:hint="default"/>
          <w:b/>
          <w:bCs/>
        </w:rPr>
        <w:t>二、形成审计意见的基础</w:t>
      </w:r>
      <w:r>
        <w:rPr>
          <w:rFonts w:ascii="宋体" w:hAnsi="宋体" w:cs="宋体" w:eastAsia="宋体" w:hint="default"/>
          <w:b/>
          <w:bCs/>
          <w:w w:val="99"/>
        </w:rPr>
        <w:t> </w:t>
      </w:r>
      <w:r>
        <w:rPr/>
        <w:t>我们按照中国注册会计师审计准则的规定执行了审计工作。审计报告的</w:t>
      </w:r>
      <w:r>
        <w:rPr>
          <w:rFonts w:ascii="Times New Roman" w:hAnsi="Times New Roman" w:cs="Times New Roman" w:eastAsia="Times New Roman" w:hint="default"/>
        </w:rPr>
        <w:t>“</w:t>
      </w:r>
      <w:r>
        <w:rPr/>
        <w:t>注册会计师对财务报表审计的责任</w:t>
      </w:r>
      <w:r>
        <w:rPr>
          <w:rFonts w:ascii="Times New Roman" w:hAnsi="Times New Roman" w:cs="Times New Roman" w:eastAsia="Times New Roman" w:hint="default"/>
        </w:rPr>
        <w:t>”</w:t>
      </w:r>
      <w:r>
        <w:rPr/>
        <w:t>部分进一</w:t>
      </w:r>
    </w:p>
    <w:p>
      <w:pPr>
        <w:pStyle w:val="BodyText"/>
        <w:spacing w:line="316" w:lineRule="auto"/>
        <w:ind w:right="0"/>
        <w:jc w:val="left"/>
      </w:pPr>
      <w:r>
        <w:rPr>
          <w:spacing w:val="-2"/>
        </w:rPr>
        <w:t>步阐述了我们在这些准则下的责任。按照中国注册会计师职业道德守则，我们独立于劲嘉股份公司，并履行了职业道德方面</w:t>
      </w:r>
      <w:r>
        <w:rPr>
          <w:spacing w:val="-66"/>
        </w:rPr>
        <w:t> </w:t>
      </w:r>
      <w:r>
        <w:rPr>
          <w:spacing w:val="-66"/>
        </w:rPr>
      </w:r>
      <w:r>
        <w:rPr/>
        <w:t>的其他责任。我们相信，我们获取的审计证据是充分、适当的，为发表审计意见提供了基础。</w:t>
      </w:r>
    </w:p>
    <w:p>
      <w:pPr>
        <w:spacing w:line="240" w:lineRule="auto" w:before="4"/>
        <w:rPr>
          <w:rFonts w:ascii="宋体" w:hAnsi="宋体" w:cs="宋体" w:eastAsia="宋体" w:hint="default"/>
          <w:sz w:val="25"/>
          <w:szCs w:val="25"/>
        </w:rPr>
      </w:pPr>
    </w:p>
    <w:p>
      <w:pPr>
        <w:pStyle w:val="BodyText"/>
        <w:spacing w:line="316" w:lineRule="auto"/>
        <w:ind w:left="634" w:right="0" w:firstLine="2"/>
        <w:jc w:val="left"/>
      </w:pPr>
      <w:r>
        <w:rPr>
          <w:rFonts w:ascii="宋体" w:hAnsi="宋体" w:cs="宋体" w:eastAsia="宋体" w:hint="default"/>
          <w:b/>
          <w:bCs/>
        </w:rPr>
        <w:t>三、关键审计事项</w:t>
      </w:r>
      <w:r>
        <w:rPr>
          <w:rFonts w:ascii="宋体" w:hAnsi="宋体" w:cs="宋体" w:eastAsia="宋体" w:hint="default"/>
          <w:b/>
          <w:bCs/>
          <w:w w:val="99"/>
        </w:rPr>
        <w:t> </w:t>
      </w:r>
      <w:r>
        <w:rPr>
          <w:spacing w:val="-1"/>
        </w:rPr>
        <w:t>关键审计事项是我们根据职业判断，认为对本期财务报表审计最为重要的事项。这些事项的应对以对财务报表整体进</w:t>
      </w:r>
    </w:p>
    <w:p>
      <w:pPr>
        <w:pStyle w:val="BodyText"/>
        <w:spacing w:line="316" w:lineRule="auto" w:before="19"/>
        <w:ind w:right="1118"/>
        <w:jc w:val="left"/>
      </w:pPr>
      <w:r>
        <w:rPr>
          <w:spacing w:val="-2"/>
        </w:rPr>
        <w:t>行审计并形成审计意见为背景，我们不对这些事项单独发表意见。我们确定下列事项是需要在审计报告中沟通的关键审计事</w:t>
      </w:r>
      <w:r>
        <w:rPr>
          <w:spacing w:val="-64"/>
        </w:rPr>
        <w:t> </w:t>
      </w:r>
      <w:r>
        <w:rPr>
          <w:spacing w:val="-64"/>
        </w:rPr>
      </w:r>
      <w:r>
        <w:rPr/>
        <w:t>项。</w:t>
      </w:r>
    </w:p>
    <w:p>
      <w:pPr>
        <w:pStyle w:val="Heading4"/>
        <w:spacing w:line="240" w:lineRule="auto" w:before="19"/>
        <w:ind w:left="636" w:right="0"/>
        <w:jc w:val="left"/>
        <w:rPr>
          <w:b w:val="0"/>
          <w:bCs w:val="0"/>
        </w:rPr>
      </w:pPr>
      <w:r>
        <w:rPr/>
        <w:t>（一）商誉减值</w:t>
      </w:r>
      <w:r>
        <w:rPr>
          <w:b w:val="0"/>
          <w:bCs w:val="0"/>
        </w:rPr>
      </w:r>
    </w:p>
    <w:p>
      <w:pPr>
        <w:pStyle w:val="BodyText"/>
        <w:spacing w:line="300" w:lineRule="auto" w:before="76"/>
        <w:ind w:left="634" w:right="1118" w:firstLine="2"/>
        <w:jc w:val="left"/>
      </w:pPr>
      <w:r>
        <w:rPr>
          <w:rFonts w:ascii="Times New Roman" w:hAnsi="Times New Roman" w:cs="Times New Roman" w:eastAsia="Times New Roman" w:hint="default"/>
          <w:b/>
          <w:bCs/>
        </w:rPr>
        <w:t>1</w:t>
      </w:r>
      <w:r>
        <w:rPr>
          <w:rFonts w:ascii="宋体" w:hAnsi="宋体" w:cs="宋体" w:eastAsia="宋体" w:hint="default"/>
          <w:b/>
          <w:bCs/>
        </w:rPr>
        <w:t>、事项描述</w:t>
      </w:r>
      <w:r>
        <w:rPr>
          <w:rFonts w:ascii="宋体" w:hAnsi="宋体" w:cs="宋体" w:eastAsia="宋体" w:hint="default"/>
          <w:b/>
          <w:bCs/>
          <w:w w:val="99"/>
        </w:rPr>
        <w:t> </w:t>
      </w:r>
      <w:r>
        <w:rPr/>
        <w:t>如财务报表附注七、</w:t>
      </w:r>
      <w:r>
        <w:rPr>
          <w:rFonts w:ascii="Times New Roman" w:hAnsi="Times New Roman" w:cs="Times New Roman" w:eastAsia="Times New Roman" w:hint="default"/>
        </w:rPr>
        <w:t>12</w:t>
      </w:r>
      <w:r>
        <w:rPr/>
        <w:t>商誉所述，截至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日，公司合并报表商誉账面余额为</w:t>
      </w:r>
      <w:r>
        <w:rPr>
          <w:rFonts w:ascii="Times New Roman" w:hAnsi="Times New Roman" w:cs="Times New Roman" w:eastAsia="Times New Roman" w:hint="default"/>
        </w:rPr>
        <w:t>101,959.80</w:t>
      </w:r>
      <w:r>
        <w:rPr/>
        <w:t>万元，已计提减值</w:t>
      </w:r>
    </w:p>
    <w:p>
      <w:pPr>
        <w:pStyle w:val="BodyText"/>
        <w:spacing w:line="309" w:lineRule="auto" w:before="13"/>
        <w:ind w:right="1052"/>
        <w:jc w:val="left"/>
      </w:pPr>
      <w:r>
        <w:rPr/>
        <w:t>准备为</w:t>
      </w:r>
      <w:r>
        <w:rPr>
          <w:rFonts w:ascii="Times New Roman" w:hAnsi="Times New Roman" w:cs="Times New Roman" w:eastAsia="Times New Roman" w:hint="default"/>
        </w:rPr>
        <w:t>3,083.91</w:t>
      </w:r>
      <w:r>
        <w:rPr/>
        <w:t>万元，年末账面价值较大，主要系公司收购子公司所形成；如财务报表附注五、</w:t>
      </w:r>
      <w:r>
        <w:rPr>
          <w:rFonts w:ascii="Times New Roman" w:hAnsi="Times New Roman" w:cs="Times New Roman" w:eastAsia="Times New Roman" w:hint="default"/>
        </w:rPr>
        <w:t>19</w:t>
      </w:r>
      <w:r>
        <w:rPr/>
        <w:t>长期资产减值所述，劲嘉</w:t>
      </w:r>
      <w:r>
        <w:rPr>
          <w:spacing w:val="-84"/>
        </w:rPr>
        <w:t> </w:t>
      </w:r>
      <w:r>
        <w:rPr>
          <w:spacing w:val="-84"/>
        </w:rPr>
      </w:r>
      <w:r>
        <w:rPr/>
        <w:t>股份公司管理层（以下简称</w:t>
      </w:r>
      <w:r>
        <w:rPr>
          <w:rFonts w:ascii="Times New Roman" w:hAnsi="Times New Roman" w:cs="Times New Roman" w:eastAsia="Times New Roman" w:hint="default"/>
        </w:rPr>
        <w:t>“</w:t>
      </w:r>
      <w:r>
        <w:rPr/>
        <w:t>管理层</w:t>
      </w:r>
      <w:r>
        <w:rPr>
          <w:rFonts w:ascii="Times New Roman" w:hAnsi="Times New Roman" w:cs="Times New Roman" w:eastAsia="Times New Roman" w:hint="default"/>
        </w:rPr>
        <w:t>”</w:t>
      </w:r>
      <w:r>
        <w:rPr/>
        <w:t>）在每年年度终了对商誉进行减值测试，并依据减值测试的结果调整商誉的账面价值。 </w:t>
      </w:r>
      <w:r>
        <w:rPr>
          <w:spacing w:val="-2"/>
        </w:rPr>
        <w:t>商誉减值测试的结果很大程度上依赖于管理层所做的估计和采用的假设，例如对资产组预计未来可产生现金流量和折现率的</w:t>
      </w:r>
      <w:r>
        <w:rPr>
          <w:spacing w:val="-64"/>
        </w:rPr>
        <w:t> </w:t>
      </w:r>
      <w:r>
        <w:rPr>
          <w:spacing w:val="-64"/>
        </w:rPr>
      </w:r>
      <w:r>
        <w:rPr>
          <w:spacing w:val="-2"/>
        </w:rPr>
        <w:t>估计。该等估计受到管理层对未来市场以及对经济环境判断的影响，采用不同的估计和假设会对商誉减值测试结果产生较大</w:t>
      </w:r>
      <w:r>
        <w:rPr>
          <w:spacing w:val="-64"/>
        </w:rPr>
        <w:t> </w:t>
      </w:r>
      <w:r>
        <w:rPr>
          <w:spacing w:val="-64"/>
        </w:rPr>
      </w:r>
      <w:r>
        <w:rPr/>
        <w:t>的影响。</w:t>
      </w:r>
    </w:p>
    <w:p>
      <w:pPr>
        <w:pStyle w:val="Heading4"/>
        <w:spacing w:line="240" w:lineRule="auto" w:before="24"/>
        <w:ind w:left="636" w:right="0"/>
        <w:jc w:val="left"/>
        <w:rPr>
          <w:b w:val="0"/>
          <w:bCs w:val="0"/>
        </w:rPr>
      </w:pPr>
      <w:r>
        <w:rPr>
          <w:rFonts w:ascii="Times New Roman" w:hAnsi="Times New Roman" w:cs="Times New Roman" w:eastAsia="Times New Roman" w:hint="default"/>
        </w:rPr>
        <w:t>2</w:t>
      </w:r>
      <w:r>
        <w:rPr/>
        <w:t>、审计应对</w:t>
      </w:r>
      <w:r>
        <w:rPr>
          <w:b w:val="0"/>
          <w:bCs w:val="0"/>
        </w:rPr>
      </w:r>
    </w:p>
    <w:p>
      <w:pPr>
        <w:spacing w:after="0" w:line="240" w:lineRule="auto"/>
        <w:jc w:val="left"/>
        <w:sectPr>
          <w:pgSz w:w="11910" w:h="16840"/>
          <w:pgMar w:header="747" w:footer="979" w:top="1060" w:bottom="1160" w:left="980" w:right="0"/>
        </w:sectPr>
      </w:pPr>
    </w:p>
    <w:p>
      <w:pPr>
        <w:spacing w:line="240" w:lineRule="auto" w:before="12"/>
        <w:rPr>
          <w:rFonts w:ascii="宋体" w:hAnsi="宋体" w:cs="宋体" w:eastAsia="宋体" w:hint="default"/>
          <w:b/>
          <w:bCs/>
          <w:sz w:val="25"/>
          <w:szCs w:val="25"/>
        </w:rPr>
      </w:pPr>
    </w:p>
    <w:p>
      <w:pPr>
        <w:pStyle w:val="BodyText"/>
        <w:spacing w:line="300" w:lineRule="auto" w:before="44"/>
        <w:ind w:right="0" w:firstLine="480"/>
        <w:jc w:val="left"/>
      </w:pPr>
      <w:r>
        <w:rPr/>
        <w:t>（</w:t>
      </w:r>
      <w:r>
        <w:rPr>
          <w:rFonts w:ascii="Times New Roman" w:hAnsi="Times New Roman" w:cs="Times New Roman" w:eastAsia="Times New Roman" w:hint="default"/>
        </w:rPr>
        <w:t>1</w:t>
      </w:r>
      <w:r>
        <w:rPr/>
        <w:t>）我们与管理层讨论商誉减值测试的方法，包括与商誉相关的资产组或者资产组组合的划分，每个资产组或者资 产组组合的未来预测收益、现金流量及折现率等假设的合理性。</w:t>
      </w:r>
    </w:p>
    <w:p>
      <w:pPr>
        <w:pStyle w:val="BodyText"/>
        <w:spacing w:line="240" w:lineRule="auto" w:before="31"/>
        <w:ind w:left="634" w:right="0"/>
        <w:jc w:val="left"/>
      </w:pPr>
      <w:r>
        <w:rPr/>
        <w:t>（</w:t>
      </w:r>
      <w:r>
        <w:rPr>
          <w:rFonts w:ascii="Times New Roman" w:hAnsi="Times New Roman" w:cs="Times New Roman" w:eastAsia="Times New Roman" w:hint="default"/>
        </w:rPr>
        <w:t>2</w:t>
      </w:r>
      <w:r>
        <w:rPr/>
        <w:t>）我们检查了管理层对于未来现金流量的预测及未来现金流量现值的计算；</w:t>
      </w:r>
    </w:p>
    <w:p>
      <w:pPr>
        <w:pStyle w:val="BodyText"/>
        <w:spacing w:line="240" w:lineRule="auto" w:before="63"/>
        <w:ind w:left="634" w:right="0"/>
        <w:jc w:val="left"/>
      </w:pPr>
      <w:r>
        <w:rPr/>
        <w:t>（</w:t>
      </w:r>
      <w:r>
        <w:rPr>
          <w:rFonts w:ascii="Times New Roman" w:hAnsi="Times New Roman" w:cs="Times New Roman" w:eastAsia="Times New Roman" w:hint="default"/>
        </w:rPr>
        <w:t>3</w:t>
      </w:r>
      <w:r>
        <w:rPr/>
        <w:t>）我们我们引入了估值专家协助复核了估值方法、模型和关键参数。</w:t>
      </w:r>
    </w:p>
    <w:p>
      <w:pPr>
        <w:spacing w:line="240" w:lineRule="auto" w:before="0"/>
        <w:rPr>
          <w:rFonts w:ascii="宋体" w:hAnsi="宋体" w:cs="宋体" w:eastAsia="宋体" w:hint="default"/>
          <w:sz w:val="18"/>
          <w:szCs w:val="18"/>
        </w:rPr>
      </w:pPr>
    </w:p>
    <w:p>
      <w:pPr>
        <w:pStyle w:val="Heading4"/>
        <w:spacing w:line="240" w:lineRule="auto" w:before="139"/>
        <w:ind w:left="636" w:right="0"/>
        <w:jc w:val="left"/>
        <w:rPr>
          <w:b w:val="0"/>
          <w:bCs w:val="0"/>
        </w:rPr>
      </w:pPr>
      <w:r>
        <w:rPr/>
        <w:t>（二）收入确认</w:t>
      </w:r>
      <w:r>
        <w:rPr>
          <w:b w:val="0"/>
          <w:bCs w:val="0"/>
        </w:rPr>
      </w:r>
    </w:p>
    <w:p>
      <w:pPr>
        <w:pStyle w:val="BodyText"/>
        <w:spacing w:line="300" w:lineRule="auto" w:before="76"/>
        <w:ind w:left="634" w:right="1118" w:firstLine="2"/>
        <w:jc w:val="left"/>
      </w:pPr>
      <w:r>
        <w:rPr>
          <w:rFonts w:ascii="Times New Roman" w:hAnsi="Times New Roman" w:cs="Times New Roman" w:eastAsia="Times New Roman" w:hint="default"/>
          <w:b/>
          <w:bCs/>
        </w:rPr>
        <w:t>1</w:t>
      </w:r>
      <w:r>
        <w:rPr>
          <w:rFonts w:ascii="宋体" w:hAnsi="宋体" w:cs="宋体" w:eastAsia="宋体" w:hint="default"/>
          <w:b/>
          <w:bCs/>
        </w:rPr>
        <w:t>、事项描述</w:t>
      </w:r>
      <w:r>
        <w:rPr>
          <w:rFonts w:ascii="宋体" w:hAnsi="宋体" w:cs="宋体" w:eastAsia="宋体" w:hint="default"/>
          <w:b/>
          <w:bCs/>
          <w:w w:val="99"/>
        </w:rPr>
        <w:t> </w:t>
      </w:r>
      <w:r>
        <w:rPr>
          <w:spacing w:val="-1"/>
        </w:rPr>
        <w:t>公司主要产品为烟标及印刷品，主要客户为各地方烟草公司。如财务报表附注七、</w:t>
      </w:r>
      <w:r>
        <w:rPr>
          <w:rFonts w:ascii="Times New Roman" w:hAnsi="Times New Roman" w:cs="Times New Roman" w:eastAsia="Times New Roman" w:hint="default"/>
          <w:spacing w:val="-1"/>
        </w:rPr>
        <w:t>30</w:t>
      </w:r>
      <w:r>
        <w:rPr>
          <w:spacing w:val="-1"/>
        </w:rPr>
        <w:t>所述，公司</w:t>
      </w:r>
      <w:r>
        <w:rPr>
          <w:rFonts w:ascii="Times New Roman" w:hAnsi="Times New Roman" w:cs="Times New Roman" w:eastAsia="Times New Roman" w:hint="default"/>
          <w:spacing w:val="-1"/>
        </w:rPr>
        <w:t>2018</w:t>
      </w:r>
      <w:r>
        <w:rPr>
          <w:spacing w:val="-1"/>
        </w:rPr>
        <w:t>年合并营业收入</w:t>
      </w:r>
    </w:p>
    <w:p>
      <w:pPr>
        <w:pStyle w:val="BodyText"/>
        <w:spacing w:line="300" w:lineRule="auto" w:before="13"/>
        <w:ind w:left="634" w:right="0" w:hanging="480"/>
        <w:jc w:val="left"/>
      </w:pPr>
      <w:r>
        <w:rPr/>
        <w:t>为</w:t>
      </w:r>
      <w:r>
        <w:rPr>
          <w:rFonts w:ascii="Times New Roman" w:hAnsi="Times New Roman" w:cs="Times New Roman" w:eastAsia="Times New Roman" w:hint="default"/>
        </w:rPr>
        <w:t>337,400.48</w:t>
      </w:r>
      <w:r>
        <w:rPr/>
        <w:t>万元，对财务报表影响重大。 </w:t>
      </w:r>
      <w:r>
        <w:rPr>
          <w:spacing w:val="-1"/>
        </w:rPr>
        <w:t>由于收入确认舞弊风险较高，且对于财务报表使用者对公司经营状况的判断至关重要，故将收入确认作为关键审计事</w:t>
      </w:r>
    </w:p>
    <w:p>
      <w:pPr>
        <w:pStyle w:val="BodyText"/>
        <w:spacing w:line="240" w:lineRule="auto" w:before="31"/>
        <w:ind w:right="0"/>
        <w:jc w:val="left"/>
      </w:pPr>
      <w:r>
        <w:rPr/>
        <w:t>项。</w:t>
      </w:r>
    </w:p>
    <w:p>
      <w:pPr>
        <w:pStyle w:val="Heading4"/>
        <w:spacing w:line="240" w:lineRule="auto" w:before="76"/>
        <w:ind w:left="636" w:right="0"/>
        <w:jc w:val="left"/>
        <w:rPr>
          <w:b w:val="0"/>
          <w:bCs w:val="0"/>
        </w:rPr>
      </w:pPr>
      <w:r>
        <w:rPr>
          <w:rFonts w:ascii="Times New Roman" w:hAnsi="Times New Roman" w:cs="Times New Roman" w:eastAsia="Times New Roman" w:hint="default"/>
        </w:rPr>
        <w:t>2</w:t>
      </w:r>
      <w:r>
        <w:rPr/>
        <w:t>、审计应对</w:t>
      </w:r>
      <w:r>
        <w:rPr>
          <w:b w:val="0"/>
          <w:bCs w:val="0"/>
        </w:rPr>
      </w:r>
    </w:p>
    <w:p>
      <w:pPr>
        <w:pStyle w:val="BodyText"/>
        <w:spacing w:line="240" w:lineRule="auto" w:before="63"/>
        <w:ind w:left="634" w:right="0"/>
        <w:jc w:val="left"/>
      </w:pPr>
      <w:r>
        <w:rPr/>
        <w:t>（</w:t>
      </w:r>
      <w:r>
        <w:rPr>
          <w:rFonts w:ascii="Times New Roman" w:hAnsi="Times New Roman" w:cs="Times New Roman" w:eastAsia="Times New Roman" w:hint="default"/>
        </w:rPr>
        <w:t>1</w:t>
      </w:r>
      <w:r>
        <w:rPr/>
        <w:t>）测试和评价与收入确认相关的关键内部控制。</w:t>
      </w:r>
    </w:p>
    <w:p>
      <w:pPr>
        <w:pStyle w:val="BodyText"/>
        <w:spacing w:line="240" w:lineRule="auto" w:before="63"/>
        <w:ind w:left="634" w:right="0"/>
        <w:jc w:val="left"/>
      </w:pPr>
      <w:r>
        <w:rPr/>
        <w:t>（</w:t>
      </w:r>
      <w:r>
        <w:rPr>
          <w:rFonts w:ascii="Times New Roman" w:hAnsi="Times New Roman" w:cs="Times New Roman" w:eastAsia="Times New Roman" w:hint="default"/>
        </w:rPr>
        <w:t>2</w:t>
      </w:r>
      <w:r>
        <w:rPr/>
        <w:t>）复核相关会计政策是否正确且一贯地运用。</w:t>
      </w:r>
    </w:p>
    <w:p>
      <w:pPr>
        <w:pStyle w:val="BodyText"/>
        <w:spacing w:line="240" w:lineRule="auto" w:before="63"/>
        <w:ind w:left="634" w:right="0"/>
        <w:jc w:val="left"/>
      </w:pPr>
      <w:r>
        <w:rPr/>
        <w:t>（</w:t>
      </w:r>
      <w:r>
        <w:rPr>
          <w:rFonts w:ascii="Times New Roman" w:hAnsi="Times New Roman" w:cs="Times New Roman" w:eastAsia="Times New Roman" w:hint="default"/>
        </w:rPr>
        <w:t>3</w:t>
      </w:r>
      <w:r>
        <w:rPr/>
        <w:t>）从收入记录中选取样本检查支持性文件。结合应收账款函证程序，同时函证本年交易额。</w:t>
      </w:r>
    </w:p>
    <w:p>
      <w:pPr>
        <w:pStyle w:val="BodyText"/>
        <w:spacing w:line="240" w:lineRule="auto" w:before="63"/>
        <w:ind w:left="634" w:right="0"/>
        <w:jc w:val="left"/>
      </w:pPr>
      <w:r>
        <w:rPr/>
        <w:t>（</w:t>
      </w:r>
      <w:r>
        <w:rPr>
          <w:rFonts w:ascii="Times New Roman" w:hAnsi="Times New Roman" w:cs="Times New Roman" w:eastAsia="Times New Roman" w:hint="default"/>
        </w:rPr>
        <w:t>4</w:t>
      </w:r>
      <w:r>
        <w:rPr/>
        <w:t>）对本期各客户、产品及月度的收入、成本、毛利波动进行分析，判断合理性。</w:t>
      </w:r>
    </w:p>
    <w:p>
      <w:pPr>
        <w:spacing w:line="240" w:lineRule="auto" w:before="3"/>
        <w:rPr>
          <w:rFonts w:ascii="宋体" w:hAnsi="宋体" w:cs="宋体" w:eastAsia="宋体" w:hint="default"/>
          <w:sz w:val="25"/>
          <w:szCs w:val="25"/>
        </w:rPr>
      </w:pPr>
    </w:p>
    <w:p>
      <w:pPr>
        <w:pStyle w:val="BodyText"/>
        <w:spacing w:line="316" w:lineRule="auto" w:before="44"/>
        <w:ind w:left="634" w:right="1132" w:firstLine="2"/>
        <w:jc w:val="left"/>
      </w:pPr>
      <w:r>
        <w:rPr>
          <w:rFonts w:ascii="宋体" w:hAnsi="宋体" w:cs="宋体" w:eastAsia="宋体" w:hint="default"/>
          <w:b/>
          <w:bCs/>
        </w:rPr>
        <w:t>四、其他信息</w:t>
      </w:r>
      <w:r>
        <w:rPr>
          <w:rFonts w:ascii="宋体" w:hAnsi="宋体" w:cs="宋体" w:eastAsia="宋体" w:hint="default"/>
          <w:b/>
          <w:bCs/>
          <w:w w:val="99"/>
        </w:rPr>
        <w:t> </w:t>
      </w:r>
      <w:r>
        <w:rPr/>
        <w:t>管理层对其他信息负责。其他信息包括年度报告中涵盖的信息，但不包括财务报表和我们的审计报告。 我们对财务报表发表的审计意见不涵盖其他信息，我们也不对其他信息发表任何形式的鉴证结论。 </w:t>
      </w:r>
      <w:r>
        <w:rPr>
          <w:spacing w:val="-1"/>
        </w:rPr>
        <w:t>结合我们对财务报表的审计，我们的责任是阅读其他信息，在此过程中，考虑其他信息是否与财务报表或我们在审计</w:t>
      </w:r>
    </w:p>
    <w:p>
      <w:pPr>
        <w:pStyle w:val="BodyText"/>
        <w:spacing w:line="319" w:lineRule="auto" w:before="19"/>
        <w:ind w:left="634" w:right="0" w:hanging="480"/>
        <w:jc w:val="left"/>
      </w:pPr>
      <w:r>
        <w:rPr/>
        <w:t>过程中了解到的情况存在重大不一致或者似乎存在重大错报。 </w:t>
      </w:r>
      <w:r>
        <w:rPr>
          <w:spacing w:val="-1"/>
        </w:rPr>
        <w:t>基于我们已执行的工作，如果我们确定其他信息存在重大错报，我们应当报告该事实。在这方面，我们无任何事项需</w:t>
      </w:r>
    </w:p>
    <w:p>
      <w:pPr>
        <w:pStyle w:val="BodyText"/>
        <w:spacing w:line="240" w:lineRule="auto" w:before="17"/>
        <w:ind w:right="0"/>
        <w:jc w:val="left"/>
      </w:pPr>
      <w:r>
        <w:rPr/>
        <w:t>要报告。</w:t>
      </w:r>
    </w:p>
    <w:p>
      <w:pPr>
        <w:spacing w:line="240" w:lineRule="auto" w:before="0"/>
        <w:rPr>
          <w:rFonts w:ascii="宋体" w:hAnsi="宋体" w:cs="宋体" w:eastAsia="宋体" w:hint="default"/>
          <w:sz w:val="18"/>
          <w:szCs w:val="18"/>
        </w:rPr>
      </w:pPr>
    </w:p>
    <w:p>
      <w:pPr>
        <w:spacing w:line="316" w:lineRule="auto" w:before="153"/>
        <w:ind w:left="634" w:right="0" w:firstLine="2"/>
        <w:jc w:val="left"/>
        <w:rPr>
          <w:rFonts w:ascii="宋体" w:hAnsi="宋体" w:cs="宋体" w:eastAsia="宋体" w:hint="default"/>
          <w:sz w:val="18"/>
          <w:szCs w:val="18"/>
        </w:rPr>
      </w:pPr>
      <w:r>
        <w:rPr>
          <w:rFonts w:ascii="宋体" w:hAnsi="宋体" w:cs="宋体" w:eastAsia="宋体" w:hint="default"/>
          <w:b/>
          <w:bCs/>
          <w:sz w:val="18"/>
          <w:szCs w:val="18"/>
        </w:rPr>
        <w:t>五、管理层和治理层对财务报表的责任</w:t>
      </w:r>
      <w:r>
        <w:rPr>
          <w:rFonts w:ascii="宋体" w:hAnsi="宋体" w:cs="宋体" w:eastAsia="宋体" w:hint="default"/>
          <w:b/>
          <w:bCs/>
          <w:w w:val="99"/>
          <w:sz w:val="18"/>
          <w:szCs w:val="18"/>
        </w:rPr>
        <w:t> </w:t>
      </w:r>
      <w:r>
        <w:rPr>
          <w:rFonts w:ascii="宋体" w:hAnsi="宋体" w:cs="宋体" w:eastAsia="宋体" w:hint="default"/>
          <w:spacing w:val="-1"/>
          <w:sz w:val="18"/>
          <w:szCs w:val="18"/>
        </w:rPr>
        <w:t>管理层负责按照企业会计准则的规定编制财务报表，使其实现公允反映，并设计、执行和维护必要的内部控制，以使</w:t>
      </w:r>
    </w:p>
    <w:p>
      <w:pPr>
        <w:pStyle w:val="BodyText"/>
        <w:spacing w:line="316" w:lineRule="auto" w:before="19"/>
        <w:ind w:left="634" w:right="0" w:hanging="480"/>
        <w:jc w:val="left"/>
      </w:pPr>
      <w:r>
        <w:rPr/>
        <w:t>财务报表不存在由于舞弊或错误导致的重大错报。 </w:t>
      </w:r>
      <w:r>
        <w:rPr>
          <w:spacing w:val="-1"/>
        </w:rPr>
        <w:t>在编制财务报表时，管理层负责评估劲嘉股份公司的持续经营能力，披露与持续经营相关的事项，并运用持续经营假</w:t>
      </w:r>
    </w:p>
    <w:p>
      <w:pPr>
        <w:pStyle w:val="BodyText"/>
        <w:spacing w:line="316" w:lineRule="auto" w:before="19"/>
        <w:ind w:left="634" w:right="3632" w:hanging="480"/>
        <w:jc w:val="left"/>
      </w:pPr>
      <w:r>
        <w:rPr/>
        <w:t>设，除非管理层计划清算劲嘉股份公司、终止运营或别无其他现实的选择。 劲嘉股份公司治理层（以下简称</w:t>
      </w:r>
      <w:r>
        <w:rPr>
          <w:rFonts w:ascii="Times New Roman" w:hAnsi="Times New Roman" w:cs="Times New Roman" w:eastAsia="Times New Roman" w:hint="default"/>
        </w:rPr>
        <w:t>“</w:t>
      </w:r>
      <w:r>
        <w:rPr/>
        <w:t>治理层</w:t>
      </w:r>
      <w:r>
        <w:rPr>
          <w:rFonts w:ascii="Times New Roman" w:hAnsi="Times New Roman" w:cs="Times New Roman" w:eastAsia="Times New Roman" w:hint="default"/>
        </w:rPr>
        <w:t>”</w:t>
      </w:r>
      <w:r>
        <w:rPr/>
        <w:t>）负责监督劲嘉股份公司的财务报告过程。</w:t>
      </w:r>
    </w:p>
    <w:p>
      <w:pPr>
        <w:spacing w:line="240" w:lineRule="auto" w:before="10"/>
        <w:rPr>
          <w:rFonts w:ascii="宋体" w:hAnsi="宋体" w:cs="宋体" w:eastAsia="宋体" w:hint="default"/>
          <w:sz w:val="23"/>
          <w:szCs w:val="23"/>
        </w:rPr>
      </w:pPr>
    </w:p>
    <w:p>
      <w:pPr>
        <w:spacing w:line="316" w:lineRule="auto" w:before="0"/>
        <w:ind w:left="634" w:right="0" w:firstLine="2"/>
        <w:jc w:val="left"/>
        <w:rPr>
          <w:rFonts w:ascii="宋体" w:hAnsi="宋体" w:cs="宋体" w:eastAsia="宋体" w:hint="default"/>
          <w:sz w:val="18"/>
          <w:szCs w:val="18"/>
        </w:rPr>
      </w:pPr>
      <w:r>
        <w:rPr>
          <w:rFonts w:ascii="宋体" w:hAnsi="宋体" w:cs="宋体" w:eastAsia="宋体" w:hint="default"/>
          <w:b/>
          <w:bCs/>
          <w:sz w:val="18"/>
          <w:szCs w:val="18"/>
        </w:rPr>
        <w:t>六、注册会计师对财务报表审计的责任</w:t>
      </w:r>
      <w:r>
        <w:rPr>
          <w:rFonts w:ascii="宋体" w:hAnsi="宋体" w:cs="宋体" w:eastAsia="宋体" w:hint="default"/>
          <w:b/>
          <w:bCs/>
          <w:spacing w:val="1"/>
          <w:w w:val="99"/>
          <w:sz w:val="18"/>
          <w:szCs w:val="18"/>
        </w:rPr>
        <w:t> </w:t>
      </w:r>
      <w:r>
        <w:rPr>
          <w:rFonts w:ascii="宋体" w:hAnsi="宋体" w:cs="宋体" w:eastAsia="宋体" w:hint="default"/>
          <w:spacing w:val="-1"/>
          <w:sz w:val="18"/>
          <w:szCs w:val="18"/>
        </w:rPr>
        <w:t>我们的目标是对财务报表整体是否不存在由于舞弊或错误导致的重大错报获取合理保证，并出具包含审计意见的审计</w:t>
      </w:r>
    </w:p>
    <w:p>
      <w:pPr>
        <w:pStyle w:val="BodyText"/>
        <w:spacing w:line="316" w:lineRule="auto" w:before="19"/>
        <w:ind w:right="1132"/>
        <w:jc w:val="both"/>
      </w:pPr>
      <w:r>
        <w:rPr>
          <w:spacing w:val="-2"/>
        </w:rPr>
        <w:t>报告。合理保证是高水平的保证，但并不能保证按照审计准则执行的审计在某一重大错报存在时总能发现。错报可能由于舞</w:t>
      </w:r>
      <w:r>
        <w:rPr>
          <w:spacing w:val="-66"/>
        </w:rPr>
        <w:t> </w:t>
      </w:r>
      <w:r>
        <w:rPr>
          <w:spacing w:val="-66"/>
        </w:rPr>
      </w:r>
      <w:r>
        <w:rPr>
          <w:spacing w:val="-2"/>
        </w:rPr>
        <w:t>弊或错误导致，如果合理预期错报单独或汇总起来可能影响财务报表使用者依据财务报表作出的经济决策，则通常认为错报</w:t>
      </w:r>
      <w:r>
        <w:rPr>
          <w:spacing w:val="-64"/>
        </w:rPr>
        <w:t> </w:t>
      </w:r>
      <w:r>
        <w:rPr>
          <w:spacing w:val="-64"/>
        </w:rPr>
      </w:r>
      <w:r>
        <w:rPr/>
        <w:t>是重大的。</w:t>
      </w:r>
    </w:p>
    <w:p>
      <w:pPr>
        <w:pStyle w:val="BodyText"/>
        <w:spacing w:line="240" w:lineRule="auto" w:before="19"/>
        <w:ind w:left="634" w:right="0"/>
        <w:jc w:val="left"/>
      </w:pPr>
      <w:r>
        <w:rPr/>
        <w:t>在按照审计准则执行审计工作的过程中，我们运用职业判断，并保持职业怀疑。同时，我们也执行以下工作：</w:t>
      </w:r>
    </w:p>
    <w:p>
      <w:pPr>
        <w:pStyle w:val="BodyText"/>
        <w:spacing w:line="319" w:lineRule="auto" w:before="76"/>
        <w:ind w:right="1040" w:firstLine="480"/>
        <w:jc w:val="both"/>
      </w:pPr>
      <w:r>
        <w:rPr>
          <w:spacing w:val="-3"/>
        </w:rPr>
        <w:t>（一）识别和评估由于舞弊或错误导致的财务报表重大错报风险，设计和实施审计程序以应对这些风险，并获取充分、</w:t>
      </w:r>
      <w:r>
        <w:rPr/>
        <w:t> 适当的审计证据，作为发表审计意见的基础。由于舞弊可能涉及串通、伪造、故意遗漏、虚假陈述或凌驾于内部控制之上， 未能发现由于舞弊导致的重大错报的风险高于未能发现由于错误导致的重大错报的风险。</w:t>
      </w:r>
    </w:p>
    <w:p>
      <w:pPr>
        <w:pStyle w:val="BodyText"/>
        <w:spacing w:line="240" w:lineRule="auto" w:before="17"/>
        <w:ind w:left="634" w:right="0"/>
        <w:jc w:val="left"/>
      </w:pPr>
      <w:r>
        <w:rPr/>
        <w:t>（二）了解与审计相关的内部控制，以设计恰当的审计程序，但目的并非对内部控制的有效性发表意见。</w:t>
      </w:r>
    </w:p>
    <w:p>
      <w:pPr>
        <w:pStyle w:val="BodyText"/>
        <w:spacing w:line="240" w:lineRule="auto" w:before="76"/>
        <w:ind w:left="634" w:right="0"/>
        <w:jc w:val="left"/>
      </w:pPr>
      <w:r>
        <w:rPr/>
        <w:t>（三）评价管理层选用会计政策的恰当性和作出会计估计及相关披露的合理性。</w:t>
      </w:r>
    </w:p>
    <w:p>
      <w:pPr>
        <w:pStyle w:val="BodyText"/>
        <w:spacing w:line="240" w:lineRule="auto" w:before="76"/>
        <w:ind w:left="634" w:right="0"/>
        <w:jc w:val="left"/>
      </w:pPr>
      <w:r>
        <w:rPr/>
        <w:t>（四）对管理层使用持续经营假设的恰当性得出结论。同时，根据获取的审计证据，就可能导致对劲嘉股份公司持续</w:t>
      </w:r>
    </w:p>
    <w:p>
      <w:pPr>
        <w:spacing w:after="0" w:line="24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6" w:lineRule="auto" w:before="44"/>
        <w:ind w:right="0"/>
        <w:jc w:val="left"/>
      </w:pPr>
      <w:r>
        <w:rPr>
          <w:spacing w:val="-2"/>
        </w:rPr>
        <w:t>经营能力产生重大疑虑的事项或情况是否存在重大不确定性得出结论。如果我们得出结论认为存在重大不确定性，审计准则</w:t>
      </w:r>
      <w:r>
        <w:rPr>
          <w:spacing w:val="-64"/>
        </w:rPr>
        <w:t> </w:t>
      </w:r>
      <w:r>
        <w:rPr>
          <w:spacing w:val="-64"/>
        </w:rPr>
      </w:r>
      <w:r>
        <w:rPr/>
        <w:t>要求我们在审计报告中提请报表使用者注意财务报表中的相关披露；如果披 </w:t>
      </w:r>
      <w:r>
        <w:rPr>
          <w:spacing w:val="-2"/>
        </w:rPr>
        <w:t>露不充分，我们应当发表非无保留意见。我们的结论基于截至审计报告日可获得的信息。然而，未来的事项或情况可能导致</w:t>
      </w:r>
      <w:r>
        <w:rPr>
          <w:spacing w:val="-66"/>
        </w:rPr>
        <w:t> </w:t>
      </w:r>
      <w:r>
        <w:rPr>
          <w:spacing w:val="-66"/>
        </w:rPr>
      </w:r>
      <w:r>
        <w:rPr/>
        <w:t>劲嘉股份公司不能持续经营。</w:t>
      </w:r>
    </w:p>
    <w:p>
      <w:pPr>
        <w:pStyle w:val="BodyText"/>
        <w:spacing w:line="240" w:lineRule="auto" w:before="19"/>
        <w:ind w:left="634" w:right="0"/>
        <w:jc w:val="left"/>
      </w:pPr>
      <w:r>
        <w:rPr/>
        <w:t>（五）评价财务报表的总体列报、结构和内容（包括披露），并评价财务报表是否公允反映相关交易和事项。</w:t>
      </w:r>
    </w:p>
    <w:p>
      <w:pPr>
        <w:pStyle w:val="BodyText"/>
        <w:spacing w:line="316" w:lineRule="auto" w:before="76"/>
        <w:ind w:right="0" w:firstLine="480"/>
        <w:jc w:val="left"/>
      </w:pPr>
      <w:r>
        <w:rPr>
          <w:spacing w:val="-1"/>
        </w:rPr>
        <w:t>（六）就劲嘉股份公司中实体或业务活动的财务信息获取充分、适当的审计证据，以对财务报表发表意见。我们负责</w:t>
      </w:r>
      <w:r>
        <w:rPr/>
        <w:t> 指导、监督和执行集团审计。我们对审计意见承担全部责任。</w:t>
      </w:r>
    </w:p>
    <w:p>
      <w:pPr>
        <w:pStyle w:val="BodyText"/>
        <w:spacing w:line="316" w:lineRule="auto" w:before="19"/>
        <w:ind w:right="0" w:firstLine="480"/>
        <w:jc w:val="left"/>
      </w:pPr>
      <w:r>
        <w:rPr>
          <w:spacing w:val="-1"/>
        </w:rPr>
        <w:t>我们与治理层就计划的审计范围、时间安排和重大审计发现等事项进行沟通，包括沟通我们在审计中识别出的值得关</w:t>
      </w:r>
      <w:r>
        <w:rPr/>
        <w:t> 注的内部控制缺陷。</w:t>
      </w:r>
    </w:p>
    <w:p>
      <w:pPr>
        <w:pStyle w:val="BodyText"/>
        <w:spacing w:line="316" w:lineRule="auto" w:before="19"/>
        <w:ind w:right="0" w:firstLine="480"/>
        <w:jc w:val="left"/>
      </w:pPr>
      <w:r>
        <w:rPr>
          <w:spacing w:val="-1"/>
        </w:rPr>
        <w:t>我们还就已遵守与独立性相关的职业道德要求向治理层提供声明，并与治理层沟通可能被合理认为影响我们独立性的</w:t>
      </w:r>
      <w:r>
        <w:rPr/>
        <w:t> 所有关系和其他事项，以及相关的防范措施。</w:t>
      </w:r>
    </w:p>
    <w:p>
      <w:pPr>
        <w:spacing w:line="240" w:lineRule="auto" w:before="4"/>
        <w:rPr>
          <w:rFonts w:ascii="宋体" w:hAnsi="宋体" w:cs="宋体" w:eastAsia="宋体" w:hint="default"/>
          <w:sz w:val="25"/>
          <w:szCs w:val="25"/>
        </w:rPr>
      </w:pPr>
    </w:p>
    <w:p>
      <w:pPr>
        <w:pStyle w:val="BodyText"/>
        <w:spacing w:line="316" w:lineRule="auto"/>
        <w:ind w:right="1133" w:firstLine="480"/>
        <w:jc w:val="both"/>
      </w:pPr>
      <w:r>
        <w:rPr>
          <w:spacing w:val="-1"/>
        </w:rPr>
        <w:t>从与治理层沟通过的事项中，我们确定哪些事项对本期财务报表审计最为重要，因而构成关键审计事项。我们在审计</w:t>
      </w:r>
      <w:r>
        <w:rPr/>
        <w:t> </w:t>
      </w:r>
      <w:r>
        <w:rPr>
          <w:spacing w:val="-2"/>
        </w:rPr>
        <w:t>报告中描述这些事项，除非法律法规禁止公开披露这些事项，或在极少数情形下，如果合理预期在审计报告中沟通某事项造</w:t>
      </w:r>
      <w:r>
        <w:rPr>
          <w:spacing w:val="-66"/>
        </w:rPr>
        <w:t> </w:t>
      </w:r>
      <w:r>
        <w:rPr>
          <w:spacing w:val="-66"/>
        </w:rPr>
      </w:r>
      <w:r>
        <w:rPr/>
        <w:t>成的负面后果超过在公众利益方面产生的益处，我们确定不应在审计报告中沟通该事项。</w:t>
      </w:r>
    </w:p>
    <w:p>
      <w:pPr>
        <w:spacing w:line="240" w:lineRule="auto" w:before="4"/>
        <w:rPr>
          <w:rFonts w:ascii="宋体" w:hAnsi="宋体" w:cs="宋体" w:eastAsia="宋体" w:hint="default"/>
          <w:sz w:val="25"/>
          <w:szCs w:val="25"/>
        </w:rPr>
      </w:pPr>
    </w:p>
    <w:p>
      <w:pPr>
        <w:pStyle w:val="BodyText"/>
        <w:tabs>
          <w:tab w:pos="6880" w:val="left" w:leader="none"/>
        </w:tabs>
        <w:spacing w:line="240" w:lineRule="auto"/>
        <w:ind w:left="634" w:right="0"/>
        <w:jc w:val="left"/>
      </w:pPr>
      <w:r>
        <w:rPr/>
        <w:t>瑞华会计师事务所（特殊普通合伙）</w:t>
        <w:tab/>
        <w:t>中国注册会计师</w:t>
      </w:r>
    </w:p>
    <w:p>
      <w:pPr>
        <w:spacing w:line="240" w:lineRule="auto" w:before="0"/>
        <w:rPr>
          <w:rFonts w:ascii="宋体" w:hAnsi="宋体" w:cs="宋体" w:eastAsia="宋体" w:hint="default"/>
          <w:sz w:val="18"/>
          <w:szCs w:val="18"/>
        </w:rPr>
      </w:pPr>
    </w:p>
    <w:p>
      <w:pPr>
        <w:pStyle w:val="BodyText"/>
        <w:tabs>
          <w:tab w:pos="6957" w:val="left" w:leader="none"/>
        </w:tabs>
        <w:spacing w:line="240" w:lineRule="auto" w:before="153"/>
        <w:ind w:left="634" w:right="0"/>
        <w:jc w:val="left"/>
      </w:pPr>
      <w:r>
        <w:rPr>
          <w:spacing w:val="-1"/>
        </w:rPr>
        <w:t>中国</w:t>
      </w:r>
      <w:r>
        <w:rPr>
          <w:rFonts w:ascii="Times New Roman" w:hAnsi="Times New Roman" w:cs="Times New Roman" w:eastAsia="Times New Roman" w:hint="default"/>
          <w:spacing w:val="-1"/>
        </w:rPr>
        <w:t>·</w:t>
      </w:r>
      <w:r>
        <w:rPr>
          <w:spacing w:val="-1"/>
        </w:rPr>
        <w:t>北京</w:t>
        <w:tab/>
      </w:r>
      <w:r>
        <w:rPr/>
        <w:t>印碧辉</w:t>
      </w:r>
    </w:p>
    <w:p>
      <w:pPr>
        <w:spacing w:line="240" w:lineRule="auto" w:before="0"/>
        <w:rPr>
          <w:rFonts w:ascii="宋体" w:hAnsi="宋体" w:cs="宋体" w:eastAsia="宋体" w:hint="default"/>
          <w:sz w:val="18"/>
          <w:szCs w:val="18"/>
        </w:rPr>
      </w:pPr>
    </w:p>
    <w:p>
      <w:pPr>
        <w:pStyle w:val="BodyText"/>
        <w:tabs>
          <w:tab w:pos="6619" w:val="left" w:leader="none"/>
        </w:tabs>
        <w:spacing w:line="240" w:lineRule="auto" w:before="139"/>
        <w:ind w:left="634" w:right="0"/>
        <w:jc w:val="left"/>
      </w:pPr>
      <w:r>
        <w:rPr/>
        <w:t>二〇一九年四月十六日</w:t>
        <w:tab/>
        <w:t>中国注册会计师</w:t>
      </w:r>
    </w:p>
    <w:p>
      <w:pPr>
        <w:spacing w:line="240" w:lineRule="auto" w:before="0"/>
        <w:rPr>
          <w:rFonts w:ascii="宋体" w:hAnsi="宋体" w:cs="宋体" w:eastAsia="宋体" w:hint="default"/>
          <w:sz w:val="18"/>
          <w:szCs w:val="18"/>
        </w:rPr>
      </w:pPr>
    </w:p>
    <w:p>
      <w:pPr>
        <w:pStyle w:val="BodyText"/>
        <w:spacing w:line="240" w:lineRule="auto" w:before="153"/>
        <w:ind w:left="7057" w:right="0"/>
        <w:jc w:val="left"/>
      </w:pPr>
      <w:r>
        <w:rPr/>
        <w:t>荣矾</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3"/>
        <w:rPr>
          <w:rFonts w:ascii="宋体" w:hAnsi="宋体" w:cs="宋体" w:eastAsia="宋体" w:hint="default"/>
          <w:sz w:val="12"/>
          <w:szCs w:val="12"/>
        </w:rPr>
      </w:pPr>
    </w:p>
    <w:p>
      <w:pPr>
        <w:pStyle w:val="Heading2"/>
        <w:spacing w:line="240" w:lineRule="auto"/>
        <w:ind w:right="0"/>
        <w:jc w:val="left"/>
        <w:rPr>
          <w:b w:val="0"/>
          <w:bCs w:val="0"/>
        </w:rPr>
      </w:pPr>
      <w:bookmarkStart w:name="二、财务报表" w:id="156"/>
      <w:bookmarkEnd w:id="156"/>
      <w:r>
        <w:rPr>
          <w:b w:val="0"/>
          <w:bCs w:val="0"/>
        </w:rPr>
      </w:r>
      <w:r>
        <w:rPr/>
        <w:t>二、财务报表</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财务附注中报表的单位为：人民币元</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1、合并资产负债表" w:id="157"/>
      <w:bookmarkEnd w:id="157"/>
      <w:r>
        <w:rPr>
          <w:b w:val="0"/>
          <w:bCs w:val="0"/>
        </w:rPr>
      </w:r>
      <w:r>
        <w:rPr>
          <w:rFonts w:ascii="Times New Roman" w:hAnsi="Times New Roman" w:cs="Times New Roman" w:eastAsia="Times New Roman" w:hint="default"/>
        </w:rPr>
        <w:t>1</w:t>
      </w:r>
      <w:r>
        <w:rPr/>
        <w:t>、合并资产负债表</w:t>
      </w:r>
      <w:r>
        <w:rPr>
          <w:b w:val="0"/>
          <w:bCs w:val="0"/>
        </w:rPr>
      </w:r>
    </w:p>
    <w:p>
      <w:pPr>
        <w:spacing w:line="240" w:lineRule="auto" w:before="4"/>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980" w:right="0"/>
        </w:sectPr>
      </w:pPr>
    </w:p>
    <w:p>
      <w:pPr>
        <w:pStyle w:val="BodyText"/>
        <w:spacing w:line="240" w:lineRule="auto" w:before="44"/>
        <w:ind w:right="-20"/>
        <w:jc w:val="left"/>
      </w:pPr>
      <w:r>
        <w:rPr/>
        <w:t>编制单位：深圳劲嘉集团股份有限公司</w:t>
      </w:r>
    </w:p>
    <w:p>
      <w:pPr>
        <w:spacing w:line="240" w:lineRule="auto" w:before="0"/>
        <w:rPr>
          <w:rFonts w:ascii="宋体" w:hAnsi="宋体" w:cs="宋体" w:eastAsia="宋体" w:hint="default"/>
          <w:sz w:val="18"/>
          <w:szCs w:val="18"/>
        </w:rPr>
      </w:pPr>
      <w:r>
        <w:rPr/>
        <w:br w:type="column"/>
      </w:r>
      <w:r>
        <w:rPr>
          <w:rFonts w:ascii="宋体"/>
          <w:sz w:val="18"/>
        </w:rPr>
      </w:r>
    </w:p>
    <w:p>
      <w:pPr>
        <w:pStyle w:val="BodyText"/>
        <w:spacing w:line="240" w:lineRule="auto" w:before="160"/>
        <w:ind w:left="153" w:right="-16"/>
        <w:jc w:val="left"/>
      </w:pP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12 </w:t>
      </w:r>
      <w:r>
        <w:rPr/>
        <w:t>月</w:t>
      </w:r>
      <w:r>
        <w:rPr>
          <w:spacing w:val="-46"/>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left="153" w:right="0"/>
        <w:jc w:val="left"/>
      </w:pPr>
      <w:r>
        <w:rPr/>
        <w:t>单位：元</w:t>
      </w:r>
    </w:p>
    <w:p>
      <w:pPr>
        <w:spacing w:after="0" w:line="240" w:lineRule="auto"/>
        <w:jc w:val="left"/>
        <w:sectPr>
          <w:type w:val="continuous"/>
          <w:pgSz w:w="11910" w:h="16840"/>
          <w:pgMar w:top="1060" w:bottom="1160" w:left="980" w:right="0"/>
          <w:cols w:num="3" w:equalWidth="0">
            <w:col w:w="3215" w:space="863"/>
            <w:col w:w="1639" w:space="3203"/>
            <w:col w:w="2010"/>
          </w:cols>
        </w:sectPr>
      </w:pP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71"/>
        <w:gridCol w:w="3418"/>
        <w:gridCol w:w="2968"/>
      </w:tblGrid>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249" w:right="0"/>
              <w:jc w:val="left"/>
              <w:rPr>
                <w:rFonts w:ascii="Times New Roman" w:hAnsi="Times New Roman" w:cs="Times New Roman" w:eastAsia="Times New Roman" w:hint="default"/>
                <w:sz w:val="18"/>
                <w:szCs w:val="18"/>
              </w:rPr>
            </w:pPr>
            <w:r>
              <w:rPr>
                <w:rFonts w:ascii="Times New Roman"/>
                <w:sz w:val="18"/>
              </w:rPr>
              <w:t>839,454,838.02</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675" w:right="0"/>
              <w:jc w:val="left"/>
              <w:rPr>
                <w:rFonts w:ascii="Times New Roman" w:hAnsi="Times New Roman" w:cs="Times New Roman" w:eastAsia="Times New Roman" w:hint="default"/>
                <w:sz w:val="18"/>
                <w:szCs w:val="18"/>
              </w:rPr>
            </w:pPr>
            <w:r>
              <w:rPr>
                <w:rFonts w:ascii="Times New Roman"/>
                <w:sz w:val="18"/>
              </w:rPr>
              <w:t>1,226,902,686.95</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88"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 损益的金融资产</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3171"/>
        <w:gridCol w:w="3418"/>
        <w:gridCol w:w="2968"/>
      </w:tblGrid>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应收票据及应收账款</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879,310,955.43</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788,919,097.14</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其中：应收票据</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119,088,458.32</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120,236,975.64</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56"/>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760,222,497.11</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668,682,121.50</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14,347,036.39</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11,405,407.53</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100,405,689.09</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131,853,766.29</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其中：应收利息</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1,570,444.47</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3,938,238.35</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56"/>
              <w:jc w:val="center"/>
              <w:rPr>
                <w:rFonts w:ascii="宋体" w:hAnsi="宋体" w:cs="宋体" w:eastAsia="宋体" w:hint="default"/>
                <w:sz w:val="18"/>
                <w:szCs w:val="18"/>
              </w:rPr>
            </w:pPr>
            <w:r>
              <w:rPr>
                <w:rFonts w:ascii="宋体" w:hAnsi="宋体" w:cs="宋体" w:eastAsia="宋体" w:hint="default"/>
                <w:sz w:val="18"/>
                <w:szCs w:val="18"/>
              </w:rPr>
              <w:t>应收股利</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72,613,840.76</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87,613,840.76</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782,454,900.19</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712,183,691.48</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590,010,691.73</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652,880,570.24</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3,205,984,110.85</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3,524,145,219.63</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发放贷款和垫款</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1,293,854,523.63</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1,018,892,068.90</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399,387,904.14</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319,255,065.85</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1,606,007,156.56</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1,680,662,023.38</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266,703,315.99</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133,973,716.36</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302,581,784.75</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293,064,663.59</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988,758,840.80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988,758,840.80</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25,247,269.24</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28,458,964.12</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39,658,153.27</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38,866,562.98</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75,397,840.03</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97,702,942.11</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4,997,596,788.41</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4,599,634,848.09</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3171"/>
        <w:gridCol w:w="3418"/>
        <w:gridCol w:w="2968"/>
      </w:tblGrid>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8,203,580,899.26</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8,123,780,067.72</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60,000,000.00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10,000,000.00</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88"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 损益的金融负债</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应付票据及应付账款</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796,104,412.00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831,315,770.14</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10,188,583.89</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10,048,765.56</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78,206,292.19</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66,630,024.01</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138,573,336.90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60,344,591.99</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303,574,549.04</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416,818,424.26</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其中：应付利息</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56"/>
              <w:jc w:val="center"/>
              <w:rPr>
                <w:rFonts w:ascii="宋体" w:hAnsi="宋体" w:cs="宋体" w:eastAsia="宋体" w:hint="default"/>
                <w:sz w:val="18"/>
                <w:szCs w:val="18"/>
              </w:rPr>
            </w:pPr>
            <w:r>
              <w:rPr>
                <w:rFonts w:ascii="宋体" w:hAnsi="宋体" w:cs="宋体" w:eastAsia="宋体" w:hint="default"/>
                <w:sz w:val="18"/>
                <w:szCs w:val="18"/>
              </w:rPr>
              <w:t>应付股利</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4,100,307.39</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43,100,307.39</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1,386,647,174.02</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1,395,157,575.96</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36"/>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14,028,630.44</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14,622,365.10</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3171"/>
        <w:gridCol w:w="3418"/>
        <w:gridCol w:w="2968"/>
      </w:tblGrid>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18,783,661.50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10,300,000.00</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12,233,065.36</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12,994,117.64</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45,045,357.30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37,916,482.74</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1,431,692,531.32</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1,433,074,058.70</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1,494,834,382.00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1,494,834,382.00</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36"/>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1,648,246,270.54</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1,651,803,320.86</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230,222,172.45</w:t>
            </w: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-13,828,512.83</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-12,287,373.13</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490,236,584.54</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435,776,447.00</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3,103,534,061.67</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2,878,766,290.13</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6,492,800,613.47</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6,448,893,066.86</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279,087,754.47</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241,812,942.16</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6,771,888,367.94</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6,690,706,009.02</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8,203,580,899.26</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8,123,780,067.72</w:t>
            </w:r>
          </w:p>
        </w:tc>
      </w:tr>
    </w:tbl>
    <w:p>
      <w:pPr>
        <w:spacing w:line="240" w:lineRule="auto" w:before="3"/>
        <w:rPr>
          <w:rFonts w:ascii="Times New Roman" w:hAnsi="Times New Roman" w:cs="Times New Roman" w:eastAsia="Times New Roman" w:hint="default"/>
          <w:sz w:val="23"/>
          <w:szCs w:val="23"/>
        </w:rPr>
      </w:pPr>
    </w:p>
    <w:p>
      <w:pPr>
        <w:pStyle w:val="BodyText"/>
        <w:tabs>
          <w:tab w:pos="3420" w:val="left" w:leader="none"/>
          <w:tab w:pos="7561" w:val="left" w:leader="none"/>
        </w:tabs>
        <w:spacing w:line="240" w:lineRule="auto" w:before="44"/>
        <w:ind w:left="0" w:right="1229"/>
        <w:jc w:val="right"/>
      </w:pPr>
      <w:r>
        <w:rPr/>
        <w:t>法定代表人：乔鲁予</w:t>
        <w:tab/>
        <w:t>主管会计工作负责人：富培军</w:t>
        <w:tab/>
        <w:t>会计机构负责人：富培军</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2、母公司资产负债表" w:id="158"/>
      <w:bookmarkEnd w:id="158"/>
      <w:r>
        <w:rPr>
          <w:b w:val="0"/>
          <w:bCs w:val="0"/>
        </w:rPr>
      </w:r>
      <w:r>
        <w:rPr>
          <w:rFonts w:ascii="Times New Roman" w:hAnsi="Times New Roman" w:cs="Times New Roman" w:eastAsia="Times New Roman" w:hint="default"/>
        </w:rPr>
        <w:t>2</w:t>
      </w:r>
      <w:r>
        <w:rPr/>
        <w:t>、母公司资产负债表</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278"/>
        <w:gridCol w:w="3314"/>
        <w:gridCol w:w="2966"/>
      </w:tblGrid>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232,632,248.98</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682,426,626.64</w:t>
            </w:r>
          </w:p>
        </w:tc>
      </w:tr>
      <w:tr>
        <w:trPr>
          <w:trHeight w:val="714"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5"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 益的金融资产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应收票据及应收账款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384,673,908.96</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341,647,350.64</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其中：应收票据</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95,233,367.39</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85,260,327.74</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64"/>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289,440,541.57</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256,387,022.90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3278"/>
        <w:gridCol w:w="3314"/>
        <w:gridCol w:w="2966"/>
      </w:tblGrid>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3,215,321.25</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2,781,188.98</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556,002,241.12</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584,388,827.96</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其中：应收利息</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1,570,444.47</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3,938,238.35</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64"/>
              <w:jc w:val="center"/>
              <w:rPr>
                <w:rFonts w:ascii="宋体" w:hAnsi="宋体" w:cs="宋体" w:eastAsia="宋体" w:hint="default"/>
                <w:sz w:val="18"/>
                <w:szCs w:val="18"/>
              </w:rPr>
            </w:pPr>
            <w:r>
              <w:rPr>
                <w:rFonts w:ascii="宋体" w:hAnsi="宋体" w:cs="宋体" w:eastAsia="宋体" w:hint="default"/>
                <w:sz w:val="18"/>
                <w:szCs w:val="18"/>
              </w:rPr>
              <w:t>应收股利</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77,076,246.82</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72,467,025.46</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324,736,420.91</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318,090,431.44</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575,000,000.00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650,000,000.00</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2,076,260,141.22</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2,579,334,425.66</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3,063,589,057.59</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2,836,896,962.08</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238,629,912.78</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155,451,210.51</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806,608,814.97</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904,618,523.40</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113,666,265.39</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69,900,607.94</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130,731,372.54</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117,869,543.54</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12,722,388.85</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13,750,215.29</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7,511,467.22</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5,447,399.89</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251,552,414.07</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118,410,234.36</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4,625,011,693.41</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4,222,344,697.01</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6,701,271,834.63</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6,801,679,122.67</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5"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 益的金融负债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应付票据及应付账款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519,245,415.85</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514,496,596.70</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7,052,273.57</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8,198,497.87</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3278"/>
        <w:gridCol w:w="3314"/>
        <w:gridCol w:w="2966"/>
      </w:tblGrid>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25,835,997.21</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23,983,415.21</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43,211,047.55</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16,174,199.57</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776,129,366.23</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783,128,436.37</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其中：应付利息</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64"/>
              <w:jc w:val="center"/>
              <w:rPr>
                <w:rFonts w:ascii="宋体" w:hAnsi="宋体" w:cs="宋体" w:eastAsia="宋体" w:hint="default"/>
                <w:sz w:val="18"/>
                <w:szCs w:val="18"/>
              </w:rPr>
            </w:pPr>
            <w:r>
              <w:rPr>
                <w:rFonts w:ascii="宋体" w:hAnsi="宋体" w:cs="宋体" w:eastAsia="宋体" w:hint="default"/>
                <w:sz w:val="18"/>
                <w:szCs w:val="18"/>
              </w:rPr>
              <w:t>应付股利</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1,371,474,100.41</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1,345,981,145.72</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44"/>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15,500,750.00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9,700,000.00</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15,500,750.00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9,700,000.00</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1,386,974,850.41</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1,355,681,145.72</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1,494,834,382.00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1,494,834,382.00</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44"/>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1,879,186,478.88</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1,879,186,478.88</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230,222,172.45</w:t>
            </w: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490,236,584.54</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435,776,447.00</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1,680,261,711.25</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1,636,200,669.07</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5,314,296,984.22</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5,445,997,976.95</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290"/>
        <w:gridCol w:w="3314"/>
        <w:gridCol w:w="2966"/>
      </w:tblGrid>
      <w:tr>
        <w:trPr>
          <w:trHeight w:val="402" w:hRule="exact"/>
        </w:trPr>
        <w:tc>
          <w:tcPr>
            <w:tcW w:w="32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012" w:right="0"/>
              <w:jc w:val="left"/>
              <w:rPr>
                <w:rFonts w:ascii="Times New Roman" w:hAnsi="Times New Roman" w:cs="Times New Roman" w:eastAsia="Times New Roman" w:hint="default"/>
                <w:sz w:val="18"/>
                <w:szCs w:val="18"/>
              </w:rPr>
            </w:pPr>
            <w:r>
              <w:rPr>
                <w:rFonts w:ascii="Times New Roman"/>
                <w:sz w:val="18"/>
              </w:rPr>
              <w:t>6,701,271,834.63</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673" w:right="0"/>
              <w:jc w:val="left"/>
              <w:rPr>
                <w:rFonts w:ascii="Times New Roman" w:hAnsi="Times New Roman" w:cs="Times New Roman" w:eastAsia="Times New Roman" w:hint="default"/>
                <w:sz w:val="18"/>
                <w:szCs w:val="18"/>
              </w:rPr>
            </w:pPr>
            <w:r>
              <w:rPr>
                <w:rFonts w:ascii="Times New Roman"/>
                <w:sz w:val="18"/>
              </w:rPr>
              <w:t>6,801,679,122.67</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5"/>
        <w:ind w:right="0"/>
        <w:jc w:val="left"/>
        <w:rPr>
          <w:b w:val="0"/>
          <w:bCs w:val="0"/>
        </w:rPr>
      </w:pPr>
      <w:bookmarkStart w:name="3、合并利润表" w:id="159"/>
      <w:bookmarkEnd w:id="159"/>
      <w:r>
        <w:rPr>
          <w:b w:val="0"/>
          <w:bCs w:val="0"/>
        </w:rPr>
      </w:r>
      <w:r>
        <w:rPr>
          <w:rFonts w:ascii="Times New Roman" w:hAnsi="Times New Roman" w:cs="Times New Roman" w:eastAsia="Times New Roman" w:hint="default"/>
        </w:rPr>
        <w:t>3</w:t>
      </w:r>
      <w:r>
        <w:rPr/>
        <w:t>、合并利润表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3,374,004,791.26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2,945,293,524.27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3,374,004,791.26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2,945,293,524.27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2,519,824,295.51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2,217,184,228.99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1,901,038,137.74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1,646,094,945.44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提取保险合同准备金净额</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45,736,893.17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41,906,527.98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117,203,689.64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105,059,750.64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287,256,965.56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264,276,859.66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140,312,981.76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126,600,230.24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-5,904,399.22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10,013,182.80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91" w:right="0"/>
              <w:jc w:val="left"/>
              <w:rPr>
                <w:rFonts w:ascii="宋体" w:hAnsi="宋体" w:cs="宋体" w:eastAsia="宋体" w:hint="default"/>
                <w:sz w:val="18"/>
                <w:szCs w:val="18"/>
              </w:rPr>
            </w:pPr>
            <w:r>
              <w:rPr>
                <w:rFonts w:ascii="宋体" w:hAnsi="宋体" w:cs="宋体" w:eastAsia="宋体" w:hint="default"/>
                <w:sz w:val="18"/>
                <w:szCs w:val="18"/>
              </w:rPr>
              <w:t>其中：利息费用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1,825,723.11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14,082,137.88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31"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7,401,095.50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8,451,797.12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34,180,026.86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23,232,732.23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加：其他收益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22,200,104.04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24,788,413.64</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78,515,842.58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34,856,472.95</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720"/>
              <w:jc w:val="left"/>
              <w:rPr>
                <w:rFonts w:ascii="宋体" w:hAnsi="宋体" w:cs="宋体" w:eastAsia="宋体" w:hint="default"/>
                <w:sz w:val="18"/>
                <w:szCs w:val="18"/>
              </w:rPr>
            </w:pPr>
            <w:r>
              <w:rPr>
                <w:rFonts w:ascii="宋体" w:hAnsi="宋体" w:cs="宋体" w:eastAsia="宋体" w:hint="default"/>
                <w:sz w:val="18"/>
                <w:szCs w:val="18"/>
              </w:rPr>
              <w:t>其中：对联营企业和合营企 业的投资收益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53,498,126.90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28,359,419.80</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公允价值变动收益（损失以</w:t>
            </w:r>
          </w:p>
          <w:p>
            <w:pPr>
              <w:pStyle w:val="TableParagraph"/>
              <w:spacing w:line="240" w:lineRule="auto" w:before="76"/>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731" w:right="0"/>
              <w:jc w:val="left"/>
              <w:rPr>
                <w:rFonts w:ascii="宋体" w:hAnsi="宋体" w:cs="宋体" w:eastAsia="宋体" w:hint="default"/>
                <w:sz w:val="18"/>
                <w:szCs w:val="18"/>
              </w:rPr>
            </w:pPr>
            <w:r>
              <w:rPr>
                <w:rFonts w:ascii="宋体" w:hAnsi="宋体" w:cs="宋体" w:eastAsia="宋体" w:hint="default"/>
                <w:sz w:val="18"/>
                <w:szCs w:val="18"/>
              </w:rPr>
              <w:t>汇兑收益（损失以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7"/>
        <w:gridCol w:w="3301"/>
        <w:gridCol w:w="3300"/>
      </w:tblGrid>
      <w:tr>
        <w:trPr>
          <w:trHeight w:val="36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资产处置收益（损失以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-1,491,102.07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1,052,268.38</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953,405,340.30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788,806,450.25</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2,010,134.10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673,503.04</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1,089,849.12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930,643.00</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四、利润总额（亏损总额以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954,325,625.28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788,549,310.29</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138,899,949.53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115,901,903.92</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815,425,675.75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672,647,406.37</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54" w:firstLine="360"/>
              <w:jc w:val="left"/>
              <w:rPr>
                <w:rFonts w:ascii="宋体" w:hAnsi="宋体" w:cs="宋体" w:eastAsia="宋体" w:hint="default"/>
                <w:sz w:val="18"/>
                <w:szCs w:val="18"/>
              </w:rPr>
            </w:pPr>
            <w:r>
              <w:rPr>
                <w:rFonts w:ascii="宋体" w:hAnsi="宋体" w:cs="宋体" w:eastAsia="宋体" w:hint="default"/>
                <w:sz w:val="18"/>
                <w:szCs w:val="18"/>
              </w:rPr>
              <w:t>（一）持续经营净利润（净亏损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815,425,675.75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672,647,406.37</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54" w:firstLine="360"/>
              <w:jc w:val="left"/>
              <w:rPr>
                <w:rFonts w:ascii="宋体" w:hAnsi="宋体" w:cs="宋体" w:eastAsia="宋体" w:hint="default"/>
                <w:sz w:val="18"/>
                <w:szCs w:val="18"/>
              </w:rPr>
            </w:pPr>
            <w:r>
              <w:rPr>
                <w:rFonts w:ascii="宋体" w:hAnsi="宋体" w:cs="宋体" w:eastAsia="宋体" w:hint="default"/>
                <w:sz w:val="18"/>
                <w:szCs w:val="18"/>
              </w:rPr>
              <w:t>（二）终止经营净利润（净亏损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725,308,104.74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574,411,233.05</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90,117,571.01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98,236,173.32</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六、其他综合收益的税后净额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-1,541,139.70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90,962.43</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4" w:firstLine="180"/>
              <w:jc w:val="left"/>
              <w:rPr>
                <w:rFonts w:ascii="宋体" w:hAnsi="宋体" w:cs="宋体" w:eastAsia="宋体" w:hint="default"/>
                <w:sz w:val="18"/>
                <w:szCs w:val="18"/>
              </w:rPr>
            </w:pPr>
            <w:r>
              <w:rPr>
                <w:rFonts w:ascii="宋体" w:hAnsi="宋体" w:cs="宋体" w:eastAsia="宋体" w:hint="default"/>
                <w:sz w:val="18"/>
                <w:szCs w:val="18"/>
              </w:rPr>
              <w:t>归属母公司所有者的其他综合收益 的税后净额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-1,541,139.70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90,962.43</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54" w:firstLine="360"/>
              <w:jc w:val="left"/>
              <w:rPr>
                <w:rFonts w:ascii="宋体" w:hAnsi="宋体" w:cs="宋体" w:eastAsia="宋体" w:hint="default"/>
                <w:sz w:val="18"/>
                <w:szCs w:val="18"/>
              </w:rPr>
            </w:pPr>
            <w:r>
              <w:rPr>
                <w:rFonts w:ascii="宋体" w:hAnsi="宋体" w:cs="宋体" w:eastAsia="宋体" w:hint="default"/>
                <w:sz w:val="18"/>
                <w:szCs w:val="18"/>
              </w:rPr>
              <w:t>（一）不能重分类进损益的其他 综合收益</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变动额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98"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权益法下不能转损益的 其他综合收益</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54" w:firstLine="360"/>
              <w:jc w:val="left"/>
              <w:rPr>
                <w:rFonts w:ascii="宋体" w:hAnsi="宋体" w:cs="宋体" w:eastAsia="宋体" w:hint="default"/>
                <w:sz w:val="18"/>
                <w:szCs w:val="18"/>
              </w:rPr>
            </w:pPr>
            <w:r>
              <w:rPr>
                <w:rFonts w:ascii="宋体" w:hAnsi="宋体" w:cs="宋体" w:eastAsia="宋体" w:hint="default"/>
                <w:sz w:val="18"/>
                <w:szCs w:val="18"/>
              </w:rPr>
              <w:t>（二）将重分类进损益的其他综 合收益</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-1,541,139.70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90,962.43</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权益法下可转损益的其</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他综合收益</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98"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 价值变动损益</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98"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 为可供出售金融资产损益</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效部分</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外币财务报表折算差额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-1,541,139.70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90,962.43</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180"/>
              <w:jc w:val="left"/>
              <w:rPr>
                <w:rFonts w:ascii="宋体" w:hAnsi="宋体" w:cs="宋体" w:eastAsia="宋体" w:hint="default"/>
                <w:sz w:val="18"/>
                <w:szCs w:val="18"/>
              </w:rPr>
            </w:pPr>
            <w:r>
              <w:rPr>
                <w:rFonts w:ascii="宋体" w:hAnsi="宋体" w:cs="宋体" w:eastAsia="宋体" w:hint="default"/>
                <w:sz w:val="18"/>
                <w:szCs w:val="18"/>
              </w:rPr>
              <w:t>归属于少数股东的其他综合收益的 税后净额</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813,884,536.05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672,738,368.80</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 总额</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723,766,965.04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574,502,195.48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90,117,571.01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98,236,173.32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八、每股收益：</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0.49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0.43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0.49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0.43</w:t>
            </w:r>
          </w:p>
        </w:tc>
      </w:tr>
    </w:tbl>
    <w:p>
      <w:pPr>
        <w:pStyle w:val="BodyText"/>
        <w:tabs>
          <w:tab w:pos="3574" w:val="left" w:leader="none"/>
          <w:tab w:pos="7715" w:val="left" w:leader="none"/>
        </w:tabs>
        <w:spacing w:line="592" w:lineRule="auto" w:before="51"/>
        <w:ind w:right="1229"/>
        <w:jc w:val="both"/>
        <w:rPr>
          <w:rFonts w:ascii="宋体" w:hAnsi="宋体" w:cs="宋体" w:eastAsia="宋体" w:hint="default"/>
          <w:sz w:val="21"/>
          <w:szCs w:val="21"/>
        </w:rPr>
      </w:pPr>
      <w:r>
        <w:rPr/>
        <w:t>本期发生同一控制下企业合并的，被合并方在合并前实现的净利润为：</w:t>
      </w:r>
      <w:r>
        <w:rPr>
          <w:rFonts w:ascii="Times New Roman" w:hAnsi="Times New Roman" w:cs="Times New Roman" w:eastAsia="Times New Roman" w:hint="default"/>
        </w:rPr>
        <w:t>0.00 </w:t>
      </w:r>
      <w:r>
        <w:rPr/>
        <w:t>元，上期被合并方实现的净利润为：</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 法定代表人：乔鲁予</w:t>
        <w:tab/>
        <w:t>主管会计工作负责人：富培军</w:t>
        <w:tab/>
        <w:t>会计机构负责人：富培军 </w:t>
      </w:r>
      <w:bookmarkStart w:name="4、母公司利润表" w:id="160"/>
      <w:bookmarkEnd w:id="160"/>
      <w:r>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、母公司利润表</w:t>
      </w:r>
      <w:r>
        <w:rPr>
          <w:rFonts w:ascii="宋体" w:hAnsi="宋体" w:cs="宋体" w:eastAsia="宋体" w:hint="default"/>
          <w:sz w:val="21"/>
          <w:szCs w:val="21"/>
        </w:rPr>
      </w:r>
    </w:p>
    <w:p>
      <w:pPr>
        <w:pStyle w:val="BodyText"/>
        <w:spacing w:line="240" w:lineRule="auto" w:before="7"/>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1,387,940,769.89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1,127,625,990.37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935,057,740.80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743,004,365.37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13,460,034.82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10,766,497.86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69,054,205.69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60,872,132.78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124,081,626.63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111,326,639.27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50,700,591.30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46,659,000.83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-2,125,781.24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8,995,035.62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其中：利息费用</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13,023,114.85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451"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4,126,339.10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5,441,222.01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16,090,493.52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6,440,492.53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加：其他收益</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4,767,208.21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5,861,796.55</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4"/>
              <w:ind w:left="11"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392,738,240.64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443,454,276.57</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720"/>
              <w:jc w:val="left"/>
              <w:rPr>
                <w:rFonts w:ascii="宋体" w:hAnsi="宋体" w:cs="宋体" w:eastAsia="宋体" w:hint="default"/>
                <w:sz w:val="18"/>
                <w:szCs w:val="18"/>
              </w:rPr>
            </w:pPr>
            <w:r>
              <w:rPr>
                <w:rFonts w:ascii="宋体" w:hAnsi="宋体" w:cs="宋体" w:eastAsia="宋体" w:hint="default"/>
                <w:sz w:val="18"/>
                <w:szCs w:val="18"/>
              </w:rPr>
              <w:t>其中：对联营企业和合营企 业的投资收益</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36,842,095.51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23,562,188.06</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公允价值变动收益（损失以</w:t>
            </w:r>
          </w:p>
          <w:p>
            <w:pPr>
              <w:pStyle w:val="TableParagraph"/>
              <w:spacing w:line="240" w:lineRule="auto" w:before="77"/>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资产处置收益（损失以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w:t>
            </w:r>
          </w:p>
          <w:p>
            <w:pPr>
              <w:pStyle w:val="TableParagraph"/>
              <w:spacing w:line="240" w:lineRule="auto" w:before="64"/>
              <w:ind w:left="11"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990,128.46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722,327.14</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580,117,435.68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589,600,226.37</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397,953.08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546,532.35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23,985.00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101,124.62</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59"/>
              <w:jc w:val="left"/>
              <w:rPr>
                <w:rFonts w:ascii="宋体" w:hAnsi="宋体" w:cs="宋体" w:eastAsia="宋体" w:hint="default"/>
                <w:sz w:val="18"/>
                <w:szCs w:val="18"/>
              </w:rPr>
            </w:pPr>
            <w:r>
              <w:rPr>
                <w:rFonts w:ascii="宋体" w:hAnsi="宋体" w:cs="宋体" w:eastAsia="宋体" w:hint="default"/>
                <w:sz w:val="18"/>
                <w:szCs w:val="18"/>
              </w:rPr>
              <w:t>三、利润总额（亏损总额以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580,491,403.76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590,045,634.10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35,890,028.38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25,679,291.71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四、净利润（净亏损以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544,601,375.38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564,366,342.39</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（一）持续经营净利润（净亏损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544,601,375.38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564,366,342.39</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（二）终止经营净利润（净亏损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五、其他综合收益的税后净额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（一）不能重分类进损益的其他 综合收益</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w:t>
            </w:r>
          </w:p>
          <w:p>
            <w:pPr>
              <w:pStyle w:val="TableParagraph"/>
              <w:spacing w:line="240" w:lineRule="auto" w:before="64"/>
              <w:ind w:left="11" w:right="0"/>
              <w:jc w:val="left"/>
              <w:rPr>
                <w:rFonts w:ascii="宋体" w:hAnsi="宋体" w:cs="宋体" w:eastAsia="宋体" w:hint="default"/>
                <w:sz w:val="18"/>
                <w:szCs w:val="18"/>
              </w:rPr>
            </w:pPr>
            <w:r>
              <w:rPr>
                <w:rFonts w:ascii="宋体" w:hAnsi="宋体" w:cs="宋体" w:eastAsia="宋体" w:hint="default"/>
                <w:sz w:val="18"/>
                <w:szCs w:val="18"/>
              </w:rPr>
              <w:t>变动额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85"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权益法下不能转损益的 其他综合收益</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（二）将重分类进损益的其他综 合收益</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权益法下可转损益的其</w:t>
            </w:r>
          </w:p>
          <w:p>
            <w:pPr>
              <w:pStyle w:val="TableParagraph"/>
              <w:spacing w:line="240" w:lineRule="auto" w:before="64"/>
              <w:ind w:left="11" w:right="0"/>
              <w:jc w:val="left"/>
              <w:rPr>
                <w:rFonts w:ascii="宋体" w:hAnsi="宋体" w:cs="宋体" w:eastAsia="宋体" w:hint="default"/>
                <w:sz w:val="18"/>
                <w:szCs w:val="18"/>
              </w:rPr>
            </w:pPr>
            <w:r>
              <w:rPr>
                <w:rFonts w:ascii="宋体" w:hAnsi="宋体" w:cs="宋体" w:eastAsia="宋体" w:hint="default"/>
                <w:sz w:val="18"/>
                <w:szCs w:val="18"/>
              </w:rPr>
              <w:t>他综合收益</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85"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 价值变动损益</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85"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 为可供出售金融资产损益</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w:t>
            </w:r>
          </w:p>
          <w:p>
            <w:pPr>
              <w:pStyle w:val="TableParagraph"/>
              <w:spacing w:line="240" w:lineRule="auto" w:before="64"/>
              <w:ind w:left="11" w:right="0"/>
              <w:jc w:val="left"/>
              <w:rPr>
                <w:rFonts w:ascii="宋体" w:hAnsi="宋体" w:cs="宋体" w:eastAsia="宋体" w:hint="default"/>
                <w:sz w:val="18"/>
                <w:szCs w:val="18"/>
              </w:rPr>
            </w:pPr>
            <w:r>
              <w:rPr>
                <w:rFonts w:ascii="宋体" w:hAnsi="宋体" w:cs="宋体" w:eastAsia="宋体" w:hint="default"/>
                <w:sz w:val="18"/>
                <w:szCs w:val="18"/>
              </w:rPr>
              <w:t>效部分</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外币财务报表折算差额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544,601,375.38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564,366,342.39</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七、每股收益：</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0.36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0.42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0.36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0.42</w:t>
            </w:r>
          </w:p>
        </w:tc>
      </w:tr>
    </w:tbl>
    <w:p>
      <w:pPr>
        <w:spacing w:line="240" w:lineRule="auto" w:before="3"/>
        <w:rPr>
          <w:rFonts w:ascii="宋体" w:hAnsi="宋体" w:cs="宋体" w:eastAsia="宋体" w:hint="default"/>
          <w:sz w:val="19"/>
          <w:szCs w:val="19"/>
        </w:rPr>
      </w:pPr>
    </w:p>
    <w:p>
      <w:pPr>
        <w:pStyle w:val="Heading3"/>
        <w:spacing w:line="240" w:lineRule="auto" w:before="35"/>
        <w:ind w:right="0"/>
        <w:jc w:val="left"/>
        <w:rPr>
          <w:b w:val="0"/>
          <w:bCs w:val="0"/>
        </w:rPr>
      </w:pPr>
      <w:bookmarkStart w:name="5、合并现金流量表" w:id="161"/>
      <w:bookmarkEnd w:id="161"/>
      <w:r>
        <w:rPr>
          <w:b w:val="0"/>
          <w:bCs w:val="0"/>
        </w:rPr>
      </w:r>
      <w:r>
        <w:rPr>
          <w:rFonts w:ascii="Times New Roman" w:hAnsi="Times New Roman" w:cs="Times New Roman" w:eastAsia="Times New Roman" w:hint="default"/>
        </w:rPr>
        <w:t>5</w:t>
      </w:r>
      <w:r>
        <w:rPr/>
        <w:t>、合并现金流量表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after="0" w:line="240" w:lineRule="auto"/>
        <w:jc w:val="right"/>
        <w:sectPr>
          <w:footerReference w:type="default" r:id="rId15"/>
          <w:pgSz w:w="11910" w:h="16840"/>
          <w:pgMar w:footer="979" w:header="747"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3,340,900,423.99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3,011,724,257.40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客户存款和同业存放款项净增加</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向其他金融机构拆入资金净增加</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收到原保险合同保费取得的现金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收到再保险业务现金净额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处置以公允价值计量且其变动计 入当期损益的金融资产净增加额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收取利息、手续费及佣金的现金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6,410,573.67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6,890,853.08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1"/>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166,837,832.59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92,532,709.17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3,514,148,830.25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3,111,147,819.65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1,465,094,513.34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1,335,011,025.88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存放中央银行和同业款项净增加</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支付原保险合同赔付款项的现金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支付利息、手续费及佣金的现金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465,277,016.93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402,550,285.07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384,017,115.93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346,253,823.52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347,113,268.28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207,503,578.87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2,661,501,914.48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2,291,318,713.34</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852,646,915.77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819,829,106.31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1,200,000.00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46,785,321.70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30,000,000.00</w:t>
            </w:r>
          </w:p>
        </w:tc>
      </w:tr>
    </w:tbl>
    <w:p>
      <w:pPr>
        <w:spacing w:after="0" w:line="240" w:lineRule="auto"/>
        <w:jc w:val="right"/>
        <w:rPr>
          <w:rFonts w:ascii="Times New Roman" w:hAnsi="Times New Roman" w:cs="Times New Roman" w:eastAsia="Times New Roman" w:hint="default"/>
          <w:sz w:val="18"/>
          <w:szCs w:val="18"/>
        </w:rPr>
        <w:sectPr>
          <w:footerReference w:type="default" r:id="rId16"/>
          <w:pgSz w:w="11910" w:h="16840"/>
          <w:pgMar w:footer="979" w:header="747" w:top="1060" w:bottom="1160" w:left="980" w:right="0"/>
          <w:pgNumType w:start="101"/>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4,533,372.81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4,889,019.98</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-112,617,341.48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1,766,991,534.00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929,493.00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1,818,310,228.51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-75,598,828.50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334,617,939.45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367,620,694.99</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265,141,000.00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205,119,000.00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44,990,627.83</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1,685,000,000.00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652,000,000.00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2,329,749,567.28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1,224,739,694.99</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-511,439,338.77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-1,300,338,523.49</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18,250,000.00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1,639,949,970.68</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其中：子公司吸收少数股东投资 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18,250,000.00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14,700,000.00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420,000,000.00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72,151,256.31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167,462,555.07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155,401,256.31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2,227,412,525.75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655,000,000.00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546,527,012.07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416,401,012.34</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其中：子公司支付给少数股东的 股利、利润</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98,949,809.02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75,677,301.36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359,924,618.77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196,423,316.31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921,451,630.84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1,267,824,328.65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-766,050,374.53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959,588,197.10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-856,240.81</w:t>
            </w:r>
            <w:r>
              <w:rPr>
                <w:rFonts w:ascii="Times New Roman"/>
                <w:sz w:val="18"/>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-2,147,664.54</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-425,699,038.34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476,931,115.38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1,167,076,682.30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690,145,566.92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741,377,643.96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1,167,076,682.30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2"/>
        <w:rPr>
          <w:rFonts w:ascii="Times New Roman" w:hAnsi="Times New Roman" w:cs="Times New Roman" w:eastAsia="Times New Roman" w:hint="default"/>
          <w:sz w:val="28"/>
          <w:szCs w:val="28"/>
        </w:rPr>
      </w:pPr>
    </w:p>
    <w:p>
      <w:pPr>
        <w:pStyle w:val="Heading3"/>
        <w:spacing w:line="240" w:lineRule="auto" w:before="35"/>
        <w:ind w:right="0"/>
        <w:jc w:val="left"/>
        <w:rPr>
          <w:b w:val="0"/>
          <w:bCs w:val="0"/>
        </w:rPr>
      </w:pPr>
      <w:bookmarkStart w:name="6、母公司现金流量表" w:id="162"/>
      <w:bookmarkEnd w:id="162"/>
      <w:r>
        <w:rPr>
          <w:b w:val="0"/>
          <w:bCs w:val="0"/>
        </w:rPr>
      </w:r>
      <w:r>
        <w:rPr>
          <w:rFonts w:ascii="Times New Roman" w:hAnsi="Times New Roman" w:cs="Times New Roman" w:eastAsia="Times New Roman" w:hint="default"/>
        </w:rPr>
        <w:t>6</w:t>
      </w:r>
      <w:r>
        <w:rPr/>
        <w:t>、母公司现金流量表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967"/>
        <w:gridCol w:w="3302"/>
        <w:gridCol w:w="3300"/>
      </w:tblGrid>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52"/>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1,342,106,169.95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1,135,104,622.43</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1,153,473.85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2,507,089.16</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52"/>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992,388,333.63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702,225,212.08</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2,335,647,977.43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1,839,836,923.67</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52"/>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1,015,358,925.45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730,619,674.18</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99,523,515.85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2"/>
                <w:sz w:val="18"/>
              </w:rPr>
              <w:t>96,111,930.56</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85,274,587.06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67,503,834.17</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52"/>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530,978,072.62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578,439,414.85</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1,731,135,100.98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1,472,674,853.76</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604,512,876.45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367,162,069.91</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0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1,200,000.00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2"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77,835,918.48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103,783,566.92</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52"/>
              <w:ind w:left="103" w:right="153"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 他长期资产收回的现金净额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7,819,894.65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12,614,018.00</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52"/>
              <w:ind w:left="103" w:right="153"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 到的现金净额</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收到其他与投资活动有关的现</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1,764,991,534.00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929,493.00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1,850,647,347.13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118,527,077.92</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52"/>
              <w:ind w:left="103" w:right="153"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 他长期资产支付的现金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110,109,062.81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174,336,646.47</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430,862,315.22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213,772,693.38</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52"/>
              <w:ind w:left="103" w:right="153"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 付的现金净额</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83" w:right="0"/>
              <w:jc w:val="lef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1,685,000,000.00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650,000,000.00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2,225,971,378.03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1,038,109,339.85</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-375,324,030.90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-919,582,261.93</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1,625,249,970.68</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967"/>
        <w:gridCol w:w="3302"/>
        <w:gridCol w:w="3300"/>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400,000,000.00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right="52"/>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40,937,879.92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45,874,980.78</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40,937,879.92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2,071,124,951.46</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600,000,000.00</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9" w:lineRule="auto" w:before="51"/>
              <w:ind w:left="103" w:right="151"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 付的现金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446,080,195.66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339,664,687.95</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83" w:right="0"/>
              <w:jc w:val="lef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298,773,603.21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65,791,583.00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744,853,798.87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1,005,456,270.95</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-703,915,918.95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1,065,668,680.51</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9" w:lineRule="auto" w:before="51"/>
              <w:ind w:left="103" w:right="153"/>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 的影响</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w w:val="95"/>
                <w:sz w:val="18"/>
              </w:rPr>
              <w:t>-80,854.50</w:t>
            </w:r>
            <w:r>
              <w:rPr>
                <w:rFonts w:ascii="Times New Roman"/>
                <w:sz w:val="18"/>
              </w:rPr>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-474,807,927.90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513,248,488.49</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2"/>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663,231,141.08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149,982,652.59</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188,423,213.18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663,231,141.08</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7、合并所有者权益变动表" w:id="163"/>
      <w:bookmarkEnd w:id="163"/>
      <w:r>
        <w:rPr>
          <w:b w:val="0"/>
          <w:bCs w:val="0"/>
        </w:rPr>
      </w:r>
      <w:r>
        <w:rPr>
          <w:rFonts w:ascii="Times New Roman" w:hAnsi="Times New Roman" w:cs="Times New Roman" w:eastAsia="Times New Roman" w:hint="default"/>
        </w:rPr>
        <w:t>7</w:t>
      </w:r>
      <w:r>
        <w:rPr/>
        <w:t>、合并所有者权益变动表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t>本期金额</w:t>
      </w:r>
    </w:p>
    <w:p>
      <w:pPr>
        <w:pStyle w:val="BodyText"/>
        <w:spacing w:line="240" w:lineRule="auto" w:before="117"/>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438"/>
        <w:gridCol w:w="563"/>
        <w:gridCol w:w="530"/>
        <w:gridCol w:w="532"/>
        <w:gridCol w:w="530"/>
        <w:gridCol w:w="665"/>
        <w:gridCol w:w="665"/>
        <w:gridCol w:w="665"/>
        <w:gridCol w:w="665"/>
        <w:gridCol w:w="664"/>
        <w:gridCol w:w="666"/>
        <w:gridCol w:w="665"/>
        <w:gridCol w:w="665"/>
        <w:gridCol w:w="659"/>
      </w:tblGrid>
      <w:tr>
        <w:trPr>
          <w:trHeight w:val="402" w:hRule="exact"/>
        </w:trPr>
        <w:tc>
          <w:tcPr>
            <w:tcW w:w="1438" w:type="dxa"/>
            <w:vMerge w:val="restart"/>
            <w:tcBorders>
              <w:top w:val="single" w:sz="4" w:space="0" w:color="000000"/>
              <w:left w:val="single" w:sz="4" w:space="0" w:color="000000"/>
              <w:right w:val="single" w:sz="4" w:space="0" w:color="000000"/>
            </w:tcBorders>
            <w:shd w:val="clear" w:color="auto" w:fill="D2D2D2"/>
          </w:tcPr>
          <w:p>
            <w:pPr/>
          </w:p>
        </w:tc>
        <w:tc>
          <w:tcPr>
            <w:tcW w:w="8133"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251" w:hRule="exact"/>
        </w:trPr>
        <w:tc>
          <w:tcPr>
            <w:tcW w:w="1438" w:type="dxa"/>
            <w:vMerge/>
            <w:tcBorders>
              <w:left w:val="single" w:sz="4" w:space="0" w:color="000000"/>
              <w:right w:val="single" w:sz="4" w:space="0" w:color="000000"/>
            </w:tcBorders>
            <w:shd w:val="clear" w:color="auto" w:fill="D2D2D2"/>
          </w:tcPr>
          <w:p>
            <w:pPr/>
          </w:p>
        </w:tc>
        <w:tc>
          <w:tcPr>
            <w:tcW w:w="6810" w:type="dxa"/>
            <w:gridSpan w:val="11"/>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65" w:type="dxa"/>
            <w:vMerge w:val="restart"/>
            <w:tcBorders>
              <w:top w:val="single" w:sz="4" w:space="0" w:color="000000"/>
              <w:left w:val="single" w:sz="4" w:space="0" w:color="000000"/>
              <w:right w:val="single" w:sz="4" w:space="0" w:color="000000"/>
            </w:tcBorders>
            <w:shd w:val="clear" w:color="auto" w:fill="D2D2D2"/>
          </w:tcPr>
          <w:p>
            <w:pPr/>
          </w:p>
        </w:tc>
        <w:tc>
          <w:tcPr>
            <w:tcW w:w="65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1" w:hRule="exact"/>
        </w:trPr>
        <w:tc>
          <w:tcPr>
            <w:tcW w:w="1438" w:type="dxa"/>
            <w:vMerge/>
            <w:tcBorders>
              <w:left w:val="single" w:sz="4" w:space="0" w:color="000000"/>
              <w:bottom w:val="nil" w:sz="6" w:space="0" w:color="auto"/>
              <w:right w:val="single" w:sz="4" w:space="0" w:color="000000"/>
            </w:tcBorders>
            <w:shd w:val="clear" w:color="auto" w:fill="D2D2D2"/>
          </w:tcPr>
          <w:p>
            <w:pPr/>
          </w:p>
        </w:tc>
        <w:tc>
          <w:tcPr>
            <w:tcW w:w="6810" w:type="dxa"/>
            <w:gridSpan w:val="11"/>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59"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53" w:right="53"/>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206" w:hRule="exact"/>
        </w:trPr>
        <w:tc>
          <w:tcPr>
            <w:tcW w:w="143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563" w:type="dxa"/>
            <w:vMerge w:val="restart"/>
            <w:tcBorders>
              <w:top w:val="single" w:sz="4" w:space="0" w:color="000000"/>
              <w:left w:val="single" w:sz="4" w:space="0" w:color="000000"/>
              <w:right w:val="single" w:sz="4" w:space="0" w:color="000000"/>
            </w:tcBorders>
            <w:shd w:val="clear" w:color="auto" w:fill="D2D2D2"/>
          </w:tcPr>
          <w:p>
            <w:pPr/>
          </w:p>
        </w:tc>
        <w:tc>
          <w:tcPr>
            <w:tcW w:w="159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250"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4" w:type="dxa"/>
            <w:tcBorders>
              <w:top w:val="single" w:sz="4" w:space="0" w:color="000000"/>
              <w:left w:val="single" w:sz="4" w:space="0" w:color="000000"/>
              <w:bottom w:val="nil" w:sz="6" w:space="0" w:color="auto"/>
              <w:right w:val="single" w:sz="4" w:space="0" w:color="000000"/>
            </w:tcBorders>
            <w:shd w:val="clear" w:color="auto" w:fill="D2D2D2"/>
          </w:tcPr>
          <w:p>
            <w:pPr/>
          </w:p>
        </w:tc>
        <w:tc>
          <w:tcPr>
            <w:tcW w:w="666"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6"/>
              <w:ind w:left="56" w:right="56"/>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59" w:type="dxa"/>
            <w:vMerge/>
            <w:tcBorders>
              <w:left w:val="single" w:sz="4" w:space="0" w:color="000000"/>
              <w:right w:val="single" w:sz="4" w:space="0" w:color="000000"/>
            </w:tcBorders>
            <w:shd w:val="clear" w:color="auto" w:fill="D2D2D2"/>
          </w:tcPr>
          <w:p>
            <w:pPr/>
          </w:p>
        </w:tc>
      </w:tr>
      <w:tr>
        <w:trPr>
          <w:trHeight w:val="173" w:hRule="exact"/>
        </w:trPr>
        <w:tc>
          <w:tcPr>
            <w:tcW w:w="1438" w:type="dxa"/>
            <w:vMerge/>
            <w:tcBorders>
              <w:left w:val="single" w:sz="4" w:space="0" w:color="000000"/>
              <w:bottom w:val="nil" w:sz="6" w:space="0" w:color="auto"/>
              <w:right w:val="single" w:sz="4" w:space="0" w:color="000000"/>
            </w:tcBorders>
            <w:shd w:val="clear" w:color="auto" w:fill="D2D2D2"/>
          </w:tcPr>
          <w:p>
            <w:pPr/>
          </w:p>
        </w:tc>
        <w:tc>
          <w:tcPr>
            <w:tcW w:w="563" w:type="dxa"/>
            <w:vMerge/>
            <w:tcBorders>
              <w:left w:val="single" w:sz="4" w:space="0" w:color="000000"/>
              <w:bottom w:val="nil" w:sz="6" w:space="0" w:color="auto"/>
              <w:right w:val="single" w:sz="4" w:space="0" w:color="000000"/>
            </w:tcBorders>
            <w:shd w:val="clear" w:color="auto" w:fill="D2D2D2"/>
          </w:tcPr>
          <w:p>
            <w:pPr/>
          </w:p>
        </w:tc>
        <w:tc>
          <w:tcPr>
            <w:tcW w:w="1592" w:type="dxa"/>
            <w:gridSpan w:val="3"/>
            <w:vMerge/>
            <w:tcBorders>
              <w:left w:val="single" w:sz="4" w:space="0" w:color="000000"/>
              <w:bottom w:val="single" w:sz="4" w:space="0" w:color="000000"/>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7" w:hanging="181"/>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46" w:right="56" w:hanging="90"/>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6" w:right="56"/>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6"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4"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5"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7" w:right="57"/>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46" w:right="56"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65"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83" w:hRule="exact"/>
        </w:trPr>
        <w:tc>
          <w:tcPr>
            <w:tcW w:w="1438" w:type="dxa"/>
            <w:vMerge w:val="restart"/>
            <w:tcBorders>
              <w:top w:val="nil" w:sz="6" w:space="0" w:color="auto"/>
              <w:left w:val="single" w:sz="4" w:space="0" w:color="000000"/>
              <w:right w:val="single" w:sz="4" w:space="0" w:color="000000"/>
            </w:tcBorders>
            <w:shd w:val="clear" w:color="auto" w:fill="D2D2D2"/>
          </w:tcPr>
          <w:p>
            <w:pPr/>
          </w:p>
        </w:tc>
        <w:tc>
          <w:tcPr>
            <w:tcW w:w="56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4"/>
              <w:ind w:left="97"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530"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73"/>
              <w:ind w:left="170" w:right="78" w:hanging="90"/>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73"/>
              <w:ind w:left="170" w:right="79"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4" w:type="dxa"/>
            <w:vMerge/>
            <w:tcBorders>
              <w:left w:val="single" w:sz="4" w:space="0" w:color="000000"/>
              <w:right w:val="single" w:sz="4" w:space="0" w:color="000000"/>
            </w:tcBorders>
            <w:shd w:val="clear" w:color="auto" w:fill="D2D2D2"/>
          </w:tcPr>
          <w:p>
            <w:pPr/>
          </w:p>
        </w:tc>
        <w:tc>
          <w:tcPr>
            <w:tcW w:w="666"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69" w:hRule="exact"/>
        </w:trPr>
        <w:tc>
          <w:tcPr>
            <w:tcW w:w="1438" w:type="dxa"/>
            <w:vMerge/>
            <w:tcBorders>
              <w:left w:val="single" w:sz="4" w:space="0" w:color="000000"/>
              <w:right w:val="single" w:sz="4" w:space="0" w:color="000000"/>
            </w:tcBorders>
            <w:shd w:val="clear" w:color="auto" w:fill="D2D2D2"/>
          </w:tcPr>
          <w:p>
            <w:pPr/>
          </w:p>
        </w:tc>
        <w:tc>
          <w:tcPr>
            <w:tcW w:w="563" w:type="dxa"/>
            <w:vMerge/>
            <w:tcBorders>
              <w:left w:val="single" w:sz="4" w:space="0" w:color="000000"/>
              <w:bottom w:val="nil" w:sz="6" w:space="0" w:color="auto"/>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8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4" w:type="dxa"/>
            <w:vMerge/>
            <w:tcBorders>
              <w:left w:val="single" w:sz="4" w:space="0" w:color="000000"/>
              <w:right w:val="single" w:sz="4" w:space="0" w:color="000000"/>
            </w:tcBorders>
            <w:shd w:val="clear" w:color="auto" w:fill="D2D2D2"/>
          </w:tcPr>
          <w:p>
            <w:pPr/>
          </w:p>
        </w:tc>
        <w:tc>
          <w:tcPr>
            <w:tcW w:w="666"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56" w:hRule="exact"/>
        </w:trPr>
        <w:tc>
          <w:tcPr>
            <w:tcW w:w="1438" w:type="dxa"/>
            <w:vMerge/>
            <w:tcBorders>
              <w:left w:val="single" w:sz="4" w:space="0" w:color="000000"/>
              <w:right w:val="single" w:sz="4" w:space="0" w:color="000000"/>
            </w:tcBorders>
            <w:shd w:val="clear" w:color="auto" w:fill="D2D2D2"/>
          </w:tcPr>
          <w:p>
            <w:pPr/>
          </w:p>
        </w:tc>
        <w:tc>
          <w:tcPr>
            <w:tcW w:w="563" w:type="dxa"/>
            <w:vMerge w:val="restart"/>
            <w:tcBorders>
              <w:top w:val="nil" w:sz="6" w:space="0" w:color="auto"/>
              <w:left w:val="single" w:sz="4" w:space="0" w:color="000000"/>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4" w:type="dxa"/>
            <w:vMerge/>
            <w:tcBorders>
              <w:left w:val="single" w:sz="4" w:space="0" w:color="000000"/>
              <w:bottom w:val="nil" w:sz="6" w:space="0" w:color="auto"/>
              <w:right w:val="single" w:sz="4" w:space="0" w:color="000000"/>
            </w:tcBorders>
            <w:shd w:val="clear" w:color="auto" w:fill="D2D2D2"/>
          </w:tcPr>
          <w:p>
            <w:pPr/>
          </w:p>
        </w:tc>
        <w:tc>
          <w:tcPr>
            <w:tcW w:w="666"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
        </w:tc>
        <w:tc>
          <w:tcPr>
            <w:tcW w:w="659" w:type="dxa"/>
            <w:vMerge/>
            <w:tcBorders>
              <w:left w:val="single" w:sz="4" w:space="0" w:color="000000"/>
              <w:bottom w:val="nil" w:sz="6" w:space="0" w:color="auto"/>
              <w:right w:val="single" w:sz="4" w:space="0" w:color="000000"/>
            </w:tcBorders>
            <w:shd w:val="clear" w:color="auto" w:fill="D2D2D2"/>
          </w:tcPr>
          <w:p>
            <w:pPr/>
          </w:p>
        </w:tc>
      </w:tr>
      <w:tr>
        <w:trPr>
          <w:trHeight w:val="228" w:hRule="exact"/>
        </w:trPr>
        <w:tc>
          <w:tcPr>
            <w:tcW w:w="1438" w:type="dxa"/>
            <w:vMerge/>
            <w:tcBorders>
              <w:left w:val="single" w:sz="4" w:space="0" w:color="000000"/>
              <w:bottom w:val="single" w:sz="4" w:space="0" w:color="000000"/>
              <w:right w:val="single" w:sz="4" w:space="0" w:color="000000"/>
            </w:tcBorders>
            <w:shd w:val="clear" w:color="auto" w:fill="D2D2D2"/>
          </w:tcPr>
          <w:p>
            <w:pPr/>
          </w:p>
        </w:tc>
        <w:tc>
          <w:tcPr>
            <w:tcW w:w="563" w:type="dxa"/>
            <w:vMerge/>
            <w:tcBorders>
              <w:left w:val="single" w:sz="4" w:space="0" w:color="000000"/>
              <w:bottom w:val="single" w:sz="4" w:space="0" w:color="000000"/>
              <w:right w:val="single" w:sz="4" w:space="0" w:color="000000"/>
            </w:tcBorders>
            <w:shd w:val="clear" w:color="auto" w:fill="D2D2D2"/>
          </w:tcPr>
          <w:p>
            <w:pPr/>
          </w:p>
        </w:tc>
        <w:tc>
          <w:tcPr>
            <w:tcW w:w="530" w:type="dxa"/>
            <w:vMerge/>
            <w:tcBorders>
              <w:left w:val="single" w:sz="4" w:space="0" w:color="000000"/>
              <w:bottom w:val="single" w:sz="4" w:space="0" w:color="000000"/>
              <w:right w:val="single" w:sz="4" w:space="0" w:color="000000"/>
            </w:tcBorders>
            <w:shd w:val="clear" w:color="auto" w:fill="D2D2D2"/>
          </w:tcPr>
          <w:p>
            <w:pPr/>
          </w:p>
        </w:tc>
        <w:tc>
          <w:tcPr>
            <w:tcW w:w="532" w:type="dxa"/>
            <w:vMerge/>
            <w:tcBorders>
              <w:left w:val="single" w:sz="4" w:space="0" w:color="000000"/>
              <w:bottom w:val="single" w:sz="4" w:space="0" w:color="000000"/>
              <w:right w:val="single" w:sz="4" w:space="0" w:color="000000"/>
            </w:tcBorders>
            <w:shd w:val="clear" w:color="auto" w:fill="D2D2D2"/>
          </w:tcPr>
          <w:p>
            <w:pPr/>
          </w:p>
        </w:tc>
        <w:tc>
          <w:tcPr>
            <w:tcW w:w="5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4" w:type="dxa"/>
            <w:tcBorders>
              <w:top w:val="nil" w:sz="6" w:space="0" w:color="auto"/>
              <w:left w:val="single" w:sz="4" w:space="0" w:color="000000"/>
              <w:bottom w:val="single" w:sz="4" w:space="0" w:color="000000"/>
              <w:right w:val="single" w:sz="4" w:space="0" w:color="000000"/>
            </w:tcBorders>
            <w:shd w:val="clear" w:color="auto" w:fill="D2D2D2"/>
          </w:tcPr>
          <w:p>
            <w:pPr/>
          </w:p>
        </w:tc>
        <w:tc>
          <w:tcPr>
            <w:tcW w:w="666"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5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17" w:hRule="exact"/>
        </w:trPr>
        <w:tc>
          <w:tcPr>
            <w:tcW w:w="1438" w:type="dxa"/>
            <w:tcBorders>
              <w:top w:val="single" w:sz="4" w:space="0" w:color="000000"/>
              <w:left w:val="single" w:sz="4" w:space="0" w:color="000000"/>
              <w:bottom w:val="nil" w:sz="6" w:space="0" w:color="auto"/>
              <w:right w:val="single" w:sz="4" w:space="0" w:color="000000"/>
            </w:tcBorders>
            <w:shd w:val="clear" w:color="auto" w:fill="D2D2D2"/>
          </w:tcPr>
          <w:p>
            <w:pPr/>
          </w:p>
        </w:tc>
        <w:tc>
          <w:tcPr>
            <w:tcW w:w="563" w:type="dxa"/>
            <w:vMerge w:val="restart"/>
            <w:tcBorders>
              <w:top w:val="single" w:sz="4" w:space="0" w:color="000000"/>
              <w:left w:val="single" w:sz="9" w:space="0" w:color="D2D2D2"/>
              <w:right w:val="single" w:sz="4" w:space="0" w:color="000000"/>
            </w:tcBorders>
          </w:tcPr>
          <w:p>
            <w:pPr>
              <w:pStyle w:val="TableParagraph"/>
              <w:spacing w:line="240" w:lineRule="auto" w:before="91"/>
              <w:ind w:left="51" w:right="0"/>
              <w:jc w:val="center"/>
              <w:rPr>
                <w:rFonts w:ascii="Times New Roman" w:hAnsi="Times New Roman" w:cs="Times New Roman" w:eastAsia="Times New Roman" w:hint="default"/>
                <w:sz w:val="18"/>
                <w:szCs w:val="18"/>
              </w:rPr>
            </w:pPr>
            <w:r>
              <w:rPr>
                <w:rFonts w:ascii="Times New Roman"/>
                <w:sz w:val="18"/>
              </w:rPr>
              <w:t>1,494,</w:t>
            </w:r>
          </w:p>
          <w:p>
            <w:pPr>
              <w:pStyle w:val="TableParagraph"/>
              <w:spacing w:line="240" w:lineRule="auto" w:before="105"/>
              <w:ind w:left="7" w:right="0"/>
              <w:jc w:val="center"/>
              <w:rPr>
                <w:rFonts w:ascii="Times New Roman" w:hAnsi="Times New Roman" w:cs="Times New Roman" w:eastAsia="Times New Roman" w:hint="default"/>
                <w:sz w:val="18"/>
                <w:szCs w:val="18"/>
              </w:rPr>
            </w:pPr>
            <w:r>
              <w:rPr>
                <w:rFonts w:ascii="Times New Roman"/>
                <w:sz w:val="18"/>
              </w:rPr>
              <w:t>834,38</w:t>
            </w:r>
          </w:p>
          <w:p>
            <w:pPr>
              <w:pStyle w:val="TableParagraph"/>
              <w:spacing w:line="240" w:lineRule="auto" w:before="106"/>
              <w:ind w:left="187" w:right="0"/>
              <w:jc w:val="center"/>
              <w:rPr>
                <w:rFonts w:ascii="Times New Roman" w:hAnsi="Times New Roman" w:cs="Times New Roman" w:eastAsia="Times New Roman" w:hint="default"/>
                <w:sz w:val="18"/>
                <w:szCs w:val="18"/>
              </w:rPr>
            </w:pPr>
            <w:r>
              <w:rPr>
                <w:rFonts w:ascii="Times New Roman"/>
                <w:sz w:val="18"/>
              </w:rPr>
              <w:t>2.00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1,651,8</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03,320.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86</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-12,287,</w:t>
            </w:r>
          </w:p>
          <w:p>
            <w:pPr>
              <w:pStyle w:val="TableParagraph"/>
              <w:spacing w:line="240" w:lineRule="auto" w:before="106"/>
              <w:ind w:left="113" w:right="0"/>
              <w:jc w:val="center"/>
              <w:rPr>
                <w:rFonts w:ascii="Times New Roman" w:hAnsi="Times New Roman" w:cs="Times New Roman" w:eastAsia="Times New Roman" w:hint="default"/>
                <w:sz w:val="18"/>
                <w:szCs w:val="18"/>
              </w:rPr>
            </w:pPr>
            <w:r>
              <w:rPr>
                <w:rFonts w:ascii="Times New Roman"/>
                <w:sz w:val="18"/>
              </w:rPr>
              <w:t>373.13</w:t>
            </w:r>
          </w:p>
        </w:tc>
        <w:tc>
          <w:tcPr>
            <w:tcW w:w="665" w:type="dxa"/>
            <w:vMerge w:val="restart"/>
            <w:tcBorders>
              <w:top w:val="single" w:sz="4" w:space="0" w:color="000000"/>
              <w:left w:val="single" w:sz="4" w:space="0" w:color="000000"/>
              <w:right w:val="single" w:sz="4" w:space="0" w:color="000000"/>
            </w:tcBorders>
          </w:tcPr>
          <w:p>
            <w:pPr/>
          </w:p>
        </w:tc>
        <w:tc>
          <w:tcPr>
            <w:tcW w:w="66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435,776</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,447.00</w:t>
            </w:r>
          </w:p>
        </w:tc>
        <w:tc>
          <w:tcPr>
            <w:tcW w:w="666"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2,878,7</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66,290.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13</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241,812</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,942.16</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6,690,7</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06,009.</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02</w:t>
            </w:r>
          </w:p>
        </w:tc>
      </w:tr>
      <w:tr>
        <w:trPr>
          <w:trHeight w:val="392" w:hRule="exact"/>
        </w:trPr>
        <w:tc>
          <w:tcPr>
            <w:tcW w:w="143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21"/>
              <w:jc w:val="righ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63"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4" w:type="dxa"/>
            <w:vMerge/>
            <w:tcBorders>
              <w:left w:val="single" w:sz="4" w:space="0" w:color="000000"/>
              <w:right w:val="single" w:sz="4" w:space="0" w:color="000000"/>
            </w:tcBorders>
          </w:tcPr>
          <w:p>
            <w:pPr/>
          </w:p>
        </w:tc>
        <w:tc>
          <w:tcPr>
            <w:tcW w:w="6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317" w:hRule="exact"/>
        </w:trPr>
        <w:tc>
          <w:tcPr>
            <w:tcW w:w="1438" w:type="dxa"/>
            <w:tcBorders>
              <w:top w:val="nil" w:sz="6" w:space="0" w:color="auto"/>
              <w:left w:val="single" w:sz="4" w:space="0" w:color="000000"/>
              <w:bottom w:val="single" w:sz="4" w:space="0" w:color="000000"/>
              <w:right w:val="single" w:sz="4" w:space="0" w:color="000000"/>
            </w:tcBorders>
            <w:shd w:val="clear" w:color="auto" w:fill="D2D2D2"/>
          </w:tcPr>
          <w:p>
            <w:pPr/>
          </w:p>
        </w:tc>
        <w:tc>
          <w:tcPr>
            <w:tcW w:w="563"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4" w:type="dxa"/>
            <w:vMerge/>
            <w:tcBorders>
              <w:left w:val="single" w:sz="4" w:space="0" w:color="000000"/>
              <w:bottom w:val="single" w:sz="4" w:space="0" w:color="000000"/>
              <w:right w:val="single" w:sz="4" w:space="0" w:color="000000"/>
            </w:tcBorders>
          </w:tcPr>
          <w:p>
            <w:pPr/>
          </w:p>
        </w:tc>
        <w:tc>
          <w:tcPr>
            <w:tcW w:w="666"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563"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563"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43" w:firstLine="720"/>
              <w:jc w:val="left"/>
              <w:rPr>
                <w:rFonts w:ascii="宋体" w:hAnsi="宋体" w:cs="宋体" w:eastAsia="宋体" w:hint="default"/>
                <w:sz w:val="18"/>
                <w:szCs w:val="18"/>
              </w:rPr>
            </w:pPr>
            <w:r>
              <w:rPr>
                <w:rFonts w:ascii="宋体" w:hAnsi="宋体" w:cs="宋体" w:eastAsia="宋体" w:hint="default"/>
                <w:sz w:val="18"/>
                <w:szCs w:val="18"/>
              </w:rPr>
              <w:t>同一控 制下企业合并</w:t>
            </w:r>
          </w:p>
        </w:tc>
        <w:tc>
          <w:tcPr>
            <w:tcW w:w="563"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63"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438" w:type="dxa"/>
            <w:tcBorders>
              <w:top w:val="single" w:sz="4" w:space="0" w:color="000000"/>
              <w:left w:val="single" w:sz="4" w:space="0" w:color="000000"/>
              <w:bottom w:val="nil" w:sz="6" w:space="0" w:color="auto"/>
              <w:right w:val="single" w:sz="4" w:space="0" w:color="000000"/>
            </w:tcBorders>
            <w:shd w:val="clear" w:color="auto" w:fill="D2D2D2"/>
          </w:tcPr>
          <w:p>
            <w:pPr/>
          </w:p>
        </w:tc>
        <w:tc>
          <w:tcPr>
            <w:tcW w:w="563" w:type="dxa"/>
            <w:vMerge w:val="restart"/>
            <w:tcBorders>
              <w:top w:val="single" w:sz="4" w:space="0" w:color="000000"/>
              <w:left w:val="single" w:sz="9" w:space="0" w:color="D2D2D2"/>
              <w:right w:val="single" w:sz="4" w:space="0" w:color="000000"/>
            </w:tcBorders>
          </w:tcPr>
          <w:p>
            <w:pPr>
              <w:pStyle w:val="TableParagraph"/>
              <w:spacing w:line="240" w:lineRule="auto" w:before="111"/>
              <w:ind w:left="73" w:right="0"/>
              <w:jc w:val="left"/>
              <w:rPr>
                <w:rFonts w:ascii="Times New Roman" w:hAnsi="Times New Roman" w:cs="Times New Roman" w:eastAsia="Times New Roman" w:hint="default"/>
                <w:sz w:val="18"/>
                <w:szCs w:val="18"/>
              </w:rPr>
            </w:pPr>
            <w:r>
              <w:rPr>
                <w:rFonts w:ascii="Times New Roman"/>
                <w:sz w:val="18"/>
              </w:rPr>
              <w:t>1,494,</w:t>
            </w:r>
          </w:p>
          <w:p>
            <w:pPr>
              <w:pStyle w:val="TableParagraph"/>
              <w:spacing w:line="240" w:lineRule="auto" w:before="104"/>
              <w:ind w:left="29" w:right="0"/>
              <w:jc w:val="left"/>
              <w:rPr>
                <w:rFonts w:ascii="Times New Roman" w:hAnsi="Times New Roman" w:cs="Times New Roman" w:eastAsia="Times New Roman" w:hint="default"/>
                <w:sz w:val="18"/>
                <w:szCs w:val="18"/>
              </w:rPr>
            </w:pPr>
            <w:r>
              <w:rPr>
                <w:rFonts w:ascii="Times New Roman"/>
                <w:sz w:val="18"/>
              </w:rPr>
              <w:t>834,38</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11"/>
              <w:ind w:left="91" w:right="0"/>
              <w:jc w:val="left"/>
              <w:rPr>
                <w:rFonts w:ascii="Times New Roman" w:hAnsi="Times New Roman" w:cs="Times New Roman" w:eastAsia="Times New Roman" w:hint="default"/>
                <w:sz w:val="18"/>
                <w:szCs w:val="18"/>
              </w:rPr>
            </w:pPr>
            <w:r>
              <w:rPr>
                <w:rFonts w:ascii="Times New Roman"/>
                <w:sz w:val="18"/>
              </w:rPr>
              <w:t>1,651,8</w:t>
            </w:r>
          </w:p>
          <w:p>
            <w:pPr>
              <w:pStyle w:val="TableParagraph"/>
              <w:spacing w:line="240" w:lineRule="auto" w:before="104"/>
              <w:ind w:left="91" w:right="0"/>
              <w:jc w:val="left"/>
              <w:rPr>
                <w:rFonts w:ascii="Times New Roman" w:hAnsi="Times New Roman" w:cs="Times New Roman" w:eastAsia="Times New Roman" w:hint="default"/>
                <w:sz w:val="18"/>
                <w:szCs w:val="18"/>
              </w:rPr>
            </w:pPr>
            <w:r>
              <w:rPr>
                <w:rFonts w:ascii="Times New Roman"/>
                <w:sz w:val="18"/>
              </w:rPr>
              <w:t>03,320.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-12,287,</w:t>
            </w:r>
          </w:p>
          <w:p>
            <w:pPr>
              <w:pStyle w:val="TableParagraph"/>
              <w:spacing w:line="240" w:lineRule="auto" w:before="106"/>
              <w:ind w:left="113" w:right="0"/>
              <w:jc w:val="center"/>
              <w:rPr>
                <w:rFonts w:ascii="Times New Roman" w:hAnsi="Times New Roman" w:cs="Times New Roman" w:eastAsia="Times New Roman" w:hint="default"/>
                <w:sz w:val="18"/>
                <w:szCs w:val="18"/>
              </w:rPr>
            </w:pPr>
            <w:r>
              <w:rPr>
                <w:rFonts w:ascii="Times New Roman"/>
                <w:sz w:val="18"/>
              </w:rPr>
              <w:t>373.13</w:t>
            </w:r>
          </w:p>
        </w:tc>
        <w:tc>
          <w:tcPr>
            <w:tcW w:w="665" w:type="dxa"/>
            <w:vMerge w:val="restart"/>
            <w:tcBorders>
              <w:top w:val="single" w:sz="4" w:space="0" w:color="000000"/>
              <w:left w:val="single" w:sz="4" w:space="0" w:color="000000"/>
              <w:right w:val="single" w:sz="4" w:space="0" w:color="000000"/>
            </w:tcBorders>
          </w:tcPr>
          <w:p>
            <w:pPr/>
          </w:p>
        </w:tc>
        <w:tc>
          <w:tcPr>
            <w:tcW w:w="664" w:type="dxa"/>
            <w:vMerge w:val="restart"/>
            <w:tcBorders>
              <w:top w:val="single" w:sz="4" w:space="0" w:color="000000"/>
              <w:left w:val="single" w:sz="4" w:space="0" w:color="000000"/>
              <w:right w:val="single" w:sz="4" w:space="0" w:color="000000"/>
            </w:tcBorders>
          </w:tcPr>
          <w:p>
            <w:pPr>
              <w:pStyle w:val="TableParagraph"/>
              <w:spacing w:line="240" w:lineRule="auto" w:before="91"/>
              <w:ind w:left="46" w:right="0"/>
              <w:jc w:val="left"/>
              <w:rPr>
                <w:rFonts w:ascii="Times New Roman" w:hAnsi="Times New Roman" w:cs="Times New Roman" w:eastAsia="Times New Roman" w:hint="default"/>
                <w:sz w:val="18"/>
                <w:szCs w:val="18"/>
              </w:rPr>
            </w:pPr>
            <w:r>
              <w:rPr>
                <w:rFonts w:ascii="Times New Roman"/>
                <w:sz w:val="18"/>
              </w:rPr>
              <w:t>435,776</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,447.00</w:t>
            </w:r>
          </w:p>
        </w:tc>
        <w:tc>
          <w:tcPr>
            <w:tcW w:w="666"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11"/>
              <w:ind w:left="91" w:right="0"/>
              <w:jc w:val="left"/>
              <w:rPr>
                <w:rFonts w:ascii="Times New Roman" w:hAnsi="Times New Roman" w:cs="Times New Roman" w:eastAsia="Times New Roman" w:hint="default"/>
                <w:sz w:val="18"/>
                <w:szCs w:val="18"/>
              </w:rPr>
            </w:pPr>
            <w:r>
              <w:rPr>
                <w:rFonts w:ascii="Times New Roman"/>
                <w:sz w:val="18"/>
              </w:rPr>
              <w:t>2,878,7</w:t>
            </w:r>
          </w:p>
          <w:p>
            <w:pPr>
              <w:pStyle w:val="TableParagraph"/>
              <w:spacing w:line="240" w:lineRule="auto" w:before="104"/>
              <w:ind w:left="91" w:right="0"/>
              <w:jc w:val="left"/>
              <w:rPr>
                <w:rFonts w:ascii="Times New Roman" w:hAnsi="Times New Roman" w:cs="Times New Roman" w:eastAsia="Times New Roman" w:hint="default"/>
                <w:sz w:val="18"/>
                <w:szCs w:val="18"/>
              </w:rPr>
            </w:pPr>
            <w:r>
              <w:rPr>
                <w:rFonts w:ascii="Times New Roman"/>
                <w:sz w:val="18"/>
              </w:rPr>
              <w:t>66,290.</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91"/>
              <w:ind w:left="46" w:right="0"/>
              <w:jc w:val="left"/>
              <w:rPr>
                <w:rFonts w:ascii="Times New Roman" w:hAnsi="Times New Roman" w:cs="Times New Roman" w:eastAsia="Times New Roman" w:hint="default"/>
                <w:sz w:val="18"/>
                <w:szCs w:val="18"/>
              </w:rPr>
            </w:pPr>
            <w:r>
              <w:rPr>
                <w:rFonts w:ascii="Times New Roman"/>
                <w:sz w:val="18"/>
              </w:rPr>
              <w:t>241,812</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,942.16</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111"/>
              <w:ind w:left="85" w:right="0"/>
              <w:jc w:val="left"/>
              <w:rPr>
                <w:rFonts w:ascii="Times New Roman" w:hAnsi="Times New Roman" w:cs="Times New Roman" w:eastAsia="Times New Roman" w:hint="default"/>
                <w:sz w:val="18"/>
                <w:szCs w:val="18"/>
              </w:rPr>
            </w:pPr>
            <w:r>
              <w:rPr>
                <w:rFonts w:ascii="Times New Roman"/>
                <w:sz w:val="18"/>
              </w:rPr>
              <w:t>6,690,7</w:t>
            </w:r>
          </w:p>
          <w:p>
            <w:pPr>
              <w:pStyle w:val="TableParagraph"/>
              <w:spacing w:line="240" w:lineRule="auto" w:before="104"/>
              <w:ind w:left="85" w:right="0"/>
              <w:jc w:val="left"/>
              <w:rPr>
                <w:rFonts w:ascii="Times New Roman" w:hAnsi="Times New Roman" w:cs="Times New Roman" w:eastAsia="Times New Roman" w:hint="default"/>
                <w:sz w:val="18"/>
                <w:szCs w:val="18"/>
              </w:rPr>
            </w:pPr>
            <w:r>
              <w:rPr>
                <w:rFonts w:ascii="Times New Roman"/>
                <w:sz w:val="18"/>
              </w:rPr>
              <w:t>06,009.</w:t>
            </w:r>
          </w:p>
        </w:tc>
      </w:tr>
      <w:tr>
        <w:trPr>
          <w:trHeight w:val="392" w:hRule="exact"/>
        </w:trPr>
        <w:tc>
          <w:tcPr>
            <w:tcW w:w="143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21"/>
              <w:jc w:val="righ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63"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4" w:type="dxa"/>
            <w:vMerge/>
            <w:tcBorders>
              <w:left w:val="single" w:sz="4" w:space="0" w:color="000000"/>
              <w:right w:val="single" w:sz="4" w:space="0" w:color="000000"/>
            </w:tcBorders>
          </w:tcPr>
          <w:p>
            <w:pPr/>
          </w:p>
        </w:tc>
        <w:tc>
          <w:tcPr>
            <w:tcW w:w="6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161" w:hRule="exact"/>
        </w:trPr>
        <w:tc>
          <w:tcPr>
            <w:tcW w:w="1438" w:type="dxa"/>
            <w:tcBorders>
              <w:top w:val="nil" w:sz="6" w:space="0" w:color="auto"/>
              <w:left w:val="single" w:sz="4" w:space="0" w:color="000000"/>
              <w:bottom w:val="single" w:sz="4" w:space="0" w:color="000000"/>
              <w:right w:val="single" w:sz="4" w:space="0" w:color="000000"/>
            </w:tcBorders>
            <w:shd w:val="clear" w:color="auto" w:fill="D2D2D2"/>
          </w:tcPr>
          <w:p>
            <w:pPr/>
          </w:p>
        </w:tc>
        <w:tc>
          <w:tcPr>
            <w:tcW w:w="563"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4" w:type="dxa"/>
            <w:vMerge/>
            <w:tcBorders>
              <w:left w:val="single" w:sz="4" w:space="0" w:color="000000"/>
              <w:bottom w:val="single" w:sz="4" w:space="0" w:color="000000"/>
              <w:right w:val="single" w:sz="4" w:space="0" w:color="000000"/>
            </w:tcBorders>
          </w:tcPr>
          <w:p>
            <w:pPr/>
          </w:p>
        </w:tc>
        <w:tc>
          <w:tcPr>
            <w:tcW w:w="666"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8"/>
        <w:gridCol w:w="563"/>
        <w:gridCol w:w="530"/>
        <w:gridCol w:w="532"/>
        <w:gridCol w:w="530"/>
        <w:gridCol w:w="665"/>
        <w:gridCol w:w="665"/>
        <w:gridCol w:w="665"/>
        <w:gridCol w:w="665"/>
        <w:gridCol w:w="664"/>
        <w:gridCol w:w="666"/>
        <w:gridCol w:w="665"/>
        <w:gridCol w:w="665"/>
        <w:gridCol w:w="659"/>
      </w:tblGrid>
      <w:tr>
        <w:trPr>
          <w:trHeight w:val="36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5" w:right="0"/>
              <w:jc w:val="left"/>
              <w:rPr>
                <w:rFonts w:ascii="Times New Roman" w:hAnsi="Times New Roman" w:cs="Times New Roman" w:eastAsia="Times New Roman" w:hint="default"/>
                <w:sz w:val="18"/>
                <w:szCs w:val="18"/>
              </w:rPr>
            </w:pPr>
            <w:r>
              <w:rPr>
                <w:rFonts w:ascii="Times New Roman"/>
                <w:sz w:val="18"/>
              </w:rPr>
              <w:t>2.00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Times New Roman" w:hAnsi="Times New Roman" w:cs="Times New Roman" w:eastAsia="Times New Roman" w:hint="default"/>
                <w:sz w:val="18"/>
                <w:szCs w:val="18"/>
              </w:rPr>
            </w:pPr>
            <w:r>
              <w:rPr>
                <w:rFonts w:ascii="Times New Roman"/>
                <w:sz w:val="18"/>
              </w:rPr>
              <w:t>86</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Times New Roman" w:hAnsi="Times New Roman" w:cs="Times New Roman" w:eastAsia="Times New Roman" w:hint="default"/>
                <w:sz w:val="18"/>
                <w:szCs w:val="18"/>
              </w:rPr>
            </w:pPr>
            <w:r>
              <w:rPr>
                <w:rFonts w:ascii="Times New Roman"/>
                <w:sz w:val="18"/>
              </w:rPr>
              <w:t>13</w:t>
            </w: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Times New Roman" w:hAnsi="Times New Roman" w:cs="Times New Roman" w:eastAsia="Times New Roman" w:hint="default"/>
                <w:sz w:val="18"/>
                <w:szCs w:val="18"/>
              </w:rPr>
            </w:pPr>
            <w:r>
              <w:rPr>
                <w:rFonts w:ascii="Times New Roman"/>
                <w:sz w:val="18"/>
              </w:rPr>
              <w:t>02</w:t>
            </w: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21"/>
              <w:jc w:val="both"/>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5"/>
                <w:sz w:val="18"/>
                <w:szCs w:val="18"/>
              </w:rPr>
              <w:t>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39"/>
                <w:sz w:val="18"/>
                <w:szCs w:val="18"/>
              </w:rPr>
              <w:t> </w:t>
            </w:r>
            <w:r>
              <w:rPr>
                <w:rFonts w:ascii="宋体" w:hAnsi="宋体" w:cs="宋体" w:eastAsia="宋体" w:hint="default"/>
                <w:sz w:val="18"/>
                <w:szCs w:val="18"/>
              </w:rPr>
              <w:t>号填列）</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-3,557,0</w:t>
            </w:r>
          </w:p>
          <w:p>
            <w:pPr>
              <w:pStyle w:val="TableParagraph"/>
              <w:spacing w:line="240" w:lineRule="auto" w:before="105"/>
              <w:ind w:left="204" w:right="0"/>
              <w:jc w:val="center"/>
              <w:rPr>
                <w:rFonts w:ascii="Times New Roman" w:hAnsi="Times New Roman" w:cs="Times New Roman" w:eastAsia="Times New Roman" w:hint="default"/>
                <w:sz w:val="18"/>
                <w:szCs w:val="18"/>
              </w:rPr>
            </w:pPr>
            <w:r>
              <w:rPr>
                <w:rFonts w:ascii="Times New Roman"/>
                <w:sz w:val="18"/>
              </w:rPr>
              <w:t>50.32</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230,222</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,172.45</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-1,541,1</w:t>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sz w:val="18"/>
              </w:rPr>
              <w:t>39.70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54,460,</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137.54</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224,767</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,771.54</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37,274,</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812.31</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85" w:right="0"/>
              <w:jc w:val="left"/>
              <w:rPr>
                <w:rFonts w:ascii="Times New Roman" w:hAnsi="Times New Roman" w:cs="Times New Roman" w:eastAsia="Times New Roman" w:hint="default"/>
                <w:sz w:val="18"/>
                <w:szCs w:val="18"/>
              </w:rPr>
            </w:pPr>
            <w:r>
              <w:rPr>
                <w:rFonts w:ascii="Times New Roman"/>
                <w:sz w:val="18"/>
              </w:rPr>
              <w:t>81,182,</w:t>
            </w:r>
          </w:p>
          <w:p>
            <w:pPr>
              <w:pStyle w:val="TableParagraph"/>
              <w:spacing w:line="240" w:lineRule="auto" w:before="105"/>
              <w:ind w:left="130" w:right="0"/>
              <w:jc w:val="left"/>
              <w:rPr>
                <w:rFonts w:ascii="Times New Roman" w:hAnsi="Times New Roman" w:cs="Times New Roman" w:eastAsia="Times New Roman" w:hint="default"/>
                <w:sz w:val="18"/>
                <w:szCs w:val="18"/>
              </w:rPr>
            </w:pPr>
            <w:r>
              <w:rPr>
                <w:rFonts w:ascii="Times New Roman"/>
                <w:sz w:val="18"/>
              </w:rPr>
              <w:t>358.92</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额</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-1,541,1</w:t>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sz w:val="18"/>
              </w:rPr>
              <w:t>39.70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6" w:right="0"/>
              <w:jc w:val="left"/>
              <w:rPr>
                <w:rFonts w:ascii="Times New Roman" w:hAnsi="Times New Roman" w:cs="Times New Roman" w:eastAsia="Times New Roman" w:hint="default"/>
                <w:sz w:val="18"/>
                <w:szCs w:val="18"/>
              </w:rPr>
            </w:pPr>
            <w:r>
              <w:rPr>
                <w:rFonts w:ascii="Times New Roman"/>
                <w:sz w:val="18"/>
              </w:rPr>
              <w:t>725,308</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,104.74</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90,117,</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571.01</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813,884</w:t>
            </w:r>
          </w:p>
          <w:p>
            <w:pPr>
              <w:pStyle w:val="TableParagraph"/>
              <w:spacing w:line="240" w:lineRule="auto" w:before="105"/>
              <w:ind w:left="85" w:right="0"/>
              <w:jc w:val="left"/>
              <w:rPr>
                <w:rFonts w:ascii="Times New Roman" w:hAnsi="Times New Roman" w:cs="Times New Roman" w:eastAsia="Times New Roman" w:hint="default"/>
                <w:sz w:val="18"/>
                <w:szCs w:val="18"/>
              </w:rPr>
            </w:pPr>
            <w:r>
              <w:rPr>
                <w:rFonts w:ascii="Times New Roman"/>
                <w:sz w:val="18"/>
              </w:rPr>
              <w:t>,536.05</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和减少资本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18,250,</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000.00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5" w:right="0"/>
              <w:jc w:val="left"/>
              <w:rPr>
                <w:rFonts w:ascii="Times New Roman" w:hAnsi="Times New Roman" w:cs="Times New Roman" w:eastAsia="Times New Roman" w:hint="default"/>
                <w:sz w:val="18"/>
                <w:szCs w:val="18"/>
              </w:rPr>
            </w:pPr>
            <w:r>
              <w:rPr>
                <w:rFonts w:ascii="Times New Roman"/>
                <w:sz w:val="18"/>
              </w:rPr>
              <w:t>18,250,</w:t>
            </w:r>
          </w:p>
          <w:p>
            <w:pPr>
              <w:pStyle w:val="TableParagraph"/>
              <w:spacing w:line="240" w:lineRule="auto" w:before="105"/>
              <w:ind w:left="130" w:right="0"/>
              <w:jc w:val="left"/>
              <w:rPr>
                <w:rFonts w:ascii="Times New Roman" w:hAnsi="Times New Roman" w:cs="Times New Roman" w:eastAsia="Times New Roman" w:hint="default"/>
                <w:sz w:val="18"/>
                <w:szCs w:val="18"/>
              </w:rPr>
            </w:pPr>
            <w:r>
              <w:rPr>
                <w:rFonts w:ascii="Times New Roman"/>
                <w:sz w:val="18"/>
              </w:rPr>
              <w:t>000.00</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．所有者投入的 普通股</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18,250,</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000.00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5" w:right="0"/>
              <w:jc w:val="left"/>
              <w:rPr>
                <w:rFonts w:ascii="Times New Roman" w:hAnsi="Times New Roman" w:cs="Times New Roman" w:eastAsia="Times New Roman" w:hint="default"/>
                <w:sz w:val="18"/>
                <w:szCs w:val="18"/>
              </w:rPr>
            </w:pPr>
            <w:r>
              <w:rPr>
                <w:rFonts w:ascii="Times New Roman"/>
                <w:sz w:val="18"/>
              </w:rPr>
              <w:t>18,250,</w:t>
            </w:r>
          </w:p>
          <w:p>
            <w:pPr>
              <w:pStyle w:val="TableParagraph"/>
              <w:spacing w:line="240" w:lineRule="auto" w:before="105"/>
              <w:ind w:left="130" w:right="0"/>
              <w:jc w:val="left"/>
              <w:rPr>
                <w:rFonts w:ascii="Times New Roman" w:hAnsi="Times New Roman" w:cs="Times New Roman" w:eastAsia="Times New Roman" w:hint="default"/>
                <w:sz w:val="18"/>
                <w:szCs w:val="18"/>
              </w:rPr>
            </w:pPr>
            <w:r>
              <w:rPr>
                <w:rFonts w:ascii="Times New Roman"/>
                <w:sz w:val="18"/>
              </w:rPr>
              <w:t>000.00</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54,460,</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137.54</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-500,54</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0,333.2</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-59,949,</w:t>
            </w:r>
          </w:p>
          <w:p>
            <w:pPr>
              <w:pStyle w:val="TableParagraph"/>
              <w:spacing w:line="240" w:lineRule="auto" w:before="105"/>
              <w:ind w:left="113" w:right="0"/>
              <w:jc w:val="center"/>
              <w:rPr>
                <w:rFonts w:ascii="Times New Roman" w:hAnsi="Times New Roman" w:cs="Times New Roman" w:eastAsia="Times New Roman" w:hint="default"/>
                <w:sz w:val="18"/>
                <w:szCs w:val="18"/>
              </w:rPr>
            </w:pPr>
            <w:r>
              <w:rPr>
                <w:rFonts w:ascii="Times New Roman"/>
                <w:sz w:val="18"/>
              </w:rPr>
              <w:t>809.02</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-506,03</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0,004.6</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8</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54,460,</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137.54</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-54,460,</w:t>
            </w:r>
          </w:p>
          <w:p>
            <w:pPr>
              <w:pStyle w:val="TableParagraph"/>
              <w:spacing w:line="240" w:lineRule="auto" w:before="105"/>
              <w:ind w:left="113" w:right="0"/>
              <w:jc w:val="center"/>
              <w:rPr>
                <w:rFonts w:ascii="Times New Roman" w:hAnsi="Times New Roman" w:cs="Times New Roman" w:eastAsia="Times New Roman" w:hint="default"/>
                <w:sz w:val="18"/>
                <w:szCs w:val="18"/>
              </w:rPr>
            </w:pPr>
            <w:r>
              <w:rPr>
                <w:rFonts w:ascii="Times New Roman"/>
                <w:sz w:val="18"/>
              </w:rPr>
              <w:t>137.54</w:t>
            </w: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00" w:lineRule="auto"/>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-446,08</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0,195.6</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6</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-59,949,</w:t>
            </w:r>
          </w:p>
          <w:p>
            <w:pPr>
              <w:pStyle w:val="TableParagraph"/>
              <w:spacing w:line="240" w:lineRule="auto" w:before="105"/>
              <w:ind w:left="113" w:right="0"/>
              <w:jc w:val="center"/>
              <w:rPr>
                <w:rFonts w:ascii="Times New Roman" w:hAnsi="Times New Roman" w:cs="Times New Roman" w:eastAsia="Times New Roman" w:hint="default"/>
                <w:sz w:val="18"/>
                <w:szCs w:val="18"/>
              </w:rPr>
            </w:pPr>
            <w:r>
              <w:rPr>
                <w:rFonts w:ascii="Times New Roman"/>
                <w:sz w:val="18"/>
              </w:rPr>
              <w:t>809.02</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-506,03</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0,004.6</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8</w:t>
            </w: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内部结转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．设定受益计划 变动额结转留存 收益</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8"/>
        <w:gridCol w:w="563"/>
        <w:gridCol w:w="530"/>
        <w:gridCol w:w="532"/>
        <w:gridCol w:w="530"/>
        <w:gridCol w:w="665"/>
        <w:gridCol w:w="665"/>
        <w:gridCol w:w="665"/>
        <w:gridCol w:w="665"/>
        <w:gridCol w:w="664"/>
        <w:gridCol w:w="666"/>
        <w:gridCol w:w="665"/>
        <w:gridCol w:w="665"/>
        <w:gridCol w:w="659"/>
      </w:tblGrid>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-3,557,0</w:t>
            </w:r>
          </w:p>
          <w:p>
            <w:pPr>
              <w:pStyle w:val="TableParagraph"/>
              <w:spacing w:line="240" w:lineRule="auto" w:before="106"/>
              <w:ind w:left="204" w:right="0"/>
              <w:jc w:val="center"/>
              <w:rPr>
                <w:rFonts w:ascii="Times New Roman" w:hAnsi="Times New Roman" w:cs="Times New Roman" w:eastAsia="Times New Roman" w:hint="default"/>
                <w:sz w:val="18"/>
                <w:szCs w:val="18"/>
              </w:rPr>
            </w:pPr>
            <w:r>
              <w:rPr>
                <w:rFonts w:ascii="Times New Roman"/>
                <w:sz w:val="18"/>
              </w:rPr>
              <w:t>50.32</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230,222</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,172.45</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-11,142,</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949.68</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-244,92</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2,172.4</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5</w:t>
            </w: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center"/>
              <w:rPr>
                <w:rFonts w:ascii="Times New Roman" w:hAnsi="Times New Roman" w:cs="Times New Roman" w:eastAsia="Times New Roman" w:hint="default"/>
                <w:sz w:val="18"/>
                <w:szCs w:val="18"/>
              </w:rPr>
            </w:pPr>
            <w:r>
              <w:rPr>
                <w:rFonts w:ascii="Times New Roman"/>
                <w:sz w:val="18"/>
              </w:rPr>
              <w:t>1,494,</w:t>
            </w:r>
          </w:p>
          <w:p>
            <w:pPr>
              <w:pStyle w:val="TableParagraph"/>
              <w:spacing w:line="240" w:lineRule="auto" w:before="105"/>
              <w:ind w:left="14" w:right="0"/>
              <w:jc w:val="center"/>
              <w:rPr>
                <w:rFonts w:ascii="Times New Roman" w:hAnsi="Times New Roman" w:cs="Times New Roman" w:eastAsia="Times New Roman" w:hint="default"/>
                <w:sz w:val="18"/>
                <w:szCs w:val="18"/>
              </w:rPr>
            </w:pPr>
            <w:r>
              <w:rPr>
                <w:rFonts w:ascii="Times New Roman"/>
                <w:sz w:val="18"/>
              </w:rPr>
              <w:t>834,38</w:t>
            </w:r>
          </w:p>
          <w:p>
            <w:pPr>
              <w:pStyle w:val="TableParagraph"/>
              <w:spacing w:line="240" w:lineRule="auto" w:before="106"/>
              <w:ind w:left="194" w:right="0"/>
              <w:jc w:val="center"/>
              <w:rPr>
                <w:rFonts w:ascii="Times New Roman" w:hAnsi="Times New Roman" w:cs="Times New Roman" w:eastAsia="Times New Roman" w:hint="default"/>
                <w:sz w:val="18"/>
                <w:szCs w:val="18"/>
              </w:rPr>
            </w:pPr>
            <w:r>
              <w:rPr>
                <w:rFonts w:ascii="Times New Roman"/>
                <w:sz w:val="18"/>
              </w:rPr>
              <w:t>2.00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1,648,2</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46,270.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54</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230,222</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,172.45</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-13,828,</w:t>
            </w:r>
          </w:p>
          <w:p>
            <w:pPr>
              <w:pStyle w:val="TableParagraph"/>
              <w:spacing w:line="240" w:lineRule="auto" w:before="106"/>
              <w:ind w:left="113" w:right="0"/>
              <w:jc w:val="center"/>
              <w:rPr>
                <w:rFonts w:ascii="Times New Roman" w:hAnsi="Times New Roman" w:cs="Times New Roman" w:eastAsia="Times New Roman" w:hint="default"/>
                <w:sz w:val="18"/>
                <w:szCs w:val="18"/>
              </w:rPr>
            </w:pPr>
            <w:r>
              <w:rPr>
                <w:rFonts w:ascii="Times New Roman"/>
                <w:sz w:val="18"/>
              </w:rPr>
              <w:t>512.83</w:t>
            </w: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490,236</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,584.54</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3,103,5</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34,061.</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67</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279,087</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,754.47</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6,771,8</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88,367.</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94</w:t>
            </w:r>
          </w:p>
        </w:tc>
      </w:tr>
    </w:tbl>
    <w:p>
      <w:pPr>
        <w:pStyle w:val="BodyText"/>
        <w:spacing w:line="240" w:lineRule="auto" w:before="51"/>
        <w:ind w:right="0"/>
        <w:jc w:val="left"/>
      </w:pPr>
      <w:r>
        <w:rPr/>
        <w:t>上期金额</w:t>
      </w:r>
    </w:p>
    <w:p>
      <w:pPr>
        <w:pStyle w:val="BodyText"/>
        <w:spacing w:line="240" w:lineRule="auto" w:before="117"/>
        <w:ind w:left="0" w:right="1130"/>
        <w:jc w:val="right"/>
      </w:pPr>
      <w:r>
        <w:rPr/>
        <w:t>单位：元</w:t>
      </w:r>
    </w:p>
    <w:p>
      <w:pPr>
        <w:spacing w:line="240" w:lineRule="auto" w:before="0"/>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427"/>
        <w:gridCol w:w="562"/>
        <w:gridCol w:w="530"/>
        <w:gridCol w:w="532"/>
        <w:gridCol w:w="530"/>
        <w:gridCol w:w="665"/>
        <w:gridCol w:w="665"/>
        <w:gridCol w:w="665"/>
        <w:gridCol w:w="665"/>
        <w:gridCol w:w="665"/>
        <w:gridCol w:w="665"/>
        <w:gridCol w:w="678"/>
        <w:gridCol w:w="652"/>
        <w:gridCol w:w="659"/>
      </w:tblGrid>
      <w:tr>
        <w:trPr>
          <w:trHeight w:val="402" w:hRule="exact"/>
        </w:trPr>
        <w:tc>
          <w:tcPr>
            <w:tcW w:w="1427" w:type="dxa"/>
            <w:vMerge w:val="restart"/>
            <w:tcBorders>
              <w:top w:val="single" w:sz="4" w:space="0" w:color="000000"/>
              <w:left w:val="single" w:sz="4" w:space="0" w:color="000000"/>
              <w:right w:val="single" w:sz="4" w:space="0" w:color="000000"/>
            </w:tcBorders>
            <w:shd w:val="clear" w:color="auto" w:fill="D2D2D2"/>
          </w:tcPr>
          <w:p>
            <w:pPr/>
          </w:p>
        </w:tc>
        <w:tc>
          <w:tcPr>
            <w:tcW w:w="8132"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251" w:hRule="exact"/>
        </w:trPr>
        <w:tc>
          <w:tcPr>
            <w:tcW w:w="1427" w:type="dxa"/>
            <w:vMerge/>
            <w:tcBorders>
              <w:left w:val="single" w:sz="4" w:space="0" w:color="000000"/>
              <w:right w:val="single" w:sz="4" w:space="0" w:color="000000"/>
            </w:tcBorders>
            <w:shd w:val="clear" w:color="auto" w:fill="D2D2D2"/>
          </w:tcPr>
          <w:p>
            <w:pPr/>
          </w:p>
        </w:tc>
        <w:tc>
          <w:tcPr>
            <w:tcW w:w="6822" w:type="dxa"/>
            <w:gridSpan w:val="11"/>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52" w:type="dxa"/>
            <w:vMerge w:val="restart"/>
            <w:tcBorders>
              <w:top w:val="single" w:sz="4" w:space="0" w:color="000000"/>
              <w:left w:val="single" w:sz="4" w:space="0" w:color="000000"/>
              <w:right w:val="single" w:sz="4" w:space="0" w:color="000000"/>
            </w:tcBorders>
            <w:shd w:val="clear" w:color="auto" w:fill="D2D2D2"/>
          </w:tcPr>
          <w:p>
            <w:pPr/>
          </w:p>
        </w:tc>
        <w:tc>
          <w:tcPr>
            <w:tcW w:w="65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1" w:hRule="exact"/>
        </w:trPr>
        <w:tc>
          <w:tcPr>
            <w:tcW w:w="1427" w:type="dxa"/>
            <w:vMerge/>
            <w:tcBorders>
              <w:left w:val="single" w:sz="4" w:space="0" w:color="000000"/>
              <w:bottom w:val="nil" w:sz="6" w:space="0" w:color="auto"/>
              <w:right w:val="single" w:sz="4" w:space="0" w:color="000000"/>
            </w:tcBorders>
            <w:shd w:val="clear" w:color="auto" w:fill="D2D2D2"/>
          </w:tcPr>
          <w:p>
            <w:pPr/>
          </w:p>
        </w:tc>
        <w:tc>
          <w:tcPr>
            <w:tcW w:w="6822" w:type="dxa"/>
            <w:gridSpan w:val="11"/>
            <w:vMerge/>
            <w:tcBorders>
              <w:left w:val="single" w:sz="4" w:space="0" w:color="000000"/>
              <w:bottom w:val="single" w:sz="4" w:space="0" w:color="000000"/>
              <w:right w:val="single" w:sz="4" w:space="0" w:color="000000"/>
            </w:tcBorders>
            <w:shd w:val="clear" w:color="auto" w:fill="D2D2D2"/>
          </w:tcPr>
          <w:p>
            <w:pPr/>
          </w:p>
        </w:tc>
        <w:tc>
          <w:tcPr>
            <w:tcW w:w="652" w:type="dxa"/>
            <w:vMerge/>
            <w:tcBorders>
              <w:left w:val="single" w:sz="4" w:space="0" w:color="000000"/>
              <w:bottom w:val="nil" w:sz="6" w:space="0" w:color="auto"/>
              <w:right w:val="single" w:sz="4" w:space="0" w:color="000000"/>
            </w:tcBorders>
            <w:shd w:val="clear" w:color="auto" w:fill="D2D2D2"/>
          </w:tcPr>
          <w:p>
            <w:pPr/>
          </w:p>
        </w:tc>
        <w:tc>
          <w:tcPr>
            <w:tcW w:w="659"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3" w:right="53"/>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206" w:hRule="exact"/>
        </w:trPr>
        <w:tc>
          <w:tcPr>
            <w:tcW w:w="142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562" w:type="dxa"/>
            <w:vMerge w:val="restart"/>
            <w:tcBorders>
              <w:top w:val="single" w:sz="4" w:space="0" w:color="000000"/>
              <w:left w:val="single" w:sz="4" w:space="0" w:color="000000"/>
              <w:right w:val="single" w:sz="4" w:space="0" w:color="000000"/>
            </w:tcBorders>
            <w:shd w:val="clear" w:color="auto" w:fill="D2D2D2"/>
          </w:tcPr>
          <w:p>
            <w:pPr/>
          </w:p>
        </w:tc>
        <w:tc>
          <w:tcPr>
            <w:tcW w:w="159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50"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78" w:type="dxa"/>
            <w:tcBorders>
              <w:top w:val="single" w:sz="4" w:space="0" w:color="000000"/>
              <w:left w:val="single" w:sz="4" w:space="0" w:color="000000"/>
              <w:bottom w:val="nil" w:sz="6" w:space="0" w:color="auto"/>
              <w:right w:val="single" w:sz="4" w:space="0" w:color="000000"/>
            </w:tcBorders>
            <w:shd w:val="clear" w:color="auto" w:fill="D2D2D2"/>
          </w:tcPr>
          <w:p>
            <w:pPr/>
          </w:p>
        </w:tc>
        <w:tc>
          <w:tcPr>
            <w:tcW w:w="652"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6"/>
              <w:ind w:left="50" w:right="49"/>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59" w:type="dxa"/>
            <w:vMerge/>
            <w:tcBorders>
              <w:left w:val="single" w:sz="4" w:space="0" w:color="000000"/>
              <w:right w:val="single" w:sz="4" w:space="0" w:color="000000"/>
            </w:tcBorders>
            <w:shd w:val="clear" w:color="auto" w:fill="D2D2D2"/>
          </w:tcPr>
          <w:p>
            <w:pPr/>
          </w:p>
        </w:tc>
      </w:tr>
      <w:tr>
        <w:trPr>
          <w:trHeight w:val="174" w:hRule="exact"/>
        </w:trPr>
        <w:tc>
          <w:tcPr>
            <w:tcW w:w="1427" w:type="dxa"/>
            <w:vMerge/>
            <w:tcBorders>
              <w:left w:val="single" w:sz="4" w:space="0" w:color="000000"/>
              <w:bottom w:val="nil" w:sz="6" w:space="0" w:color="auto"/>
              <w:right w:val="single" w:sz="4" w:space="0" w:color="000000"/>
            </w:tcBorders>
            <w:shd w:val="clear" w:color="auto" w:fill="D2D2D2"/>
          </w:tcPr>
          <w:p>
            <w:pPr/>
          </w:p>
        </w:tc>
        <w:tc>
          <w:tcPr>
            <w:tcW w:w="562" w:type="dxa"/>
            <w:vMerge/>
            <w:tcBorders>
              <w:left w:val="single" w:sz="4" w:space="0" w:color="000000"/>
              <w:bottom w:val="nil" w:sz="6" w:space="0" w:color="auto"/>
              <w:right w:val="single" w:sz="4" w:space="0" w:color="000000"/>
            </w:tcBorders>
            <w:shd w:val="clear" w:color="auto" w:fill="D2D2D2"/>
          </w:tcPr>
          <w:p>
            <w:pPr/>
          </w:p>
        </w:tc>
        <w:tc>
          <w:tcPr>
            <w:tcW w:w="1592" w:type="dxa"/>
            <w:gridSpan w:val="3"/>
            <w:vMerge/>
            <w:tcBorders>
              <w:left w:val="single" w:sz="4" w:space="0" w:color="000000"/>
              <w:bottom w:val="single" w:sz="4" w:space="0" w:color="000000"/>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7" w:right="57" w:hanging="181"/>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46" w:right="56" w:hanging="90"/>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6" w:right="56"/>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6"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6"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6" w:right="57"/>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78"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53" w:right="62"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52"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84" w:hRule="exact"/>
        </w:trPr>
        <w:tc>
          <w:tcPr>
            <w:tcW w:w="1427" w:type="dxa"/>
            <w:vMerge w:val="restart"/>
            <w:tcBorders>
              <w:top w:val="nil" w:sz="6" w:space="0" w:color="auto"/>
              <w:left w:val="single" w:sz="4" w:space="0" w:color="000000"/>
              <w:right w:val="single" w:sz="4" w:space="0" w:color="000000"/>
            </w:tcBorders>
            <w:shd w:val="clear" w:color="auto" w:fill="D2D2D2"/>
          </w:tcPr>
          <w:p>
            <w:pPr/>
          </w:p>
        </w:tc>
        <w:tc>
          <w:tcPr>
            <w:tcW w:w="5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3"/>
              <w:ind w:left="95"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53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4"/>
              <w:ind w:left="170" w:right="78" w:hanging="90"/>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4"/>
              <w:ind w:left="171" w:right="78"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78" w:type="dxa"/>
            <w:vMerge/>
            <w:tcBorders>
              <w:left w:val="single" w:sz="4" w:space="0" w:color="000000"/>
              <w:right w:val="single" w:sz="4" w:space="0" w:color="000000"/>
            </w:tcBorders>
            <w:shd w:val="clear" w:color="auto" w:fill="D2D2D2"/>
          </w:tcPr>
          <w:p>
            <w:pPr/>
          </w:p>
        </w:tc>
        <w:tc>
          <w:tcPr>
            <w:tcW w:w="652"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68" w:hRule="exact"/>
        </w:trPr>
        <w:tc>
          <w:tcPr>
            <w:tcW w:w="1427" w:type="dxa"/>
            <w:vMerge/>
            <w:tcBorders>
              <w:left w:val="single" w:sz="4" w:space="0" w:color="000000"/>
              <w:right w:val="single" w:sz="4" w:space="0" w:color="000000"/>
            </w:tcBorders>
            <w:shd w:val="clear" w:color="auto" w:fill="D2D2D2"/>
          </w:tcPr>
          <w:p>
            <w:pPr/>
          </w:p>
        </w:tc>
        <w:tc>
          <w:tcPr>
            <w:tcW w:w="562" w:type="dxa"/>
            <w:vMerge/>
            <w:tcBorders>
              <w:left w:val="single" w:sz="4" w:space="0" w:color="000000"/>
              <w:bottom w:val="nil" w:sz="6" w:space="0" w:color="auto"/>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8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78" w:type="dxa"/>
            <w:vMerge/>
            <w:tcBorders>
              <w:left w:val="single" w:sz="4" w:space="0" w:color="000000"/>
              <w:right w:val="single" w:sz="4" w:space="0" w:color="000000"/>
            </w:tcBorders>
            <w:shd w:val="clear" w:color="auto" w:fill="D2D2D2"/>
          </w:tcPr>
          <w:p>
            <w:pPr/>
          </w:p>
        </w:tc>
        <w:tc>
          <w:tcPr>
            <w:tcW w:w="652" w:type="dxa"/>
            <w:vMerge/>
            <w:tcBorders>
              <w:left w:val="single" w:sz="4" w:space="0" w:color="000000"/>
              <w:bottom w:val="nil" w:sz="6" w:space="0" w:color="auto"/>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56" w:hRule="exact"/>
        </w:trPr>
        <w:tc>
          <w:tcPr>
            <w:tcW w:w="1427" w:type="dxa"/>
            <w:vMerge/>
            <w:tcBorders>
              <w:left w:val="single" w:sz="4" w:space="0" w:color="000000"/>
              <w:right w:val="single" w:sz="4" w:space="0" w:color="000000"/>
            </w:tcBorders>
            <w:shd w:val="clear" w:color="auto" w:fill="D2D2D2"/>
          </w:tcPr>
          <w:p>
            <w:pPr/>
          </w:p>
        </w:tc>
        <w:tc>
          <w:tcPr>
            <w:tcW w:w="562" w:type="dxa"/>
            <w:vMerge w:val="restart"/>
            <w:tcBorders>
              <w:top w:val="nil" w:sz="6" w:space="0" w:color="auto"/>
              <w:left w:val="single" w:sz="4" w:space="0" w:color="000000"/>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78" w:type="dxa"/>
            <w:vMerge/>
            <w:tcBorders>
              <w:left w:val="single" w:sz="4" w:space="0" w:color="000000"/>
              <w:bottom w:val="nil" w:sz="6" w:space="0" w:color="auto"/>
              <w:right w:val="single" w:sz="4" w:space="0" w:color="000000"/>
            </w:tcBorders>
            <w:shd w:val="clear" w:color="auto" w:fill="D2D2D2"/>
          </w:tcPr>
          <w:p>
            <w:pPr/>
          </w:p>
        </w:tc>
        <w:tc>
          <w:tcPr>
            <w:tcW w:w="652" w:type="dxa"/>
            <w:vMerge w:val="restart"/>
            <w:tcBorders>
              <w:top w:val="nil" w:sz="6" w:space="0" w:color="auto"/>
              <w:left w:val="single" w:sz="4" w:space="0" w:color="000000"/>
              <w:right w:val="single" w:sz="4" w:space="0" w:color="000000"/>
            </w:tcBorders>
            <w:shd w:val="clear" w:color="auto" w:fill="D2D2D2"/>
          </w:tcPr>
          <w:p>
            <w:pPr/>
          </w:p>
        </w:tc>
        <w:tc>
          <w:tcPr>
            <w:tcW w:w="659" w:type="dxa"/>
            <w:vMerge/>
            <w:tcBorders>
              <w:left w:val="single" w:sz="4" w:space="0" w:color="000000"/>
              <w:bottom w:val="nil" w:sz="6" w:space="0" w:color="auto"/>
              <w:right w:val="single" w:sz="4" w:space="0" w:color="000000"/>
            </w:tcBorders>
            <w:shd w:val="clear" w:color="auto" w:fill="D2D2D2"/>
          </w:tcPr>
          <w:p>
            <w:pPr/>
          </w:p>
        </w:tc>
      </w:tr>
      <w:tr>
        <w:trPr>
          <w:trHeight w:val="228" w:hRule="exact"/>
        </w:trPr>
        <w:tc>
          <w:tcPr>
            <w:tcW w:w="1427" w:type="dxa"/>
            <w:vMerge/>
            <w:tcBorders>
              <w:left w:val="single" w:sz="4" w:space="0" w:color="000000"/>
              <w:bottom w:val="single" w:sz="4" w:space="0" w:color="000000"/>
              <w:right w:val="single" w:sz="4" w:space="0" w:color="000000"/>
            </w:tcBorders>
            <w:shd w:val="clear" w:color="auto" w:fill="D2D2D2"/>
          </w:tcPr>
          <w:p>
            <w:pPr/>
          </w:p>
        </w:tc>
        <w:tc>
          <w:tcPr>
            <w:tcW w:w="562" w:type="dxa"/>
            <w:vMerge/>
            <w:tcBorders>
              <w:left w:val="single" w:sz="4" w:space="0" w:color="000000"/>
              <w:bottom w:val="single" w:sz="4" w:space="0" w:color="000000"/>
              <w:right w:val="single" w:sz="4" w:space="0" w:color="000000"/>
            </w:tcBorders>
            <w:shd w:val="clear" w:color="auto" w:fill="D2D2D2"/>
          </w:tcPr>
          <w:p>
            <w:pPr/>
          </w:p>
        </w:tc>
        <w:tc>
          <w:tcPr>
            <w:tcW w:w="530" w:type="dxa"/>
            <w:vMerge/>
            <w:tcBorders>
              <w:left w:val="single" w:sz="4" w:space="0" w:color="000000"/>
              <w:bottom w:val="single" w:sz="4" w:space="0" w:color="000000"/>
              <w:right w:val="single" w:sz="4" w:space="0" w:color="000000"/>
            </w:tcBorders>
            <w:shd w:val="clear" w:color="auto" w:fill="D2D2D2"/>
          </w:tcPr>
          <w:p>
            <w:pPr/>
          </w:p>
        </w:tc>
        <w:tc>
          <w:tcPr>
            <w:tcW w:w="532" w:type="dxa"/>
            <w:vMerge/>
            <w:tcBorders>
              <w:left w:val="single" w:sz="4" w:space="0" w:color="000000"/>
              <w:bottom w:val="single" w:sz="4" w:space="0" w:color="000000"/>
              <w:right w:val="single" w:sz="4" w:space="0" w:color="000000"/>
            </w:tcBorders>
            <w:shd w:val="clear" w:color="auto" w:fill="D2D2D2"/>
          </w:tcPr>
          <w:p>
            <w:pPr/>
          </w:p>
        </w:tc>
        <w:tc>
          <w:tcPr>
            <w:tcW w:w="5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78" w:type="dxa"/>
            <w:tcBorders>
              <w:top w:val="nil" w:sz="6" w:space="0" w:color="auto"/>
              <w:left w:val="single" w:sz="4" w:space="0" w:color="000000"/>
              <w:bottom w:val="single" w:sz="4" w:space="0" w:color="000000"/>
              <w:right w:val="single" w:sz="4" w:space="0" w:color="000000"/>
            </w:tcBorders>
            <w:shd w:val="clear" w:color="auto" w:fill="D2D2D2"/>
          </w:tcPr>
          <w:p>
            <w:pPr/>
          </w:p>
        </w:tc>
        <w:tc>
          <w:tcPr>
            <w:tcW w:w="652" w:type="dxa"/>
            <w:vMerge/>
            <w:tcBorders>
              <w:left w:val="single" w:sz="4" w:space="0" w:color="000000"/>
              <w:bottom w:val="single" w:sz="4" w:space="0" w:color="000000"/>
              <w:right w:val="single" w:sz="4" w:space="0" w:color="000000"/>
            </w:tcBorders>
            <w:shd w:val="clear" w:color="auto" w:fill="D2D2D2"/>
          </w:tcPr>
          <w:p>
            <w:pPr/>
          </w:p>
        </w:tc>
        <w:tc>
          <w:tcPr>
            <w:tcW w:w="65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18" w:hRule="exact"/>
        </w:trPr>
        <w:tc>
          <w:tcPr>
            <w:tcW w:w="1427" w:type="dxa"/>
            <w:tcBorders>
              <w:top w:val="single" w:sz="4" w:space="0" w:color="000000"/>
              <w:left w:val="single" w:sz="4" w:space="0" w:color="000000"/>
              <w:bottom w:val="nil" w:sz="6" w:space="0" w:color="auto"/>
              <w:right w:val="single" w:sz="4" w:space="0" w:color="000000"/>
            </w:tcBorders>
            <w:shd w:val="clear" w:color="auto" w:fill="D2D2D2"/>
          </w:tcPr>
          <w:p>
            <w:pPr/>
          </w:p>
        </w:tc>
        <w:tc>
          <w:tcPr>
            <w:tcW w:w="562" w:type="dxa"/>
            <w:vMerge w:val="restart"/>
            <w:tcBorders>
              <w:top w:val="single" w:sz="4" w:space="0" w:color="000000"/>
              <w:left w:val="single" w:sz="9" w:space="0" w:color="D2D2D2"/>
              <w:right w:val="single" w:sz="4" w:space="0" w:color="000000"/>
            </w:tcBorders>
          </w:tcPr>
          <w:p>
            <w:pPr>
              <w:pStyle w:val="TableParagraph"/>
              <w:spacing w:line="240" w:lineRule="auto" w:before="92"/>
              <w:ind w:left="50" w:right="0"/>
              <w:jc w:val="center"/>
              <w:rPr>
                <w:rFonts w:ascii="Times New Roman" w:hAnsi="Times New Roman" w:cs="Times New Roman" w:eastAsia="Times New Roman" w:hint="default"/>
                <w:sz w:val="18"/>
                <w:szCs w:val="18"/>
              </w:rPr>
            </w:pPr>
            <w:r>
              <w:rPr>
                <w:rFonts w:ascii="Times New Roman"/>
                <w:sz w:val="18"/>
              </w:rPr>
              <w:t>1,315,</w:t>
            </w:r>
          </w:p>
          <w:p>
            <w:pPr>
              <w:pStyle w:val="TableParagraph"/>
              <w:spacing w:line="240" w:lineRule="auto" w:before="104"/>
              <w:ind w:left="6" w:right="0"/>
              <w:jc w:val="center"/>
              <w:rPr>
                <w:rFonts w:ascii="Times New Roman" w:hAnsi="Times New Roman" w:cs="Times New Roman" w:eastAsia="Times New Roman" w:hint="default"/>
                <w:sz w:val="18"/>
                <w:szCs w:val="18"/>
              </w:rPr>
            </w:pPr>
            <w:r>
              <w:rPr>
                <w:rFonts w:ascii="Times New Roman"/>
                <w:sz w:val="18"/>
              </w:rPr>
              <w:t>496,00</w:t>
            </w:r>
          </w:p>
          <w:p>
            <w:pPr>
              <w:pStyle w:val="TableParagraph"/>
              <w:spacing w:line="240" w:lineRule="auto" w:before="106"/>
              <w:ind w:left="186" w:right="0"/>
              <w:jc w:val="center"/>
              <w:rPr>
                <w:rFonts w:ascii="Times New Roman" w:hAnsi="Times New Roman" w:cs="Times New Roman" w:eastAsia="Times New Roman" w:hint="default"/>
                <w:sz w:val="18"/>
                <w:szCs w:val="18"/>
              </w:rPr>
            </w:pPr>
            <w:r>
              <w:rPr>
                <w:rFonts w:ascii="Times New Roman"/>
                <w:sz w:val="18"/>
              </w:rPr>
              <w:t>0.00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249,699</w:t>
            </w:r>
          </w:p>
          <w:p>
            <w:pPr>
              <w:pStyle w:val="TableParagraph"/>
              <w:spacing w:line="240" w:lineRule="auto" w:before="105"/>
              <w:ind w:left="92" w:right="0"/>
              <w:jc w:val="left"/>
              <w:rPr>
                <w:rFonts w:ascii="Times New Roman" w:hAnsi="Times New Roman" w:cs="Times New Roman" w:eastAsia="Times New Roman" w:hint="default"/>
                <w:sz w:val="18"/>
                <w:szCs w:val="18"/>
              </w:rPr>
            </w:pPr>
            <w:r>
              <w:rPr>
                <w:rFonts w:ascii="Times New Roman"/>
                <w:sz w:val="18"/>
              </w:rPr>
              <w:t>,879.72</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49,530,</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132.00</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-12,378,</w:t>
            </w:r>
          </w:p>
          <w:p>
            <w:pPr>
              <w:pStyle w:val="TableParagraph"/>
              <w:spacing w:line="240" w:lineRule="auto" w:before="105"/>
              <w:ind w:left="113" w:right="0"/>
              <w:jc w:val="center"/>
              <w:rPr>
                <w:rFonts w:ascii="Times New Roman" w:hAnsi="Times New Roman" w:cs="Times New Roman" w:eastAsia="Times New Roman" w:hint="default"/>
                <w:sz w:val="18"/>
                <w:szCs w:val="18"/>
              </w:rPr>
            </w:pPr>
            <w:r>
              <w:rPr>
                <w:rFonts w:ascii="Times New Roman"/>
                <w:sz w:val="18"/>
              </w:rPr>
              <w:t>335.56</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379,339</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,812.76</w:t>
            </w:r>
          </w:p>
        </w:tc>
        <w:tc>
          <w:tcPr>
            <w:tcW w:w="665" w:type="dxa"/>
            <w:vMerge w:val="restart"/>
            <w:tcBorders>
              <w:top w:val="single" w:sz="4" w:space="0" w:color="000000"/>
              <w:left w:val="single" w:sz="4" w:space="0" w:color="000000"/>
              <w:right w:val="single" w:sz="4" w:space="0" w:color="000000"/>
            </w:tcBorders>
          </w:tcPr>
          <w:p>
            <w:pPr/>
          </w:p>
        </w:tc>
        <w:tc>
          <w:tcPr>
            <w:tcW w:w="678" w:type="dxa"/>
            <w:vMerge w:val="restart"/>
            <w:tcBorders>
              <w:top w:val="single" w:sz="4" w:space="0" w:color="000000"/>
              <w:left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2"/>
                <w:sz w:val="18"/>
              </w:rPr>
              <w:t>2,611,1</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74,416.</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71</w:t>
            </w:r>
          </w:p>
        </w:tc>
        <w:tc>
          <w:tcPr>
            <w:tcW w:w="65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4" w:right="0"/>
              <w:jc w:val="left"/>
              <w:rPr>
                <w:rFonts w:ascii="Times New Roman" w:hAnsi="Times New Roman" w:cs="Times New Roman" w:eastAsia="Times New Roman" w:hint="default"/>
                <w:sz w:val="18"/>
                <w:szCs w:val="18"/>
              </w:rPr>
            </w:pPr>
            <w:r>
              <w:rPr>
                <w:rFonts w:ascii="Times New Roman"/>
                <w:sz w:val="18"/>
              </w:rPr>
              <w:t>317,903</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,336.34</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2"/>
                <w:sz w:val="18"/>
              </w:rPr>
              <w:t>4,811,7</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04,977.</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97</w:t>
            </w:r>
          </w:p>
        </w:tc>
      </w:tr>
      <w:tr>
        <w:trPr>
          <w:trHeight w:val="391" w:hRule="exact"/>
        </w:trPr>
        <w:tc>
          <w:tcPr>
            <w:tcW w:w="142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22"/>
              <w:jc w:val="righ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62"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78" w:type="dxa"/>
            <w:vMerge/>
            <w:tcBorders>
              <w:left w:val="single" w:sz="4" w:space="0" w:color="000000"/>
              <w:right w:val="single" w:sz="4" w:space="0" w:color="000000"/>
            </w:tcBorders>
          </w:tcPr>
          <w:p>
            <w:pPr/>
          </w:p>
        </w:tc>
        <w:tc>
          <w:tcPr>
            <w:tcW w:w="652"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317" w:hRule="exact"/>
        </w:trPr>
        <w:tc>
          <w:tcPr>
            <w:tcW w:w="1427" w:type="dxa"/>
            <w:tcBorders>
              <w:top w:val="nil" w:sz="6" w:space="0" w:color="auto"/>
              <w:left w:val="single" w:sz="4" w:space="0" w:color="000000"/>
              <w:bottom w:val="single" w:sz="4" w:space="0" w:color="000000"/>
              <w:right w:val="single" w:sz="4" w:space="0" w:color="000000"/>
            </w:tcBorders>
            <w:shd w:val="clear" w:color="auto" w:fill="D2D2D2"/>
          </w:tcPr>
          <w:p>
            <w:pPr/>
          </w:p>
        </w:tc>
        <w:tc>
          <w:tcPr>
            <w:tcW w:w="562"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78" w:type="dxa"/>
            <w:vMerge/>
            <w:tcBorders>
              <w:left w:val="single" w:sz="4" w:space="0" w:color="000000"/>
              <w:bottom w:val="single" w:sz="4" w:space="0" w:color="000000"/>
              <w:right w:val="single" w:sz="4" w:space="0" w:color="000000"/>
            </w:tcBorders>
          </w:tcPr>
          <w:p>
            <w:pPr/>
          </w:p>
        </w:tc>
        <w:tc>
          <w:tcPr>
            <w:tcW w:w="652"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1" w:right="22"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43" w:firstLine="720"/>
              <w:jc w:val="left"/>
              <w:rPr>
                <w:rFonts w:ascii="宋体" w:hAnsi="宋体" w:cs="宋体" w:eastAsia="宋体" w:hint="default"/>
                <w:sz w:val="18"/>
                <w:szCs w:val="18"/>
              </w:rPr>
            </w:pPr>
            <w:r>
              <w:rPr>
                <w:rFonts w:ascii="宋体" w:hAnsi="宋体" w:cs="宋体" w:eastAsia="宋体" w:hint="default"/>
                <w:sz w:val="18"/>
                <w:szCs w:val="18"/>
              </w:rPr>
              <w:t>同一控 制下企业合并</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62" w:hRule="exact"/>
        </w:trPr>
        <w:tc>
          <w:tcPr>
            <w:tcW w:w="1427" w:type="dxa"/>
            <w:tcBorders>
              <w:top w:val="single" w:sz="4" w:space="0" w:color="000000"/>
              <w:left w:val="single" w:sz="4" w:space="0" w:color="000000"/>
              <w:bottom w:val="nil" w:sz="6" w:space="0" w:color="auto"/>
              <w:right w:val="single" w:sz="4" w:space="0" w:color="000000"/>
            </w:tcBorders>
            <w:shd w:val="clear" w:color="auto" w:fill="D2D2D2"/>
          </w:tcPr>
          <w:p>
            <w:pPr/>
          </w:p>
        </w:tc>
        <w:tc>
          <w:tcPr>
            <w:tcW w:w="562" w:type="dxa"/>
            <w:vMerge w:val="restart"/>
            <w:tcBorders>
              <w:top w:val="single" w:sz="4" w:space="0" w:color="000000"/>
              <w:left w:val="single" w:sz="9" w:space="0" w:color="D2D2D2"/>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78" w:type="dxa"/>
            <w:vMerge w:val="restart"/>
            <w:tcBorders>
              <w:top w:val="single" w:sz="4" w:space="0" w:color="000000"/>
              <w:left w:val="single" w:sz="4" w:space="0" w:color="000000"/>
              <w:right w:val="single" w:sz="4" w:space="0" w:color="000000"/>
            </w:tcBorders>
          </w:tcPr>
          <w:p>
            <w:pPr>
              <w:pStyle w:val="TableParagraph"/>
              <w:spacing w:line="240" w:lineRule="auto" w:before="92"/>
              <w:ind w:left="104" w:right="0"/>
              <w:jc w:val="left"/>
              <w:rPr>
                <w:rFonts w:ascii="Times New Roman" w:hAnsi="Times New Roman" w:cs="Times New Roman" w:eastAsia="Times New Roman" w:hint="default"/>
                <w:sz w:val="18"/>
                <w:szCs w:val="18"/>
              </w:rPr>
            </w:pPr>
            <w:r>
              <w:rPr>
                <w:rFonts w:ascii="Times New Roman"/>
                <w:sz w:val="18"/>
              </w:rPr>
              <w:t>76,129,</w:t>
            </w:r>
          </w:p>
          <w:p>
            <w:pPr>
              <w:pStyle w:val="TableParagraph"/>
              <w:spacing w:line="240" w:lineRule="auto" w:before="105"/>
              <w:ind w:left="149" w:right="0"/>
              <w:jc w:val="left"/>
              <w:rPr>
                <w:rFonts w:ascii="Times New Roman" w:hAnsi="Times New Roman" w:cs="Times New Roman" w:eastAsia="Times New Roman" w:hint="default"/>
                <w:sz w:val="18"/>
                <w:szCs w:val="18"/>
              </w:rPr>
            </w:pPr>
            <w:r>
              <w:rPr>
                <w:rFonts w:ascii="Times New Roman"/>
                <w:sz w:val="18"/>
              </w:rPr>
              <w:t>074.61</w:t>
            </w:r>
          </w:p>
        </w:tc>
        <w:tc>
          <w:tcPr>
            <w:tcW w:w="652" w:type="dxa"/>
            <w:vMerge w:val="restart"/>
            <w:tcBorders>
              <w:top w:val="single" w:sz="4" w:space="0" w:color="000000"/>
              <w:left w:val="single" w:sz="4" w:space="0" w:color="000000"/>
              <w:right w:val="single" w:sz="4" w:space="0" w:color="000000"/>
            </w:tcBorders>
          </w:tcPr>
          <w:p>
            <w:pP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92"/>
              <w:ind w:left="85" w:right="0"/>
              <w:jc w:val="left"/>
              <w:rPr>
                <w:rFonts w:ascii="Times New Roman" w:hAnsi="Times New Roman" w:cs="Times New Roman" w:eastAsia="Times New Roman" w:hint="default"/>
                <w:sz w:val="18"/>
                <w:szCs w:val="18"/>
              </w:rPr>
            </w:pPr>
            <w:r>
              <w:rPr>
                <w:rFonts w:ascii="Times New Roman"/>
                <w:sz w:val="18"/>
              </w:rPr>
              <w:t>76,129,</w:t>
            </w:r>
          </w:p>
          <w:p>
            <w:pPr>
              <w:pStyle w:val="TableParagraph"/>
              <w:spacing w:line="240" w:lineRule="auto" w:before="105"/>
              <w:ind w:left="130" w:right="0"/>
              <w:jc w:val="left"/>
              <w:rPr>
                <w:rFonts w:ascii="Times New Roman" w:hAnsi="Times New Roman" w:cs="Times New Roman" w:eastAsia="Times New Roman" w:hint="default"/>
                <w:sz w:val="18"/>
                <w:szCs w:val="18"/>
              </w:rPr>
            </w:pPr>
            <w:r>
              <w:rPr>
                <w:rFonts w:ascii="Times New Roman"/>
                <w:sz w:val="18"/>
              </w:rPr>
              <w:t>074.61</w:t>
            </w:r>
          </w:p>
        </w:tc>
      </w:tr>
      <w:tr>
        <w:trPr>
          <w:trHeight w:val="391" w:hRule="exact"/>
        </w:trPr>
        <w:tc>
          <w:tcPr>
            <w:tcW w:w="142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62"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78" w:type="dxa"/>
            <w:vMerge/>
            <w:tcBorders>
              <w:left w:val="single" w:sz="4" w:space="0" w:color="000000"/>
              <w:right w:val="single" w:sz="4" w:space="0" w:color="000000"/>
            </w:tcBorders>
          </w:tcPr>
          <w:p>
            <w:pPr/>
          </w:p>
        </w:tc>
        <w:tc>
          <w:tcPr>
            <w:tcW w:w="652"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161" w:hRule="exact"/>
        </w:trPr>
        <w:tc>
          <w:tcPr>
            <w:tcW w:w="1427" w:type="dxa"/>
            <w:tcBorders>
              <w:top w:val="nil" w:sz="6" w:space="0" w:color="auto"/>
              <w:left w:val="single" w:sz="4" w:space="0" w:color="000000"/>
              <w:bottom w:val="single" w:sz="4" w:space="0" w:color="000000"/>
              <w:right w:val="single" w:sz="4" w:space="0" w:color="000000"/>
            </w:tcBorders>
            <w:shd w:val="clear" w:color="auto" w:fill="D2D2D2"/>
          </w:tcPr>
          <w:p>
            <w:pPr/>
          </w:p>
        </w:tc>
        <w:tc>
          <w:tcPr>
            <w:tcW w:w="562"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78" w:type="dxa"/>
            <w:vMerge/>
            <w:tcBorders>
              <w:left w:val="single" w:sz="4" w:space="0" w:color="000000"/>
              <w:bottom w:val="single" w:sz="4" w:space="0" w:color="000000"/>
              <w:right w:val="single" w:sz="4" w:space="0" w:color="000000"/>
            </w:tcBorders>
          </w:tcPr>
          <w:p>
            <w:pPr/>
          </w:p>
        </w:tc>
        <w:tc>
          <w:tcPr>
            <w:tcW w:w="652"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318" w:hRule="exact"/>
        </w:trPr>
        <w:tc>
          <w:tcPr>
            <w:tcW w:w="1427" w:type="dxa"/>
            <w:tcBorders>
              <w:top w:val="single" w:sz="4" w:space="0" w:color="000000"/>
              <w:left w:val="single" w:sz="4" w:space="0" w:color="000000"/>
              <w:bottom w:val="nil" w:sz="6" w:space="0" w:color="auto"/>
              <w:right w:val="single" w:sz="4" w:space="0" w:color="000000"/>
            </w:tcBorders>
            <w:shd w:val="clear" w:color="auto" w:fill="D2D2D2"/>
          </w:tcPr>
          <w:p>
            <w:pPr/>
          </w:p>
        </w:tc>
        <w:tc>
          <w:tcPr>
            <w:tcW w:w="562" w:type="dxa"/>
            <w:vMerge w:val="restart"/>
            <w:tcBorders>
              <w:top w:val="single" w:sz="4" w:space="0" w:color="000000"/>
              <w:left w:val="single" w:sz="9" w:space="0" w:color="D2D2D2"/>
              <w:right w:val="single" w:sz="4" w:space="0" w:color="000000"/>
            </w:tcBorders>
          </w:tcPr>
          <w:p>
            <w:pPr>
              <w:pStyle w:val="TableParagraph"/>
              <w:spacing w:line="240" w:lineRule="auto" w:before="92"/>
              <w:ind w:left="50" w:right="0"/>
              <w:jc w:val="center"/>
              <w:rPr>
                <w:rFonts w:ascii="Times New Roman" w:hAnsi="Times New Roman" w:cs="Times New Roman" w:eastAsia="Times New Roman" w:hint="default"/>
                <w:sz w:val="18"/>
                <w:szCs w:val="18"/>
              </w:rPr>
            </w:pPr>
            <w:r>
              <w:rPr>
                <w:rFonts w:ascii="Times New Roman"/>
                <w:sz w:val="18"/>
              </w:rPr>
              <w:t>1,315,</w:t>
            </w:r>
          </w:p>
          <w:p>
            <w:pPr>
              <w:pStyle w:val="TableParagraph"/>
              <w:spacing w:line="240" w:lineRule="auto" w:before="104"/>
              <w:ind w:left="6" w:right="0"/>
              <w:jc w:val="center"/>
              <w:rPr>
                <w:rFonts w:ascii="Times New Roman" w:hAnsi="Times New Roman" w:cs="Times New Roman" w:eastAsia="Times New Roman" w:hint="default"/>
                <w:sz w:val="18"/>
                <w:szCs w:val="18"/>
              </w:rPr>
            </w:pPr>
            <w:r>
              <w:rPr>
                <w:rFonts w:ascii="Times New Roman"/>
                <w:sz w:val="18"/>
              </w:rPr>
              <w:t>496,00</w:t>
            </w:r>
          </w:p>
          <w:p>
            <w:pPr>
              <w:pStyle w:val="TableParagraph"/>
              <w:spacing w:line="240" w:lineRule="auto" w:before="106"/>
              <w:ind w:left="186" w:right="0"/>
              <w:jc w:val="center"/>
              <w:rPr>
                <w:rFonts w:ascii="Times New Roman" w:hAnsi="Times New Roman" w:cs="Times New Roman" w:eastAsia="Times New Roman" w:hint="default"/>
                <w:sz w:val="18"/>
                <w:szCs w:val="18"/>
              </w:rPr>
            </w:pPr>
            <w:r>
              <w:rPr>
                <w:rFonts w:ascii="Times New Roman"/>
                <w:sz w:val="18"/>
              </w:rPr>
              <w:t>0.00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249,699</w:t>
            </w:r>
          </w:p>
          <w:p>
            <w:pPr>
              <w:pStyle w:val="TableParagraph"/>
              <w:spacing w:line="240" w:lineRule="auto" w:before="105"/>
              <w:ind w:left="92" w:right="0"/>
              <w:jc w:val="left"/>
              <w:rPr>
                <w:rFonts w:ascii="Times New Roman" w:hAnsi="Times New Roman" w:cs="Times New Roman" w:eastAsia="Times New Roman" w:hint="default"/>
                <w:sz w:val="18"/>
                <w:szCs w:val="18"/>
              </w:rPr>
            </w:pPr>
            <w:r>
              <w:rPr>
                <w:rFonts w:ascii="Times New Roman"/>
                <w:sz w:val="18"/>
              </w:rPr>
              <w:t>,879.72</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49,530,</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132.00</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-12,378,</w:t>
            </w:r>
          </w:p>
          <w:p>
            <w:pPr>
              <w:pStyle w:val="TableParagraph"/>
              <w:spacing w:line="240" w:lineRule="auto" w:before="105"/>
              <w:ind w:left="113" w:right="0"/>
              <w:jc w:val="center"/>
              <w:rPr>
                <w:rFonts w:ascii="Times New Roman" w:hAnsi="Times New Roman" w:cs="Times New Roman" w:eastAsia="Times New Roman" w:hint="default"/>
                <w:sz w:val="18"/>
                <w:szCs w:val="18"/>
              </w:rPr>
            </w:pPr>
            <w:r>
              <w:rPr>
                <w:rFonts w:ascii="Times New Roman"/>
                <w:sz w:val="18"/>
              </w:rPr>
              <w:t>335.56</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379,339</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,812.76</w:t>
            </w:r>
          </w:p>
        </w:tc>
        <w:tc>
          <w:tcPr>
            <w:tcW w:w="665" w:type="dxa"/>
            <w:vMerge w:val="restart"/>
            <w:tcBorders>
              <w:top w:val="single" w:sz="4" w:space="0" w:color="000000"/>
              <w:left w:val="single" w:sz="4" w:space="0" w:color="000000"/>
              <w:right w:val="single" w:sz="4" w:space="0" w:color="000000"/>
            </w:tcBorders>
          </w:tcPr>
          <w:p>
            <w:pPr/>
          </w:p>
        </w:tc>
        <w:tc>
          <w:tcPr>
            <w:tcW w:w="678" w:type="dxa"/>
            <w:vMerge w:val="restart"/>
            <w:tcBorders>
              <w:top w:val="single" w:sz="4" w:space="0" w:color="000000"/>
              <w:left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2,687,3</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03,491.</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32</w:t>
            </w:r>
          </w:p>
        </w:tc>
        <w:tc>
          <w:tcPr>
            <w:tcW w:w="65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4" w:right="0"/>
              <w:jc w:val="left"/>
              <w:rPr>
                <w:rFonts w:ascii="Times New Roman" w:hAnsi="Times New Roman" w:cs="Times New Roman" w:eastAsia="Times New Roman" w:hint="default"/>
                <w:sz w:val="18"/>
                <w:szCs w:val="18"/>
              </w:rPr>
            </w:pPr>
            <w:r>
              <w:rPr>
                <w:rFonts w:ascii="Times New Roman"/>
                <w:sz w:val="18"/>
              </w:rPr>
              <w:t>317,903</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,336.34</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4,887,8</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34,052.</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58</w:t>
            </w:r>
          </w:p>
        </w:tc>
      </w:tr>
      <w:tr>
        <w:trPr>
          <w:trHeight w:val="391" w:hRule="exact"/>
        </w:trPr>
        <w:tc>
          <w:tcPr>
            <w:tcW w:w="142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22"/>
              <w:jc w:val="righ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62"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78" w:type="dxa"/>
            <w:vMerge/>
            <w:tcBorders>
              <w:left w:val="single" w:sz="4" w:space="0" w:color="000000"/>
              <w:right w:val="single" w:sz="4" w:space="0" w:color="000000"/>
            </w:tcBorders>
          </w:tcPr>
          <w:p>
            <w:pPr/>
          </w:p>
        </w:tc>
        <w:tc>
          <w:tcPr>
            <w:tcW w:w="652"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317" w:hRule="exact"/>
        </w:trPr>
        <w:tc>
          <w:tcPr>
            <w:tcW w:w="1427" w:type="dxa"/>
            <w:tcBorders>
              <w:top w:val="nil" w:sz="6" w:space="0" w:color="auto"/>
              <w:left w:val="single" w:sz="4" w:space="0" w:color="000000"/>
              <w:bottom w:val="single" w:sz="4" w:space="0" w:color="000000"/>
              <w:right w:val="single" w:sz="4" w:space="0" w:color="000000"/>
            </w:tcBorders>
            <w:shd w:val="clear" w:color="auto" w:fill="D2D2D2"/>
          </w:tcPr>
          <w:p>
            <w:pPr/>
          </w:p>
        </w:tc>
        <w:tc>
          <w:tcPr>
            <w:tcW w:w="562"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78" w:type="dxa"/>
            <w:vMerge/>
            <w:tcBorders>
              <w:left w:val="single" w:sz="4" w:space="0" w:color="000000"/>
              <w:bottom w:val="single" w:sz="4" w:space="0" w:color="000000"/>
              <w:right w:val="single" w:sz="4" w:space="0" w:color="000000"/>
            </w:tcBorders>
          </w:tcPr>
          <w:p>
            <w:pPr/>
          </w:p>
        </w:tc>
        <w:tc>
          <w:tcPr>
            <w:tcW w:w="652"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1026"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2"/>
              <w:ind w:left="11" w:right="22"/>
              <w:jc w:val="both"/>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5"/>
                <w:sz w:val="18"/>
                <w:szCs w:val="18"/>
              </w:rPr>
              <w:t>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40"/>
                <w:sz w:val="18"/>
                <w:szCs w:val="18"/>
              </w:rPr>
              <w:t> </w:t>
            </w:r>
            <w:r>
              <w:rPr>
                <w:rFonts w:ascii="宋体" w:hAnsi="宋体" w:cs="宋体" w:eastAsia="宋体" w:hint="default"/>
                <w:sz w:val="18"/>
                <w:szCs w:val="18"/>
              </w:rPr>
              <w:t>号填列）</w:t>
            </w:r>
          </w:p>
        </w:tc>
        <w:tc>
          <w:tcPr>
            <w:tcW w:w="56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179,33</w:t>
            </w:r>
          </w:p>
          <w:p>
            <w:pPr>
              <w:pStyle w:val="TableParagraph"/>
              <w:spacing w:line="240" w:lineRule="auto" w:before="104"/>
              <w:ind w:left="67" w:right="0"/>
              <w:jc w:val="left"/>
              <w:rPr>
                <w:rFonts w:ascii="Times New Roman" w:hAnsi="Times New Roman" w:cs="Times New Roman" w:eastAsia="Times New Roman" w:hint="default"/>
                <w:sz w:val="18"/>
                <w:szCs w:val="18"/>
              </w:rPr>
            </w:pPr>
            <w:r>
              <w:rPr>
                <w:rFonts w:ascii="Times New Roman"/>
                <w:sz w:val="18"/>
              </w:rPr>
              <w:t>8,382.</w:t>
            </w:r>
          </w:p>
          <w:p>
            <w:pPr>
              <w:pStyle w:val="TableParagraph"/>
              <w:spacing w:line="240" w:lineRule="auto" w:before="106"/>
              <w:ind w:left="337"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1,402,1</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03,441.</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14</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-49,530,</w:t>
            </w:r>
          </w:p>
          <w:p>
            <w:pPr>
              <w:pStyle w:val="TableParagraph"/>
              <w:spacing w:line="240" w:lineRule="auto" w:before="105"/>
              <w:ind w:left="113" w:right="0"/>
              <w:jc w:val="center"/>
              <w:rPr>
                <w:rFonts w:ascii="Times New Roman" w:hAnsi="Times New Roman" w:cs="Times New Roman" w:eastAsia="Times New Roman" w:hint="default"/>
                <w:sz w:val="18"/>
                <w:szCs w:val="18"/>
              </w:rPr>
            </w:pPr>
            <w:r>
              <w:rPr>
                <w:rFonts w:ascii="Times New Roman"/>
                <w:sz w:val="18"/>
              </w:rPr>
              <w:t>132.00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90,962.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43</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56,436,</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634.24</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191,462</w:t>
            </w:r>
          </w:p>
          <w:p>
            <w:pPr>
              <w:pStyle w:val="TableParagraph"/>
              <w:spacing w:line="240" w:lineRule="auto" w:before="105"/>
              <w:ind w:left="104" w:right="0"/>
              <w:jc w:val="left"/>
              <w:rPr>
                <w:rFonts w:ascii="Times New Roman" w:hAnsi="Times New Roman" w:cs="Times New Roman" w:eastAsia="Times New Roman" w:hint="default"/>
                <w:sz w:val="18"/>
                <w:szCs w:val="18"/>
              </w:rPr>
            </w:pPr>
            <w:r>
              <w:rPr>
                <w:rFonts w:ascii="Times New Roman"/>
                <w:sz w:val="18"/>
              </w:rPr>
              <w:t>,798.81</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64" w:right="0"/>
              <w:jc w:val="left"/>
              <w:rPr>
                <w:rFonts w:ascii="Times New Roman" w:hAnsi="Times New Roman" w:cs="Times New Roman" w:eastAsia="Times New Roman" w:hint="default"/>
                <w:sz w:val="18"/>
                <w:szCs w:val="18"/>
              </w:rPr>
            </w:pPr>
            <w:r>
              <w:rPr>
                <w:rFonts w:ascii="Times New Roman"/>
                <w:sz w:val="18"/>
              </w:rPr>
              <w:t>-76,090</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,394.18</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1,802,8</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71,956.</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44</w:t>
            </w: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22"/>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额</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90,962.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43</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65" w:right="0"/>
              <w:jc w:val="left"/>
              <w:rPr>
                <w:rFonts w:ascii="Times New Roman" w:hAnsi="Times New Roman" w:cs="Times New Roman" w:eastAsia="Times New Roman" w:hint="default"/>
                <w:sz w:val="18"/>
                <w:szCs w:val="18"/>
              </w:rPr>
            </w:pPr>
            <w:r>
              <w:rPr>
                <w:rFonts w:ascii="Times New Roman"/>
                <w:sz w:val="18"/>
              </w:rPr>
              <w:t>574,411</w:t>
            </w:r>
          </w:p>
          <w:p>
            <w:pPr>
              <w:pStyle w:val="TableParagraph"/>
              <w:spacing w:line="240" w:lineRule="auto" w:before="105"/>
              <w:ind w:left="104" w:right="0"/>
              <w:jc w:val="left"/>
              <w:rPr>
                <w:rFonts w:ascii="Times New Roman" w:hAnsi="Times New Roman" w:cs="Times New Roman" w:eastAsia="Times New Roman" w:hint="default"/>
                <w:sz w:val="18"/>
                <w:szCs w:val="18"/>
              </w:rPr>
            </w:pPr>
            <w:r>
              <w:rPr>
                <w:rFonts w:ascii="Times New Roman"/>
                <w:sz w:val="18"/>
              </w:rPr>
              <w:t>,233.05</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9" w:right="0"/>
              <w:jc w:val="left"/>
              <w:rPr>
                <w:rFonts w:ascii="Times New Roman" w:hAnsi="Times New Roman" w:cs="Times New Roman" w:eastAsia="Times New Roman" w:hint="default"/>
                <w:sz w:val="18"/>
                <w:szCs w:val="18"/>
              </w:rPr>
            </w:pPr>
            <w:r>
              <w:rPr>
                <w:rFonts w:ascii="Times New Roman"/>
                <w:sz w:val="18"/>
              </w:rPr>
              <w:t>98,236,</w:t>
            </w:r>
          </w:p>
          <w:p>
            <w:pPr>
              <w:pStyle w:val="TableParagraph"/>
              <w:spacing w:line="240" w:lineRule="auto" w:before="105"/>
              <w:ind w:left="124" w:right="0"/>
              <w:jc w:val="left"/>
              <w:rPr>
                <w:rFonts w:ascii="Times New Roman" w:hAnsi="Times New Roman" w:cs="Times New Roman" w:eastAsia="Times New Roman" w:hint="default"/>
                <w:sz w:val="18"/>
                <w:szCs w:val="18"/>
              </w:rPr>
            </w:pPr>
            <w:r>
              <w:rPr>
                <w:rFonts w:ascii="Times New Roman"/>
                <w:sz w:val="18"/>
              </w:rPr>
              <w:t>173.32</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0" w:right="0"/>
              <w:jc w:val="left"/>
              <w:rPr>
                <w:rFonts w:ascii="Times New Roman" w:hAnsi="Times New Roman" w:cs="Times New Roman" w:eastAsia="Times New Roman" w:hint="default"/>
                <w:sz w:val="18"/>
                <w:szCs w:val="18"/>
              </w:rPr>
            </w:pPr>
            <w:r>
              <w:rPr>
                <w:rFonts w:ascii="Times New Roman"/>
                <w:sz w:val="18"/>
              </w:rPr>
              <w:t>672,738</w:t>
            </w:r>
          </w:p>
          <w:p>
            <w:pPr>
              <w:pStyle w:val="TableParagraph"/>
              <w:spacing w:line="240" w:lineRule="auto" w:before="105"/>
              <w:ind w:left="85" w:right="0"/>
              <w:jc w:val="left"/>
              <w:rPr>
                <w:rFonts w:ascii="Times New Roman" w:hAnsi="Times New Roman" w:cs="Times New Roman" w:eastAsia="Times New Roman" w:hint="default"/>
                <w:sz w:val="18"/>
                <w:szCs w:val="18"/>
              </w:rPr>
            </w:pPr>
            <w:r>
              <w:rPr>
                <w:rFonts w:ascii="Times New Roman"/>
                <w:sz w:val="18"/>
              </w:rPr>
              <w:t>,368.80</w:t>
            </w:r>
          </w:p>
        </w:tc>
      </w:tr>
      <w:tr>
        <w:trPr>
          <w:trHeight w:val="162" w:hRule="exact"/>
        </w:trPr>
        <w:tc>
          <w:tcPr>
            <w:tcW w:w="1427" w:type="dxa"/>
            <w:tcBorders>
              <w:top w:val="single" w:sz="4" w:space="0" w:color="000000"/>
              <w:left w:val="single" w:sz="4" w:space="0" w:color="000000"/>
              <w:bottom w:val="nil" w:sz="6" w:space="0" w:color="auto"/>
              <w:right w:val="single" w:sz="4" w:space="0" w:color="000000"/>
            </w:tcBorders>
            <w:shd w:val="clear" w:color="auto" w:fill="D2D2D2"/>
          </w:tcPr>
          <w:p>
            <w:pPr/>
          </w:p>
        </w:tc>
        <w:tc>
          <w:tcPr>
            <w:tcW w:w="562" w:type="dxa"/>
            <w:vMerge w:val="restart"/>
            <w:tcBorders>
              <w:top w:val="single" w:sz="4" w:space="0" w:color="000000"/>
              <w:left w:val="single" w:sz="9" w:space="0" w:color="D2D2D2"/>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sz w:val="18"/>
              </w:rPr>
              <w:t>179,33</w:t>
            </w:r>
          </w:p>
          <w:p>
            <w:pPr>
              <w:pStyle w:val="TableParagraph"/>
              <w:spacing w:line="240" w:lineRule="auto" w:before="104"/>
              <w:ind w:left="72" w:right="0"/>
              <w:jc w:val="left"/>
              <w:rPr>
                <w:rFonts w:ascii="Times New Roman" w:hAnsi="Times New Roman" w:cs="Times New Roman" w:eastAsia="Times New Roman" w:hint="default"/>
                <w:sz w:val="18"/>
                <w:szCs w:val="18"/>
              </w:rPr>
            </w:pPr>
            <w:r>
              <w:rPr>
                <w:rFonts w:ascii="Times New Roman"/>
                <w:sz w:val="18"/>
              </w:rPr>
              <w:t>8,382.</w:t>
            </w:r>
          </w:p>
          <w:p>
            <w:pPr>
              <w:pStyle w:val="TableParagraph"/>
              <w:spacing w:line="240" w:lineRule="auto" w:before="106"/>
              <w:ind w:left="342" w:right="0"/>
              <w:jc w:val="left"/>
              <w:rPr>
                <w:rFonts w:ascii="Times New Roman" w:hAnsi="Times New Roman" w:cs="Times New Roman" w:eastAsia="Times New Roman" w:hint="default"/>
                <w:sz w:val="18"/>
                <w:szCs w:val="18"/>
              </w:rPr>
            </w:pPr>
            <w:r>
              <w:rPr>
                <w:rFonts w:ascii="Times New Roman"/>
                <w:sz w:val="18"/>
              </w:rPr>
              <w:t>00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1,402,1</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98,436.</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17</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78" w:type="dxa"/>
            <w:vMerge w:val="restart"/>
            <w:tcBorders>
              <w:top w:val="single" w:sz="4" w:space="0" w:color="000000"/>
              <w:left w:val="single" w:sz="4" w:space="0" w:color="000000"/>
              <w:right w:val="single" w:sz="4" w:space="0" w:color="000000"/>
            </w:tcBorders>
          </w:tcPr>
          <w:p>
            <w:pPr/>
          </w:p>
        </w:tc>
        <w:tc>
          <w:tcPr>
            <w:tcW w:w="65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17,154,</w:t>
            </w:r>
          </w:p>
          <w:p>
            <w:pPr>
              <w:pStyle w:val="TableParagraph"/>
              <w:spacing w:line="240" w:lineRule="auto" w:before="105"/>
              <w:ind w:left="124" w:right="0"/>
              <w:jc w:val="left"/>
              <w:rPr>
                <w:rFonts w:ascii="Times New Roman" w:hAnsi="Times New Roman" w:cs="Times New Roman" w:eastAsia="Times New Roman" w:hint="default"/>
                <w:sz w:val="18"/>
                <w:szCs w:val="18"/>
              </w:rPr>
            </w:pPr>
            <w:r>
              <w:rPr>
                <w:rFonts w:ascii="Times New Roman"/>
                <w:sz w:val="18"/>
              </w:rPr>
              <w:t>995.03</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1,598,6</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91,813.</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20</w:t>
            </w:r>
          </w:p>
        </w:tc>
      </w:tr>
      <w:tr>
        <w:trPr>
          <w:trHeight w:val="703" w:hRule="exact"/>
        </w:trPr>
        <w:tc>
          <w:tcPr>
            <w:tcW w:w="142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51"/>
              <w:ind w:left="11" w:right="22"/>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和减少资本</w:t>
            </w:r>
          </w:p>
        </w:tc>
        <w:tc>
          <w:tcPr>
            <w:tcW w:w="562"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78" w:type="dxa"/>
            <w:vMerge/>
            <w:tcBorders>
              <w:left w:val="single" w:sz="4" w:space="0" w:color="000000"/>
              <w:right w:val="single" w:sz="4" w:space="0" w:color="000000"/>
            </w:tcBorders>
          </w:tcPr>
          <w:p>
            <w:pPr/>
          </w:p>
        </w:tc>
        <w:tc>
          <w:tcPr>
            <w:tcW w:w="652"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162" w:hRule="exact"/>
        </w:trPr>
        <w:tc>
          <w:tcPr>
            <w:tcW w:w="1427" w:type="dxa"/>
            <w:tcBorders>
              <w:top w:val="nil" w:sz="6" w:space="0" w:color="auto"/>
              <w:left w:val="single" w:sz="4" w:space="0" w:color="000000"/>
              <w:bottom w:val="single" w:sz="4" w:space="0" w:color="000000"/>
              <w:right w:val="single" w:sz="4" w:space="0" w:color="000000"/>
            </w:tcBorders>
            <w:shd w:val="clear" w:color="auto" w:fill="D2D2D2"/>
          </w:tcPr>
          <w:p>
            <w:pPr/>
          </w:p>
        </w:tc>
        <w:tc>
          <w:tcPr>
            <w:tcW w:w="562"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78" w:type="dxa"/>
            <w:vMerge/>
            <w:tcBorders>
              <w:left w:val="single" w:sz="4" w:space="0" w:color="000000"/>
              <w:bottom w:val="single" w:sz="4" w:space="0" w:color="000000"/>
              <w:right w:val="single" w:sz="4" w:space="0" w:color="000000"/>
            </w:tcBorders>
          </w:tcPr>
          <w:p>
            <w:pPr/>
          </w:p>
        </w:tc>
        <w:tc>
          <w:tcPr>
            <w:tcW w:w="652"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7"/>
        <w:gridCol w:w="562"/>
        <w:gridCol w:w="530"/>
        <w:gridCol w:w="532"/>
        <w:gridCol w:w="530"/>
        <w:gridCol w:w="665"/>
        <w:gridCol w:w="665"/>
        <w:gridCol w:w="665"/>
        <w:gridCol w:w="665"/>
        <w:gridCol w:w="665"/>
        <w:gridCol w:w="665"/>
        <w:gridCol w:w="678"/>
        <w:gridCol w:w="652"/>
        <w:gridCol w:w="659"/>
      </w:tblGrid>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02" w:lineRule="auto"/>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．所有者投入的 普通股</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188,78</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7,182.</w:t>
            </w:r>
          </w:p>
          <w:p>
            <w:pPr>
              <w:pStyle w:val="TableParagraph"/>
              <w:spacing w:line="240" w:lineRule="auto" w:before="106"/>
              <w:ind w:left="349"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1,437,2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67,628.</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39</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17,154,</w:t>
            </w:r>
          </w:p>
          <w:p>
            <w:pPr>
              <w:pStyle w:val="TableParagraph"/>
              <w:spacing w:line="240" w:lineRule="auto" w:before="106"/>
              <w:ind w:left="124" w:right="0"/>
              <w:jc w:val="left"/>
              <w:rPr>
                <w:rFonts w:ascii="Times New Roman" w:hAnsi="Times New Roman" w:cs="Times New Roman" w:eastAsia="Times New Roman" w:hint="default"/>
                <w:sz w:val="18"/>
                <w:szCs w:val="18"/>
              </w:rPr>
            </w:pPr>
            <w:r>
              <w:rPr>
                <w:rFonts w:ascii="Times New Roman"/>
                <w:sz w:val="18"/>
              </w:rPr>
              <w:t>995.03</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1,643,2</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09,805.</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42</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683,823</w:t>
            </w:r>
          </w:p>
          <w:p>
            <w:pPr>
              <w:pStyle w:val="TableParagraph"/>
              <w:spacing w:line="240" w:lineRule="auto" w:before="106"/>
              <w:ind w:left="408" w:right="0"/>
              <w:jc w:val="left"/>
              <w:rPr>
                <w:rFonts w:ascii="Times New Roman" w:hAnsi="Times New Roman" w:cs="Times New Roman" w:eastAsia="Times New Roman" w:hint="default"/>
                <w:sz w:val="18"/>
                <w:szCs w:val="18"/>
              </w:rPr>
            </w:pPr>
            <w:r>
              <w:rPr>
                <w:rFonts w:ascii="Times New Roman"/>
                <w:sz w:val="18"/>
              </w:rPr>
              <w:t>.78</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683,823</w:t>
            </w:r>
          </w:p>
          <w:p>
            <w:pPr>
              <w:pStyle w:val="TableParagraph"/>
              <w:spacing w:line="240" w:lineRule="auto" w:before="106"/>
              <w:ind w:left="400" w:right="0"/>
              <w:jc w:val="left"/>
              <w:rPr>
                <w:rFonts w:ascii="Times New Roman" w:hAnsi="Times New Roman" w:cs="Times New Roman" w:eastAsia="Times New Roman" w:hint="default"/>
                <w:sz w:val="18"/>
                <w:szCs w:val="18"/>
              </w:rPr>
            </w:pPr>
            <w:r>
              <w:rPr>
                <w:rFonts w:ascii="Times New Roman"/>
                <w:sz w:val="18"/>
              </w:rPr>
              <w:t>.78</w:t>
            </w: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-9,448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 w:right="0"/>
              <w:jc w:val="center"/>
              <w:rPr>
                <w:rFonts w:ascii="Times New Roman" w:hAnsi="Times New Roman" w:cs="Times New Roman" w:eastAsia="Times New Roman" w:hint="default"/>
                <w:sz w:val="18"/>
                <w:szCs w:val="18"/>
              </w:rPr>
            </w:pPr>
            <w:r>
              <w:rPr>
                <w:rFonts w:ascii="Times New Roman"/>
                <w:sz w:val="18"/>
              </w:rPr>
              <w:t>-35,753,</w:t>
            </w:r>
          </w:p>
          <w:p>
            <w:pPr>
              <w:pStyle w:val="TableParagraph"/>
              <w:spacing w:line="240" w:lineRule="auto" w:before="106"/>
              <w:ind w:left="115" w:right="0"/>
              <w:jc w:val="center"/>
              <w:rPr>
                <w:rFonts w:ascii="Times New Roman" w:hAnsi="Times New Roman" w:cs="Times New Roman" w:eastAsia="Times New Roman" w:hint="default"/>
                <w:sz w:val="18"/>
                <w:szCs w:val="18"/>
              </w:rPr>
            </w:pPr>
            <w:r>
              <w:rPr>
                <w:rFonts w:ascii="Times New Roman"/>
                <w:sz w:val="18"/>
              </w:rPr>
              <w:t>016.00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-45,201,</w:t>
            </w:r>
          </w:p>
          <w:p>
            <w:pPr>
              <w:pStyle w:val="TableParagraph"/>
              <w:spacing w:line="240" w:lineRule="auto" w:before="106"/>
              <w:ind w:left="107" w:right="0"/>
              <w:jc w:val="center"/>
              <w:rPr>
                <w:rFonts w:ascii="Times New Roman" w:hAnsi="Times New Roman" w:cs="Times New Roman" w:eastAsia="Times New Roman" w:hint="default"/>
                <w:sz w:val="18"/>
                <w:szCs w:val="18"/>
              </w:rPr>
            </w:pPr>
            <w:r>
              <w:rPr>
                <w:rFonts w:ascii="Times New Roman"/>
                <w:sz w:val="18"/>
              </w:rPr>
              <w:t>816.00</w:t>
            </w: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56,436,</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634.24</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-382,94</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8,434.2</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4</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-115,67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3,013.7</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6</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-442,18</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4,813.7</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6</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56,436,</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634.24</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-56,436,</w:t>
            </w:r>
          </w:p>
          <w:p>
            <w:pPr>
              <w:pStyle w:val="TableParagraph"/>
              <w:spacing w:line="240" w:lineRule="auto" w:before="106"/>
              <w:ind w:left="126" w:right="0"/>
              <w:jc w:val="center"/>
              <w:rPr>
                <w:rFonts w:ascii="Times New Roman" w:hAnsi="Times New Roman" w:cs="Times New Roman" w:eastAsia="Times New Roman" w:hint="default"/>
                <w:sz w:val="18"/>
                <w:szCs w:val="18"/>
              </w:rPr>
            </w:pPr>
            <w:r>
              <w:rPr>
                <w:rFonts w:ascii="Times New Roman"/>
                <w:sz w:val="18"/>
              </w:rPr>
              <w:t>634.24</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02" w:lineRule="auto"/>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-326,51</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1,800.0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-115,67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3,013.7</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6</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-442,18</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4,813.7</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6</w:t>
            </w: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内部结转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．设定受益计划 变动额结转留存 收益</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-94,995.</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03</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-49,530,</w:t>
            </w:r>
          </w:p>
          <w:p>
            <w:pPr>
              <w:pStyle w:val="TableParagraph"/>
              <w:spacing w:line="240" w:lineRule="auto" w:before="106"/>
              <w:ind w:left="113" w:right="0"/>
              <w:jc w:val="center"/>
              <w:rPr>
                <w:rFonts w:ascii="Times New Roman" w:hAnsi="Times New Roman" w:cs="Times New Roman" w:eastAsia="Times New Roman" w:hint="default"/>
                <w:sz w:val="18"/>
                <w:szCs w:val="18"/>
              </w:rPr>
            </w:pPr>
            <w:r>
              <w:rPr>
                <w:rFonts w:ascii="Times New Roman"/>
                <w:sz w:val="18"/>
              </w:rPr>
              <w:t>132.00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4" w:right="0"/>
              <w:jc w:val="left"/>
              <w:rPr>
                <w:rFonts w:ascii="Times New Roman" w:hAnsi="Times New Roman" w:cs="Times New Roman" w:eastAsia="Times New Roman" w:hint="default"/>
                <w:sz w:val="18"/>
                <w:szCs w:val="18"/>
              </w:rPr>
            </w:pPr>
            <w:r>
              <w:rPr>
                <w:rFonts w:ascii="Times New Roman"/>
                <w:sz w:val="18"/>
              </w:rPr>
              <w:t>-75,808</w:t>
            </w:r>
          </w:p>
          <w:p>
            <w:pPr>
              <w:pStyle w:val="TableParagraph"/>
              <w:spacing w:line="240" w:lineRule="auto" w:before="106"/>
              <w:ind w:left="79" w:right="0"/>
              <w:jc w:val="left"/>
              <w:rPr>
                <w:rFonts w:ascii="Times New Roman" w:hAnsi="Times New Roman" w:cs="Times New Roman" w:eastAsia="Times New Roman" w:hint="default"/>
                <w:sz w:val="18"/>
                <w:szCs w:val="18"/>
              </w:rPr>
            </w:pPr>
            <w:r>
              <w:rPr>
                <w:rFonts w:ascii="Times New Roman"/>
                <w:sz w:val="18"/>
              </w:rPr>
              <w:t>,548.77</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-26,373,</w:t>
            </w:r>
          </w:p>
          <w:p>
            <w:pPr>
              <w:pStyle w:val="TableParagraph"/>
              <w:spacing w:line="240" w:lineRule="auto" w:before="106"/>
              <w:ind w:left="112" w:right="0"/>
              <w:jc w:val="center"/>
              <w:rPr>
                <w:rFonts w:ascii="Times New Roman" w:hAnsi="Times New Roman" w:cs="Times New Roman" w:eastAsia="Times New Roman" w:hint="default"/>
                <w:sz w:val="18"/>
                <w:szCs w:val="18"/>
              </w:rPr>
            </w:pPr>
            <w:r>
              <w:rPr>
                <w:rFonts w:ascii="Times New Roman"/>
                <w:sz w:val="18"/>
              </w:rPr>
              <w:t>411.80</w:t>
            </w:r>
          </w:p>
        </w:tc>
      </w:tr>
    </w:tbl>
    <w:p>
      <w:pPr>
        <w:spacing w:after="0" w:line="240" w:lineRule="auto"/>
        <w:jc w:val="center"/>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7"/>
        <w:gridCol w:w="562"/>
        <w:gridCol w:w="530"/>
        <w:gridCol w:w="532"/>
        <w:gridCol w:w="530"/>
        <w:gridCol w:w="665"/>
        <w:gridCol w:w="665"/>
        <w:gridCol w:w="665"/>
        <w:gridCol w:w="665"/>
        <w:gridCol w:w="665"/>
        <w:gridCol w:w="665"/>
        <w:gridCol w:w="678"/>
        <w:gridCol w:w="652"/>
        <w:gridCol w:w="659"/>
      </w:tblGrid>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center"/>
              <w:rPr>
                <w:rFonts w:ascii="Times New Roman" w:hAnsi="Times New Roman" w:cs="Times New Roman" w:eastAsia="Times New Roman" w:hint="default"/>
                <w:sz w:val="18"/>
                <w:szCs w:val="18"/>
              </w:rPr>
            </w:pPr>
            <w:r>
              <w:rPr>
                <w:rFonts w:ascii="Times New Roman"/>
                <w:sz w:val="18"/>
              </w:rPr>
              <w:t>1,494,</w:t>
            </w:r>
          </w:p>
          <w:p>
            <w:pPr>
              <w:pStyle w:val="TableParagraph"/>
              <w:spacing w:line="240" w:lineRule="auto" w:before="105"/>
              <w:ind w:left="13" w:right="0"/>
              <w:jc w:val="center"/>
              <w:rPr>
                <w:rFonts w:ascii="Times New Roman" w:hAnsi="Times New Roman" w:cs="Times New Roman" w:eastAsia="Times New Roman" w:hint="default"/>
                <w:sz w:val="18"/>
                <w:szCs w:val="18"/>
              </w:rPr>
            </w:pPr>
            <w:r>
              <w:rPr>
                <w:rFonts w:ascii="Times New Roman"/>
                <w:sz w:val="18"/>
              </w:rPr>
              <w:t>834,38</w:t>
            </w:r>
          </w:p>
          <w:p>
            <w:pPr>
              <w:pStyle w:val="TableParagraph"/>
              <w:spacing w:line="240" w:lineRule="auto" w:before="106"/>
              <w:ind w:left="193" w:right="0"/>
              <w:jc w:val="center"/>
              <w:rPr>
                <w:rFonts w:ascii="Times New Roman" w:hAnsi="Times New Roman" w:cs="Times New Roman" w:eastAsia="Times New Roman" w:hint="default"/>
                <w:sz w:val="18"/>
                <w:szCs w:val="18"/>
              </w:rPr>
            </w:pPr>
            <w:r>
              <w:rPr>
                <w:rFonts w:ascii="Times New Roman"/>
                <w:sz w:val="18"/>
              </w:rPr>
              <w:t>2.00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1,651,8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03,320.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86</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-12,287,</w:t>
            </w:r>
          </w:p>
          <w:p>
            <w:pPr>
              <w:pStyle w:val="TableParagraph"/>
              <w:spacing w:line="240" w:lineRule="auto" w:before="106"/>
              <w:ind w:left="113" w:right="0"/>
              <w:jc w:val="center"/>
              <w:rPr>
                <w:rFonts w:ascii="Times New Roman" w:hAnsi="Times New Roman" w:cs="Times New Roman" w:eastAsia="Times New Roman" w:hint="default"/>
                <w:sz w:val="18"/>
                <w:szCs w:val="18"/>
              </w:rPr>
            </w:pPr>
            <w:r>
              <w:rPr>
                <w:rFonts w:ascii="Times New Roman"/>
                <w:sz w:val="18"/>
              </w:rPr>
              <w:t>373.13</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435,776</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,447.00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2,878,7</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66,290.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13</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4" w:right="0"/>
              <w:jc w:val="left"/>
              <w:rPr>
                <w:rFonts w:ascii="Times New Roman" w:hAnsi="Times New Roman" w:cs="Times New Roman" w:eastAsia="Times New Roman" w:hint="default"/>
                <w:sz w:val="18"/>
                <w:szCs w:val="18"/>
              </w:rPr>
            </w:pPr>
            <w:r>
              <w:rPr>
                <w:rFonts w:ascii="Times New Roman"/>
                <w:sz w:val="18"/>
              </w:rPr>
              <w:t>241,812</w:t>
            </w:r>
          </w:p>
          <w:p>
            <w:pPr>
              <w:pStyle w:val="TableParagraph"/>
              <w:spacing w:line="240" w:lineRule="auto" w:before="106"/>
              <w:ind w:left="79" w:right="0"/>
              <w:jc w:val="left"/>
              <w:rPr>
                <w:rFonts w:ascii="Times New Roman" w:hAnsi="Times New Roman" w:cs="Times New Roman" w:eastAsia="Times New Roman" w:hint="default"/>
                <w:sz w:val="18"/>
                <w:szCs w:val="18"/>
              </w:rPr>
            </w:pPr>
            <w:r>
              <w:rPr>
                <w:rFonts w:ascii="Times New Roman"/>
                <w:sz w:val="18"/>
              </w:rPr>
              <w:t>,942.16</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6,690,7</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06,009.</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02</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5"/>
        <w:ind w:right="0"/>
        <w:jc w:val="left"/>
        <w:rPr>
          <w:b w:val="0"/>
          <w:bCs w:val="0"/>
        </w:rPr>
      </w:pPr>
      <w:bookmarkStart w:name="8、母公司所有者权益变动表" w:id="164"/>
      <w:bookmarkEnd w:id="164"/>
      <w:r>
        <w:rPr>
          <w:b w:val="0"/>
          <w:bCs w:val="0"/>
        </w:rPr>
      </w:r>
      <w:r>
        <w:rPr>
          <w:rFonts w:ascii="Times New Roman" w:hAnsi="Times New Roman" w:cs="Times New Roman" w:eastAsia="Times New Roman" w:hint="default"/>
        </w:rPr>
        <w:t>8</w:t>
      </w:r>
      <w:r>
        <w:rPr/>
        <w:t>、母公司所有者权益变动表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t>本期金额</w:t>
      </w:r>
    </w:p>
    <w:p>
      <w:pPr>
        <w:pStyle w:val="BodyText"/>
        <w:spacing w:line="240" w:lineRule="auto" w:before="117"/>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397" w:hRule="exact"/>
        </w:trPr>
        <w:tc>
          <w:tcPr>
            <w:tcW w:w="144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1"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211" w:hRule="exact"/>
        </w:trPr>
        <w:tc>
          <w:tcPr>
            <w:tcW w:w="144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691" w:type="dxa"/>
            <w:tcBorders>
              <w:top w:val="single" w:sz="4" w:space="0" w:color="000000"/>
              <w:left w:val="single" w:sz="4" w:space="0" w:color="000000"/>
              <w:bottom w:val="nil" w:sz="6" w:space="0" w:color="auto"/>
              <w:right w:val="single" w:sz="4" w:space="0" w:color="000000"/>
            </w:tcBorders>
            <w:shd w:val="clear" w:color="auto" w:fill="D2D2D2"/>
          </w:tcPr>
          <w:p>
            <w:pPr/>
          </w:p>
        </w:tc>
        <w:tc>
          <w:tcPr>
            <w:tcW w:w="1995"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45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304" w:right="31" w:hanging="270"/>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214" w:right="31"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98"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67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152" w:right="61"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115" w:right="24"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91" w:hRule="exact"/>
        </w:trPr>
        <w:tc>
          <w:tcPr>
            <w:tcW w:w="1442" w:type="dxa"/>
            <w:vMerge/>
            <w:tcBorders>
              <w:left w:val="single" w:sz="4" w:space="0" w:color="000000"/>
              <w:bottom w:val="nil" w:sz="6" w:space="0" w:color="auto"/>
              <w:right w:val="single" w:sz="4" w:space="0" w:color="000000"/>
            </w:tcBorders>
            <w:shd w:val="clear" w:color="auto" w:fill="D2D2D2"/>
          </w:tcPr>
          <w:p>
            <w:pPr/>
          </w:p>
        </w:tc>
        <w:tc>
          <w:tcPr>
            <w:tcW w:w="69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59"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5" w:type="dxa"/>
            <w:gridSpan w:val="3"/>
            <w:vMerge/>
            <w:tcBorders>
              <w:left w:val="single" w:sz="4" w:space="0" w:color="000000"/>
              <w:bottom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202" w:hRule="exact"/>
        </w:trPr>
        <w:tc>
          <w:tcPr>
            <w:tcW w:w="1442" w:type="dxa"/>
            <w:vMerge w:val="restart"/>
            <w:tcBorders>
              <w:top w:val="nil" w:sz="6" w:space="0" w:color="auto"/>
              <w:left w:val="single" w:sz="4" w:space="0" w:color="000000"/>
              <w:right w:val="single" w:sz="4" w:space="0" w:color="000000"/>
            </w:tcBorders>
            <w:shd w:val="clear" w:color="auto" w:fill="D2D2D2"/>
          </w:tcPr>
          <w:p>
            <w:pPr/>
          </w:p>
        </w:tc>
        <w:tc>
          <w:tcPr>
            <w:tcW w:w="691"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6"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6"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4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nil" w:sz="6" w:space="0" w:color="auto"/>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205" w:hRule="exact"/>
        </w:trPr>
        <w:tc>
          <w:tcPr>
            <w:tcW w:w="1442" w:type="dxa"/>
            <w:vMerge/>
            <w:tcBorders>
              <w:left w:val="single" w:sz="4" w:space="0" w:color="000000"/>
              <w:bottom w:val="single" w:sz="4" w:space="0" w:color="000000"/>
              <w:right w:val="single" w:sz="4" w:space="0" w:color="000000"/>
            </w:tcBorders>
            <w:shd w:val="clear" w:color="auto" w:fill="D2D2D2"/>
          </w:tcPr>
          <w:p>
            <w:pPr/>
          </w:p>
        </w:tc>
        <w:tc>
          <w:tcPr>
            <w:tcW w:w="691"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676" w:type="dxa"/>
            <w:vMerge/>
            <w:tcBorders>
              <w:left w:val="single" w:sz="4" w:space="0" w:color="000000"/>
              <w:bottom w:val="single" w:sz="4" w:space="0" w:color="000000"/>
              <w:right w:val="single" w:sz="4" w:space="0" w:color="000000"/>
            </w:tcBorders>
            <w:shd w:val="clear" w:color="auto" w:fill="D2D2D2"/>
          </w:tcPr>
          <w:p>
            <w:pPr/>
          </w:p>
        </w:tc>
        <w:tc>
          <w:tcPr>
            <w:tcW w:w="781" w:type="dxa"/>
            <w:vMerge/>
            <w:tcBorders>
              <w:left w:val="single" w:sz="4" w:space="0" w:color="000000"/>
              <w:bottom w:val="single" w:sz="4" w:space="0" w:color="000000"/>
              <w:right w:val="single" w:sz="4" w:space="0" w:color="000000"/>
            </w:tcBorders>
            <w:shd w:val="clear" w:color="auto" w:fill="D2D2D2"/>
          </w:tcPr>
          <w:p>
            <w:pPr/>
          </w:p>
        </w:tc>
      </w:tr>
      <w:tr>
        <w:trPr>
          <w:trHeight w:val="317" w:hRule="exact"/>
        </w:trPr>
        <w:tc>
          <w:tcPr>
            <w:tcW w:w="1442" w:type="dxa"/>
            <w:tcBorders>
              <w:top w:val="single" w:sz="4" w:space="0" w:color="000000"/>
              <w:left w:val="single" w:sz="4" w:space="0" w:color="000000"/>
              <w:bottom w:val="nil" w:sz="6" w:space="0" w:color="auto"/>
              <w:right w:val="single" w:sz="4" w:space="0" w:color="000000"/>
            </w:tcBorders>
            <w:shd w:val="clear" w:color="auto" w:fill="D2D2D2"/>
          </w:tcPr>
          <w:p>
            <w:pPr/>
          </w:p>
        </w:tc>
        <w:tc>
          <w:tcPr>
            <w:tcW w:w="691" w:type="dxa"/>
            <w:vMerge w:val="restart"/>
            <w:tcBorders>
              <w:top w:val="single" w:sz="4" w:space="0" w:color="000000"/>
              <w:left w:val="single" w:sz="10"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 w:right="0"/>
              <w:jc w:val="left"/>
              <w:rPr>
                <w:rFonts w:ascii="Times New Roman" w:hAnsi="Times New Roman" w:cs="Times New Roman" w:eastAsia="Times New Roman" w:hint="default"/>
                <w:sz w:val="18"/>
                <w:szCs w:val="18"/>
              </w:rPr>
            </w:pPr>
            <w:r>
              <w:rPr>
                <w:rFonts w:ascii="Times New Roman"/>
                <w:sz w:val="18"/>
              </w:rPr>
              <w:t>1,494,83</w:t>
            </w:r>
          </w:p>
          <w:p>
            <w:pPr>
              <w:pStyle w:val="TableParagraph"/>
              <w:spacing w:line="240" w:lineRule="auto" w:before="106"/>
              <w:ind w:left="20" w:right="0"/>
              <w:jc w:val="left"/>
              <w:rPr>
                <w:rFonts w:ascii="Times New Roman" w:hAnsi="Times New Roman" w:cs="Times New Roman" w:eastAsia="Times New Roman" w:hint="default"/>
                <w:sz w:val="18"/>
                <w:szCs w:val="18"/>
              </w:rPr>
            </w:pPr>
            <w:r>
              <w:rPr>
                <w:rFonts w:ascii="Times New Roman"/>
                <w:sz w:val="18"/>
              </w:rPr>
              <w:t>4,382.00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center"/>
              <w:rPr>
                <w:rFonts w:ascii="Times New Roman" w:hAnsi="Times New Roman" w:cs="Times New Roman" w:eastAsia="Times New Roman" w:hint="default"/>
                <w:sz w:val="18"/>
                <w:szCs w:val="18"/>
              </w:rPr>
            </w:pPr>
            <w:r>
              <w:rPr>
                <w:rFonts w:ascii="Times New Roman"/>
                <w:sz w:val="18"/>
              </w:rPr>
              <w:t>1,879,186</w:t>
            </w:r>
          </w:p>
          <w:p>
            <w:pPr>
              <w:pStyle w:val="TableParagraph"/>
              <w:spacing w:line="240" w:lineRule="auto" w:before="106"/>
              <w:ind w:left="202" w:right="0"/>
              <w:jc w:val="center"/>
              <w:rPr>
                <w:rFonts w:ascii="Times New Roman" w:hAnsi="Times New Roman" w:cs="Times New Roman" w:eastAsia="Times New Roman" w:hint="default"/>
                <w:sz w:val="18"/>
                <w:szCs w:val="18"/>
              </w:rPr>
            </w:pPr>
            <w:r>
              <w:rPr>
                <w:rFonts w:ascii="Times New Roman"/>
                <w:sz w:val="18"/>
              </w:rPr>
              <w:t>,478.88</w:t>
            </w:r>
          </w:p>
        </w:tc>
        <w:tc>
          <w:tcPr>
            <w:tcW w:w="798" w:type="dxa"/>
            <w:vMerge w:val="restart"/>
            <w:tcBorders>
              <w:top w:val="single" w:sz="18" w:space="0" w:color="D2D2D2"/>
              <w:left w:val="single" w:sz="4" w:space="0" w:color="000000"/>
              <w:right w:val="single" w:sz="4" w:space="0" w:color="000000"/>
            </w:tcBorders>
          </w:tcPr>
          <w:p>
            <w:pPr/>
          </w:p>
        </w:tc>
        <w:tc>
          <w:tcPr>
            <w:tcW w:w="798" w:type="dxa"/>
            <w:vMerge w:val="restart"/>
            <w:tcBorders>
              <w:top w:val="single" w:sz="18" w:space="0" w:color="D2D2D2"/>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435,776,4</w:t>
            </w:r>
          </w:p>
          <w:p>
            <w:pPr>
              <w:pStyle w:val="TableParagraph"/>
              <w:spacing w:line="240" w:lineRule="auto" w:before="106"/>
              <w:ind w:left="359" w:right="0"/>
              <w:jc w:val="left"/>
              <w:rPr>
                <w:rFonts w:ascii="Times New Roman" w:hAnsi="Times New Roman" w:cs="Times New Roman" w:eastAsia="Times New Roman" w:hint="default"/>
                <w:sz w:val="18"/>
                <w:szCs w:val="18"/>
              </w:rPr>
            </w:pPr>
            <w:r>
              <w:rPr>
                <w:rFonts w:ascii="Times New Roman"/>
                <w:sz w:val="18"/>
              </w:rPr>
              <w:t>47.00</w:t>
            </w:r>
          </w:p>
        </w:tc>
        <w:tc>
          <w:tcPr>
            <w:tcW w:w="676" w:type="dxa"/>
            <w:vMerge w:val="restart"/>
            <w:tcBorders>
              <w:top w:val="single" w:sz="18" w:space="0" w:color="D2D2D2"/>
              <w:left w:val="single" w:sz="4" w:space="0" w:color="000000"/>
              <w:right w:val="single" w:sz="4" w:space="0" w:color="000000"/>
            </w:tcBorders>
          </w:tcPr>
          <w:p>
            <w:pPr>
              <w:pStyle w:val="TableParagraph"/>
              <w:spacing w:line="240" w:lineRule="auto" w:before="73"/>
              <w:ind w:right="20"/>
              <w:jc w:val="right"/>
              <w:rPr>
                <w:rFonts w:ascii="Times New Roman" w:hAnsi="Times New Roman" w:cs="Times New Roman" w:eastAsia="Times New Roman" w:hint="default"/>
                <w:sz w:val="18"/>
                <w:szCs w:val="18"/>
              </w:rPr>
            </w:pPr>
            <w:r>
              <w:rPr>
                <w:rFonts w:ascii="Times New Roman"/>
                <w:sz w:val="18"/>
              </w:rPr>
              <w:t>1,636,2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00,669.</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07</w:t>
            </w:r>
          </w:p>
        </w:tc>
        <w:tc>
          <w:tcPr>
            <w:tcW w:w="781" w:type="dxa"/>
            <w:vMerge w:val="restart"/>
            <w:tcBorders>
              <w:top w:val="single" w:sz="18" w:space="0" w:color="D2D2D2"/>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5,445,997</w:t>
            </w:r>
          </w:p>
          <w:p>
            <w:pPr>
              <w:pStyle w:val="TableParagraph"/>
              <w:spacing w:line="240" w:lineRule="auto" w:before="106"/>
              <w:ind w:left="184" w:right="0"/>
              <w:jc w:val="center"/>
              <w:rPr>
                <w:rFonts w:ascii="Times New Roman" w:hAnsi="Times New Roman" w:cs="Times New Roman" w:eastAsia="Times New Roman" w:hint="default"/>
                <w:sz w:val="18"/>
                <w:szCs w:val="18"/>
              </w:rPr>
            </w:pPr>
            <w:r>
              <w:rPr>
                <w:rFonts w:ascii="Times New Roman"/>
                <w:sz w:val="18"/>
              </w:rPr>
              <w:t>,976.95</w:t>
            </w:r>
          </w:p>
        </w:tc>
      </w:tr>
      <w:tr>
        <w:trPr>
          <w:trHeight w:val="392" w:hRule="exact"/>
        </w:trPr>
        <w:tc>
          <w:tcPr>
            <w:tcW w:w="144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7"/>
                <w:sz w:val="18"/>
                <w:szCs w:val="18"/>
              </w:rPr>
              <w:t>一、上年期末余额</w:t>
            </w:r>
          </w:p>
        </w:tc>
        <w:tc>
          <w:tcPr>
            <w:tcW w:w="691"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317" w:hRule="exact"/>
        </w:trPr>
        <w:tc>
          <w:tcPr>
            <w:tcW w:w="1442" w:type="dxa"/>
            <w:tcBorders>
              <w:top w:val="nil" w:sz="6" w:space="0" w:color="auto"/>
              <w:left w:val="single" w:sz="4" w:space="0" w:color="000000"/>
              <w:bottom w:val="single" w:sz="4" w:space="0" w:color="000000"/>
              <w:right w:val="single" w:sz="4" w:space="0" w:color="000000"/>
            </w:tcBorders>
            <w:shd w:val="clear" w:color="auto" w:fill="D2D2D2"/>
          </w:tcPr>
          <w:p>
            <w:pPr/>
          </w:p>
        </w:tc>
        <w:tc>
          <w:tcPr>
            <w:tcW w:w="691"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2"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691"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691"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91"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317" w:hRule="exact"/>
        </w:trPr>
        <w:tc>
          <w:tcPr>
            <w:tcW w:w="1442" w:type="dxa"/>
            <w:tcBorders>
              <w:top w:val="single" w:sz="4" w:space="0" w:color="000000"/>
              <w:left w:val="single" w:sz="4" w:space="0" w:color="000000"/>
              <w:bottom w:val="nil" w:sz="6" w:space="0" w:color="auto"/>
              <w:right w:val="single" w:sz="4" w:space="0" w:color="000000"/>
            </w:tcBorders>
            <w:shd w:val="clear" w:color="auto" w:fill="D2D2D2"/>
          </w:tcPr>
          <w:p>
            <w:pPr/>
          </w:p>
        </w:tc>
        <w:tc>
          <w:tcPr>
            <w:tcW w:w="691" w:type="dxa"/>
            <w:vMerge w:val="restart"/>
            <w:tcBorders>
              <w:top w:val="single" w:sz="4" w:space="0" w:color="000000"/>
              <w:left w:val="single" w:sz="10"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 w:right="0"/>
              <w:jc w:val="left"/>
              <w:rPr>
                <w:rFonts w:ascii="Times New Roman" w:hAnsi="Times New Roman" w:cs="Times New Roman" w:eastAsia="Times New Roman" w:hint="default"/>
                <w:sz w:val="18"/>
                <w:szCs w:val="18"/>
              </w:rPr>
            </w:pPr>
            <w:r>
              <w:rPr>
                <w:rFonts w:ascii="Times New Roman"/>
                <w:sz w:val="18"/>
              </w:rPr>
              <w:t>1,494,83</w:t>
            </w:r>
          </w:p>
          <w:p>
            <w:pPr>
              <w:pStyle w:val="TableParagraph"/>
              <w:spacing w:line="240" w:lineRule="auto" w:before="106"/>
              <w:ind w:left="20" w:right="0"/>
              <w:jc w:val="left"/>
              <w:rPr>
                <w:rFonts w:ascii="Times New Roman" w:hAnsi="Times New Roman" w:cs="Times New Roman" w:eastAsia="Times New Roman" w:hint="default"/>
                <w:sz w:val="18"/>
                <w:szCs w:val="18"/>
              </w:rPr>
            </w:pPr>
            <w:r>
              <w:rPr>
                <w:rFonts w:ascii="Times New Roman"/>
                <w:sz w:val="18"/>
              </w:rPr>
              <w:t>4,382.00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center"/>
              <w:rPr>
                <w:rFonts w:ascii="Times New Roman" w:hAnsi="Times New Roman" w:cs="Times New Roman" w:eastAsia="Times New Roman" w:hint="default"/>
                <w:sz w:val="18"/>
                <w:szCs w:val="18"/>
              </w:rPr>
            </w:pPr>
            <w:r>
              <w:rPr>
                <w:rFonts w:ascii="Times New Roman"/>
                <w:sz w:val="18"/>
              </w:rPr>
              <w:t>1,879,186</w:t>
            </w:r>
          </w:p>
          <w:p>
            <w:pPr>
              <w:pStyle w:val="TableParagraph"/>
              <w:spacing w:line="240" w:lineRule="auto" w:before="106"/>
              <w:ind w:left="202" w:right="0"/>
              <w:jc w:val="center"/>
              <w:rPr>
                <w:rFonts w:ascii="Times New Roman" w:hAnsi="Times New Roman" w:cs="Times New Roman" w:eastAsia="Times New Roman" w:hint="default"/>
                <w:sz w:val="18"/>
                <w:szCs w:val="18"/>
              </w:rPr>
            </w:pPr>
            <w:r>
              <w:rPr>
                <w:rFonts w:ascii="Times New Roman"/>
                <w:sz w:val="18"/>
              </w:rPr>
              <w:t>,478.88</w:t>
            </w: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435,776,4</w:t>
            </w:r>
          </w:p>
          <w:p>
            <w:pPr>
              <w:pStyle w:val="TableParagraph"/>
              <w:spacing w:line="240" w:lineRule="auto" w:before="106"/>
              <w:ind w:left="359" w:right="0"/>
              <w:jc w:val="left"/>
              <w:rPr>
                <w:rFonts w:ascii="Times New Roman" w:hAnsi="Times New Roman" w:cs="Times New Roman" w:eastAsia="Times New Roman" w:hint="default"/>
                <w:sz w:val="18"/>
                <w:szCs w:val="18"/>
              </w:rPr>
            </w:pPr>
            <w:r>
              <w:rPr>
                <w:rFonts w:ascii="Times New Roman"/>
                <w:sz w:val="18"/>
              </w:rPr>
              <w:t>47.00</w:t>
            </w:r>
          </w:p>
        </w:tc>
        <w:tc>
          <w:tcPr>
            <w:tcW w:w="676"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1,636,2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00,669.</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07</w:t>
            </w:r>
          </w:p>
        </w:tc>
        <w:tc>
          <w:tcPr>
            <w:tcW w:w="78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5,445,997</w:t>
            </w:r>
          </w:p>
          <w:p>
            <w:pPr>
              <w:pStyle w:val="TableParagraph"/>
              <w:spacing w:line="240" w:lineRule="auto" w:before="106"/>
              <w:ind w:left="184" w:right="0"/>
              <w:jc w:val="center"/>
              <w:rPr>
                <w:rFonts w:ascii="Times New Roman" w:hAnsi="Times New Roman" w:cs="Times New Roman" w:eastAsia="Times New Roman" w:hint="default"/>
                <w:sz w:val="18"/>
                <w:szCs w:val="18"/>
              </w:rPr>
            </w:pPr>
            <w:r>
              <w:rPr>
                <w:rFonts w:ascii="Times New Roman"/>
                <w:sz w:val="18"/>
              </w:rPr>
              <w:t>,976.95</w:t>
            </w:r>
          </w:p>
        </w:tc>
      </w:tr>
      <w:tr>
        <w:trPr>
          <w:trHeight w:val="392" w:hRule="exact"/>
        </w:trPr>
        <w:tc>
          <w:tcPr>
            <w:tcW w:w="144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7"/>
                <w:sz w:val="18"/>
                <w:szCs w:val="18"/>
              </w:rPr>
              <w:t>二、本年期初余额</w:t>
            </w:r>
          </w:p>
        </w:tc>
        <w:tc>
          <w:tcPr>
            <w:tcW w:w="691"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317" w:hRule="exact"/>
        </w:trPr>
        <w:tc>
          <w:tcPr>
            <w:tcW w:w="1442" w:type="dxa"/>
            <w:tcBorders>
              <w:top w:val="nil" w:sz="6" w:space="0" w:color="auto"/>
              <w:left w:val="single" w:sz="4" w:space="0" w:color="000000"/>
              <w:bottom w:val="single" w:sz="4" w:space="0" w:color="000000"/>
              <w:right w:val="single" w:sz="4" w:space="0" w:color="000000"/>
            </w:tcBorders>
            <w:shd w:val="clear" w:color="auto" w:fill="D2D2D2"/>
          </w:tcPr>
          <w:p>
            <w:pPr/>
          </w:p>
        </w:tc>
        <w:tc>
          <w:tcPr>
            <w:tcW w:w="691"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21"/>
              <w:jc w:val="both"/>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w:t>
            </w: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号填列）</w:t>
            </w:r>
          </w:p>
        </w:tc>
        <w:tc>
          <w:tcPr>
            <w:tcW w:w="691"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230,222,1</w:t>
            </w:r>
          </w:p>
          <w:p>
            <w:pPr>
              <w:pStyle w:val="TableParagraph"/>
              <w:spacing w:line="240" w:lineRule="auto" w:before="106"/>
              <w:ind w:left="361" w:right="0"/>
              <w:jc w:val="left"/>
              <w:rPr>
                <w:rFonts w:ascii="Times New Roman" w:hAnsi="Times New Roman" w:cs="Times New Roman" w:eastAsia="Times New Roman" w:hint="default"/>
                <w:sz w:val="18"/>
                <w:szCs w:val="18"/>
              </w:rPr>
            </w:pPr>
            <w:r>
              <w:rPr>
                <w:rFonts w:ascii="Times New Roman"/>
                <w:sz w:val="18"/>
              </w:rPr>
              <w:t>72.45</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54,460,13</w:t>
            </w:r>
          </w:p>
          <w:p>
            <w:pPr>
              <w:pStyle w:val="TableParagraph"/>
              <w:spacing w:line="240" w:lineRule="auto" w:before="106"/>
              <w:ind w:left="449" w:right="0"/>
              <w:jc w:val="left"/>
              <w:rPr>
                <w:rFonts w:ascii="Times New Roman" w:hAnsi="Times New Roman" w:cs="Times New Roman" w:eastAsia="Times New Roman" w:hint="default"/>
                <w:sz w:val="18"/>
                <w:szCs w:val="18"/>
              </w:rPr>
            </w:pPr>
            <w:r>
              <w:rPr>
                <w:rFonts w:ascii="Times New Roman"/>
                <w:sz w:val="18"/>
              </w:rPr>
              <w:t>7.54</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44,061,</w:t>
            </w:r>
          </w:p>
          <w:p>
            <w:pPr>
              <w:pStyle w:val="TableParagraph"/>
              <w:spacing w:line="240" w:lineRule="auto" w:before="106"/>
              <w:ind w:left="148" w:right="0"/>
              <w:jc w:val="left"/>
              <w:rPr>
                <w:rFonts w:ascii="Times New Roman" w:hAnsi="Times New Roman" w:cs="Times New Roman" w:eastAsia="Times New Roman" w:hint="default"/>
                <w:sz w:val="18"/>
                <w:szCs w:val="18"/>
              </w:rPr>
            </w:pPr>
            <w:r>
              <w:rPr>
                <w:rFonts w:ascii="Times New Roman"/>
                <w:sz w:val="18"/>
              </w:rPr>
              <w:t>042.18</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3" w:right="0"/>
              <w:jc w:val="center"/>
              <w:rPr>
                <w:rFonts w:ascii="Times New Roman" w:hAnsi="Times New Roman" w:cs="Times New Roman" w:eastAsia="Times New Roman" w:hint="default"/>
                <w:sz w:val="18"/>
                <w:szCs w:val="18"/>
              </w:rPr>
            </w:pPr>
            <w:r>
              <w:rPr>
                <w:rFonts w:ascii="Times New Roman"/>
                <w:sz w:val="18"/>
              </w:rPr>
              <w:t>-131,700,</w:t>
            </w:r>
          </w:p>
          <w:p>
            <w:pPr>
              <w:pStyle w:val="TableParagraph"/>
              <w:spacing w:line="240" w:lineRule="auto" w:before="106"/>
              <w:ind w:left="230" w:right="0"/>
              <w:jc w:val="center"/>
              <w:rPr>
                <w:rFonts w:ascii="Times New Roman" w:hAnsi="Times New Roman" w:cs="Times New Roman" w:eastAsia="Times New Roman" w:hint="default"/>
                <w:sz w:val="18"/>
                <w:szCs w:val="18"/>
              </w:rPr>
            </w:pPr>
            <w:r>
              <w:rPr>
                <w:rFonts w:ascii="Times New Roman"/>
                <w:sz w:val="18"/>
              </w:rPr>
              <w:t>992.73</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691"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544,601</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,375.38</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544,601,3</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75.38</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691"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．所有者投入的 普通股</w:t>
            </w:r>
          </w:p>
        </w:tc>
        <w:tc>
          <w:tcPr>
            <w:tcW w:w="691"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691"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691"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442" w:type="dxa"/>
            <w:tcBorders>
              <w:top w:val="single" w:sz="4" w:space="0" w:color="000000"/>
              <w:left w:val="single" w:sz="4" w:space="0" w:color="000000"/>
              <w:bottom w:val="nil" w:sz="6" w:space="0" w:color="auto"/>
              <w:right w:val="single" w:sz="4" w:space="0" w:color="000000"/>
            </w:tcBorders>
            <w:shd w:val="clear" w:color="auto" w:fill="D2D2D2"/>
          </w:tcPr>
          <w:p>
            <w:pPr/>
          </w:p>
        </w:tc>
        <w:tc>
          <w:tcPr>
            <w:tcW w:w="691" w:type="dxa"/>
            <w:vMerge w:val="restart"/>
            <w:tcBorders>
              <w:top w:val="single" w:sz="4" w:space="0" w:color="000000"/>
              <w:left w:val="single" w:sz="10" w:space="0" w:color="D2D2D2"/>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54,460,13</w:t>
            </w:r>
          </w:p>
          <w:p>
            <w:pPr>
              <w:pStyle w:val="TableParagraph"/>
              <w:spacing w:line="240" w:lineRule="auto" w:before="106"/>
              <w:ind w:left="449" w:right="0"/>
              <w:jc w:val="left"/>
              <w:rPr>
                <w:rFonts w:ascii="Times New Roman" w:hAnsi="Times New Roman" w:cs="Times New Roman" w:eastAsia="Times New Roman" w:hint="default"/>
                <w:sz w:val="18"/>
                <w:szCs w:val="18"/>
              </w:rPr>
            </w:pPr>
            <w:r>
              <w:rPr>
                <w:rFonts w:ascii="Times New Roman"/>
                <w:sz w:val="18"/>
              </w:rPr>
              <w:t>7.54</w:t>
            </w:r>
          </w:p>
        </w:tc>
        <w:tc>
          <w:tcPr>
            <w:tcW w:w="676" w:type="dxa"/>
            <w:vMerge w:val="restart"/>
            <w:tcBorders>
              <w:top w:val="single" w:sz="4" w:space="0" w:color="000000"/>
              <w:left w:val="single" w:sz="4" w:space="0" w:color="000000"/>
              <w:right w:val="single" w:sz="4" w:space="0" w:color="000000"/>
            </w:tcBorders>
          </w:tcPr>
          <w:p>
            <w:pPr>
              <w:pStyle w:val="TableParagraph"/>
              <w:spacing w:line="240" w:lineRule="auto" w:before="111"/>
              <w:ind w:left="88" w:right="0"/>
              <w:jc w:val="left"/>
              <w:rPr>
                <w:rFonts w:ascii="Times New Roman" w:hAnsi="Times New Roman" w:cs="Times New Roman" w:eastAsia="Times New Roman" w:hint="default"/>
                <w:sz w:val="18"/>
                <w:szCs w:val="18"/>
              </w:rPr>
            </w:pPr>
            <w:r>
              <w:rPr>
                <w:rFonts w:ascii="Times New Roman"/>
                <w:sz w:val="18"/>
              </w:rPr>
              <w:t>-500,54</w:t>
            </w:r>
          </w:p>
          <w:p>
            <w:pPr>
              <w:pStyle w:val="TableParagraph"/>
              <w:spacing w:line="240" w:lineRule="auto" w:before="104"/>
              <w:ind w:left="103" w:right="0"/>
              <w:jc w:val="left"/>
              <w:rPr>
                <w:rFonts w:ascii="Times New Roman" w:hAnsi="Times New Roman" w:cs="Times New Roman" w:eastAsia="Times New Roman" w:hint="default"/>
                <w:sz w:val="18"/>
                <w:szCs w:val="18"/>
              </w:rPr>
            </w:pPr>
            <w:r>
              <w:rPr>
                <w:rFonts w:ascii="Times New Roman"/>
                <w:sz w:val="18"/>
              </w:rPr>
              <w:t>0,333.2</w:t>
            </w:r>
          </w:p>
        </w:tc>
        <w:tc>
          <w:tcPr>
            <w:tcW w:w="781" w:type="dxa"/>
            <w:vMerge w:val="restart"/>
            <w:tcBorders>
              <w:top w:val="single" w:sz="4" w:space="0" w:color="000000"/>
              <w:left w:val="single" w:sz="4" w:space="0" w:color="000000"/>
              <w:right w:val="single" w:sz="4" w:space="0" w:color="000000"/>
            </w:tcBorders>
          </w:tcPr>
          <w:p>
            <w:pPr>
              <w:pStyle w:val="TableParagraph"/>
              <w:spacing w:line="240" w:lineRule="auto" w:before="91"/>
              <w:ind w:left="33" w:right="0"/>
              <w:jc w:val="center"/>
              <w:rPr>
                <w:rFonts w:ascii="Times New Roman" w:hAnsi="Times New Roman" w:cs="Times New Roman" w:eastAsia="Times New Roman" w:hint="default"/>
                <w:sz w:val="18"/>
                <w:szCs w:val="18"/>
              </w:rPr>
            </w:pPr>
            <w:r>
              <w:rPr>
                <w:rFonts w:ascii="Times New Roman"/>
                <w:sz w:val="18"/>
              </w:rPr>
              <w:t>-446,080,</w:t>
            </w:r>
          </w:p>
          <w:p>
            <w:pPr>
              <w:pStyle w:val="TableParagraph"/>
              <w:spacing w:line="240" w:lineRule="auto" w:before="106"/>
              <w:ind w:left="230" w:right="0"/>
              <w:jc w:val="center"/>
              <w:rPr>
                <w:rFonts w:ascii="Times New Roman" w:hAnsi="Times New Roman" w:cs="Times New Roman" w:eastAsia="Times New Roman" w:hint="default"/>
                <w:sz w:val="18"/>
                <w:szCs w:val="18"/>
              </w:rPr>
            </w:pPr>
            <w:r>
              <w:rPr>
                <w:rFonts w:ascii="Times New Roman"/>
                <w:sz w:val="18"/>
              </w:rPr>
              <w:t>195.66</w:t>
            </w:r>
          </w:p>
        </w:tc>
      </w:tr>
      <w:tr>
        <w:trPr>
          <w:trHeight w:val="392" w:hRule="exact"/>
        </w:trPr>
        <w:tc>
          <w:tcPr>
            <w:tcW w:w="144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91"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42" w:type="dxa"/>
            <w:tcBorders>
              <w:top w:val="nil" w:sz="6" w:space="0" w:color="auto"/>
              <w:left w:val="single" w:sz="4" w:space="0" w:color="000000"/>
              <w:bottom w:val="single" w:sz="4" w:space="0" w:color="000000"/>
              <w:right w:val="single" w:sz="4" w:space="0" w:color="000000"/>
            </w:tcBorders>
            <w:shd w:val="clear" w:color="auto" w:fill="D2D2D2"/>
          </w:tcPr>
          <w:p>
            <w:pPr/>
          </w:p>
        </w:tc>
        <w:tc>
          <w:tcPr>
            <w:tcW w:w="691"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36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z w:val="18"/>
              </w:rPr>
              <w:t>0</w:t>
            </w: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54,460,13</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7.54</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-54,460,</w:t>
            </w:r>
          </w:p>
          <w:p>
            <w:pPr>
              <w:pStyle w:val="TableParagraph"/>
              <w:spacing w:line="240" w:lineRule="auto" w:before="105"/>
              <w:ind w:left="126" w:right="0"/>
              <w:jc w:val="center"/>
              <w:rPr>
                <w:rFonts w:ascii="Times New Roman" w:hAnsi="Times New Roman" w:cs="Times New Roman" w:eastAsia="Times New Roman" w:hint="default"/>
                <w:sz w:val="18"/>
                <w:szCs w:val="18"/>
              </w:rPr>
            </w:pPr>
            <w:r>
              <w:rPr>
                <w:rFonts w:ascii="Times New Roman"/>
                <w:sz w:val="18"/>
              </w:rPr>
              <w:t>137.54</w:t>
            </w: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00" w:lineRule="auto"/>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-446,08</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0,195.6</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6</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3" w:right="0"/>
              <w:jc w:val="center"/>
              <w:rPr>
                <w:rFonts w:ascii="Times New Roman" w:hAnsi="Times New Roman" w:cs="Times New Roman" w:eastAsia="Times New Roman" w:hint="default"/>
                <w:sz w:val="18"/>
                <w:szCs w:val="18"/>
              </w:rPr>
            </w:pPr>
            <w:r>
              <w:rPr>
                <w:rFonts w:ascii="Times New Roman"/>
                <w:sz w:val="18"/>
              </w:rPr>
              <w:t>-446,080,</w:t>
            </w:r>
          </w:p>
          <w:p>
            <w:pPr>
              <w:pStyle w:val="TableParagraph"/>
              <w:spacing w:line="240" w:lineRule="auto" w:before="105"/>
              <w:ind w:left="230" w:right="0"/>
              <w:jc w:val="center"/>
              <w:rPr>
                <w:rFonts w:ascii="Times New Roman" w:hAnsi="Times New Roman" w:cs="Times New Roman" w:eastAsia="Times New Roman" w:hint="default"/>
                <w:sz w:val="18"/>
                <w:szCs w:val="18"/>
              </w:rPr>
            </w:pPr>
            <w:r>
              <w:rPr>
                <w:rFonts w:ascii="Times New Roman"/>
                <w:sz w:val="18"/>
              </w:rPr>
              <w:t>195.66</w:t>
            </w: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．设定受益计划 变动额结转留存 收益</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230,222,1</w:t>
            </w:r>
          </w:p>
          <w:p>
            <w:pPr>
              <w:pStyle w:val="TableParagraph"/>
              <w:spacing w:line="240" w:lineRule="auto" w:before="105"/>
              <w:ind w:left="361" w:right="0"/>
              <w:jc w:val="left"/>
              <w:rPr>
                <w:rFonts w:ascii="Times New Roman" w:hAnsi="Times New Roman" w:cs="Times New Roman" w:eastAsia="Times New Roman" w:hint="default"/>
                <w:sz w:val="18"/>
                <w:szCs w:val="18"/>
              </w:rPr>
            </w:pPr>
            <w:r>
              <w:rPr>
                <w:rFonts w:ascii="Times New Roman"/>
                <w:sz w:val="18"/>
              </w:rPr>
              <w:t>72.45</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3" w:right="0"/>
              <w:jc w:val="center"/>
              <w:rPr>
                <w:rFonts w:ascii="Times New Roman" w:hAnsi="Times New Roman" w:cs="Times New Roman" w:eastAsia="Times New Roman" w:hint="default"/>
                <w:sz w:val="18"/>
                <w:szCs w:val="18"/>
              </w:rPr>
            </w:pPr>
            <w:r>
              <w:rPr>
                <w:rFonts w:ascii="Times New Roman"/>
                <w:sz w:val="18"/>
              </w:rPr>
              <w:t>-230,222,</w:t>
            </w:r>
          </w:p>
          <w:p>
            <w:pPr>
              <w:pStyle w:val="TableParagraph"/>
              <w:spacing w:line="240" w:lineRule="auto" w:before="105"/>
              <w:ind w:left="230" w:right="0"/>
              <w:jc w:val="center"/>
              <w:rPr>
                <w:rFonts w:ascii="Times New Roman" w:hAnsi="Times New Roman" w:cs="Times New Roman" w:eastAsia="Times New Roman" w:hint="default"/>
                <w:sz w:val="18"/>
                <w:szCs w:val="18"/>
              </w:rPr>
            </w:pPr>
            <w:r>
              <w:rPr>
                <w:rFonts w:ascii="Times New Roman"/>
                <w:sz w:val="18"/>
              </w:rPr>
              <w:t>172.45</w:t>
            </w: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7" w:right="0"/>
              <w:jc w:val="left"/>
              <w:rPr>
                <w:rFonts w:ascii="Times New Roman" w:hAnsi="Times New Roman" w:cs="Times New Roman" w:eastAsia="Times New Roman" w:hint="default"/>
                <w:sz w:val="18"/>
                <w:szCs w:val="18"/>
              </w:rPr>
            </w:pPr>
            <w:r>
              <w:rPr>
                <w:rFonts w:ascii="Times New Roman"/>
                <w:sz w:val="18"/>
              </w:rPr>
              <w:t>1,494,83</w:t>
            </w:r>
          </w:p>
          <w:p>
            <w:pPr>
              <w:pStyle w:val="TableParagraph"/>
              <w:spacing w:line="240" w:lineRule="auto" w:before="105"/>
              <w:ind w:left="27" w:right="0"/>
              <w:jc w:val="left"/>
              <w:rPr>
                <w:rFonts w:ascii="Times New Roman" w:hAnsi="Times New Roman" w:cs="Times New Roman" w:eastAsia="Times New Roman" w:hint="default"/>
                <w:sz w:val="18"/>
                <w:szCs w:val="18"/>
              </w:rPr>
            </w:pPr>
            <w:r>
              <w:rPr>
                <w:rFonts w:ascii="Times New Roman"/>
                <w:sz w:val="18"/>
              </w:rPr>
              <w:t>4,382.00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center"/>
              <w:rPr>
                <w:rFonts w:ascii="Times New Roman" w:hAnsi="Times New Roman" w:cs="Times New Roman" w:eastAsia="Times New Roman" w:hint="default"/>
                <w:sz w:val="18"/>
                <w:szCs w:val="18"/>
              </w:rPr>
            </w:pPr>
            <w:r>
              <w:rPr>
                <w:rFonts w:ascii="Times New Roman"/>
                <w:sz w:val="18"/>
              </w:rPr>
              <w:t>1,879,186</w:t>
            </w:r>
          </w:p>
          <w:p>
            <w:pPr>
              <w:pStyle w:val="TableParagraph"/>
              <w:spacing w:line="240" w:lineRule="auto" w:before="105"/>
              <w:ind w:left="202" w:right="0"/>
              <w:jc w:val="center"/>
              <w:rPr>
                <w:rFonts w:ascii="Times New Roman" w:hAnsi="Times New Roman" w:cs="Times New Roman" w:eastAsia="Times New Roman" w:hint="default"/>
                <w:sz w:val="18"/>
                <w:szCs w:val="18"/>
              </w:rPr>
            </w:pPr>
            <w:r>
              <w:rPr>
                <w:rFonts w:ascii="Times New Roman"/>
                <w:sz w:val="18"/>
              </w:rPr>
              <w:t>,478.88</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230,222,1</w:t>
            </w:r>
          </w:p>
          <w:p>
            <w:pPr>
              <w:pStyle w:val="TableParagraph"/>
              <w:spacing w:line="240" w:lineRule="auto" w:before="105"/>
              <w:ind w:left="361" w:right="0"/>
              <w:jc w:val="left"/>
              <w:rPr>
                <w:rFonts w:ascii="Times New Roman" w:hAnsi="Times New Roman" w:cs="Times New Roman" w:eastAsia="Times New Roman" w:hint="default"/>
                <w:sz w:val="18"/>
                <w:szCs w:val="18"/>
              </w:rPr>
            </w:pPr>
            <w:r>
              <w:rPr>
                <w:rFonts w:ascii="Times New Roman"/>
                <w:sz w:val="18"/>
              </w:rPr>
              <w:t>72.45</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490,236,5</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84.54</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1,680,2</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pacing w:val="-2"/>
                <w:sz w:val="18"/>
              </w:rPr>
              <w:t>61,711.</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25</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5,314,296</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,984.22</w:t>
            </w:r>
          </w:p>
        </w:tc>
      </w:tr>
    </w:tbl>
    <w:p>
      <w:pPr>
        <w:pStyle w:val="BodyText"/>
        <w:spacing w:line="240" w:lineRule="auto" w:before="51"/>
        <w:ind w:right="0"/>
        <w:jc w:val="left"/>
      </w:pPr>
      <w:r>
        <w:rPr/>
        <w:t>上期金额</w:t>
      </w:r>
    </w:p>
    <w:p>
      <w:pPr>
        <w:pStyle w:val="BodyText"/>
        <w:spacing w:line="240" w:lineRule="auto" w:before="117"/>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430"/>
        <w:gridCol w:w="691"/>
        <w:gridCol w:w="665"/>
        <w:gridCol w:w="665"/>
        <w:gridCol w:w="665"/>
        <w:gridCol w:w="797"/>
        <w:gridCol w:w="798"/>
        <w:gridCol w:w="798"/>
        <w:gridCol w:w="798"/>
        <w:gridCol w:w="797"/>
        <w:gridCol w:w="676"/>
        <w:gridCol w:w="781"/>
      </w:tblGrid>
      <w:tr>
        <w:trPr>
          <w:trHeight w:val="397" w:hRule="exact"/>
        </w:trPr>
        <w:tc>
          <w:tcPr>
            <w:tcW w:w="1430"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1"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211" w:hRule="exact"/>
        </w:trPr>
        <w:tc>
          <w:tcPr>
            <w:tcW w:w="143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61"/>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691" w:type="dxa"/>
            <w:tcBorders>
              <w:top w:val="single" w:sz="4" w:space="0" w:color="000000"/>
              <w:left w:val="single" w:sz="4" w:space="0" w:color="000000"/>
              <w:bottom w:val="nil" w:sz="6" w:space="0" w:color="auto"/>
              <w:right w:val="single" w:sz="4" w:space="0" w:color="000000"/>
            </w:tcBorders>
            <w:shd w:val="clear" w:color="auto" w:fill="D2D2D2"/>
          </w:tcPr>
          <w:p>
            <w:pPr/>
          </w:p>
        </w:tc>
        <w:tc>
          <w:tcPr>
            <w:tcW w:w="1995"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45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304" w:right="31" w:hanging="270"/>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214" w:right="31"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98"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67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152" w:right="61"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115" w:right="24"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91" w:hRule="exact"/>
        </w:trPr>
        <w:tc>
          <w:tcPr>
            <w:tcW w:w="1430" w:type="dxa"/>
            <w:vMerge/>
            <w:tcBorders>
              <w:left w:val="single" w:sz="4" w:space="0" w:color="000000"/>
              <w:bottom w:val="nil" w:sz="6" w:space="0" w:color="auto"/>
              <w:right w:val="single" w:sz="4" w:space="0" w:color="000000"/>
            </w:tcBorders>
            <w:shd w:val="clear" w:color="auto" w:fill="D2D2D2"/>
          </w:tcPr>
          <w:p>
            <w:pPr/>
          </w:p>
        </w:tc>
        <w:tc>
          <w:tcPr>
            <w:tcW w:w="69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59"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5" w:type="dxa"/>
            <w:gridSpan w:val="3"/>
            <w:vMerge/>
            <w:tcBorders>
              <w:left w:val="single" w:sz="4" w:space="0" w:color="000000"/>
              <w:bottom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200" w:hRule="exact"/>
        </w:trPr>
        <w:tc>
          <w:tcPr>
            <w:tcW w:w="1430" w:type="dxa"/>
            <w:vMerge w:val="restart"/>
            <w:tcBorders>
              <w:top w:val="nil" w:sz="6" w:space="0" w:color="auto"/>
              <w:left w:val="single" w:sz="4" w:space="0" w:color="000000"/>
              <w:right w:val="single" w:sz="4" w:space="0" w:color="000000"/>
            </w:tcBorders>
            <w:shd w:val="clear" w:color="auto" w:fill="D2D2D2"/>
          </w:tcPr>
          <w:p>
            <w:pPr/>
          </w:p>
        </w:tc>
        <w:tc>
          <w:tcPr>
            <w:tcW w:w="691"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6"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6"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4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nil" w:sz="6" w:space="0" w:color="auto"/>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206" w:hRule="exact"/>
        </w:trPr>
        <w:tc>
          <w:tcPr>
            <w:tcW w:w="1430" w:type="dxa"/>
            <w:vMerge/>
            <w:tcBorders>
              <w:left w:val="single" w:sz="4" w:space="0" w:color="000000"/>
              <w:bottom w:val="single" w:sz="4" w:space="0" w:color="000000"/>
              <w:right w:val="single" w:sz="4" w:space="0" w:color="000000"/>
            </w:tcBorders>
            <w:shd w:val="clear" w:color="auto" w:fill="D2D2D2"/>
          </w:tcPr>
          <w:p>
            <w:pPr/>
          </w:p>
        </w:tc>
        <w:tc>
          <w:tcPr>
            <w:tcW w:w="691"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676" w:type="dxa"/>
            <w:vMerge/>
            <w:tcBorders>
              <w:left w:val="single" w:sz="4" w:space="0" w:color="000000"/>
              <w:bottom w:val="single" w:sz="4" w:space="0" w:color="000000"/>
              <w:right w:val="single" w:sz="4" w:space="0" w:color="000000"/>
            </w:tcBorders>
            <w:shd w:val="clear" w:color="auto" w:fill="D2D2D2"/>
          </w:tcPr>
          <w:p>
            <w:pPr/>
          </w:p>
        </w:tc>
        <w:tc>
          <w:tcPr>
            <w:tcW w:w="781" w:type="dxa"/>
            <w:vMerge/>
            <w:tcBorders>
              <w:left w:val="single" w:sz="4" w:space="0" w:color="000000"/>
              <w:bottom w:val="single" w:sz="4" w:space="0" w:color="000000"/>
              <w:right w:val="single" w:sz="4" w:space="0" w:color="000000"/>
            </w:tcBorders>
            <w:shd w:val="clear" w:color="auto" w:fill="D2D2D2"/>
          </w:tcPr>
          <w:p>
            <w:pPr/>
          </w:p>
        </w:tc>
      </w:tr>
      <w:tr>
        <w:trPr>
          <w:trHeight w:val="317" w:hRule="exact"/>
        </w:trPr>
        <w:tc>
          <w:tcPr>
            <w:tcW w:w="14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91" w:type="dxa"/>
            <w:vMerge w:val="restart"/>
            <w:tcBorders>
              <w:top w:val="single" w:sz="4" w:space="0" w:color="000000"/>
              <w:left w:val="single" w:sz="10"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 w:right="0"/>
              <w:jc w:val="left"/>
              <w:rPr>
                <w:rFonts w:ascii="Times New Roman" w:hAnsi="Times New Roman" w:cs="Times New Roman" w:eastAsia="Times New Roman" w:hint="default"/>
                <w:sz w:val="18"/>
                <w:szCs w:val="18"/>
              </w:rPr>
            </w:pPr>
            <w:r>
              <w:rPr>
                <w:rFonts w:ascii="Times New Roman"/>
                <w:sz w:val="18"/>
              </w:rPr>
              <w:t>1,315,49</w:t>
            </w:r>
          </w:p>
          <w:p>
            <w:pPr>
              <w:pStyle w:val="TableParagraph"/>
              <w:spacing w:line="240" w:lineRule="auto" w:before="106"/>
              <w:ind w:left="20" w:right="0"/>
              <w:jc w:val="left"/>
              <w:rPr>
                <w:rFonts w:ascii="Times New Roman" w:hAnsi="Times New Roman" w:cs="Times New Roman" w:eastAsia="Times New Roman" w:hint="default"/>
                <w:sz w:val="18"/>
                <w:szCs w:val="18"/>
              </w:rPr>
            </w:pPr>
            <w:r>
              <w:rPr>
                <w:rFonts w:ascii="Times New Roman"/>
                <w:sz w:val="18"/>
              </w:rPr>
              <w:t>6,000.00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476,988,0</w:t>
            </w:r>
          </w:p>
          <w:p>
            <w:pPr>
              <w:pStyle w:val="TableParagraph"/>
              <w:spacing w:line="240" w:lineRule="auto" w:before="106"/>
              <w:ind w:left="359" w:right="0"/>
              <w:jc w:val="left"/>
              <w:rPr>
                <w:rFonts w:ascii="Times New Roman" w:hAnsi="Times New Roman" w:cs="Times New Roman" w:eastAsia="Times New Roman" w:hint="default"/>
                <w:sz w:val="18"/>
                <w:szCs w:val="18"/>
              </w:rPr>
            </w:pPr>
            <w:r>
              <w:rPr>
                <w:rFonts w:ascii="Times New Roman"/>
                <w:sz w:val="18"/>
              </w:rPr>
              <w:t>42.71</w:t>
            </w:r>
          </w:p>
        </w:tc>
        <w:tc>
          <w:tcPr>
            <w:tcW w:w="798" w:type="dxa"/>
            <w:vMerge w:val="restart"/>
            <w:tcBorders>
              <w:top w:val="single" w:sz="22" w:space="0" w:color="D2D2D2"/>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49,530,13</w:t>
            </w:r>
          </w:p>
          <w:p>
            <w:pPr>
              <w:pStyle w:val="TableParagraph"/>
              <w:spacing w:line="240" w:lineRule="auto" w:before="106"/>
              <w:ind w:left="451" w:right="0"/>
              <w:jc w:val="left"/>
              <w:rPr>
                <w:rFonts w:ascii="Times New Roman" w:hAnsi="Times New Roman" w:cs="Times New Roman" w:eastAsia="Times New Roman" w:hint="default"/>
                <w:sz w:val="18"/>
                <w:szCs w:val="18"/>
              </w:rPr>
            </w:pPr>
            <w:r>
              <w:rPr>
                <w:rFonts w:ascii="Times New Roman"/>
                <w:sz w:val="18"/>
              </w:rPr>
              <w:t>2.00</w:t>
            </w:r>
          </w:p>
        </w:tc>
        <w:tc>
          <w:tcPr>
            <w:tcW w:w="798" w:type="dxa"/>
            <w:vMerge w:val="restart"/>
            <w:tcBorders>
              <w:top w:val="single" w:sz="22" w:space="0" w:color="D2D2D2"/>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379,339,8</w:t>
            </w:r>
          </w:p>
          <w:p>
            <w:pPr>
              <w:pStyle w:val="TableParagraph"/>
              <w:spacing w:line="240" w:lineRule="auto" w:before="106"/>
              <w:ind w:left="359" w:right="0"/>
              <w:jc w:val="left"/>
              <w:rPr>
                <w:rFonts w:ascii="Times New Roman" w:hAnsi="Times New Roman" w:cs="Times New Roman" w:eastAsia="Times New Roman" w:hint="default"/>
                <w:sz w:val="18"/>
                <w:szCs w:val="18"/>
              </w:rPr>
            </w:pPr>
            <w:r>
              <w:rPr>
                <w:rFonts w:ascii="Times New Roman"/>
                <w:sz w:val="18"/>
              </w:rPr>
              <w:t>12.76</w:t>
            </w:r>
          </w:p>
        </w:tc>
        <w:tc>
          <w:tcPr>
            <w:tcW w:w="676" w:type="dxa"/>
            <w:vMerge w:val="restart"/>
            <w:tcBorders>
              <w:top w:val="single" w:sz="22" w:space="0" w:color="D2D2D2"/>
              <w:left w:val="single" w:sz="4" w:space="0" w:color="000000"/>
              <w:right w:val="single" w:sz="4" w:space="0" w:color="000000"/>
            </w:tcBorders>
          </w:tcPr>
          <w:p>
            <w:pPr>
              <w:pStyle w:val="TableParagraph"/>
              <w:spacing w:line="240" w:lineRule="auto" w:before="68"/>
              <w:ind w:right="20"/>
              <w:jc w:val="right"/>
              <w:rPr>
                <w:rFonts w:ascii="Times New Roman" w:hAnsi="Times New Roman" w:cs="Times New Roman" w:eastAsia="Times New Roman" w:hint="default"/>
                <w:sz w:val="18"/>
                <w:szCs w:val="18"/>
              </w:rPr>
            </w:pPr>
            <w:r>
              <w:rPr>
                <w:rFonts w:ascii="Times New Roman"/>
                <w:sz w:val="18"/>
              </w:rPr>
              <w:t>1,560,9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14,155.</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12</w:t>
            </w:r>
          </w:p>
        </w:tc>
        <w:tc>
          <w:tcPr>
            <w:tcW w:w="781" w:type="dxa"/>
            <w:vMerge w:val="restart"/>
            <w:tcBorders>
              <w:top w:val="single" w:sz="22" w:space="0" w:color="D2D2D2"/>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3,683,207</w:t>
            </w:r>
          </w:p>
          <w:p>
            <w:pPr>
              <w:pStyle w:val="TableParagraph"/>
              <w:spacing w:line="240" w:lineRule="auto" w:before="106"/>
              <w:ind w:left="184" w:right="0"/>
              <w:jc w:val="center"/>
              <w:rPr>
                <w:rFonts w:ascii="Times New Roman" w:hAnsi="Times New Roman" w:cs="Times New Roman" w:eastAsia="Times New Roman" w:hint="default"/>
                <w:sz w:val="18"/>
                <w:szCs w:val="18"/>
              </w:rPr>
            </w:pPr>
            <w:r>
              <w:rPr>
                <w:rFonts w:ascii="Times New Roman"/>
                <w:sz w:val="18"/>
              </w:rPr>
              <w:t>,878.59</w:t>
            </w:r>
          </w:p>
        </w:tc>
      </w:tr>
      <w:tr>
        <w:trPr>
          <w:trHeight w:val="392" w:hRule="exact"/>
        </w:trPr>
        <w:tc>
          <w:tcPr>
            <w:tcW w:w="143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7"/>
                <w:sz w:val="18"/>
                <w:szCs w:val="18"/>
              </w:rPr>
              <w:t>一、上年期末余额</w:t>
            </w:r>
          </w:p>
        </w:tc>
        <w:tc>
          <w:tcPr>
            <w:tcW w:w="691"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317" w:hRule="exact"/>
        </w:trPr>
        <w:tc>
          <w:tcPr>
            <w:tcW w:w="14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91"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22"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691"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731" w:right="0"/>
              <w:jc w:val="left"/>
              <w:rPr>
                <w:rFonts w:ascii="宋体" w:hAnsi="宋体" w:cs="宋体" w:eastAsia="宋体" w:hint="default"/>
                <w:sz w:val="18"/>
                <w:szCs w:val="18"/>
              </w:rPr>
            </w:pPr>
            <w:r>
              <w:rPr>
                <w:rFonts w:ascii="宋体" w:hAnsi="宋体" w:cs="宋体" w:eastAsia="宋体" w:hint="default"/>
                <w:sz w:val="18"/>
                <w:szCs w:val="18"/>
              </w:rPr>
              <w:t>前期差</w:t>
            </w:r>
          </w:p>
        </w:tc>
        <w:tc>
          <w:tcPr>
            <w:tcW w:w="691"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36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74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-106,13</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1,394.2</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3" w:right="0"/>
              <w:jc w:val="center"/>
              <w:rPr>
                <w:rFonts w:ascii="Times New Roman" w:hAnsi="Times New Roman" w:cs="Times New Roman" w:eastAsia="Times New Roman" w:hint="default"/>
                <w:sz w:val="18"/>
                <w:szCs w:val="18"/>
              </w:rPr>
            </w:pPr>
            <w:r>
              <w:rPr>
                <w:rFonts w:ascii="Times New Roman"/>
                <w:sz w:val="18"/>
              </w:rPr>
              <w:t>-106,131,</w:t>
            </w:r>
          </w:p>
          <w:p>
            <w:pPr>
              <w:pStyle w:val="TableParagraph"/>
              <w:spacing w:line="240" w:lineRule="auto" w:before="105"/>
              <w:ind w:left="230" w:right="0"/>
              <w:jc w:val="center"/>
              <w:rPr>
                <w:rFonts w:ascii="Times New Roman" w:hAnsi="Times New Roman" w:cs="Times New Roman" w:eastAsia="Times New Roman" w:hint="default"/>
                <w:sz w:val="18"/>
                <w:szCs w:val="18"/>
              </w:rPr>
            </w:pPr>
            <w:r>
              <w:rPr>
                <w:rFonts w:ascii="Times New Roman"/>
                <w:sz w:val="18"/>
              </w:rPr>
              <w:t>394.20</w:t>
            </w: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pacing w:val="-7"/>
                <w:sz w:val="18"/>
                <w:szCs w:val="18"/>
              </w:rPr>
              <w:t>二、本年期初余额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7" w:right="0"/>
              <w:jc w:val="left"/>
              <w:rPr>
                <w:rFonts w:ascii="Times New Roman" w:hAnsi="Times New Roman" w:cs="Times New Roman" w:eastAsia="Times New Roman" w:hint="default"/>
                <w:sz w:val="18"/>
                <w:szCs w:val="18"/>
              </w:rPr>
            </w:pPr>
            <w:r>
              <w:rPr>
                <w:rFonts w:ascii="Times New Roman"/>
                <w:sz w:val="18"/>
              </w:rPr>
              <w:t>1,315,49</w:t>
            </w:r>
          </w:p>
          <w:p>
            <w:pPr>
              <w:pStyle w:val="TableParagraph"/>
              <w:spacing w:line="240" w:lineRule="auto" w:before="105"/>
              <w:ind w:left="27" w:right="0"/>
              <w:jc w:val="left"/>
              <w:rPr>
                <w:rFonts w:ascii="Times New Roman" w:hAnsi="Times New Roman" w:cs="Times New Roman" w:eastAsia="Times New Roman" w:hint="default"/>
                <w:sz w:val="18"/>
                <w:szCs w:val="18"/>
              </w:rPr>
            </w:pPr>
            <w:r>
              <w:rPr>
                <w:rFonts w:ascii="Times New Roman"/>
                <w:sz w:val="18"/>
              </w:rPr>
              <w:t>6,000.00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476,988,0</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42.71</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49,530,13</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2.00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379,339,8</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12.76</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1,454,7</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82,760.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92</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3,577,076</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,484.39</w:t>
            </w: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21"/>
              <w:jc w:val="both"/>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w:t>
            </w: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号填列）</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179,338,</w:t>
            </w:r>
          </w:p>
          <w:p>
            <w:pPr>
              <w:pStyle w:val="TableParagraph"/>
              <w:spacing w:line="240" w:lineRule="auto" w:before="105"/>
              <w:ind w:left="140" w:right="0"/>
              <w:jc w:val="center"/>
              <w:rPr>
                <w:rFonts w:ascii="Times New Roman" w:hAnsi="Times New Roman" w:cs="Times New Roman" w:eastAsia="Times New Roman" w:hint="default"/>
                <w:sz w:val="18"/>
                <w:szCs w:val="18"/>
              </w:rPr>
            </w:pPr>
            <w:r>
              <w:rPr>
                <w:rFonts w:ascii="Times New Roman"/>
                <w:sz w:val="18"/>
              </w:rPr>
              <w:t>382.00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 w:right="0"/>
              <w:jc w:val="center"/>
              <w:rPr>
                <w:rFonts w:ascii="Times New Roman" w:hAnsi="Times New Roman" w:cs="Times New Roman" w:eastAsia="Times New Roman" w:hint="default"/>
                <w:sz w:val="18"/>
                <w:szCs w:val="18"/>
              </w:rPr>
            </w:pPr>
            <w:r>
              <w:rPr>
                <w:rFonts w:ascii="Times New Roman"/>
                <w:sz w:val="18"/>
              </w:rPr>
              <w:t>1,402,198</w:t>
            </w:r>
          </w:p>
          <w:p>
            <w:pPr>
              <w:pStyle w:val="TableParagraph"/>
              <w:spacing w:line="240" w:lineRule="auto" w:before="105"/>
              <w:ind w:left="202" w:right="0"/>
              <w:jc w:val="center"/>
              <w:rPr>
                <w:rFonts w:ascii="Times New Roman" w:hAnsi="Times New Roman" w:cs="Times New Roman" w:eastAsia="Times New Roman" w:hint="default"/>
                <w:sz w:val="18"/>
                <w:szCs w:val="18"/>
              </w:rPr>
            </w:pPr>
            <w:r>
              <w:rPr>
                <w:rFonts w:ascii="Times New Roman"/>
                <w:sz w:val="18"/>
              </w:rPr>
              <w:t>,436.17</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5" w:right="0"/>
              <w:jc w:val="left"/>
              <w:rPr>
                <w:rFonts w:ascii="Times New Roman" w:hAnsi="Times New Roman" w:cs="Times New Roman" w:eastAsia="Times New Roman" w:hint="default"/>
                <w:sz w:val="18"/>
                <w:szCs w:val="18"/>
              </w:rPr>
            </w:pPr>
            <w:r>
              <w:rPr>
                <w:rFonts w:ascii="Times New Roman"/>
                <w:sz w:val="18"/>
              </w:rPr>
              <w:t>-49,530,1</w:t>
            </w:r>
          </w:p>
          <w:p>
            <w:pPr>
              <w:pStyle w:val="TableParagraph"/>
              <w:spacing w:line="240" w:lineRule="auto" w:before="105"/>
              <w:ind w:left="361" w:right="0"/>
              <w:jc w:val="left"/>
              <w:rPr>
                <w:rFonts w:ascii="Times New Roman" w:hAnsi="Times New Roman" w:cs="Times New Roman" w:eastAsia="Times New Roman" w:hint="default"/>
                <w:sz w:val="18"/>
                <w:szCs w:val="18"/>
              </w:rPr>
            </w:pPr>
            <w:r>
              <w:rPr>
                <w:rFonts w:ascii="Times New Roman"/>
                <w:sz w:val="18"/>
              </w:rPr>
              <w:t>32.00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56,436,63</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4.24</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8" w:right="0"/>
              <w:jc w:val="left"/>
              <w:rPr>
                <w:rFonts w:ascii="Times New Roman" w:hAnsi="Times New Roman" w:cs="Times New Roman" w:eastAsia="Times New Roman" w:hint="default"/>
                <w:sz w:val="18"/>
                <w:szCs w:val="18"/>
              </w:rPr>
            </w:pPr>
            <w:r>
              <w:rPr>
                <w:rFonts w:ascii="Times New Roman"/>
                <w:sz w:val="18"/>
              </w:rPr>
              <w:t>181,417</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,908.15</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1,868,921</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,492.56</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564,366</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,342.39</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564,366,3</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42.39</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179,338,</w:t>
            </w:r>
          </w:p>
          <w:p>
            <w:pPr>
              <w:pStyle w:val="TableParagraph"/>
              <w:spacing w:line="240" w:lineRule="auto" w:before="105"/>
              <w:ind w:left="140" w:right="0"/>
              <w:jc w:val="center"/>
              <w:rPr>
                <w:rFonts w:ascii="Times New Roman" w:hAnsi="Times New Roman" w:cs="Times New Roman" w:eastAsia="Times New Roman" w:hint="default"/>
                <w:sz w:val="18"/>
                <w:szCs w:val="18"/>
              </w:rPr>
            </w:pPr>
            <w:r>
              <w:rPr>
                <w:rFonts w:ascii="Times New Roman"/>
                <w:sz w:val="18"/>
              </w:rPr>
              <w:t>382.00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center"/>
              <w:rPr>
                <w:rFonts w:ascii="Times New Roman" w:hAnsi="Times New Roman" w:cs="Times New Roman" w:eastAsia="Times New Roman" w:hint="default"/>
                <w:sz w:val="18"/>
                <w:szCs w:val="18"/>
              </w:rPr>
            </w:pPr>
            <w:r>
              <w:rPr>
                <w:rFonts w:ascii="Times New Roman"/>
                <w:sz w:val="18"/>
              </w:rPr>
              <w:t>1,402,198</w:t>
            </w:r>
          </w:p>
          <w:p>
            <w:pPr>
              <w:pStyle w:val="TableParagraph"/>
              <w:spacing w:line="240" w:lineRule="auto" w:before="105"/>
              <w:ind w:left="202" w:right="0"/>
              <w:jc w:val="center"/>
              <w:rPr>
                <w:rFonts w:ascii="Times New Roman" w:hAnsi="Times New Roman" w:cs="Times New Roman" w:eastAsia="Times New Roman" w:hint="default"/>
                <w:sz w:val="18"/>
                <w:szCs w:val="18"/>
              </w:rPr>
            </w:pPr>
            <w:r>
              <w:rPr>
                <w:rFonts w:ascii="Times New Roman"/>
                <w:sz w:val="18"/>
              </w:rPr>
              <w:t>,436.17</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1,581,536</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,818.17</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．所有者投入的 普通股</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188,787,</w:t>
            </w:r>
          </w:p>
          <w:p>
            <w:pPr>
              <w:pStyle w:val="TableParagraph"/>
              <w:spacing w:line="240" w:lineRule="auto" w:before="105"/>
              <w:ind w:left="140" w:right="0"/>
              <w:jc w:val="center"/>
              <w:rPr>
                <w:rFonts w:ascii="Times New Roman" w:hAnsi="Times New Roman" w:cs="Times New Roman" w:eastAsia="Times New Roman" w:hint="default"/>
                <w:sz w:val="18"/>
                <w:szCs w:val="18"/>
              </w:rPr>
            </w:pPr>
            <w:r>
              <w:rPr>
                <w:rFonts w:ascii="Times New Roman"/>
                <w:sz w:val="18"/>
              </w:rPr>
              <w:t>182.00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center"/>
              <w:rPr>
                <w:rFonts w:ascii="Times New Roman" w:hAnsi="Times New Roman" w:cs="Times New Roman" w:eastAsia="Times New Roman" w:hint="default"/>
                <w:sz w:val="18"/>
                <w:szCs w:val="18"/>
              </w:rPr>
            </w:pPr>
            <w:r>
              <w:rPr>
                <w:rFonts w:ascii="Times New Roman"/>
                <w:sz w:val="18"/>
              </w:rPr>
              <w:t>1,437,267</w:t>
            </w:r>
          </w:p>
          <w:p>
            <w:pPr>
              <w:pStyle w:val="TableParagraph"/>
              <w:spacing w:line="240" w:lineRule="auto" w:before="105"/>
              <w:ind w:left="202" w:right="0"/>
              <w:jc w:val="center"/>
              <w:rPr>
                <w:rFonts w:ascii="Times New Roman" w:hAnsi="Times New Roman" w:cs="Times New Roman" w:eastAsia="Times New Roman" w:hint="default"/>
                <w:sz w:val="18"/>
                <w:szCs w:val="18"/>
              </w:rPr>
            </w:pPr>
            <w:r>
              <w:rPr>
                <w:rFonts w:ascii="Times New Roman"/>
                <w:sz w:val="18"/>
              </w:rPr>
              <w:t>,628.39</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1,626,054</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,810.39</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683,823.7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683,823.7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4" w:right="0"/>
              <w:jc w:val="center"/>
              <w:rPr>
                <w:rFonts w:ascii="Times New Roman" w:hAnsi="Times New Roman" w:cs="Times New Roman" w:eastAsia="Times New Roman" w:hint="default"/>
                <w:sz w:val="18"/>
                <w:szCs w:val="18"/>
              </w:rPr>
            </w:pPr>
            <w:r>
              <w:rPr>
                <w:rFonts w:ascii="Times New Roman"/>
                <w:sz w:val="18"/>
              </w:rPr>
              <w:t>-9,448,8</w:t>
            </w:r>
          </w:p>
          <w:p>
            <w:pPr>
              <w:pStyle w:val="TableParagraph"/>
              <w:spacing w:line="240" w:lineRule="auto" w:before="105"/>
              <w:ind w:left="230" w:right="0"/>
              <w:jc w:val="center"/>
              <w:rPr>
                <w:rFonts w:ascii="Times New Roman" w:hAnsi="Times New Roman" w:cs="Times New Roman" w:eastAsia="Times New Roman" w:hint="default"/>
                <w:sz w:val="18"/>
                <w:szCs w:val="18"/>
              </w:rPr>
            </w:pPr>
            <w:r>
              <w:rPr>
                <w:rFonts w:ascii="Times New Roman"/>
                <w:sz w:val="18"/>
              </w:rPr>
              <w:t>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-35,753,0</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16.00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-45,201,8</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16.00</w:t>
            </w: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56,436,63</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4.24</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-382,94</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8,434.2</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4</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1" w:right="0"/>
              <w:jc w:val="center"/>
              <w:rPr>
                <w:rFonts w:ascii="Times New Roman" w:hAnsi="Times New Roman" w:cs="Times New Roman" w:eastAsia="Times New Roman" w:hint="default"/>
                <w:sz w:val="18"/>
                <w:szCs w:val="18"/>
              </w:rPr>
            </w:pPr>
            <w:r>
              <w:rPr>
                <w:rFonts w:ascii="Times New Roman"/>
                <w:sz w:val="18"/>
              </w:rPr>
              <w:t>-326,511,</w:t>
            </w:r>
          </w:p>
          <w:p>
            <w:pPr>
              <w:pStyle w:val="TableParagraph"/>
              <w:spacing w:line="240" w:lineRule="auto" w:before="105"/>
              <w:ind w:left="230" w:right="0"/>
              <w:jc w:val="center"/>
              <w:rPr>
                <w:rFonts w:ascii="Times New Roman" w:hAnsi="Times New Roman" w:cs="Times New Roman" w:eastAsia="Times New Roman" w:hint="default"/>
                <w:sz w:val="18"/>
                <w:szCs w:val="18"/>
              </w:rPr>
            </w:pPr>
            <w:r>
              <w:rPr>
                <w:rFonts w:ascii="Times New Roman"/>
                <w:sz w:val="18"/>
              </w:rPr>
              <w:t>800.00</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56,436,63</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4.24</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-56,436,</w:t>
            </w:r>
          </w:p>
          <w:p>
            <w:pPr>
              <w:pStyle w:val="TableParagraph"/>
              <w:spacing w:line="240" w:lineRule="auto" w:before="105"/>
              <w:ind w:left="126" w:right="0"/>
              <w:jc w:val="center"/>
              <w:rPr>
                <w:rFonts w:ascii="Times New Roman" w:hAnsi="Times New Roman" w:cs="Times New Roman" w:eastAsia="Times New Roman" w:hint="default"/>
                <w:sz w:val="18"/>
                <w:szCs w:val="18"/>
              </w:rPr>
            </w:pPr>
            <w:r>
              <w:rPr>
                <w:rFonts w:ascii="Times New Roman"/>
                <w:sz w:val="18"/>
              </w:rPr>
              <w:t>634.24</w:t>
            </w: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00" w:lineRule="auto"/>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z w:val="18"/>
              </w:rPr>
              <w:t>-326,51</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1,800.0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1" w:right="0"/>
              <w:jc w:val="center"/>
              <w:rPr>
                <w:rFonts w:ascii="Times New Roman" w:hAnsi="Times New Roman" w:cs="Times New Roman" w:eastAsia="Times New Roman" w:hint="default"/>
                <w:sz w:val="18"/>
                <w:szCs w:val="18"/>
              </w:rPr>
            </w:pPr>
            <w:r>
              <w:rPr>
                <w:rFonts w:ascii="Times New Roman"/>
                <w:sz w:val="18"/>
              </w:rPr>
              <w:t>-326,511,</w:t>
            </w:r>
          </w:p>
          <w:p>
            <w:pPr>
              <w:pStyle w:val="TableParagraph"/>
              <w:spacing w:line="240" w:lineRule="auto" w:before="105"/>
              <w:ind w:left="230" w:right="0"/>
              <w:jc w:val="center"/>
              <w:rPr>
                <w:rFonts w:ascii="Times New Roman" w:hAnsi="Times New Roman" w:cs="Times New Roman" w:eastAsia="Times New Roman" w:hint="default"/>
                <w:sz w:val="18"/>
                <w:szCs w:val="18"/>
              </w:rPr>
            </w:pPr>
            <w:r>
              <w:rPr>
                <w:rFonts w:ascii="Times New Roman"/>
                <w:sz w:val="18"/>
              </w:rPr>
              <w:t>800.00</w:t>
            </w: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36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．设定受益计划 变动额结转留存 收益</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 w:right="0"/>
              <w:jc w:val="left"/>
              <w:rPr>
                <w:rFonts w:ascii="Times New Roman" w:hAnsi="Times New Roman" w:cs="Times New Roman" w:eastAsia="Times New Roman" w:hint="default"/>
                <w:sz w:val="18"/>
                <w:szCs w:val="18"/>
              </w:rPr>
            </w:pPr>
            <w:r>
              <w:rPr>
                <w:rFonts w:ascii="Times New Roman"/>
                <w:sz w:val="18"/>
              </w:rPr>
              <w:t>-49,530,1</w:t>
            </w:r>
          </w:p>
          <w:p>
            <w:pPr>
              <w:pStyle w:val="TableParagraph"/>
              <w:spacing w:line="240" w:lineRule="auto" w:before="105"/>
              <w:ind w:left="361" w:right="0"/>
              <w:jc w:val="left"/>
              <w:rPr>
                <w:rFonts w:ascii="Times New Roman" w:hAnsi="Times New Roman" w:cs="Times New Roman" w:eastAsia="Times New Roman" w:hint="default"/>
                <w:sz w:val="18"/>
                <w:szCs w:val="18"/>
              </w:rPr>
            </w:pPr>
            <w:r>
              <w:rPr>
                <w:rFonts w:ascii="Times New Roman"/>
                <w:sz w:val="18"/>
              </w:rPr>
              <w:t>32.00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49,530,13</w:t>
            </w:r>
          </w:p>
          <w:p>
            <w:pPr>
              <w:pStyle w:val="TableParagraph"/>
              <w:spacing w:line="240" w:lineRule="auto" w:before="105"/>
              <w:ind w:left="433" w:right="0"/>
              <w:jc w:val="left"/>
              <w:rPr>
                <w:rFonts w:ascii="Times New Roman" w:hAnsi="Times New Roman" w:cs="Times New Roman" w:eastAsia="Times New Roman" w:hint="default"/>
                <w:sz w:val="18"/>
                <w:szCs w:val="18"/>
              </w:rPr>
            </w:pPr>
            <w:r>
              <w:rPr>
                <w:rFonts w:ascii="Times New Roman"/>
                <w:sz w:val="18"/>
              </w:rPr>
              <w:t>2.00</w:t>
            </w: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7" w:right="0"/>
              <w:jc w:val="left"/>
              <w:rPr>
                <w:rFonts w:ascii="Times New Roman" w:hAnsi="Times New Roman" w:cs="Times New Roman" w:eastAsia="Times New Roman" w:hint="default"/>
                <w:sz w:val="18"/>
                <w:szCs w:val="18"/>
              </w:rPr>
            </w:pPr>
            <w:r>
              <w:rPr>
                <w:rFonts w:ascii="Times New Roman"/>
                <w:sz w:val="18"/>
              </w:rPr>
              <w:t>1,494,83</w:t>
            </w:r>
          </w:p>
          <w:p>
            <w:pPr>
              <w:pStyle w:val="TableParagraph"/>
              <w:spacing w:line="240" w:lineRule="auto" w:before="105"/>
              <w:ind w:left="27" w:right="0"/>
              <w:jc w:val="left"/>
              <w:rPr>
                <w:rFonts w:ascii="Times New Roman" w:hAnsi="Times New Roman" w:cs="Times New Roman" w:eastAsia="Times New Roman" w:hint="default"/>
                <w:sz w:val="18"/>
                <w:szCs w:val="18"/>
              </w:rPr>
            </w:pPr>
            <w:r>
              <w:rPr>
                <w:rFonts w:ascii="Times New Roman"/>
                <w:sz w:val="18"/>
              </w:rPr>
              <w:t>4,382.00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 w:right="0"/>
              <w:jc w:val="center"/>
              <w:rPr>
                <w:rFonts w:ascii="Times New Roman" w:hAnsi="Times New Roman" w:cs="Times New Roman" w:eastAsia="Times New Roman" w:hint="default"/>
                <w:sz w:val="18"/>
                <w:szCs w:val="18"/>
              </w:rPr>
            </w:pPr>
            <w:r>
              <w:rPr>
                <w:rFonts w:ascii="Times New Roman"/>
                <w:sz w:val="18"/>
              </w:rPr>
              <w:t>1,879,186</w:t>
            </w:r>
          </w:p>
          <w:p>
            <w:pPr>
              <w:pStyle w:val="TableParagraph"/>
              <w:spacing w:line="240" w:lineRule="auto" w:before="105"/>
              <w:ind w:left="202" w:right="0"/>
              <w:jc w:val="center"/>
              <w:rPr>
                <w:rFonts w:ascii="Times New Roman" w:hAnsi="Times New Roman" w:cs="Times New Roman" w:eastAsia="Times New Roman" w:hint="default"/>
                <w:sz w:val="18"/>
                <w:szCs w:val="18"/>
              </w:rPr>
            </w:pPr>
            <w:r>
              <w:rPr>
                <w:rFonts w:ascii="Times New Roman"/>
                <w:sz w:val="18"/>
              </w:rPr>
              <w:t>,478.88</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435,776,4</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47.00</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1,636,2</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00,669.</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07</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5,445,997</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,976.95</w:t>
            </w:r>
          </w:p>
        </w:tc>
      </w:tr>
    </w:tbl>
    <w:p>
      <w:pPr>
        <w:spacing w:line="240" w:lineRule="auto" w:before="7"/>
        <w:rPr>
          <w:rFonts w:ascii="Times New Roman" w:hAnsi="Times New Roman" w:cs="Times New Roman" w:eastAsia="Times New Roman" w:hint="default"/>
          <w:sz w:val="20"/>
          <w:szCs w:val="20"/>
        </w:rPr>
      </w:pPr>
    </w:p>
    <w:p>
      <w:pPr>
        <w:pStyle w:val="Heading2"/>
        <w:spacing w:line="240" w:lineRule="auto" w:before="26"/>
        <w:ind w:right="0"/>
        <w:jc w:val="left"/>
        <w:rPr>
          <w:b w:val="0"/>
          <w:bCs w:val="0"/>
        </w:rPr>
      </w:pPr>
      <w:bookmarkStart w:name="三、公司基本情况" w:id="165"/>
      <w:bookmarkEnd w:id="165"/>
      <w:r>
        <w:rPr>
          <w:b w:val="0"/>
          <w:bCs w:val="0"/>
        </w:rPr>
      </w:r>
      <w:r>
        <w:rPr/>
        <w:t>三、公司基本情况</w:t>
      </w:r>
      <w:r>
        <w:rPr>
          <w:b w:val="0"/>
          <w:bCs w:val="0"/>
        </w:rPr>
      </w:r>
    </w:p>
    <w:p>
      <w:pPr>
        <w:spacing w:line="240" w:lineRule="auto" w:before="6"/>
        <w:rPr>
          <w:rFonts w:ascii="宋体" w:hAnsi="宋体" w:cs="宋体" w:eastAsia="宋体" w:hint="default"/>
          <w:b/>
          <w:bCs/>
          <w:sz w:val="26"/>
          <w:szCs w:val="26"/>
        </w:rPr>
      </w:pPr>
    </w:p>
    <w:p>
      <w:pPr>
        <w:pStyle w:val="BodyText"/>
        <w:spacing w:line="300" w:lineRule="auto"/>
        <w:ind w:right="1131" w:firstLine="480"/>
        <w:jc w:val="both"/>
      </w:pPr>
      <w:r>
        <w:rPr/>
        <w:t>深圳劲嘉集团股份有限公司（以下简称</w:t>
      </w:r>
      <w:r>
        <w:rPr>
          <w:rFonts w:ascii="Times New Roman" w:hAnsi="Times New Roman" w:cs="Times New Roman" w:eastAsia="Times New Roman" w:hint="default"/>
        </w:rPr>
        <w:t>“</w:t>
      </w:r>
      <w:r>
        <w:rPr/>
        <w:t>本公司</w:t>
      </w:r>
      <w:r>
        <w:rPr>
          <w:rFonts w:ascii="Times New Roman" w:hAnsi="Times New Roman" w:cs="Times New Roman" w:eastAsia="Times New Roman" w:hint="default"/>
        </w:rPr>
        <w:t>”</w:t>
      </w:r>
      <w:r>
        <w:rPr/>
        <w:t>或</w:t>
      </w:r>
      <w:r>
        <w:rPr>
          <w:rFonts w:ascii="Times New Roman" w:hAnsi="Times New Roman" w:cs="Times New Roman" w:eastAsia="Times New Roman" w:hint="default"/>
        </w:rPr>
        <w:t>“</w:t>
      </w:r>
      <w:r>
        <w:rPr/>
        <w:t>公司</w:t>
      </w:r>
      <w:r>
        <w:rPr>
          <w:rFonts w:ascii="Times New Roman" w:hAnsi="Times New Roman" w:cs="Times New Roman" w:eastAsia="Times New Roman" w:hint="default"/>
        </w:rPr>
        <w:t>”</w:t>
      </w:r>
      <w:r>
        <w:rPr/>
        <w:t>）于</w:t>
      </w:r>
      <w:r>
        <w:rPr>
          <w:rFonts w:ascii="Times New Roman" w:hAnsi="Times New Roman" w:cs="Times New Roman" w:eastAsia="Times New Roman" w:hint="default"/>
        </w:rPr>
        <w:t>1996</w:t>
      </w:r>
      <w:r>
        <w:rPr/>
        <w:t>年</w:t>
      </w:r>
      <w:r>
        <w:rPr>
          <w:rFonts w:ascii="Times New Roman" w:hAnsi="Times New Roman" w:cs="Times New Roman" w:eastAsia="Times New Roman" w:hint="default"/>
        </w:rPr>
        <w:t>10</w:t>
      </w:r>
      <w:r>
        <w:rPr/>
        <w:t>月在深圳注册成立，现总部位于广东省深圳市 南山区高新产业园区科技中二路劲嘉科技大厦</w:t>
      </w:r>
      <w:r>
        <w:rPr>
          <w:rFonts w:ascii="Times New Roman" w:hAnsi="Times New Roman" w:cs="Times New Roman" w:eastAsia="Times New Roman" w:hint="default"/>
        </w:rPr>
        <w:t>18-19</w:t>
      </w:r>
      <w:r>
        <w:rPr/>
        <w:t>楼。</w:t>
      </w:r>
    </w:p>
    <w:p>
      <w:pPr>
        <w:pStyle w:val="BodyText"/>
        <w:spacing w:line="307" w:lineRule="auto" w:before="13"/>
        <w:ind w:left="634" w:right="3452"/>
        <w:jc w:val="left"/>
      </w:pPr>
      <w:r>
        <w:rPr/>
        <w:t>本财务报表业经本公司第五届董事会</w:t>
      </w:r>
      <w:r>
        <w:rPr>
          <w:rFonts w:ascii="Times New Roman" w:hAnsi="Times New Roman" w:cs="Times New Roman" w:eastAsia="Times New Roman" w:hint="default"/>
        </w:rPr>
        <w:t>2019</w:t>
      </w:r>
      <w:r>
        <w:rPr/>
        <w:t>年第四次会议于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16</w:t>
      </w:r>
      <w:r>
        <w:rPr/>
        <w:t>日批准报出。 本公司及子公司主要从事烟标及非烟标产品印刷，包装材料及印刷材料销售。 本公司本期纳入合并范围的子公司合计</w:t>
      </w:r>
      <w:r>
        <w:rPr>
          <w:rFonts w:ascii="Times New Roman" w:hAnsi="Times New Roman" w:cs="Times New Roman" w:eastAsia="Times New Roman" w:hint="default"/>
        </w:rPr>
        <w:t>29</w:t>
      </w:r>
      <w:r>
        <w:rPr/>
        <w:t>户。详见本附注九、</w:t>
      </w:r>
      <w:r>
        <w:rPr>
          <w:rFonts w:ascii="Times New Roman" w:hAnsi="Times New Roman" w:cs="Times New Roman" w:eastAsia="Times New Roman" w:hint="default"/>
        </w:rPr>
        <w:t>“</w:t>
      </w:r>
      <w:r>
        <w:rPr/>
        <w:t>在其他主体中的权益</w:t>
      </w:r>
      <w:r>
        <w:rPr>
          <w:rFonts w:ascii="Times New Roman" w:hAnsi="Times New Roman" w:cs="Times New Roman" w:eastAsia="Times New Roman" w:hint="default"/>
        </w:rPr>
        <w:t>”</w:t>
      </w:r>
      <w:r>
        <w:rPr/>
        <w:t>。 本公司本期合并范围比上年度增加</w:t>
      </w:r>
      <w:r>
        <w:rPr>
          <w:rFonts w:ascii="Times New Roman" w:hAnsi="Times New Roman" w:cs="Times New Roman" w:eastAsia="Times New Roman" w:hint="default"/>
        </w:rPr>
        <w:t>5</w:t>
      </w:r>
      <w:r>
        <w:rPr/>
        <w:t>户减少</w:t>
      </w:r>
      <w:r>
        <w:rPr>
          <w:rFonts w:ascii="Times New Roman" w:hAnsi="Times New Roman" w:cs="Times New Roman" w:eastAsia="Times New Roman" w:hint="default"/>
        </w:rPr>
        <w:t>0</w:t>
      </w:r>
      <w:r>
        <w:rPr/>
        <w:t>户，详见本附注八、</w:t>
      </w:r>
      <w:r>
        <w:rPr>
          <w:rFonts w:ascii="Times New Roman" w:hAnsi="Times New Roman" w:cs="Times New Roman" w:eastAsia="Times New Roman" w:hint="default"/>
        </w:rPr>
        <w:t>“</w:t>
      </w:r>
      <w:r>
        <w:rPr/>
        <w:t>合并范围的变更</w:t>
      </w:r>
      <w:r>
        <w:rPr>
          <w:rFonts w:ascii="Times New Roman" w:hAnsi="Times New Roman" w:cs="Times New Roman" w:eastAsia="Times New Roman" w:hint="default"/>
        </w:rPr>
        <w:t>”</w:t>
      </w:r>
      <w:r>
        <w:rPr/>
        <w:t>。</w:t>
      </w:r>
    </w:p>
    <w:p>
      <w:pPr>
        <w:spacing w:line="240" w:lineRule="auto" w:before="11"/>
        <w:rPr>
          <w:rFonts w:ascii="宋体" w:hAnsi="宋体" w:cs="宋体" w:eastAsia="宋体" w:hint="default"/>
          <w:sz w:val="19"/>
          <w:szCs w:val="19"/>
        </w:rPr>
      </w:pPr>
    </w:p>
    <w:p>
      <w:pPr>
        <w:pStyle w:val="Heading2"/>
        <w:spacing w:line="240" w:lineRule="auto"/>
        <w:ind w:right="0"/>
        <w:jc w:val="left"/>
        <w:rPr>
          <w:b w:val="0"/>
          <w:bCs w:val="0"/>
        </w:rPr>
      </w:pPr>
      <w:bookmarkStart w:name="四、财务报表的编制基础" w:id="166"/>
      <w:bookmarkEnd w:id="166"/>
      <w:r>
        <w:rPr>
          <w:b w:val="0"/>
          <w:bCs w:val="0"/>
        </w:rPr>
      </w:r>
      <w:r>
        <w:rPr/>
        <w:t>四、财务报表的编制基础</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编制基础" w:id="167"/>
      <w:bookmarkEnd w:id="167"/>
      <w:r>
        <w:rPr>
          <w:b w:val="0"/>
          <w:bCs w:val="0"/>
        </w:rPr>
      </w:r>
      <w:r>
        <w:rPr>
          <w:rFonts w:ascii="Times New Roman" w:hAnsi="Times New Roman" w:cs="Times New Roman" w:eastAsia="Times New Roman" w:hint="default"/>
        </w:rPr>
        <w:t>1</w:t>
      </w:r>
      <w:r>
        <w:rPr/>
        <w:t>、编制基础</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right="1129" w:firstLine="464"/>
        <w:jc w:val="both"/>
      </w:pPr>
      <w:r>
        <w:rPr>
          <w:spacing w:val="-1"/>
        </w:rPr>
        <w:t>本公司财务报表以持续经营假设为基础，根据实际发生的交易和事项，按照财政部发布的《企业会计准则</w:t>
      </w:r>
      <w:r>
        <w:rPr>
          <w:rFonts w:ascii="Times New Roman" w:hAnsi="Times New Roman" w:cs="Times New Roman" w:eastAsia="Times New Roman" w:hint="default"/>
          <w:spacing w:val="-1"/>
        </w:rPr>
        <w:t>——</w:t>
      </w:r>
      <w:r>
        <w:rPr>
          <w:spacing w:val="-1"/>
        </w:rPr>
        <w:t>基本准</w:t>
      </w:r>
      <w:r>
        <w:rPr/>
        <w:t> 则》（财政部令第</w:t>
      </w:r>
      <w:r>
        <w:rPr>
          <w:rFonts w:ascii="Times New Roman" w:hAnsi="Times New Roman" w:cs="Times New Roman" w:eastAsia="Times New Roman" w:hint="default"/>
        </w:rPr>
        <w:t>33</w:t>
      </w:r>
      <w:r>
        <w:rPr/>
        <w:t>号发布、财政部令第</w:t>
      </w:r>
      <w:r>
        <w:rPr>
          <w:rFonts w:ascii="Times New Roman" w:hAnsi="Times New Roman" w:cs="Times New Roman" w:eastAsia="Times New Roman" w:hint="default"/>
        </w:rPr>
        <w:t>76</w:t>
      </w:r>
      <w:r>
        <w:rPr/>
        <w:t>号修订）、于</w:t>
      </w:r>
      <w:r>
        <w:rPr>
          <w:rFonts w:ascii="Times New Roman" w:hAnsi="Times New Roman" w:cs="Times New Roman" w:eastAsia="Times New Roman" w:hint="default"/>
        </w:rPr>
        <w:t>2006</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15</w:t>
      </w:r>
      <w:r>
        <w:rPr/>
        <w:t>日及其后颁布和修订的</w:t>
      </w:r>
      <w:r>
        <w:rPr>
          <w:rFonts w:ascii="Times New Roman" w:hAnsi="Times New Roman" w:cs="Times New Roman" w:eastAsia="Times New Roman" w:hint="default"/>
        </w:rPr>
        <w:t>42</w:t>
      </w:r>
      <w:r>
        <w:rPr/>
        <w:t>项具体会计准则、企业会计</w:t>
      </w:r>
      <w:r>
        <w:rPr>
          <w:spacing w:val="-83"/>
        </w:rPr>
        <w:t> </w:t>
      </w:r>
      <w:r>
        <w:rPr>
          <w:spacing w:val="-83"/>
        </w:rPr>
      </w:r>
      <w:r>
        <w:rPr>
          <w:spacing w:val="-2"/>
        </w:rPr>
        <w:t>准则应用指南、企业会计准则解释及其他相关规定（以下合称</w:t>
      </w:r>
      <w:r>
        <w:rPr>
          <w:rFonts w:ascii="Times New Roman" w:hAnsi="Times New Roman" w:cs="Times New Roman" w:eastAsia="Times New Roman" w:hint="default"/>
          <w:spacing w:val="-2"/>
        </w:rPr>
        <w:t>“</w:t>
      </w:r>
      <w:r>
        <w:rPr>
          <w:spacing w:val="-2"/>
        </w:rPr>
        <w:t>企业会计准则</w:t>
      </w:r>
      <w:r>
        <w:rPr>
          <w:rFonts w:ascii="Times New Roman" w:hAnsi="Times New Roman" w:cs="Times New Roman" w:eastAsia="Times New Roman" w:hint="default"/>
          <w:spacing w:val="-2"/>
        </w:rPr>
        <w:t>”</w:t>
      </w:r>
      <w:r>
        <w:rPr>
          <w:spacing w:val="-2"/>
        </w:rPr>
        <w:t>），以及中国证券监督管理委员会《公开发行</w:t>
      </w:r>
      <w:r>
        <w:rPr>
          <w:spacing w:val="-47"/>
        </w:rPr>
        <w:t> </w:t>
      </w:r>
      <w:r>
        <w:rPr>
          <w:spacing w:val="-47"/>
        </w:rPr>
      </w:r>
      <w:r>
        <w:rPr/>
        <w:t>证券的公司信息披露编报规则第</w:t>
      </w:r>
      <w:r>
        <w:rPr>
          <w:rFonts w:ascii="Times New Roman" w:hAnsi="Times New Roman" w:cs="Times New Roman" w:eastAsia="Times New Roman" w:hint="default"/>
        </w:rPr>
        <w:t>15</w:t>
      </w:r>
      <w:r>
        <w:rPr/>
        <w:t>号</w:t>
      </w:r>
      <w:r>
        <w:rPr>
          <w:rFonts w:ascii="Times New Roman" w:hAnsi="Times New Roman" w:cs="Times New Roman" w:eastAsia="Times New Roman" w:hint="default"/>
        </w:rPr>
        <w:t>——</w:t>
      </w:r>
      <w:r>
        <w:rPr/>
        <w:t>财务报告的一般规定》（</w:t>
      </w:r>
      <w:r>
        <w:rPr>
          <w:rFonts w:ascii="Times New Roman" w:hAnsi="Times New Roman" w:cs="Times New Roman" w:eastAsia="Times New Roman" w:hint="default"/>
        </w:rPr>
        <w:t>2014</w:t>
      </w:r>
      <w:r>
        <w:rPr/>
        <w:t>年修订）的披露规定编制。</w:t>
      </w:r>
    </w:p>
    <w:p>
      <w:pPr>
        <w:pStyle w:val="BodyText"/>
        <w:spacing w:line="316" w:lineRule="auto" w:before="13"/>
        <w:ind w:right="1133" w:firstLine="464"/>
        <w:jc w:val="both"/>
      </w:pPr>
      <w:r>
        <w:rPr>
          <w:spacing w:val="-1"/>
        </w:rPr>
        <w:t>根据企业会计准则的相关规定，本公司会计核算以权责发生制为基础。除某些金融工具外，本财务报表均以历史成本</w:t>
      </w:r>
      <w:r>
        <w:rPr/>
        <w:t> 为计量基础。资产如果发生减值，则按照相关规定计提相应的减值准备。</w:t>
      </w:r>
    </w:p>
    <w:p>
      <w:pPr>
        <w:spacing w:line="240" w:lineRule="auto" w:before="7"/>
        <w:rPr>
          <w:rFonts w:ascii="宋体" w:hAnsi="宋体" w:cs="宋体" w:eastAsia="宋体" w:hint="default"/>
          <w:sz w:val="22"/>
          <w:szCs w:val="22"/>
        </w:rPr>
      </w:pPr>
    </w:p>
    <w:p>
      <w:pPr>
        <w:pStyle w:val="Heading3"/>
        <w:spacing w:line="240" w:lineRule="auto"/>
        <w:ind w:right="0"/>
        <w:jc w:val="left"/>
        <w:rPr>
          <w:b w:val="0"/>
          <w:bCs w:val="0"/>
        </w:rPr>
      </w:pPr>
      <w:bookmarkStart w:name="2、持续经营" w:id="168"/>
      <w:bookmarkEnd w:id="168"/>
      <w:r>
        <w:rPr>
          <w:b w:val="0"/>
          <w:bCs w:val="0"/>
        </w:rPr>
      </w:r>
      <w:r>
        <w:rPr>
          <w:rFonts w:ascii="Times New Roman" w:hAnsi="Times New Roman" w:cs="Times New Roman" w:eastAsia="Times New Roman" w:hint="default"/>
        </w:rPr>
        <w:t>2</w:t>
      </w:r>
      <w:r>
        <w:rPr/>
        <w:t>、持续经营</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618" w:right="0"/>
        <w:jc w:val="left"/>
      </w:pPr>
      <w:r>
        <w:rPr/>
        <w:t>本公司预计自报告期末起</w:t>
      </w:r>
      <w:r>
        <w:rPr>
          <w:rFonts w:ascii="Times New Roman" w:hAnsi="Times New Roman" w:cs="Times New Roman" w:eastAsia="Times New Roman" w:hint="default"/>
        </w:rPr>
        <w:t>12</w:t>
      </w:r>
      <w:r>
        <w:rPr/>
        <w:t>个月的持续经营能力正常。</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2"/>
        <w:spacing w:line="240" w:lineRule="auto" w:before="157"/>
        <w:ind w:right="0"/>
        <w:jc w:val="left"/>
        <w:rPr>
          <w:b w:val="0"/>
          <w:bCs w:val="0"/>
        </w:rPr>
      </w:pPr>
      <w:bookmarkStart w:name="五、重要会计政策及会计估计" w:id="169"/>
      <w:bookmarkEnd w:id="169"/>
      <w:r>
        <w:rPr>
          <w:b w:val="0"/>
          <w:bCs w:val="0"/>
        </w:rPr>
      </w:r>
      <w:r>
        <w:rPr/>
        <w:t>五、重要会计政策及会计估计</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公司是否需要遵守特殊行业的披露要求</w:t>
      </w:r>
    </w:p>
    <w:p>
      <w:pPr>
        <w:spacing w:after="0" w:line="240" w:lineRule="auto"/>
        <w:jc w:val="left"/>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pStyle w:val="BodyText"/>
        <w:spacing w:line="357" w:lineRule="auto" w:before="44"/>
        <w:ind w:right="8232"/>
        <w:jc w:val="left"/>
      </w:pPr>
      <w:r>
        <w:rPr/>
        <w:t>否 具体会计政策和会计估计提示：</w:t>
      </w:r>
    </w:p>
    <w:p>
      <w:pPr>
        <w:pStyle w:val="BodyText"/>
        <w:spacing w:line="240" w:lineRule="auto" w:before="28"/>
        <w:ind w:left="618" w:right="0"/>
        <w:jc w:val="left"/>
      </w:pPr>
      <w:r>
        <w:rPr/>
        <w:t>本公司实际执行之会计政策系按照企业会计准则规定制定，不存在需要特别提示的会计政策和会计估计。</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4"/>
          <w:szCs w:val="14"/>
        </w:rPr>
      </w:pPr>
    </w:p>
    <w:p>
      <w:pPr>
        <w:pStyle w:val="Heading3"/>
        <w:spacing w:line="240" w:lineRule="auto"/>
        <w:ind w:right="0"/>
        <w:jc w:val="left"/>
        <w:rPr>
          <w:b w:val="0"/>
          <w:bCs w:val="0"/>
        </w:rPr>
      </w:pPr>
      <w:bookmarkStart w:name="1、遵循企业会计准则的声明" w:id="170"/>
      <w:bookmarkEnd w:id="170"/>
      <w:r>
        <w:rPr>
          <w:b w:val="0"/>
          <w:bCs w:val="0"/>
        </w:rPr>
      </w:r>
      <w:r>
        <w:rPr>
          <w:rFonts w:ascii="Times New Roman" w:hAnsi="Times New Roman" w:cs="Times New Roman" w:eastAsia="Times New Roman" w:hint="default"/>
        </w:rPr>
        <w:t>1</w:t>
      </w:r>
      <w:r>
        <w:rPr/>
        <w:t>、遵循企业会计准则的声明</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130" w:firstLine="480"/>
        <w:jc w:val="both"/>
      </w:pPr>
      <w:r>
        <w:rPr>
          <w:spacing w:val="-1"/>
        </w:rPr>
        <w:t>本公司编制的财务报表符合企业会计准则的要求，真实、完整地反映了本公司</w:t>
      </w:r>
      <w:r>
        <w:rPr>
          <w:rFonts w:ascii="宋体" w:hAnsi="宋体" w:cs="宋体" w:eastAsia="宋体" w:hint="default"/>
          <w:spacing w:val="-1"/>
        </w:rPr>
        <w:t>2018</w:t>
      </w:r>
      <w:r>
        <w:rPr>
          <w:spacing w:val="-1"/>
        </w:rPr>
        <w:t>年</w:t>
      </w:r>
      <w:r>
        <w:rPr>
          <w:rFonts w:ascii="宋体" w:hAnsi="宋体" w:cs="宋体" w:eastAsia="宋体" w:hint="default"/>
          <w:spacing w:val="-1"/>
        </w:rPr>
        <w:t>12</w:t>
      </w:r>
      <w:r>
        <w:rPr>
          <w:spacing w:val="-1"/>
        </w:rPr>
        <w:t>月</w:t>
      </w:r>
      <w:r>
        <w:rPr>
          <w:rFonts w:ascii="宋体" w:hAnsi="宋体" w:cs="宋体" w:eastAsia="宋体" w:hint="default"/>
          <w:spacing w:val="-1"/>
        </w:rPr>
        <w:t>31</w:t>
      </w:r>
      <w:r>
        <w:rPr>
          <w:spacing w:val="-1"/>
        </w:rPr>
        <w:t>日的财务状况及</w:t>
      </w:r>
      <w:r>
        <w:rPr>
          <w:rFonts w:ascii="宋体" w:hAnsi="宋体" w:cs="宋体" w:eastAsia="宋体" w:hint="default"/>
          <w:spacing w:val="-1"/>
        </w:rPr>
        <w:t>2018</w:t>
      </w:r>
      <w:r>
        <w:rPr>
          <w:spacing w:val="-1"/>
        </w:rPr>
        <w:t>年度</w:t>
      </w:r>
      <w:r>
        <w:rPr/>
        <w:t> </w:t>
      </w:r>
      <w:r>
        <w:rPr>
          <w:spacing w:val="-5"/>
        </w:rPr>
        <w:t>的经营成果和现金流量等有关信息。此外，本公司的财务报表在所有重大方面符合中国证券监督管理委员会</w:t>
      </w:r>
      <w:r>
        <w:rPr>
          <w:rFonts w:ascii="宋体" w:hAnsi="宋体" w:cs="宋体" w:eastAsia="宋体" w:hint="default"/>
          <w:spacing w:val="-5"/>
        </w:rPr>
        <w:t>2014</w:t>
      </w:r>
      <w:r>
        <w:rPr>
          <w:spacing w:val="-5"/>
        </w:rPr>
        <w:t>年修订的《公</w:t>
      </w:r>
      <w:r>
        <w:rPr>
          <w:spacing w:val="-68"/>
        </w:rPr>
        <w:t> </w:t>
      </w:r>
      <w:r>
        <w:rPr>
          <w:spacing w:val="-68"/>
        </w:rPr>
      </w:r>
      <w:r>
        <w:rPr/>
        <w:t>开发行证券的公司信息披露编报规则第</w:t>
      </w:r>
      <w:r>
        <w:rPr>
          <w:rFonts w:ascii="宋体" w:hAnsi="宋体" w:cs="宋体" w:eastAsia="宋体" w:hint="default"/>
        </w:rPr>
        <w:t>15</w:t>
      </w:r>
      <w:r>
        <w:rPr/>
        <w:t>号－财务报告的一般规定》有关财务报表及其附注的披露要求。</w:t>
      </w:r>
    </w:p>
    <w:p>
      <w:pPr>
        <w:spacing w:line="240" w:lineRule="auto" w:before="7"/>
        <w:rPr>
          <w:rFonts w:ascii="宋体" w:hAnsi="宋体" w:cs="宋体" w:eastAsia="宋体" w:hint="default"/>
          <w:sz w:val="22"/>
          <w:szCs w:val="22"/>
        </w:rPr>
      </w:pPr>
    </w:p>
    <w:p>
      <w:pPr>
        <w:pStyle w:val="Heading3"/>
        <w:spacing w:line="240" w:lineRule="auto"/>
        <w:ind w:right="0"/>
        <w:jc w:val="left"/>
        <w:rPr>
          <w:b w:val="0"/>
          <w:bCs w:val="0"/>
        </w:rPr>
      </w:pPr>
      <w:bookmarkStart w:name="2、会计期间" w:id="171"/>
      <w:bookmarkEnd w:id="171"/>
      <w:r>
        <w:rPr>
          <w:b w:val="0"/>
          <w:bCs w:val="0"/>
        </w:rPr>
      </w:r>
      <w:r>
        <w:rPr>
          <w:rFonts w:ascii="Times New Roman" w:hAnsi="Times New Roman" w:cs="Times New Roman" w:eastAsia="Times New Roman" w:hint="default"/>
        </w:rPr>
        <w:t>2</w:t>
      </w:r>
      <w:r>
        <w:rPr/>
        <w:t>、会计期间</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043" w:firstLine="480"/>
        <w:jc w:val="both"/>
      </w:pPr>
      <w:r>
        <w:rPr>
          <w:spacing w:val="-3"/>
        </w:rPr>
        <w:t>本公司的会计期间分为年度和中期，会计中期指短于一个完整的会计年度的报告期间。本公司会计年度采用公历年度，</w:t>
      </w:r>
      <w:r>
        <w:rPr/>
        <w:t> 即每年自</w:t>
      </w:r>
      <w:r>
        <w:rPr>
          <w:rFonts w:ascii="宋体" w:hAnsi="宋体" w:cs="宋体" w:eastAsia="宋体" w:hint="default"/>
        </w:rPr>
        <w:t>1</w:t>
      </w:r>
      <w:r>
        <w:rPr/>
        <w:t>月</w:t>
      </w:r>
      <w:r>
        <w:rPr>
          <w:rFonts w:ascii="宋体" w:hAnsi="宋体" w:cs="宋体" w:eastAsia="宋体" w:hint="default"/>
        </w:rPr>
        <w:t>1</w:t>
      </w:r>
      <w:r>
        <w:rPr/>
        <w:t>日起至</w:t>
      </w:r>
      <w:r>
        <w:rPr>
          <w:rFonts w:ascii="宋体" w:hAnsi="宋体" w:cs="宋体" w:eastAsia="宋体" w:hint="default"/>
        </w:rPr>
        <w:t>12</w:t>
      </w:r>
      <w:r>
        <w:rPr/>
        <w:t>月</w:t>
      </w:r>
      <w:r>
        <w:rPr>
          <w:rFonts w:ascii="宋体" w:hAnsi="宋体" w:cs="宋体" w:eastAsia="宋体" w:hint="default"/>
        </w:rPr>
        <w:t>31</w:t>
      </w:r>
      <w:r>
        <w:rPr/>
        <w:t>日止。</w:t>
      </w:r>
    </w:p>
    <w:p>
      <w:pPr>
        <w:spacing w:line="240" w:lineRule="auto" w:before="7"/>
        <w:rPr>
          <w:rFonts w:ascii="宋体" w:hAnsi="宋体" w:cs="宋体" w:eastAsia="宋体" w:hint="default"/>
          <w:sz w:val="22"/>
          <w:szCs w:val="22"/>
        </w:rPr>
      </w:pPr>
    </w:p>
    <w:p>
      <w:pPr>
        <w:pStyle w:val="Heading3"/>
        <w:spacing w:line="240" w:lineRule="auto"/>
        <w:ind w:right="0"/>
        <w:jc w:val="left"/>
        <w:rPr>
          <w:b w:val="0"/>
          <w:bCs w:val="0"/>
        </w:rPr>
      </w:pPr>
      <w:bookmarkStart w:name="3、营业周期" w:id="172"/>
      <w:bookmarkEnd w:id="172"/>
      <w:r>
        <w:rPr>
          <w:b w:val="0"/>
          <w:bCs w:val="0"/>
        </w:rPr>
      </w:r>
      <w:r>
        <w:rPr>
          <w:rFonts w:ascii="Times New Roman" w:hAnsi="Times New Roman" w:cs="Times New Roman" w:eastAsia="Times New Roman" w:hint="default"/>
        </w:rPr>
        <w:t>3</w:t>
      </w:r>
      <w:r>
        <w:rPr/>
        <w:t>、营业周期</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130" w:firstLine="480"/>
        <w:jc w:val="both"/>
      </w:pPr>
      <w:r>
        <w:rPr>
          <w:spacing w:val="-1"/>
        </w:rPr>
        <w:t>正常营业周期是指本公司从购买用于加工的资产起至实现现金或现金等价物的期间。本公司以</w:t>
      </w:r>
      <w:r>
        <w:rPr>
          <w:rFonts w:ascii="宋体" w:hAnsi="宋体" w:cs="宋体" w:eastAsia="宋体" w:hint="default"/>
          <w:spacing w:val="-1"/>
        </w:rPr>
        <w:t>12</w:t>
      </w:r>
      <w:r>
        <w:rPr>
          <w:spacing w:val="-1"/>
        </w:rPr>
        <w:t>个月作为一个营业周</w:t>
      </w:r>
      <w:r>
        <w:rPr/>
        <w:t> 期，并以其作为资产和负债的流动性划分标准。</w:t>
      </w:r>
    </w:p>
    <w:p>
      <w:pPr>
        <w:spacing w:line="240" w:lineRule="auto" w:before="7"/>
        <w:rPr>
          <w:rFonts w:ascii="宋体" w:hAnsi="宋体" w:cs="宋体" w:eastAsia="宋体" w:hint="default"/>
          <w:sz w:val="22"/>
          <w:szCs w:val="22"/>
        </w:rPr>
      </w:pPr>
    </w:p>
    <w:p>
      <w:pPr>
        <w:pStyle w:val="Heading3"/>
        <w:spacing w:line="240" w:lineRule="auto"/>
        <w:ind w:right="0"/>
        <w:jc w:val="left"/>
        <w:rPr>
          <w:b w:val="0"/>
          <w:bCs w:val="0"/>
        </w:rPr>
      </w:pPr>
      <w:bookmarkStart w:name="4、记账本位币" w:id="173"/>
      <w:bookmarkEnd w:id="173"/>
      <w:r>
        <w:rPr>
          <w:b w:val="0"/>
          <w:bCs w:val="0"/>
        </w:rPr>
      </w:r>
      <w:r>
        <w:rPr>
          <w:rFonts w:ascii="Times New Roman" w:hAnsi="Times New Roman" w:cs="Times New Roman" w:eastAsia="Times New Roman" w:hint="default"/>
        </w:rPr>
        <w:t>4</w:t>
      </w:r>
      <w:r>
        <w:rPr/>
        <w:t>、记账本位币</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131" w:firstLine="480"/>
        <w:jc w:val="both"/>
      </w:pPr>
      <w:r>
        <w:rPr>
          <w:spacing w:val="-1"/>
        </w:rPr>
        <w:t>人民币为本公司及境内子公司经营所处的主要经济环境中的货币，本公司及境内子公司以人民币为记账本位币。本公</w:t>
      </w:r>
      <w:r>
        <w:rPr/>
        <w:t> </w:t>
      </w:r>
      <w:r>
        <w:rPr>
          <w:spacing w:val="-2"/>
        </w:rPr>
        <w:t>司之境外子公司根据其经营所处的主要经济环境中的货币确定港币为其记账本位币。本公司编制本财务报表时所采用的货币</w:t>
      </w:r>
      <w:r>
        <w:rPr>
          <w:spacing w:val="-64"/>
        </w:rPr>
        <w:t> </w:t>
      </w:r>
      <w:r>
        <w:rPr>
          <w:spacing w:val="-64"/>
        </w:rPr>
      </w:r>
      <w:r>
        <w:rPr/>
        <w:t>为人民币。</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35"/>
        <w:ind w:right="0"/>
        <w:jc w:val="left"/>
        <w:rPr>
          <w:b w:val="0"/>
          <w:bCs w:val="0"/>
        </w:rPr>
      </w:pPr>
      <w:bookmarkStart w:name="5、同一控制下和非同一控制下企业合并的会计处理方法" w:id="174"/>
      <w:bookmarkEnd w:id="174"/>
      <w:r>
        <w:rPr>
          <w:b w:val="0"/>
          <w:bCs w:val="0"/>
        </w:rPr>
      </w:r>
      <w:r>
        <w:rPr>
          <w:rFonts w:ascii="Times New Roman" w:hAnsi="Times New Roman" w:cs="Times New Roman" w:eastAsia="Times New Roman" w:hint="default"/>
        </w:rPr>
        <w:t>5</w:t>
      </w:r>
      <w:r>
        <w:rPr/>
        <w:t>、同一控制下和非同一控制下企业合并的会计处理方法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133" w:firstLine="480"/>
        <w:jc w:val="both"/>
      </w:pPr>
      <w:r>
        <w:rPr>
          <w:spacing w:val="-1"/>
        </w:rPr>
        <w:t>企业合并，是指将两个或两个以上单独的企业合并形成一个报告主体的交易或事项。企业合并分为同一控制下企业合</w:t>
      </w:r>
      <w:r>
        <w:rPr/>
        <w:t> 并和非同一控制下企业合并。</w:t>
      </w:r>
    </w:p>
    <w:p>
      <w:pPr>
        <w:pStyle w:val="BodyText"/>
        <w:spacing w:line="316" w:lineRule="auto" w:before="19"/>
        <w:ind w:left="634" w:right="1092"/>
        <w:jc w:val="left"/>
      </w:pPr>
      <w:r>
        <w:rPr/>
        <w:t>（</w:t>
      </w:r>
      <w:r>
        <w:rPr>
          <w:rFonts w:ascii="宋体" w:hAnsi="宋体" w:cs="宋体" w:eastAsia="宋体" w:hint="default"/>
        </w:rPr>
        <w:t>1</w:t>
      </w:r>
      <w:r>
        <w:rPr/>
        <w:t>）同一控制下企业合并 参与合并的企业在合并前后均受同一方或相同的多方最终控制，且该控制并非暂时性的，为同一控制下的企业合并。</w:t>
      </w:r>
    </w:p>
    <w:p>
      <w:pPr>
        <w:pStyle w:val="BodyText"/>
        <w:spacing w:line="316" w:lineRule="auto" w:before="19"/>
        <w:ind w:right="0"/>
        <w:jc w:val="left"/>
      </w:pPr>
      <w:r>
        <w:rPr>
          <w:spacing w:val="-2"/>
        </w:rPr>
        <w:t>同一控制下的企业合并，在合并日取得对其他参与合并企业控制权的一方为合并方，参与合并的其他企业为被合并方。合并</w:t>
      </w:r>
      <w:r>
        <w:rPr>
          <w:spacing w:val="-65"/>
        </w:rPr>
        <w:t> </w:t>
      </w:r>
      <w:r>
        <w:rPr>
          <w:spacing w:val="-65"/>
        </w:rPr>
      </w:r>
      <w:r>
        <w:rPr/>
        <w:t>日，是指合并方实际取得对被合并方控制权的日期。</w:t>
      </w:r>
    </w:p>
    <w:p>
      <w:pPr>
        <w:pStyle w:val="BodyText"/>
        <w:spacing w:line="316" w:lineRule="auto" w:before="19"/>
        <w:ind w:right="1043" w:firstLine="480"/>
        <w:jc w:val="both"/>
      </w:pPr>
      <w:r>
        <w:rPr/>
        <w:t>合并方取得的资产和负债均按合并日在被合并方的账面价值计量。合并方取得的净资产账面价值与支付的合并对价账 </w:t>
      </w:r>
      <w:r>
        <w:rPr>
          <w:spacing w:val="-4"/>
        </w:rPr>
        <w:t>面价值（或发行股份面值总额）的差额，调整资本公积（股本溢价）；资本公积（股本溢价）不足以冲减的，调整留存收益。</w:t>
      </w:r>
    </w:p>
    <w:p>
      <w:pPr>
        <w:pStyle w:val="BodyText"/>
        <w:spacing w:line="240" w:lineRule="auto" w:before="19"/>
        <w:ind w:left="634" w:right="0"/>
        <w:jc w:val="left"/>
      </w:pPr>
      <w:r>
        <w:rPr/>
        <w:t>合并方为进行企业合并发生的各项直接费用，于发生时计入当期损益。</w:t>
      </w:r>
    </w:p>
    <w:p>
      <w:pPr>
        <w:pStyle w:val="BodyText"/>
        <w:spacing w:line="319" w:lineRule="auto" w:before="76"/>
        <w:ind w:left="634" w:right="0"/>
        <w:jc w:val="left"/>
      </w:pPr>
      <w:r>
        <w:rPr/>
        <w:t>（</w:t>
      </w:r>
      <w:r>
        <w:rPr>
          <w:rFonts w:ascii="宋体" w:hAnsi="宋体" w:cs="宋体" w:eastAsia="宋体" w:hint="default"/>
        </w:rPr>
        <w:t>2</w:t>
      </w:r>
      <w:r>
        <w:rPr/>
        <w:t>）非同一控制下企业合并 </w:t>
      </w:r>
      <w:r>
        <w:rPr>
          <w:spacing w:val="-1"/>
        </w:rPr>
        <w:t>参与合并的企业在合并前后不受同一方或相同的多方最终控制的，为非同一控制下的企业合并。非同一控制下的企业</w:t>
      </w:r>
    </w:p>
    <w:p>
      <w:pPr>
        <w:pStyle w:val="BodyText"/>
        <w:spacing w:line="316" w:lineRule="auto" w:before="17"/>
        <w:ind w:right="0"/>
        <w:jc w:val="left"/>
      </w:pPr>
      <w:r>
        <w:rPr>
          <w:spacing w:val="-2"/>
        </w:rPr>
        <w:t>合并，在购买日取得对其他参与合并企业控制权的一方为购买方，参与合并的其他企业为被购买方。购买日，是指为购买方</w:t>
      </w:r>
      <w:r>
        <w:rPr>
          <w:spacing w:val="-66"/>
        </w:rPr>
        <w:t> </w:t>
      </w:r>
      <w:r>
        <w:rPr>
          <w:spacing w:val="-66"/>
        </w:rPr>
      </w:r>
      <w:r>
        <w:rPr/>
        <w:t>实际取得对被购买方控制权的日期。</w:t>
      </w:r>
    </w:p>
    <w:p>
      <w:pPr>
        <w:pStyle w:val="BodyText"/>
        <w:spacing w:line="240" w:lineRule="auto" w:before="19"/>
        <w:ind w:left="634" w:right="0"/>
        <w:jc w:val="left"/>
      </w:pPr>
      <w:r>
        <w:rPr/>
        <w:t>对于非同一控制下的企业合并，合并成本包含购买日购买方为取得对被购买方的控制权而付出的资产、发生或承担的</w:t>
      </w:r>
    </w:p>
    <w:p>
      <w:pPr>
        <w:spacing w:after="0" w:line="24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6" w:lineRule="auto" w:before="44"/>
        <w:ind w:right="1130"/>
        <w:jc w:val="both"/>
      </w:pPr>
      <w:r>
        <w:rPr>
          <w:spacing w:val="-2"/>
        </w:rPr>
        <w:t>负债以及发行的权益性证券的公允价值，为企业合并发生的审计、法律服务、评估咨询等中介费用以及其他管理费用于发生</w:t>
      </w:r>
      <w:r>
        <w:rPr>
          <w:spacing w:val="-66"/>
        </w:rPr>
        <w:t> </w:t>
      </w:r>
      <w:r>
        <w:rPr>
          <w:spacing w:val="-66"/>
        </w:rPr>
      </w:r>
      <w:r>
        <w:rPr>
          <w:spacing w:val="-2"/>
        </w:rPr>
        <w:t>时计入当期损益。购买方作为合并对价发行的权益性证券或债务性证券的交易费用，计入权益性证券或债务性证券的初始确</w:t>
      </w:r>
      <w:r>
        <w:rPr>
          <w:spacing w:val="-64"/>
        </w:rPr>
        <w:t> </w:t>
      </w:r>
      <w:r>
        <w:rPr>
          <w:spacing w:val="-64"/>
        </w:rPr>
      </w:r>
      <w:r>
        <w:rPr>
          <w:spacing w:val="-2"/>
        </w:rPr>
        <w:t>认金额。所涉及的或有对价按其在购买日的公允价值计入合并成本，购买日后</w:t>
      </w:r>
      <w:r>
        <w:rPr>
          <w:rFonts w:ascii="宋体" w:hAnsi="宋体" w:cs="宋体" w:eastAsia="宋体" w:hint="default"/>
          <w:spacing w:val="-2"/>
        </w:rPr>
        <w:t>12</w:t>
      </w:r>
      <w:r>
        <w:rPr>
          <w:spacing w:val="-2"/>
        </w:rPr>
        <w:t>个月内出现对购买日已存在情况的新的或进</w:t>
      </w:r>
      <w:r>
        <w:rPr>
          <w:spacing w:val="-62"/>
        </w:rPr>
        <w:t> </w:t>
      </w:r>
      <w:r>
        <w:rPr>
          <w:spacing w:val="-2"/>
        </w:rPr>
        <w:t>一步证据而需要调整或有对价的，相应调整合并商誉。购买方发生的合并成本及在合并中取得的可辨认净资产按购买日的公</w:t>
      </w:r>
      <w:r>
        <w:rPr>
          <w:spacing w:val="-64"/>
        </w:rPr>
        <w:t> </w:t>
      </w:r>
      <w:r>
        <w:rPr>
          <w:spacing w:val="-64"/>
        </w:rPr>
      </w:r>
      <w:r>
        <w:rPr>
          <w:spacing w:val="-2"/>
        </w:rPr>
        <w:t>允价值计量。合并成本大于合并中取得的被购买方于购买日可辨认净资产公允价值份额的差额，确认为商誉。合并成本小于</w:t>
      </w:r>
      <w:r>
        <w:rPr>
          <w:spacing w:val="-66"/>
        </w:rPr>
        <w:t> </w:t>
      </w:r>
      <w:r>
        <w:rPr>
          <w:spacing w:val="-66"/>
        </w:rPr>
      </w:r>
      <w:r>
        <w:rPr>
          <w:spacing w:val="-2"/>
        </w:rPr>
        <w:t>合并中取得的被购买方可辨认净资产公允价值份额的，首先对取得的被购买方各项可辨认资产、负债及或有负债的公允价值</w:t>
      </w:r>
      <w:r>
        <w:rPr>
          <w:spacing w:val="-64"/>
        </w:rPr>
        <w:t> </w:t>
      </w:r>
      <w:r>
        <w:rPr>
          <w:spacing w:val="-64"/>
        </w:rPr>
      </w:r>
      <w:r>
        <w:rPr>
          <w:spacing w:val="-2"/>
        </w:rPr>
        <w:t>以及合并成本的计量进行复核，复核后合并成本仍小于合并中取得的被购买方可辨认净资产公允价值份额的，其差额计入当</w:t>
      </w:r>
      <w:r>
        <w:rPr>
          <w:spacing w:val="-64"/>
        </w:rPr>
        <w:t> </w:t>
      </w:r>
      <w:r>
        <w:rPr>
          <w:spacing w:val="-64"/>
        </w:rPr>
      </w:r>
      <w:r>
        <w:rPr/>
        <w:t>期损益。</w:t>
      </w:r>
    </w:p>
    <w:p>
      <w:pPr>
        <w:pStyle w:val="BodyText"/>
        <w:spacing w:line="316" w:lineRule="auto" w:before="19"/>
        <w:ind w:right="1130" w:firstLine="480"/>
        <w:jc w:val="both"/>
      </w:pPr>
      <w:r>
        <w:rPr>
          <w:spacing w:val="-1"/>
        </w:rPr>
        <w:t>购买方取得被购买方的可抵扣暂时性差异，在购买日因不符合递延所得税资产确认条件而未予确认的，在购买日后</w:t>
      </w:r>
      <w:r>
        <w:rPr>
          <w:rFonts w:ascii="宋体" w:hAnsi="宋体" w:cs="宋体" w:eastAsia="宋体" w:hint="default"/>
          <w:spacing w:val="-1"/>
        </w:rPr>
        <w:t>12</w:t>
      </w:r>
      <w:r>
        <w:rPr>
          <w:rFonts w:ascii="宋体" w:hAnsi="宋体" w:cs="宋体" w:eastAsia="宋体" w:hint="default"/>
        </w:rPr>
        <w:t> </w:t>
      </w:r>
      <w:r>
        <w:rPr>
          <w:spacing w:val="-2"/>
        </w:rPr>
        <w:t>个月内，如取得新的或进一步的信息表明购买日的相关情况已经存在，预期被购买方在购买日可抵扣暂时性差异带来的经济</w:t>
      </w:r>
      <w:r>
        <w:rPr>
          <w:spacing w:val="-64"/>
        </w:rPr>
        <w:t> </w:t>
      </w:r>
      <w:r>
        <w:rPr>
          <w:spacing w:val="-64"/>
        </w:rPr>
      </w:r>
      <w:r>
        <w:rPr>
          <w:spacing w:val="-2"/>
        </w:rPr>
        <w:t>利益能够实现的，则确认相关的递延所得税资产，同时减少商誉，商誉不足冲减的，差额部分确认为当期损益；除上述情况</w:t>
      </w:r>
      <w:r>
        <w:rPr>
          <w:spacing w:val="-66"/>
        </w:rPr>
        <w:t> </w:t>
      </w:r>
      <w:r>
        <w:rPr>
          <w:spacing w:val="-66"/>
        </w:rPr>
      </w:r>
      <w:r>
        <w:rPr/>
        <w:t>以外，确认与企业合并相关的递延所得税资产的，计入当期损益。</w:t>
      </w:r>
    </w:p>
    <w:p>
      <w:pPr>
        <w:pStyle w:val="BodyText"/>
        <w:spacing w:line="316" w:lineRule="auto" w:before="19"/>
        <w:ind w:right="1034" w:firstLine="480"/>
        <w:jc w:val="left"/>
      </w:pPr>
      <w:r>
        <w:rPr>
          <w:spacing w:val="-7"/>
        </w:rPr>
        <w:t>通过多次交易分步实现的非同一控制下企业合并，根据《财政部关于印发企业会计准则解释第</w:t>
      </w:r>
      <w:r>
        <w:rPr>
          <w:rFonts w:ascii="宋体" w:hAnsi="宋体" w:cs="宋体" w:eastAsia="宋体" w:hint="default"/>
          <w:spacing w:val="-7"/>
        </w:rPr>
        <w:t>5</w:t>
      </w:r>
      <w:r>
        <w:rPr>
          <w:spacing w:val="-7"/>
        </w:rPr>
        <w:t>号的通知》（财会〔</w:t>
      </w:r>
      <w:r>
        <w:rPr>
          <w:rFonts w:ascii="宋体" w:hAnsi="宋体" w:cs="宋体" w:eastAsia="宋体" w:hint="default"/>
          <w:spacing w:val="-7"/>
        </w:rPr>
        <w:t>2012</w:t>
      </w:r>
      <w:r>
        <w:rPr>
          <w:spacing w:val="-7"/>
        </w:rPr>
        <w:t>〕</w:t>
      </w:r>
      <w:r>
        <w:rPr/>
        <w:t> </w:t>
      </w:r>
      <w:r>
        <w:rPr>
          <w:rFonts w:ascii="宋体" w:hAnsi="宋体" w:cs="宋体" w:eastAsia="宋体" w:hint="default"/>
          <w:spacing w:val="-4"/>
        </w:rPr>
        <w:t>19</w:t>
      </w:r>
      <w:r>
        <w:rPr>
          <w:spacing w:val="-4"/>
        </w:rPr>
        <w:t>号）和《企业会计准则第</w:t>
      </w:r>
      <w:r>
        <w:rPr>
          <w:rFonts w:ascii="宋体" w:hAnsi="宋体" w:cs="宋体" w:eastAsia="宋体" w:hint="default"/>
          <w:spacing w:val="-4"/>
        </w:rPr>
        <w:t>33</w:t>
      </w:r>
      <w:r>
        <w:rPr>
          <w:spacing w:val="-4"/>
        </w:rPr>
        <w:t>号——合并财务报表》第五十一条关于“一揽子交易”的判断标准（参见本附注五、</w:t>
      </w:r>
      <w:r>
        <w:rPr>
          <w:rFonts w:ascii="宋体" w:hAnsi="宋体" w:cs="宋体" w:eastAsia="宋体" w:hint="default"/>
          <w:spacing w:val="-4"/>
        </w:rPr>
        <w:t>6</w:t>
      </w:r>
      <w:r>
        <w:rPr>
          <w:spacing w:val="-4"/>
        </w:rPr>
        <w:t>（</w:t>
      </w:r>
      <w:r>
        <w:rPr>
          <w:rFonts w:ascii="宋体" w:hAnsi="宋体" w:cs="宋体" w:eastAsia="宋体" w:hint="default"/>
          <w:spacing w:val="-4"/>
        </w:rPr>
        <w:t>2</w:t>
      </w:r>
      <w:r>
        <w:rPr>
          <w:spacing w:val="-4"/>
        </w:rPr>
        <w:t>）），</w:t>
      </w:r>
      <w:r>
        <w:rPr>
          <w:spacing w:val="-47"/>
        </w:rPr>
        <w:t> </w:t>
      </w:r>
      <w:r>
        <w:rPr>
          <w:spacing w:val="-2"/>
        </w:rPr>
        <w:t>判断该多次交易是否属于“一揽子交易”。属于“一揽子交易”的，参考本部分前面各段描述及本附注五、</w:t>
      </w:r>
      <w:r>
        <w:rPr>
          <w:rFonts w:ascii="宋体" w:hAnsi="宋体" w:cs="宋体" w:eastAsia="宋体" w:hint="default"/>
          <w:spacing w:val="-2"/>
        </w:rPr>
        <w:t>13</w:t>
      </w:r>
      <w:r>
        <w:rPr>
          <w:spacing w:val="-2"/>
        </w:rPr>
        <w:t>“长期股权投</w:t>
      </w:r>
      <w:r>
        <w:rPr>
          <w:spacing w:val="-65"/>
        </w:rPr>
        <w:t> </w:t>
      </w:r>
      <w:r>
        <w:rPr>
          <w:spacing w:val="-65"/>
        </w:rPr>
      </w:r>
      <w:r>
        <w:rPr/>
        <w:t>资”进行会计处理；不属于“一揽子交易”的，区分个别财务报表和合并财务报表进行相关会计处理：</w:t>
      </w:r>
    </w:p>
    <w:p>
      <w:pPr>
        <w:pStyle w:val="BodyText"/>
        <w:spacing w:line="316" w:lineRule="auto" w:before="19"/>
        <w:ind w:right="1131" w:firstLine="480"/>
        <w:jc w:val="both"/>
      </w:pPr>
      <w:r>
        <w:rPr>
          <w:spacing w:val="-1"/>
        </w:rPr>
        <w:t>在个别财务报表中，以购买日之前所持被购买方的股权投资的账面价值与购买日新增投资成本之和，作为该项投资的</w:t>
      </w:r>
      <w:r>
        <w:rPr/>
        <w:t> </w:t>
      </w:r>
      <w:r>
        <w:rPr>
          <w:spacing w:val="-2"/>
        </w:rPr>
        <w:t>初始投资成本；购买日之前持有的被购买方的股权涉及其他综合收益的，在处置该项投资时将与其相关的其他综合收益采用</w:t>
      </w:r>
      <w:r>
        <w:rPr>
          <w:spacing w:val="-64"/>
        </w:rPr>
        <w:t> </w:t>
      </w:r>
      <w:r>
        <w:rPr>
          <w:spacing w:val="-64"/>
        </w:rPr>
      </w:r>
      <w:r>
        <w:rPr>
          <w:spacing w:val="-2"/>
        </w:rPr>
        <w:t>与被购买方直接处置相关资产或负债相同的基础进行会计处理（即，除了按照权益法核算的在被购买方重新计量设定受益计</w:t>
      </w:r>
      <w:r>
        <w:rPr>
          <w:spacing w:val="-63"/>
        </w:rPr>
        <w:t> </w:t>
      </w:r>
      <w:r>
        <w:rPr>
          <w:spacing w:val="-63"/>
        </w:rPr>
      </w:r>
      <w:r>
        <w:rPr/>
        <w:t>划净负债或净资产导致的变动中的相应份额以外，其余转入当期投资收益）。</w:t>
      </w:r>
    </w:p>
    <w:p>
      <w:pPr>
        <w:pStyle w:val="BodyText"/>
        <w:spacing w:line="319" w:lineRule="auto" w:before="19"/>
        <w:ind w:right="1133" w:firstLine="480"/>
        <w:jc w:val="both"/>
      </w:pPr>
      <w:r>
        <w:rPr>
          <w:spacing w:val="-1"/>
        </w:rPr>
        <w:t>在合并财务报表中，对于购买日之前持有的被购买方的股权，按照该股权在购买日的公允价值进行重新计量，公允价</w:t>
      </w:r>
      <w:r>
        <w:rPr/>
        <w:t> </w:t>
      </w:r>
      <w:r>
        <w:rPr>
          <w:spacing w:val="-2"/>
        </w:rPr>
        <w:t>值与其账面价值的差额计入当期投资收益；购买日之前持有的被购买方的股权涉及其他综合收益的，与其相关的其他综合收</w:t>
      </w:r>
      <w:r>
        <w:rPr>
          <w:spacing w:val="-64"/>
        </w:rPr>
        <w:t> </w:t>
      </w:r>
      <w:r>
        <w:rPr>
          <w:spacing w:val="-64"/>
        </w:rPr>
      </w:r>
      <w:r>
        <w:rPr>
          <w:spacing w:val="-2"/>
        </w:rPr>
        <w:t>益应当采用与被购买方直接处置相关资产或负债相同的基础进行会计处理（即，除了按照权益法核算的在被购买方重新计量</w:t>
      </w:r>
      <w:r>
        <w:rPr>
          <w:spacing w:val="-64"/>
        </w:rPr>
        <w:t> </w:t>
      </w:r>
      <w:r>
        <w:rPr>
          <w:spacing w:val="-64"/>
        </w:rPr>
      </w:r>
      <w:r>
        <w:rPr/>
        <w:t>设定受益计划净负债或净资产导致的变动中的相应份额以外，其余转为购买日所属当期投资收益）。</w:t>
      </w:r>
    </w:p>
    <w:p>
      <w:pPr>
        <w:spacing w:line="240" w:lineRule="auto" w:before="5"/>
        <w:rPr>
          <w:rFonts w:ascii="宋体" w:hAnsi="宋体" w:cs="宋体" w:eastAsia="宋体" w:hint="default"/>
          <w:sz w:val="22"/>
          <w:szCs w:val="22"/>
        </w:rPr>
      </w:pPr>
    </w:p>
    <w:p>
      <w:pPr>
        <w:pStyle w:val="Heading3"/>
        <w:spacing w:line="240" w:lineRule="auto"/>
        <w:ind w:right="0"/>
        <w:jc w:val="both"/>
        <w:rPr>
          <w:b w:val="0"/>
          <w:bCs w:val="0"/>
        </w:rPr>
      </w:pPr>
      <w:bookmarkStart w:name="6、合并财务报表的编制方法" w:id="175"/>
      <w:bookmarkEnd w:id="175"/>
      <w:r>
        <w:rPr>
          <w:b w:val="0"/>
          <w:bCs w:val="0"/>
        </w:rPr>
      </w:r>
      <w:r>
        <w:rPr>
          <w:rFonts w:ascii="Times New Roman" w:hAnsi="Times New Roman" w:cs="Times New Roman" w:eastAsia="Times New Roman" w:hint="default"/>
        </w:rPr>
        <w:t>6</w:t>
      </w:r>
      <w:r>
        <w:rPr/>
        <w:t>、合并财务报表的编制方法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634" w:right="0"/>
        <w:jc w:val="left"/>
      </w:pPr>
      <w:r>
        <w:rPr/>
        <w:t>（</w:t>
      </w:r>
      <w:r>
        <w:rPr>
          <w:rFonts w:ascii="宋体" w:hAnsi="宋体" w:cs="宋体" w:eastAsia="宋体" w:hint="default"/>
        </w:rPr>
        <w:t>1</w:t>
      </w:r>
      <w:r>
        <w:rPr/>
        <w:t>）合并财务报表范围的确定原则 </w:t>
      </w:r>
      <w:r>
        <w:rPr>
          <w:spacing w:val="-1"/>
        </w:rPr>
        <w:t>合并财务报表的合并范围以控制为基础予以确定。控制是指本公司拥有对被投资方的权力，通过参与被投资方的相关</w:t>
      </w:r>
    </w:p>
    <w:p>
      <w:pPr>
        <w:pStyle w:val="BodyText"/>
        <w:spacing w:line="316" w:lineRule="auto" w:before="19"/>
        <w:ind w:right="1131"/>
        <w:jc w:val="both"/>
      </w:pPr>
      <w:r>
        <w:rPr>
          <w:spacing w:val="-2"/>
        </w:rPr>
        <w:t>活动而享有可变回报，并且有能力运用对被投资方的权力影响该回报金额。合并范围包括本公司及全部子公司。子公司，是</w:t>
      </w:r>
      <w:r>
        <w:rPr>
          <w:spacing w:val="-66"/>
        </w:rPr>
        <w:t> </w:t>
      </w:r>
      <w:r>
        <w:rPr>
          <w:spacing w:val="-66"/>
        </w:rPr>
      </w:r>
      <w:r>
        <w:rPr/>
        <w:t>指被本公司控制的主体。</w:t>
      </w:r>
    </w:p>
    <w:p>
      <w:pPr>
        <w:pStyle w:val="BodyText"/>
        <w:spacing w:line="240" w:lineRule="auto" w:before="19"/>
        <w:ind w:left="634" w:right="0"/>
        <w:jc w:val="left"/>
      </w:pPr>
      <w:r>
        <w:rPr/>
        <w:t>一旦相关事实和情况的变化导致上述控制定义涉及的相关要素发生了变化，本公司将进行重新评估。</w:t>
      </w:r>
    </w:p>
    <w:p>
      <w:pPr>
        <w:pStyle w:val="BodyText"/>
        <w:spacing w:line="316" w:lineRule="auto" w:before="76"/>
        <w:ind w:left="634" w:right="0"/>
        <w:jc w:val="left"/>
      </w:pPr>
      <w:r>
        <w:rPr/>
        <w:t>（</w:t>
      </w:r>
      <w:r>
        <w:rPr>
          <w:rFonts w:ascii="宋体" w:hAnsi="宋体" w:cs="宋体" w:eastAsia="宋体" w:hint="default"/>
        </w:rPr>
        <w:t>2</w:t>
      </w:r>
      <w:r>
        <w:rPr/>
        <w:t>）合并财务报表编制的方法 </w:t>
      </w:r>
      <w:r>
        <w:rPr>
          <w:spacing w:val="-1"/>
        </w:rPr>
        <w:t>从取得子公司的净资产和生产经营决策的实际控制权之日起，本公司开始将其纳入合并范围；从丧失实际控制权之日</w:t>
      </w:r>
    </w:p>
    <w:p>
      <w:pPr>
        <w:pStyle w:val="BodyText"/>
        <w:spacing w:line="316" w:lineRule="auto" w:before="19"/>
        <w:ind w:right="1131"/>
        <w:jc w:val="both"/>
      </w:pPr>
      <w:r>
        <w:rPr>
          <w:spacing w:val="-2"/>
        </w:rPr>
        <w:t>起停止纳入合并范围。对于处置的子公司，处置日前的经营成果和现金流量已经适当地包括在合并利润表和合并现金流量表</w:t>
      </w:r>
      <w:r>
        <w:rPr>
          <w:spacing w:val="-64"/>
        </w:rPr>
        <w:t> </w:t>
      </w:r>
      <w:r>
        <w:rPr>
          <w:spacing w:val="-64"/>
        </w:rPr>
      </w:r>
      <w:r>
        <w:rPr>
          <w:spacing w:val="-2"/>
        </w:rPr>
        <w:t>中；当期处置的子公司，不调整合并资产负债表的期初数。非同一控制下企业合并增加的子公司，其购买日后的经营成果及</w:t>
      </w:r>
      <w:r>
        <w:rPr>
          <w:spacing w:val="-66"/>
        </w:rPr>
        <w:t> </w:t>
      </w:r>
      <w:r>
        <w:rPr>
          <w:spacing w:val="-66"/>
        </w:rPr>
      </w:r>
      <w:r>
        <w:rPr>
          <w:spacing w:val="-2"/>
        </w:rPr>
        <w:t>现金流量已经适当地包括在合并利润表和合并现金流量表中，且不调整合并财务报表的期初数和对比数。同一控制下企业合</w:t>
      </w:r>
      <w:r>
        <w:rPr>
          <w:spacing w:val="-64"/>
        </w:rPr>
        <w:t> </w:t>
      </w:r>
      <w:r>
        <w:rPr>
          <w:spacing w:val="-64"/>
        </w:rPr>
      </w:r>
      <w:r>
        <w:rPr>
          <w:spacing w:val="-2"/>
        </w:rPr>
        <w:t>并增加的子公司及吸收合并下的被合并方，其自合并当期期初至合并日的经营成果和现金流量已经适当地包括在合并利润表</w:t>
      </w:r>
      <w:r>
        <w:rPr>
          <w:spacing w:val="-64"/>
        </w:rPr>
        <w:t> </w:t>
      </w:r>
      <w:r>
        <w:rPr>
          <w:spacing w:val="-64"/>
        </w:rPr>
      </w:r>
      <w:r>
        <w:rPr/>
        <w:t>和合并现金流量表中，并且同时调整合并财务报表的对比数。</w:t>
      </w:r>
    </w:p>
    <w:p>
      <w:pPr>
        <w:pStyle w:val="BodyText"/>
        <w:spacing w:line="319" w:lineRule="auto" w:before="19"/>
        <w:ind w:right="1133" w:firstLine="480"/>
        <w:jc w:val="both"/>
      </w:pPr>
      <w:r>
        <w:rPr>
          <w:spacing w:val="-1"/>
        </w:rPr>
        <w:t>在编制合并财务报表时，子公司与本公司采用的会计政策或会计期间不一致的，按照本公司的会计政策和会计期间对</w:t>
      </w:r>
      <w:r>
        <w:rPr/>
        <w:t> </w:t>
      </w:r>
      <w:r>
        <w:rPr>
          <w:spacing w:val="-2"/>
        </w:rPr>
        <w:t>子公司财务报表进行必要的调整。对于非同一控制下企业合并取得的子公司，以购买日可辨认净资产公允价值为基础对其财</w:t>
      </w:r>
      <w:r>
        <w:rPr>
          <w:spacing w:val="-64"/>
        </w:rPr>
        <w:t> </w:t>
      </w:r>
      <w:r>
        <w:rPr>
          <w:spacing w:val="-64"/>
        </w:rPr>
      </w:r>
      <w:r>
        <w:rPr/>
        <w:t>务报表进行调整。</w:t>
      </w:r>
    </w:p>
    <w:p>
      <w:pPr>
        <w:pStyle w:val="BodyText"/>
        <w:spacing w:line="316" w:lineRule="auto" w:before="17"/>
        <w:ind w:left="634" w:right="0"/>
        <w:jc w:val="left"/>
      </w:pPr>
      <w:r>
        <w:rPr/>
        <w:t>公司内所有重大往来余额、交易及未实现利润在合并财务报表编制时予以抵销。 </w:t>
      </w:r>
      <w:r>
        <w:rPr>
          <w:spacing w:val="2"/>
        </w:rPr>
        <w:t>子公司的股东权益及当期净损益中不属于本公司所拥有的部分分别作为少数股东权益及少数股东损益在合并财务报</w:t>
      </w:r>
    </w:p>
    <w:p>
      <w:pPr>
        <w:spacing w:after="0" w:line="316"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6" w:lineRule="auto" w:before="44"/>
        <w:ind w:right="1132"/>
        <w:jc w:val="both"/>
      </w:pPr>
      <w:r>
        <w:rPr>
          <w:spacing w:val="-2"/>
        </w:rPr>
        <w:t>表中股东权益及净利润项下单独列示。子公司当期净损益中属于少数股东权益的份额，在合并利润表中净利润项目下以“少</w:t>
      </w:r>
      <w:r>
        <w:rPr>
          <w:spacing w:val="-65"/>
        </w:rPr>
        <w:t> </w:t>
      </w:r>
      <w:r>
        <w:rPr>
          <w:spacing w:val="-65"/>
        </w:rPr>
      </w:r>
      <w:r>
        <w:rPr>
          <w:spacing w:val="-2"/>
        </w:rPr>
        <w:t>数股东损益”项目列示。少数股东分担的子公司的亏损超过了少数股东在该子公司期初股东权益中所享有的份额，仍冲减少</w:t>
      </w:r>
      <w:r>
        <w:rPr>
          <w:spacing w:val="-66"/>
        </w:rPr>
        <w:t> </w:t>
      </w:r>
      <w:r>
        <w:rPr>
          <w:spacing w:val="-66"/>
        </w:rPr>
      </w:r>
      <w:r>
        <w:rPr/>
        <w:t>数股东权益。</w:t>
      </w:r>
    </w:p>
    <w:p>
      <w:pPr>
        <w:pStyle w:val="BodyText"/>
        <w:spacing w:line="316" w:lineRule="auto" w:before="19"/>
        <w:ind w:right="1129" w:firstLine="480"/>
        <w:jc w:val="both"/>
      </w:pPr>
      <w:r>
        <w:rPr>
          <w:spacing w:val="-1"/>
        </w:rPr>
        <w:t>当因处置部分股权投资或其他原因丧失了对原有子公司的控制权时，对于剩余股权，按照其在丧失控制权日的公允价</w:t>
      </w:r>
      <w:r>
        <w:rPr/>
        <w:t> </w:t>
      </w:r>
      <w:r>
        <w:rPr>
          <w:spacing w:val="-2"/>
        </w:rPr>
        <w:t>值进行重新计量。处置股权取得的对价与剩余股权公允价值之和，减去按原持股比例计算应享有原有子公司自购买日开始持</w:t>
      </w:r>
      <w:r>
        <w:rPr>
          <w:spacing w:val="-64"/>
        </w:rPr>
        <w:t> </w:t>
      </w:r>
      <w:r>
        <w:rPr>
          <w:spacing w:val="-64"/>
        </w:rPr>
      </w:r>
      <w:r>
        <w:rPr>
          <w:spacing w:val="-2"/>
        </w:rPr>
        <w:t>续计算的净资产的份额之间的差额，计入丧失控制权当期的投资收益。与原有子公司股权投资相关的其他综合收益，在丧失</w:t>
      </w:r>
      <w:r>
        <w:rPr>
          <w:spacing w:val="-66"/>
        </w:rPr>
        <w:t> </w:t>
      </w:r>
      <w:r>
        <w:rPr>
          <w:spacing w:val="-66"/>
        </w:rPr>
      </w:r>
      <w:r>
        <w:rPr>
          <w:spacing w:val="-2"/>
        </w:rPr>
        <w:t>控制权时采用与被购买方直接处置相关资产或负债相同的基础进行会计处理（即，除了在该原有子公司重新计量设定受益计</w:t>
      </w:r>
      <w:r>
        <w:rPr>
          <w:spacing w:val="-64"/>
        </w:rPr>
        <w:t> </w:t>
      </w:r>
      <w:r>
        <w:rPr>
          <w:spacing w:val="-64"/>
        </w:rPr>
      </w:r>
      <w:r>
        <w:rPr>
          <w:spacing w:val="-4"/>
        </w:rPr>
        <w:t>划净负债或净资产导致的变动以外，其余一并转为当期投资收益）。其后，对该部分剩余股权按照《企业会计准则第</w:t>
      </w:r>
      <w:r>
        <w:rPr>
          <w:rFonts w:ascii="宋体" w:hAnsi="宋体" w:cs="宋体" w:eastAsia="宋体" w:hint="default"/>
          <w:spacing w:val="-4"/>
        </w:rPr>
        <w:t>2</w:t>
      </w:r>
      <w:r>
        <w:rPr>
          <w:spacing w:val="-4"/>
        </w:rPr>
        <w:t>号——</w:t>
      </w:r>
      <w:r>
        <w:rPr>
          <w:spacing w:val="-43"/>
        </w:rPr>
        <w:t> </w:t>
      </w:r>
      <w:r>
        <w:rPr>
          <w:spacing w:val="-2"/>
        </w:rPr>
        <w:t>长期股权投资》或《企业会计准则第</w:t>
      </w:r>
      <w:r>
        <w:rPr>
          <w:rFonts w:ascii="宋体" w:hAnsi="宋体" w:cs="宋体" w:eastAsia="宋体" w:hint="default"/>
          <w:spacing w:val="-2"/>
        </w:rPr>
        <w:t>22</w:t>
      </w:r>
      <w:r>
        <w:rPr>
          <w:spacing w:val="-2"/>
        </w:rPr>
        <w:t>号——金融工具确认和计量》等相关规定进行后续计量，详见本附注五、</w:t>
      </w:r>
      <w:r>
        <w:rPr>
          <w:rFonts w:ascii="宋体" w:hAnsi="宋体" w:cs="宋体" w:eastAsia="宋体" w:hint="default"/>
          <w:spacing w:val="-2"/>
        </w:rPr>
        <w:t>13</w:t>
      </w:r>
      <w:r>
        <w:rPr>
          <w:spacing w:val="-2"/>
        </w:rPr>
        <w:t>“长期股</w:t>
      </w:r>
      <w:r>
        <w:rPr>
          <w:spacing w:val="-63"/>
        </w:rPr>
        <w:t> </w:t>
      </w:r>
      <w:r>
        <w:rPr/>
        <w:t>权投资”或本附注五、</w:t>
      </w:r>
      <w:r>
        <w:rPr>
          <w:rFonts w:ascii="宋体" w:hAnsi="宋体" w:cs="宋体" w:eastAsia="宋体" w:hint="default"/>
        </w:rPr>
        <w:t>10</w:t>
      </w:r>
      <w:r>
        <w:rPr/>
        <w:t>“金融工具”。</w:t>
      </w:r>
    </w:p>
    <w:p>
      <w:pPr>
        <w:pStyle w:val="BodyText"/>
        <w:spacing w:line="316" w:lineRule="auto" w:before="19"/>
        <w:ind w:right="1032" w:firstLine="480"/>
        <w:jc w:val="left"/>
      </w:pPr>
      <w:r>
        <w:rPr/>
        <w:t>本公司通过多次交易分步处置对子公司股权投资直至丧失控制权的，需区分处置对子公司股权投资直至丧失控制权的 </w:t>
      </w:r>
      <w:r>
        <w:rPr>
          <w:spacing w:val="-2"/>
        </w:rPr>
        <w:t>各项交易是否属于一揽子交易。处置对子公司股权投资的各项交易的条款、条件以及经济影响符合以下一种或多种情况，通</w:t>
      </w:r>
      <w:r>
        <w:rPr>
          <w:spacing w:val="-66"/>
        </w:rPr>
        <w:t> </w:t>
      </w:r>
      <w:r>
        <w:rPr>
          <w:spacing w:val="-66"/>
        </w:rPr>
      </w:r>
      <w:r>
        <w:rPr>
          <w:spacing w:val="-2"/>
        </w:rPr>
        <w:t>常表明应将多次交易事项作为一揽子交易进行会计处理：①这些交易是同时或者在考虑了彼此影响的情况下订立的；②这些</w:t>
      </w:r>
      <w:r>
        <w:rPr>
          <w:spacing w:val="-64"/>
        </w:rPr>
        <w:t> </w:t>
      </w:r>
      <w:r>
        <w:rPr>
          <w:spacing w:val="-64"/>
        </w:rPr>
      </w:r>
      <w:r>
        <w:rPr>
          <w:spacing w:val="-4"/>
        </w:rPr>
        <w:t>交易整体才能达成一项完整的商业结果；③一项交易的发生取决于其他至少一项交易的发生；④一项交易单独看是不经济的，</w:t>
      </w:r>
      <w:r>
        <w:rPr>
          <w:spacing w:val="-44"/>
        </w:rPr>
        <w:t> </w:t>
      </w:r>
      <w:r>
        <w:rPr>
          <w:spacing w:val="-44"/>
        </w:rPr>
      </w:r>
      <w:r>
        <w:rPr>
          <w:spacing w:val="-2"/>
        </w:rPr>
        <w:t>但是和其他交易一并考虑时是经济的。不属于一揽子交易的，对其中的每一项交易视情况分别按照“不丧失控制权的情况下</w:t>
      </w:r>
      <w:r>
        <w:rPr>
          <w:spacing w:val="-65"/>
        </w:rPr>
        <w:t> </w:t>
      </w:r>
      <w:r>
        <w:rPr>
          <w:spacing w:val="-65"/>
        </w:rPr>
      </w:r>
      <w:r>
        <w:rPr/>
        <w:t>部分处置对子公司的长期股权投资”（详见本附注五、</w:t>
      </w:r>
      <w:r>
        <w:rPr>
          <w:rFonts w:ascii="宋体" w:hAnsi="宋体" w:cs="宋体" w:eastAsia="宋体" w:hint="default"/>
        </w:rPr>
        <w:t>13</w:t>
      </w:r>
      <w:r>
        <w:rPr/>
        <w:t>、（</w:t>
      </w:r>
      <w:r>
        <w:rPr>
          <w:rFonts w:ascii="宋体" w:hAnsi="宋体" w:cs="宋体" w:eastAsia="宋体" w:hint="default"/>
        </w:rPr>
        <w:t>2</w:t>
      </w:r>
      <w:r>
        <w:rPr/>
        <w:t>）④）和“因处置部分股权投资或其他原因丧失了对原有子</w:t>
      </w:r>
      <w:r>
        <w:rPr>
          <w:spacing w:val="-83"/>
        </w:rPr>
        <w:t> </w:t>
      </w:r>
      <w:r>
        <w:rPr>
          <w:spacing w:val="-83"/>
        </w:rPr>
      </w:r>
      <w:r>
        <w:rPr>
          <w:spacing w:val="-2"/>
        </w:rPr>
        <w:t>公司的控制权”（详见前段）适用的原则进行会计处理。处置对子公司股权投资直至丧失控制权的各项交易属于一揽子交易</w:t>
      </w:r>
      <w:r>
        <w:rPr>
          <w:spacing w:val="-65"/>
        </w:rPr>
        <w:t> </w:t>
      </w:r>
      <w:r>
        <w:rPr>
          <w:spacing w:val="-65"/>
        </w:rPr>
      </w:r>
      <w:r>
        <w:rPr>
          <w:spacing w:val="-2"/>
        </w:rPr>
        <w:t>的，将各项交易作为一项处置子公司并丧失控制权的交易进行会计处理；但是，在丧失控制权之前每一次处置价款与处置投</w:t>
      </w:r>
      <w:r>
        <w:rPr>
          <w:spacing w:val="-66"/>
        </w:rPr>
        <w:t> </w:t>
      </w:r>
      <w:r>
        <w:rPr>
          <w:spacing w:val="-66"/>
        </w:rPr>
      </w:r>
      <w:r>
        <w:rPr>
          <w:spacing w:val="-2"/>
        </w:rPr>
        <w:t>资对应的享有该子公司净资产份额的差额，在合并财务报表中确认为其他综合收益，在丧失控制权时一并转入丧失控制权当</w:t>
      </w:r>
      <w:r>
        <w:rPr>
          <w:spacing w:val="-64"/>
        </w:rPr>
        <w:t> </w:t>
      </w:r>
      <w:r>
        <w:rPr>
          <w:spacing w:val="-64"/>
        </w:rPr>
      </w:r>
      <w:r>
        <w:rPr/>
        <w:t>期的损益。</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36"/>
        <w:ind w:right="0"/>
        <w:jc w:val="both"/>
        <w:rPr>
          <w:b w:val="0"/>
          <w:bCs w:val="0"/>
        </w:rPr>
      </w:pPr>
      <w:bookmarkStart w:name="7、合营安排分类及共同经营会计处理方法" w:id="176"/>
      <w:bookmarkEnd w:id="176"/>
      <w:r>
        <w:rPr>
          <w:b w:val="0"/>
          <w:bCs w:val="0"/>
        </w:rPr>
      </w:r>
      <w:r>
        <w:rPr>
          <w:rFonts w:ascii="Times New Roman" w:hAnsi="Times New Roman" w:cs="Times New Roman" w:eastAsia="Times New Roman" w:hint="default"/>
        </w:rPr>
        <w:t>7</w:t>
      </w:r>
      <w:r>
        <w:rPr/>
        <w:t>、合营安排分类及共同经营会计处理方法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0" w:firstLine="480"/>
        <w:jc w:val="left"/>
      </w:pPr>
      <w:r>
        <w:rPr>
          <w:spacing w:val="-3"/>
        </w:rPr>
        <w:t>合营安排，是指一项由两个或两个以上的参与方共同控制的安排。本公司根据在合营安排中享有的权利和承担的义务，</w:t>
      </w:r>
      <w:r>
        <w:rPr/>
        <w:t> </w:t>
      </w:r>
      <w:r>
        <w:rPr>
          <w:spacing w:val="-2"/>
        </w:rPr>
        <w:t>将合营安排分为共同经营和合营企业。共同经营，是指本公司享有该安排相关资产且承担该安排相关负债的合营安排。合营</w:t>
      </w:r>
      <w:r>
        <w:rPr>
          <w:spacing w:val="-66"/>
        </w:rPr>
        <w:t> </w:t>
      </w:r>
      <w:r>
        <w:rPr>
          <w:spacing w:val="-66"/>
        </w:rPr>
      </w:r>
      <w:r>
        <w:rPr/>
        <w:t>企业，是指本公司仅对该安排的净资产享有权利的合营安排。</w:t>
      </w:r>
    </w:p>
    <w:p>
      <w:pPr>
        <w:pStyle w:val="BodyText"/>
        <w:spacing w:line="316" w:lineRule="auto" w:before="19"/>
        <w:ind w:right="1130" w:firstLine="480"/>
        <w:jc w:val="both"/>
      </w:pPr>
      <w:r>
        <w:rPr/>
        <w:t>本公司对合营企业的投资采用权益法核算，按照本附注五、</w:t>
      </w:r>
      <w:r>
        <w:rPr>
          <w:rFonts w:ascii="宋体" w:hAnsi="宋体" w:cs="宋体" w:eastAsia="宋体" w:hint="default"/>
        </w:rPr>
        <w:t>13</w:t>
      </w:r>
      <w:r>
        <w:rPr/>
        <w:t>（</w:t>
      </w:r>
      <w:r>
        <w:rPr>
          <w:rFonts w:ascii="宋体" w:hAnsi="宋体" w:cs="宋体" w:eastAsia="宋体" w:hint="default"/>
        </w:rPr>
        <w:t>2</w:t>
      </w:r>
      <w:r>
        <w:rPr/>
        <w:t>）②“权益法核算的长期股权投资”中所述的会计 政策处理。</w:t>
      </w:r>
    </w:p>
    <w:p>
      <w:pPr>
        <w:pStyle w:val="BodyText"/>
        <w:spacing w:line="316" w:lineRule="auto" w:before="19"/>
        <w:ind w:right="1133" w:firstLine="480"/>
        <w:jc w:val="both"/>
      </w:pPr>
      <w:r>
        <w:rPr>
          <w:spacing w:val="-1"/>
        </w:rPr>
        <w:t>本公司作为合营方对共同经营，确认本公司单独持有的资产、单独所承担的负债，以及按本公司份额确认共同持有的</w:t>
      </w:r>
      <w:r>
        <w:rPr/>
        <w:t> </w:t>
      </w:r>
      <w:r>
        <w:rPr>
          <w:spacing w:val="-2"/>
        </w:rPr>
        <w:t>资产和共同承担的负债；确认出售本公司享有的共同经营产出份额所产生的收入；按本公司份额确认共同经营因出售产出所</w:t>
      </w:r>
      <w:r>
        <w:rPr>
          <w:spacing w:val="-64"/>
        </w:rPr>
        <w:t> </w:t>
      </w:r>
      <w:r>
        <w:rPr>
          <w:spacing w:val="-64"/>
        </w:rPr>
      </w:r>
      <w:r>
        <w:rPr/>
        <w:t>产生的收入；确认本公司单独所发生的费用，以及按本公司份额确认共同经营发生的费用。</w:t>
      </w:r>
    </w:p>
    <w:p>
      <w:pPr>
        <w:pStyle w:val="BodyText"/>
        <w:spacing w:line="316" w:lineRule="auto" w:before="19"/>
        <w:ind w:right="1131" w:firstLine="480"/>
        <w:jc w:val="both"/>
      </w:pPr>
      <w:r>
        <w:rPr>
          <w:spacing w:val="-1"/>
        </w:rPr>
        <w:t>当本公司作为合营方向共同经营投出或出售资产（该资产不构成业务，下同）、或者自共同经营购买资产时，在该等</w:t>
      </w:r>
      <w:r>
        <w:rPr/>
        <w:t> </w:t>
      </w:r>
      <w:r>
        <w:rPr>
          <w:spacing w:val="-2"/>
        </w:rPr>
        <w:t>资产出售给第三方之前，本公司仅确认因该交易产生的损益中归属于共同经营其他参与方的部分。该等资产发生符合《企业</w:t>
      </w:r>
      <w:r>
        <w:rPr>
          <w:spacing w:val="-66"/>
        </w:rPr>
        <w:t> </w:t>
      </w:r>
      <w:r>
        <w:rPr>
          <w:spacing w:val="-66"/>
        </w:rPr>
      </w:r>
      <w:r>
        <w:rPr/>
        <w:t>会计准则第</w:t>
      </w:r>
      <w:r>
        <w:rPr>
          <w:rFonts w:ascii="宋体" w:hAnsi="宋体" w:cs="宋体" w:eastAsia="宋体" w:hint="default"/>
        </w:rPr>
        <w:t>8</w:t>
      </w:r>
      <w:r>
        <w:rPr/>
        <w:t>号——资产减值》等规定的资产减值损失的，对于由本公司向共同经营投出或出售资产的情况，本公司全额确</w:t>
      </w:r>
      <w:r>
        <w:rPr>
          <w:spacing w:val="-83"/>
        </w:rPr>
        <w:t> </w:t>
      </w:r>
      <w:r>
        <w:rPr>
          <w:spacing w:val="-83"/>
        </w:rPr>
      </w:r>
      <w:r>
        <w:rPr/>
        <w:t>认该损失；对于本公司自共同经营购买资产的情况，本公司按承担的份额确认该损失。</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35"/>
        <w:ind w:right="0"/>
        <w:jc w:val="both"/>
        <w:rPr>
          <w:b w:val="0"/>
          <w:bCs w:val="0"/>
        </w:rPr>
      </w:pPr>
      <w:bookmarkStart w:name="8、现金及现金等价物的确定标准" w:id="177"/>
      <w:bookmarkEnd w:id="177"/>
      <w:r>
        <w:rPr>
          <w:b w:val="0"/>
          <w:bCs w:val="0"/>
        </w:rPr>
      </w:r>
      <w:r>
        <w:rPr>
          <w:rFonts w:ascii="Times New Roman" w:hAnsi="Times New Roman" w:cs="Times New Roman" w:eastAsia="Times New Roman" w:hint="default"/>
        </w:rPr>
        <w:t>8</w:t>
      </w:r>
      <w:r>
        <w:rPr/>
        <w:t>、现金及现金等价物的确定标准</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133" w:firstLine="480"/>
        <w:jc w:val="both"/>
      </w:pPr>
      <w:r>
        <w:rPr>
          <w:spacing w:val="-1"/>
        </w:rPr>
        <w:t>本公司现金及现金等价物包括库存现金、可以随时用于支付的存款以及本公司持有的期限短（一般为从购买日起，三</w:t>
      </w:r>
      <w:r>
        <w:rPr/>
        <w:t> 个月内到期）、流动性强、易于转换为已知金额的现金、价值变动风险很小的投资。</w:t>
      </w:r>
    </w:p>
    <w:p>
      <w:pPr>
        <w:spacing w:after="0" w:line="316" w:lineRule="auto"/>
        <w:jc w:val="both"/>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right="0"/>
        <w:jc w:val="left"/>
        <w:rPr>
          <w:b w:val="0"/>
          <w:bCs w:val="0"/>
        </w:rPr>
      </w:pPr>
      <w:bookmarkStart w:name="9、外币业务和外币报表折算" w:id="178"/>
      <w:bookmarkEnd w:id="178"/>
      <w:r>
        <w:rPr>
          <w:b w:val="0"/>
          <w:bCs w:val="0"/>
        </w:rPr>
      </w:r>
      <w:r>
        <w:rPr>
          <w:rFonts w:ascii="Times New Roman" w:hAnsi="Times New Roman" w:cs="Times New Roman" w:eastAsia="Times New Roman" w:hint="default"/>
        </w:rPr>
        <w:t>9</w:t>
      </w:r>
      <w:r>
        <w:rPr/>
        <w:t>、外币业务和外币报表折算</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634" w:right="0"/>
        <w:jc w:val="left"/>
      </w:pPr>
      <w:r>
        <w:rPr/>
        <w:t>（</w:t>
      </w:r>
      <w:r>
        <w:rPr>
          <w:rFonts w:ascii="宋体" w:hAnsi="宋体" w:cs="宋体" w:eastAsia="宋体" w:hint="default"/>
        </w:rPr>
        <w:t>1</w:t>
      </w:r>
      <w:r>
        <w:rPr/>
        <w:t>）外币交易的折算方法 </w:t>
      </w:r>
      <w:r>
        <w:rPr>
          <w:spacing w:val="-1"/>
        </w:rPr>
        <w:t>本公司发生的外币交易在初始确认时，按交易日的即期汇率（通常指中国人民银行公布的当日外汇牌价的中间价，下</w:t>
      </w:r>
    </w:p>
    <w:p>
      <w:pPr>
        <w:pStyle w:val="BodyText"/>
        <w:spacing w:line="316" w:lineRule="auto" w:before="19"/>
        <w:ind w:right="1118"/>
        <w:jc w:val="left"/>
      </w:pPr>
      <w:r>
        <w:rPr>
          <w:spacing w:val="-2"/>
        </w:rPr>
        <w:t>同）折算为记账本位币金额，但公司发生的外币兑换业务或涉及外币兑换的交易事项，按照实际采用的汇率折算为记账本位</w:t>
      </w:r>
      <w:r>
        <w:rPr>
          <w:spacing w:val="-66"/>
        </w:rPr>
        <w:t> </w:t>
      </w:r>
      <w:r>
        <w:rPr>
          <w:spacing w:val="-66"/>
        </w:rPr>
      </w:r>
      <w:r>
        <w:rPr/>
        <w:t>币金额。</w:t>
      </w:r>
    </w:p>
    <w:p>
      <w:pPr>
        <w:pStyle w:val="BodyText"/>
        <w:spacing w:line="316" w:lineRule="auto" w:before="19"/>
        <w:ind w:left="634" w:right="0"/>
        <w:jc w:val="left"/>
      </w:pPr>
      <w:r>
        <w:rPr/>
        <w:t>（</w:t>
      </w:r>
      <w:r>
        <w:rPr>
          <w:rFonts w:ascii="宋体" w:hAnsi="宋体" w:cs="宋体" w:eastAsia="宋体" w:hint="default"/>
        </w:rPr>
        <w:t>2</w:t>
      </w:r>
      <w:r>
        <w:rPr/>
        <w:t>）对于外币货币性项目和外币非货币性项目的折算方法 </w:t>
      </w:r>
      <w:r>
        <w:rPr>
          <w:spacing w:val="-1"/>
        </w:rPr>
        <w:t>资产负债表日，对于外币货币性项目采用资产负债表日即期汇率折算，由此产生的汇兑差额，除：①属于与购建符合</w:t>
      </w:r>
    </w:p>
    <w:p>
      <w:pPr>
        <w:pStyle w:val="BodyText"/>
        <w:spacing w:line="316" w:lineRule="auto" w:before="19"/>
        <w:ind w:right="1131"/>
        <w:jc w:val="both"/>
      </w:pPr>
      <w:r>
        <w:rPr>
          <w:spacing w:val="-2"/>
        </w:rPr>
        <w:t>资本化条件的资产相关的外币专门借款产生的汇兑差额按照借款费用资本化的原则处理；②用于境外经营净投资有效套期的</w:t>
      </w:r>
      <w:r>
        <w:rPr>
          <w:spacing w:val="-64"/>
        </w:rPr>
        <w:t> </w:t>
      </w:r>
      <w:r>
        <w:rPr>
          <w:spacing w:val="-64"/>
        </w:rPr>
      </w:r>
      <w:r>
        <w:rPr>
          <w:spacing w:val="-2"/>
        </w:rPr>
        <w:t>套期工具的汇兑差额（该差额计入其他综合收益，直至净投资被处置才被确认为当期损益）；以及③可供出售的外币货币性</w:t>
      </w:r>
      <w:r>
        <w:rPr>
          <w:spacing w:val="-66"/>
        </w:rPr>
        <w:t> </w:t>
      </w:r>
      <w:r>
        <w:rPr>
          <w:spacing w:val="-66"/>
        </w:rPr>
      </w:r>
      <w:r>
        <w:rPr/>
        <w:t>项目除摊余成本之外的其他账面余额变动产生的汇兑差额计入其他综合收益之外，均计入当期损益。</w:t>
      </w:r>
    </w:p>
    <w:p>
      <w:pPr>
        <w:pStyle w:val="BodyText"/>
        <w:spacing w:line="316" w:lineRule="auto" w:before="19"/>
        <w:ind w:right="1133" w:firstLine="480"/>
        <w:jc w:val="both"/>
      </w:pPr>
      <w:r>
        <w:rPr>
          <w:spacing w:val="-1"/>
        </w:rPr>
        <w:t>编制合并财务报表涉及境外经营的，如有实质上构成对境外经营净投资的外币货币性项目，因汇率变动而产生的汇兑</w:t>
      </w:r>
      <w:r>
        <w:rPr/>
        <w:t> 差额，计入其他综合收益；处置境外经营时，转入处置当期损益。</w:t>
      </w:r>
    </w:p>
    <w:p>
      <w:pPr>
        <w:pStyle w:val="BodyText"/>
        <w:spacing w:line="316" w:lineRule="auto" w:before="19"/>
        <w:ind w:right="1130" w:firstLine="480"/>
        <w:jc w:val="both"/>
      </w:pPr>
      <w:r>
        <w:rPr>
          <w:spacing w:val="-1"/>
        </w:rPr>
        <w:t>以历史成本计量的外币非货币性项目，仍采用交易发生日的即期汇率折算的记账本位币金额计量。以公允价值计量的</w:t>
      </w:r>
      <w:r>
        <w:rPr/>
        <w:t> </w:t>
      </w:r>
      <w:r>
        <w:rPr>
          <w:spacing w:val="-2"/>
        </w:rPr>
        <w:t>外币非货币性项目，采用公允价值确定日的即期汇率折算，折算后的记账本位币金额与原记账本位币金额的差额，作为公允</w:t>
      </w:r>
      <w:r>
        <w:rPr>
          <w:spacing w:val="-66"/>
        </w:rPr>
        <w:t> </w:t>
      </w:r>
      <w:r>
        <w:rPr>
          <w:spacing w:val="-66"/>
        </w:rPr>
      </w:r>
      <w:r>
        <w:rPr/>
        <w:t>价值变动（含汇率变动）处理，计入当期损益或确认为其他综合收益。</w:t>
      </w:r>
    </w:p>
    <w:p>
      <w:pPr>
        <w:pStyle w:val="BodyText"/>
        <w:spacing w:line="316" w:lineRule="auto" w:before="19"/>
        <w:ind w:left="634" w:right="0"/>
        <w:jc w:val="left"/>
      </w:pPr>
      <w:r>
        <w:rPr/>
        <w:t>（</w:t>
      </w:r>
      <w:r>
        <w:rPr>
          <w:rFonts w:ascii="宋体" w:hAnsi="宋体" w:cs="宋体" w:eastAsia="宋体" w:hint="default"/>
        </w:rPr>
        <w:t>3</w:t>
      </w:r>
      <w:r>
        <w:rPr/>
        <w:t>）外币财务报表的折算方法 </w:t>
      </w:r>
      <w:r>
        <w:rPr>
          <w:spacing w:val="-1"/>
        </w:rPr>
        <w:t>编制合并财务报表涉及境外经营的，如有实质上构成对境外经营净投资的外币货币性项目，因汇率变动而产生的汇兑</w:t>
      </w:r>
    </w:p>
    <w:p>
      <w:pPr>
        <w:pStyle w:val="BodyText"/>
        <w:spacing w:line="316" w:lineRule="auto" w:before="19"/>
        <w:ind w:left="634" w:right="0" w:hanging="480"/>
        <w:jc w:val="left"/>
      </w:pPr>
      <w:r>
        <w:rPr/>
        <w:t>差额，作为“外币报表折算差额”确认为其他综合收益；处置境外经营时，计入处置当期损益。 </w:t>
      </w:r>
      <w:r>
        <w:rPr>
          <w:spacing w:val="-1"/>
        </w:rPr>
        <w:t>境外经营的外币财务报表按以下方法折算为人民币报表：资产负债表中的资产和负债项目，采用资产负债表日的即期</w:t>
      </w:r>
    </w:p>
    <w:p>
      <w:pPr>
        <w:pStyle w:val="BodyText"/>
        <w:spacing w:line="319" w:lineRule="auto" w:before="19"/>
        <w:ind w:right="1032"/>
        <w:jc w:val="left"/>
      </w:pPr>
      <w:r>
        <w:rPr/>
        <w:t>汇率折算；股东权益类项目除“未分配利润”项目外，其他项目采用发生时的即期汇率折算。利润表中的收入和费用项目， </w:t>
      </w:r>
      <w:r>
        <w:rPr>
          <w:spacing w:val="-2"/>
        </w:rPr>
        <w:t>采用交易发生日的即期汇率折算。年初未分配利润为上一年折算后的年末未分配利润；年末未分配利润按折算后的利润分配</w:t>
      </w:r>
      <w:r>
        <w:rPr>
          <w:spacing w:val="-64"/>
        </w:rPr>
        <w:t> </w:t>
      </w:r>
      <w:r>
        <w:rPr>
          <w:spacing w:val="-64"/>
        </w:rPr>
      </w:r>
      <w:r>
        <w:rPr>
          <w:spacing w:val="-2"/>
        </w:rPr>
        <w:t>各项目计算列示；折算后资产类项目与负债类项目和股东权益类项目合计数的差额，作为外币报表折算差额，确认为其他综</w:t>
      </w:r>
      <w:r>
        <w:rPr>
          <w:spacing w:val="-66"/>
        </w:rPr>
        <w:t> </w:t>
      </w:r>
      <w:r>
        <w:rPr>
          <w:spacing w:val="-66"/>
        </w:rPr>
      </w:r>
      <w:r>
        <w:rPr/>
        <w:t>合收益。处置境外经营并丧失控制权时，将资产负债表中股东权益项目下列示的、与该境外经营相关的外币报表折算差额， 全部或按处置该境外经营的比例转入处置当期损益。</w:t>
      </w:r>
    </w:p>
    <w:p>
      <w:pPr>
        <w:pStyle w:val="BodyText"/>
        <w:spacing w:line="316" w:lineRule="auto" w:before="17"/>
        <w:ind w:right="1131" w:firstLine="480"/>
        <w:jc w:val="both"/>
      </w:pPr>
      <w:r>
        <w:rPr>
          <w:spacing w:val="-1"/>
        </w:rPr>
        <w:t>外币现金流量以及境外子公司的现金流量，采用现金流量发生日的即期汇率折算。汇率变动对现金的影响额作为调节</w:t>
      </w:r>
      <w:r>
        <w:rPr/>
        <w:t> 项目，在现金流量表中单独列报。</w:t>
      </w:r>
    </w:p>
    <w:p>
      <w:pPr>
        <w:pStyle w:val="BodyText"/>
        <w:spacing w:line="316" w:lineRule="auto" w:before="19"/>
        <w:ind w:left="634" w:right="0"/>
        <w:jc w:val="left"/>
      </w:pPr>
      <w:r>
        <w:rPr/>
        <w:t>年初数和上年实际数按照上年财务报表折算后的数额列示。 </w:t>
      </w:r>
      <w:r>
        <w:rPr>
          <w:spacing w:val="-1"/>
        </w:rPr>
        <w:t>在处置本公司在境外经营的全部所有者权益或因处置部分股权投资或其他原因丧失了对境外经营控制权时，将资产负</w:t>
      </w:r>
    </w:p>
    <w:p>
      <w:pPr>
        <w:pStyle w:val="BodyText"/>
        <w:spacing w:line="316" w:lineRule="auto" w:before="19"/>
        <w:ind w:left="634" w:right="0" w:hanging="480"/>
        <w:jc w:val="left"/>
      </w:pPr>
      <w:r>
        <w:rPr>
          <w:spacing w:val="-4"/>
        </w:rPr>
        <w:t>债表中股东权益项目下列示的、与该境外经营相关的归属于母公司所有者权益的外币报表折算差额，全部转入处置当期损益。</w:t>
      </w:r>
      <w:r>
        <w:rPr>
          <w:spacing w:val="-44"/>
        </w:rPr>
        <w:t> </w:t>
      </w:r>
      <w:r>
        <w:rPr>
          <w:spacing w:val="-44"/>
        </w:rPr>
      </w:r>
      <w:r>
        <w:rPr/>
        <w:t>在处置部分股权投资或其他原因导致持有境外经营权益比例降低但不丧失对境外经营控制权时，与该境外经营处置部</w:t>
      </w:r>
    </w:p>
    <w:p>
      <w:pPr>
        <w:pStyle w:val="BodyText"/>
        <w:spacing w:line="316" w:lineRule="auto" w:before="19"/>
        <w:ind w:right="0"/>
        <w:jc w:val="left"/>
      </w:pPr>
      <w:r>
        <w:rPr>
          <w:spacing w:val="-4"/>
        </w:rPr>
        <w:t>分相关的外币报表折算差额将归属于少数股东权益，不转入当期损益。在处置境外经营为联营企业或合营企业的部分股权时，</w:t>
      </w:r>
      <w:r>
        <w:rPr>
          <w:spacing w:val="-44"/>
        </w:rPr>
        <w:t> </w:t>
      </w:r>
      <w:r>
        <w:rPr>
          <w:spacing w:val="-44"/>
        </w:rPr>
      </w:r>
      <w:r>
        <w:rPr/>
        <w:t>与该境外经营相关的外币报表折算差额，按处置该境外经营的比例转入处置当期损益。</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35"/>
        <w:ind w:right="0"/>
        <w:jc w:val="left"/>
        <w:rPr>
          <w:b w:val="0"/>
          <w:bCs w:val="0"/>
        </w:rPr>
      </w:pPr>
      <w:bookmarkStart w:name="10、金融工具" w:id="179"/>
      <w:bookmarkEnd w:id="179"/>
      <w:r>
        <w:rPr>
          <w:b w:val="0"/>
          <w:bCs w:val="0"/>
        </w:rPr>
      </w:r>
      <w:r>
        <w:rPr>
          <w:rFonts w:ascii="Times New Roman" w:hAnsi="Times New Roman" w:cs="Times New Roman" w:eastAsia="Times New Roman" w:hint="default"/>
        </w:rPr>
        <w:t>10</w:t>
      </w:r>
      <w:r>
        <w:rPr/>
        <w:t>、金融工具</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133" w:firstLine="480"/>
        <w:jc w:val="both"/>
      </w:pPr>
      <w:r>
        <w:rPr>
          <w:spacing w:val="-1"/>
        </w:rPr>
        <w:t>在本公司成为金融工具合同的一方时确认一项金融资产或金融负债。金融资产和金融负债在初始确认时以公允价值计</w:t>
      </w:r>
      <w:r>
        <w:rPr/>
        <w:t> </w:t>
      </w:r>
      <w:r>
        <w:rPr>
          <w:spacing w:val="-2"/>
        </w:rPr>
        <w:t>量。对于以公允价值计量且其变动计入当期损益的金融资产和金融负债，相关的交易费用直接计入损益，对于其他类别的金</w:t>
      </w:r>
      <w:r>
        <w:rPr>
          <w:spacing w:val="-66"/>
        </w:rPr>
        <w:t> </w:t>
      </w:r>
      <w:r>
        <w:rPr>
          <w:spacing w:val="-66"/>
        </w:rPr>
      </w:r>
      <w:r>
        <w:rPr/>
        <w:t>融资产和金融负债，相关交易费用计入初始确认金额。</w:t>
      </w:r>
    </w:p>
    <w:p>
      <w:pPr>
        <w:pStyle w:val="BodyText"/>
        <w:spacing w:line="316" w:lineRule="auto" w:before="19"/>
        <w:ind w:left="634" w:right="1092"/>
        <w:jc w:val="left"/>
      </w:pPr>
      <w:r>
        <w:rPr/>
        <w:t>（</w:t>
      </w:r>
      <w:r>
        <w:rPr>
          <w:rFonts w:ascii="宋体" w:hAnsi="宋体" w:cs="宋体" w:eastAsia="宋体" w:hint="default"/>
        </w:rPr>
        <w:t>1</w:t>
      </w:r>
      <w:r>
        <w:rPr/>
        <w:t>）金融资产和金融负债的公允价值确定方法 公允价值，是指市场参与者在计量日发生的有序交易中，出售一项资产所能收到或者转移一项负债所需支付的价格。</w:t>
      </w:r>
    </w:p>
    <w:p>
      <w:pPr>
        <w:pStyle w:val="BodyText"/>
        <w:spacing w:line="316" w:lineRule="auto" w:before="19"/>
        <w:ind w:right="0"/>
        <w:jc w:val="left"/>
      </w:pPr>
      <w:r>
        <w:rPr>
          <w:spacing w:val="-2"/>
        </w:rPr>
        <w:t>金融工具存在活跃市场的，本公司采用活跃市场中的报价确定其公允价值。活跃市场中的报价是指易于定期从交易所、经纪</w:t>
      </w:r>
      <w:r>
        <w:rPr>
          <w:spacing w:val="-66"/>
        </w:rPr>
        <w:t> </w:t>
      </w:r>
      <w:r>
        <w:rPr>
          <w:spacing w:val="-66"/>
        </w:rPr>
      </w:r>
      <w:r>
        <w:rPr>
          <w:spacing w:val="-2"/>
        </w:rPr>
        <w:t>商、行业协会、定价服务机构等获得的价格，且代表了在公平交易中实际发生的市场交易的价格。金融工具不存在活跃市场</w:t>
      </w:r>
    </w:p>
    <w:p>
      <w:pPr>
        <w:spacing w:after="0" w:line="316"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6" w:lineRule="auto" w:before="44"/>
        <w:ind w:right="1043"/>
        <w:jc w:val="both"/>
      </w:pPr>
      <w:r>
        <w:rPr>
          <w:spacing w:val="-4"/>
        </w:rPr>
        <w:t>的，本公司采用估值技术确定其公允价值。估值技术包括参考熟悉情况并自愿交易的各方最近进行的市场交易中使用的价格、</w:t>
      </w:r>
      <w:r>
        <w:rPr>
          <w:spacing w:val="-44"/>
        </w:rPr>
        <w:t> </w:t>
      </w:r>
      <w:r>
        <w:rPr>
          <w:spacing w:val="-44"/>
        </w:rPr>
      </w:r>
      <w:r>
        <w:rPr/>
        <w:t>参照实质上相同的其他金融工具当前的公允价值、现金流量折现法和期权定价模型等。</w:t>
      </w:r>
    </w:p>
    <w:p>
      <w:pPr>
        <w:pStyle w:val="BodyText"/>
        <w:spacing w:line="316" w:lineRule="auto" w:before="19"/>
        <w:ind w:left="634" w:right="0"/>
        <w:jc w:val="left"/>
      </w:pPr>
      <w:r>
        <w:rPr/>
        <w:t>（</w:t>
      </w:r>
      <w:r>
        <w:rPr>
          <w:rFonts w:ascii="宋体" w:hAnsi="宋体" w:cs="宋体" w:eastAsia="宋体" w:hint="default"/>
        </w:rPr>
        <w:t>2</w:t>
      </w:r>
      <w:r>
        <w:rPr/>
        <w:t>）金融资产的分类、确认和计量 </w:t>
      </w:r>
      <w:r>
        <w:rPr>
          <w:spacing w:val="-1"/>
        </w:rPr>
        <w:t>以常规方式买卖金融资产，按交易日进行会计确认和终止确认。金融资产在初始确认时划分为以公允价值计量且其变</w:t>
      </w:r>
    </w:p>
    <w:p>
      <w:pPr>
        <w:pStyle w:val="BodyText"/>
        <w:spacing w:line="240" w:lineRule="auto" w:before="19"/>
        <w:ind w:right="0"/>
        <w:jc w:val="both"/>
      </w:pPr>
      <w:r>
        <w:rPr/>
        <w:t>动计入当期损益的金融资产、持有至到期投资、贷款和应收款项以及可供出售金融资产。</w:t>
      </w:r>
    </w:p>
    <w:p>
      <w:pPr>
        <w:pStyle w:val="BodyText"/>
        <w:spacing w:line="316" w:lineRule="auto" w:before="76"/>
        <w:ind w:left="634" w:right="0"/>
        <w:jc w:val="left"/>
      </w:pPr>
      <w:r>
        <w:rPr/>
        <w:t>①以公允价值计量且其变动计入当期损益的金融资产 包括交易性金融资产和指定为以公允价值计量且其变动计入当期损益的金融资产。 </w:t>
      </w:r>
      <w:r>
        <w:rPr>
          <w:spacing w:val="-1"/>
        </w:rPr>
        <w:t>交易性金融资产是指满足下列条件之一的金融资产：</w:t>
      </w:r>
      <w:r>
        <w:rPr>
          <w:rFonts w:ascii="宋体" w:hAnsi="宋体" w:cs="宋体" w:eastAsia="宋体" w:hint="default"/>
          <w:spacing w:val="-1"/>
        </w:rPr>
        <w:t>A.</w:t>
      </w:r>
      <w:r>
        <w:rPr>
          <w:spacing w:val="-1"/>
        </w:rPr>
        <w:t>取得该金融资产的目的，主要是为了近期内出售；</w:t>
      </w:r>
      <w:r>
        <w:rPr>
          <w:rFonts w:ascii="宋体" w:hAnsi="宋体" w:cs="宋体" w:eastAsia="宋体" w:hint="default"/>
          <w:spacing w:val="-1"/>
        </w:rPr>
        <w:t>B.</w:t>
      </w:r>
      <w:r>
        <w:rPr>
          <w:spacing w:val="-1"/>
        </w:rPr>
        <w:t>属于进行</w:t>
      </w:r>
    </w:p>
    <w:p>
      <w:pPr>
        <w:pStyle w:val="BodyText"/>
        <w:spacing w:line="316" w:lineRule="auto" w:before="19"/>
        <w:ind w:right="1130"/>
        <w:jc w:val="both"/>
      </w:pPr>
      <w:r>
        <w:rPr>
          <w:spacing w:val="-2"/>
        </w:rPr>
        <w:t>集中管理的可辨认金融工具组合的一部分，且有客观证据表明本公司近期采用短期获利方式对该组合进行管理；</w:t>
      </w:r>
      <w:r>
        <w:rPr>
          <w:rFonts w:ascii="宋体" w:hAnsi="宋体" w:cs="宋体" w:eastAsia="宋体" w:hint="default"/>
          <w:spacing w:val="-2"/>
        </w:rPr>
        <w:t>C.</w:t>
      </w:r>
      <w:r>
        <w:rPr>
          <w:spacing w:val="-2"/>
        </w:rPr>
        <w:t>属于衍生</w:t>
      </w:r>
      <w:r>
        <w:rPr>
          <w:spacing w:val="-61"/>
        </w:rPr>
        <w:t> </w:t>
      </w:r>
      <w:r>
        <w:rPr>
          <w:spacing w:val="-2"/>
        </w:rPr>
        <w:t>工具，但是，被指定且为有效套期工具的衍生工具、属于财务担保合同的衍生工具、与在活跃市场中没有报价且其公允价值</w:t>
      </w:r>
      <w:r>
        <w:rPr>
          <w:spacing w:val="-66"/>
        </w:rPr>
        <w:t> </w:t>
      </w:r>
      <w:r>
        <w:rPr>
          <w:spacing w:val="-66"/>
        </w:rPr>
      </w:r>
      <w:r>
        <w:rPr/>
        <w:t>不能可靠计量的权益工具投资挂钩并须通过交付该权益工具结算的衍生工具除外。</w:t>
      </w:r>
    </w:p>
    <w:p>
      <w:pPr>
        <w:pStyle w:val="BodyText"/>
        <w:spacing w:line="316" w:lineRule="auto" w:before="19"/>
        <w:ind w:right="1130" w:firstLine="480"/>
        <w:jc w:val="both"/>
      </w:pPr>
      <w:r>
        <w:rPr>
          <w:spacing w:val="-1"/>
        </w:rPr>
        <w:t>符合下述条件之一的金融资产，在初始确认时可指定为以公允价值计量且其变动计入当期损益的金融资产：</w:t>
      </w:r>
      <w:r>
        <w:rPr>
          <w:rFonts w:ascii="宋体" w:hAnsi="宋体" w:cs="宋体" w:eastAsia="宋体" w:hint="default"/>
          <w:spacing w:val="-1"/>
        </w:rPr>
        <w:t>A.</w:t>
      </w:r>
      <w:r>
        <w:rPr>
          <w:spacing w:val="-1"/>
        </w:rPr>
        <w:t>该指定</w:t>
      </w:r>
      <w:r>
        <w:rPr/>
        <w:t> </w:t>
      </w:r>
      <w:r>
        <w:rPr>
          <w:spacing w:val="-2"/>
        </w:rPr>
        <w:t>可以消除或明显减少由于该金融资产的计量基础不同所导致的相关利得或损失在确认或计量方面不一致的情况；</w:t>
      </w:r>
      <w:r>
        <w:rPr>
          <w:rFonts w:ascii="宋体" w:hAnsi="宋体" w:cs="宋体" w:eastAsia="宋体" w:hint="default"/>
          <w:spacing w:val="-2"/>
        </w:rPr>
        <w:t>B.</w:t>
      </w:r>
      <w:r>
        <w:rPr>
          <w:spacing w:val="-2"/>
        </w:rPr>
        <w:t>本公司风</w:t>
      </w:r>
      <w:r>
        <w:rPr>
          <w:spacing w:val="-61"/>
        </w:rPr>
        <w:t> </w:t>
      </w:r>
      <w:r>
        <w:rPr>
          <w:spacing w:val="-2"/>
        </w:rPr>
        <w:t>险管理或投资策略的正式书面文件已载明，对该金融资产所在的金融资产组合或金融资产和金融负债组合以公允价值为基础</w:t>
      </w:r>
      <w:r>
        <w:rPr>
          <w:spacing w:val="-64"/>
        </w:rPr>
        <w:t> </w:t>
      </w:r>
      <w:r>
        <w:rPr>
          <w:spacing w:val="-64"/>
        </w:rPr>
      </w:r>
      <w:r>
        <w:rPr/>
        <w:t>进行管理、评价并向关键管理人员报告。</w:t>
      </w:r>
    </w:p>
    <w:p>
      <w:pPr>
        <w:pStyle w:val="BodyText"/>
        <w:spacing w:line="316" w:lineRule="auto" w:before="19"/>
        <w:ind w:right="1133" w:firstLine="480"/>
        <w:jc w:val="both"/>
      </w:pPr>
      <w:r>
        <w:rPr>
          <w:spacing w:val="-1"/>
        </w:rPr>
        <w:t>以公允价值计量且其变动计入当期损益的金融资产采用公允价值进行后续计量，公允价值变动形成的利得或损失以及</w:t>
      </w:r>
      <w:r>
        <w:rPr/>
        <w:t> 与该等金融资产相关的股利和利息收入计入当期损益。</w:t>
      </w:r>
    </w:p>
    <w:p>
      <w:pPr>
        <w:pStyle w:val="BodyText"/>
        <w:spacing w:line="316" w:lineRule="auto" w:before="19"/>
        <w:ind w:left="634" w:right="1118"/>
        <w:jc w:val="left"/>
      </w:pPr>
      <w:r>
        <w:rPr/>
        <w:t>②持有至到期投资 是指到期日固定、回收金额固定或可确定，且本公司有明确意图和能力持有至到期的非衍生金融资产。 </w:t>
      </w:r>
      <w:r>
        <w:rPr>
          <w:spacing w:val="-1"/>
        </w:rPr>
        <w:t>持有至到期投资采用实际利率法，按摊余成本进行后续计量，在终止确认、发生减值或摊销时产生的利得或损失，计</w:t>
      </w:r>
    </w:p>
    <w:p>
      <w:pPr>
        <w:pStyle w:val="BodyText"/>
        <w:spacing w:line="240" w:lineRule="auto" w:before="19"/>
        <w:ind w:right="0"/>
        <w:jc w:val="both"/>
      </w:pPr>
      <w:r>
        <w:rPr/>
        <w:t>入当期损益。</w:t>
      </w:r>
    </w:p>
    <w:p>
      <w:pPr>
        <w:pStyle w:val="BodyText"/>
        <w:spacing w:line="319" w:lineRule="auto" w:before="76"/>
        <w:ind w:right="1131" w:firstLine="480"/>
        <w:jc w:val="both"/>
      </w:pPr>
      <w:r>
        <w:rPr>
          <w:spacing w:val="-1"/>
        </w:rPr>
        <w:t>实际利率法是指按照金融资产或金融负债（含一组金融资产或金融负债）的实际利率计算其摊余成本及各期利息收入</w:t>
      </w:r>
      <w:r>
        <w:rPr/>
        <w:t> </w:t>
      </w:r>
      <w:r>
        <w:rPr>
          <w:spacing w:val="-2"/>
        </w:rPr>
        <w:t>或支出的方法。实际利率是指将金融资产或金融负债在预期存续期间或适用的更短期间内的未来现金流量，折现为该金融资</w:t>
      </w:r>
      <w:r>
        <w:rPr>
          <w:spacing w:val="-64"/>
        </w:rPr>
        <w:t> </w:t>
      </w:r>
      <w:r>
        <w:rPr>
          <w:spacing w:val="-64"/>
        </w:rPr>
      </w:r>
      <w:r>
        <w:rPr/>
        <w:t>产或金融负债当前账面价值所使用的利率。</w:t>
      </w:r>
    </w:p>
    <w:p>
      <w:pPr>
        <w:pStyle w:val="BodyText"/>
        <w:spacing w:line="316" w:lineRule="auto" w:before="17"/>
        <w:ind w:right="1131" w:firstLine="480"/>
        <w:jc w:val="both"/>
      </w:pPr>
      <w:r>
        <w:rPr>
          <w:spacing w:val="-1"/>
        </w:rPr>
        <w:t>在计算实际利率时，本公司将在考虑金融资产或金融负债所有合同条款的基础上预计未来现金流量（不考虑未来的信</w:t>
      </w:r>
      <w:r>
        <w:rPr/>
        <w:t> </w:t>
      </w:r>
      <w:r>
        <w:rPr>
          <w:spacing w:val="-2"/>
        </w:rPr>
        <w:t>用损失），同时还将考虑金融资产或金融负债合同各方之间支付或收取的、属于实际利率组成部分的各项收费、交易费用及</w:t>
      </w:r>
      <w:r>
        <w:rPr>
          <w:spacing w:val="-66"/>
        </w:rPr>
        <w:t> </w:t>
      </w:r>
      <w:r>
        <w:rPr>
          <w:spacing w:val="-66"/>
        </w:rPr>
      </w:r>
      <w:r>
        <w:rPr/>
        <w:t>折价或溢价等。</w:t>
      </w:r>
    </w:p>
    <w:p>
      <w:pPr>
        <w:pStyle w:val="BodyText"/>
        <w:spacing w:line="316" w:lineRule="auto" w:before="19"/>
        <w:ind w:left="634" w:right="0"/>
        <w:jc w:val="left"/>
      </w:pPr>
      <w:r>
        <w:rPr/>
        <w:t>③贷款和应收款项 </w:t>
      </w:r>
      <w:r>
        <w:rPr>
          <w:spacing w:val="-1"/>
        </w:rPr>
        <w:t>是指在活跃市场中没有报价、回收金额固定或可确定的非衍生金融资产。本公司划分为贷款和应收款的金融资产包括</w:t>
      </w:r>
    </w:p>
    <w:p>
      <w:pPr>
        <w:pStyle w:val="BodyText"/>
        <w:spacing w:line="316" w:lineRule="auto" w:before="19"/>
        <w:ind w:left="634" w:right="0" w:hanging="480"/>
        <w:jc w:val="left"/>
      </w:pPr>
      <w:r>
        <w:rPr/>
        <w:t>应收票据、应收账款、应收利息、应收股利及其他应收款等。 </w:t>
      </w:r>
      <w:r>
        <w:rPr>
          <w:spacing w:val="-1"/>
        </w:rPr>
        <w:t>贷款和应收款项采用实际利率法，按摊余成本进行后续计量，在终止确认、发生减值或摊销时产生的利得或损失，计</w:t>
      </w:r>
    </w:p>
    <w:p>
      <w:pPr>
        <w:pStyle w:val="BodyText"/>
        <w:spacing w:line="240" w:lineRule="auto" w:before="19"/>
        <w:ind w:right="0"/>
        <w:jc w:val="both"/>
      </w:pPr>
      <w:r>
        <w:rPr/>
        <w:t>入当期损益。</w:t>
      </w:r>
    </w:p>
    <w:p>
      <w:pPr>
        <w:pStyle w:val="BodyText"/>
        <w:spacing w:line="316" w:lineRule="auto" w:before="76"/>
        <w:ind w:left="634" w:right="0"/>
        <w:jc w:val="left"/>
      </w:pPr>
      <w:r>
        <w:rPr/>
        <w:t>④可供出售金融资产 </w:t>
      </w:r>
      <w:r>
        <w:rPr>
          <w:spacing w:val="2"/>
        </w:rPr>
        <w:t>包括初始确认时即被指定为可供出售的非衍生金融资产，以及除了以公允价值计量且其变动计入当期损益的金融资</w:t>
      </w:r>
    </w:p>
    <w:p>
      <w:pPr>
        <w:pStyle w:val="BodyText"/>
        <w:spacing w:line="240" w:lineRule="auto" w:before="19"/>
        <w:ind w:right="0"/>
        <w:jc w:val="both"/>
      </w:pPr>
      <w:r>
        <w:rPr/>
        <w:t>产、贷款和应收款项、持有至到期投资以外的金融资产。</w:t>
      </w:r>
    </w:p>
    <w:p>
      <w:pPr>
        <w:spacing w:line="240" w:lineRule="auto" w:before="0"/>
        <w:rPr>
          <w:rFonts w:ascii="宋体" w:hAnsi="宋体" w:cs="宋体" w:eastAsia="宋体" w:hint="default"/>
          <w:sz w:val="18"/>
          <w:szCs w:val="18"/>
        </w:rPr>
      </w:pPr>
    </w:p>
    <w:p>
      <w:pPr>
        <w:pStyle w:val="BodyText"/>
        <w:spacing w:line="316" w:lineRule="auto" w:before="153"/>
        <w:ind w:right="1130" w:firstLine="480"/>
        <w:jc w:val="both"/>
      </w:pPr>
      <w:r>
        <w:rPr>
          <w:spacing w:val="-1"/>
        </w:rPr>
        <w:t>可供出售债务工具投资的期末成本按照其摊余成本法确定，即初始确认金额扣除已偿还的本金，加上或减去采用实际</w:t>
      </w:r>
      <w:r>
        <w:rPr/>
        <w:t> </w:t>
      </w:r>
      <w:r>
        <w:rPr>
          <w:spacing w:val="-2"/>
        </w:rPr>
        <w:t>利率法将该初始确认金额与到期日金额之间的差额进行摊销形成的累计摊销额，并扣除已发生的减值损失后的金额。可供出</w:t>
      </w:r>
      <w:r>
        <w:rPr>
          <w:spacing w:val="-63"/>
        </w:rPr>
        <w:t> </w:t>
      </w:r>
      <w:r>
        <w:rPr>
          <w:spacing w:val="-63"/>
        </w:rPr>
      </w:r>
      <w:r>
        <w:rPr/>
        <w:t>售权益工具投资的期末成本为其初始取得成本。</w:t>
      </w:r>
    </w:p>
    <w:p>
      <w:pPr>
        <w:pStyle w:val="BodyText"/>
        <w:spacing w:line="319" w:lineRule="auto" w:before="19"/>
        <w:ind w:right="1032" w:firstLine="480"/>
        <w:jc w:val="left"/>
      </w:pPr>
      <w:r>
        <w:rPr/>
        <w:t>可供出售金融资产采用公允价值进行后续计量，公允价值变动形成的利得或损失，除减值损失和外币货币性金融资产 与摊余成本相关的汇兑差额计入当期损益外，确认为其他综合收益，在该金融资产终止确认时转出，计入当期损益。但是， </w:t>
      </w:r>
      <w:r>
        <w:rPr>
          <w:spacing w:val="-2"/>
        </w:rPr>
        <w:t>在活跃市场中没有报价且其公允价值不能可靠计量的权益工具投资，以及与该权益工具挂钩并须通过交付该权益工具结算的</w:t>
      </w:r>
      <w:r>
        <w:rPr>
          <w:spacing w:val="-64"/>
        </w:rPr>
        <w:t> </w:t>
      </w:r>
      <w:r>
        <w:rPr>
          <w:spacing w:val="-64"/>
        </w:rPr>
      </w:r>
      <w:r>
        <w:rPr/>
        <w:t>衍生金融资产，按照成本进行后续计量。</w:t>
      </w:r>
    </w:p>
    <w:p>
      <w:pPr>
        <w:pStyle w:val="BodyText"/>
        <w:spacing w:line="240" w:lineRule="auto" w:before="17"/>
        <w:ind w:left="634" w:right="0"/>
        <w:jc w:val="left"/>
      </w:pPr>
      <w:r>
        <w:rPr/>
        <w:t>可供出售金融资产持有期间取得的利息及被投资单位宣告发放的现金股利，计入投资收益。</w:t>
      </w:r>
    </w:p>
    <w:p>
      <w:pPr>
        <w:spacing w:after="0" w:line="24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6" w:lineRule="auto" w:before="44"/>
        <w:ind w:right="1109" w:firstLine="480"/>
        <w:jc w:val="both"/>
      </w:pPr>
      <w:r>
        <w:rPr/>
        <w:t>因持有意图或能力发生改变，或公允价值不再能够可靠计量，或根据《企业会计准则第</w:t>
      </w:r>
      <w:r>
        <w:rPr>
          <w:rFonts w:ascii="宋体" w:hAnsi="宋体" w:cs="宋体" w:eastAsia="宋体" w:hint="default"/>
        </w:rPr>
        <w:t>22</w:t>
      </w:r>
      <w:r>
        <w:rPr/>
        <w:t>号—金融工具确认和计量》 </w:t>
      </w:r>
      <w:r>
        <w:rPr>
          <w:spacing w:val="-2"/>
        </w:rPr>
        <w:t>第十六条规定将持有至到期投资重分类为可供出售金融资产的期限已超过两个完整的会计年度，使金融资产不再适合按照公</w:t>
      </w:r>
      <w:r>
        <w:rPr>
          <w:spacing w:val="-64"/>
        </w:rPr>
        <w:t> </w:t>
      </w:r>
      <w:r>
        <w:rPr>
          <w:spacing w:val="-64"/>
        </w:rPr>
      </w:r>
      <w:r>
        <w:rPr>
          <w:spacing w:val="-2"/>
        </w:rPr>
        <w:t>允价值计量时，本公司将可供出售金融资产改按成本或摊余成本计量。重分类日，该金融资产的成本或摊余成本为该日的公</w:t>
      </w:r>
      <w:r>
        <w:rPr>
          <w:spacing w:val="-66"/>
        </w:rPr>
        <w:t> </w:t>
      </w:r>
      <w:r>
        <w:rPr>
          <w:spacing w:val="-66"/>
        </w:rPr>
      </w:r>
      <w:r>
        <w:rPr/>
        <w:t>允价值或账面价值。</w:t>
      </w:r>
    </w:p>
    <w:p>
      <w:pPr>
        <w:pStyle w:val="BodyText"/>
        <w:spacing w:line="316" w:lineRule="auto" w:before="19"/>
        <w:ind w:right="1032" w:firstLine="480"/>
        <w:jc w:val="left"/>
      </w:pPr>
      <w:r>
        <w:rPr/>
        <w:t>该金融资产有固定到期日的，与该金融资产相关、原计入其他综合收益的利得或损失，在该金融资产的剩余期限内， </w:t>
      </w:r>
      <w:r>
        <w:rPr>
          <w:spacing w:val="-2"/>
        </w:rPr>
        <w:t>采用实际利率法摊销，计入当期损益；该金融资产的摊余成本与到期日金额之间的差额，在该金融资产的剩余期限内，采用</w:t>
      </w:r>
      <w:r>
        <w:rPr>
          <w:spacing w:val="-65"/>
        </w:rPr>
        <w:t> </w:t>
      </w:r>
      <w:r>
        <w:rPr>
          <w:spacing w:val="-65"/>
        </w:rPr>
      </w:r>
      <w:r>
        <w:rPr/>
        <w:t>实际利率法摊销，计入当期损益。该金融资产没有固定到期日的，原计入其他综合收益的利得或损失仍保留在股东权益中， 在该金融资产被处置时转出，计入当期损益。</w:t>
      </w:r>
    </w:p>
    <w:p>
      <w:pPr>
        <w:pStyle w:val="BodyText"/>
        <w:spacing w:line="316" w:lineRule="auto" w:before="19"/>
        <w:ind w:left="634" w:right="0"/>
        <w:jc w:val="left"/>
      </w:pPr>
      <w:r>
        <w:rPr/>
        <w:t>（</w:t>
      </w:r>
      <w:r>
        <w:rPr>
          <w:rFonts w:ascii="宋体" w:hAnsi="宋体" w:cs="宋体" w:eastAsia="宋体" w:hint="default"/>
        </w:rPr>
        <w:t>3</w:t>
      </w:r>
      <w:r>
        <w:rPr/>
        <w:t>）金融资产减值 </w:t>
      </w:r>
      <w:r>
        <w:rPr>
          <w:spacing w:val="-1"/>
        </w:rPr>
        <w:t>除了以公允价值计量且其变动计入当期损益的金融资产外，本公司在每个资产负债表日对其他金融资产的账面价值进</w:t>
      </w:r>
    </w:p>
    <w:p>
      <w:pPr>
        <w:pStyle w:val="BodyText"/>
        <w:spacing w:line="316" w:lineRule="auto" w:before="19"/>
        <w:ind w:left="634" w:right="0" w:hanging="480"/>
        <w:jc w:val="left"/>
      </w:pPr>
      <w:r>
        <w:rPr/>
        <w:t>行检查，有客观证据表明金融资产发生减值的，计提减值准备。 </w:t>
      </w:r>
      <w:r>
        <w:rPr>
          <w:spacing w:val="-1"/>
        </w:rPr>
        <w:t>本公司对单项金额重大的金融资产单独进行减值测试；对单项金额不重大的金融资产，单独进行减值测试或包括在具</w:t>
      </w:r>
    </w:p>
    <w:p>
      <w:pPr>
        <w:pStyle w:val="BodyText"/>
        <w:spacing w:line="316" w:lineRule="auto" w:before="19"/>
        <w:ind w:right="1131"/>
        <w:jc w:val="both"/>
      </w:pPr>
      <w:r>
        <w:rPr>
          <w:spacing w:val="-2"/>
        </w:rPr>
        <w:t>有类似信用风险特征的金融资产组合中进行减值测试。单独测试未发生减值的金融资产（包括单项金额重大和不重大的金融</w:t>
      </w:r>
      <w:r>
        <w:rPr>
          <w:spacing w:val="-64"/>
        </w:rPr>
        <w:t> </w:t>
      </w:r>
      <w:r>
        <w:rPr>
          <w:spacing w:val="-64"/>
        </w:rPr>
      </w:r>
      <w:r>
        <w:rPr>
          <w:spacing w:val="-2"/>
        </w:rPr>
        <w:t>资产），包括在具有类似信用风险特征的金融资产组合中再进行减值测试。已单项确认减值损失的金融资产，不包括在具有</w:t>
      </w:r>
      <w:r>
        <w:rPr>
          <w:spacing w:val="-66"/>
        </w:rPr>
        <w:t> </w:t>
      </w:r>
      <w:r>
        <w:rPr>
          <w:spacing w:val="-66"/>
        </w:rPr>
      </w:r>
      <w:r>
        <w:rPr/>
        <w:t>类似信用风险特征的金融资产组合中进行减值测试。</w:t>
      </w:r>
    </w:p>
    <w:p>
      <w:pPr>
        <w:pStyle w:val="BodyText"/>
        <w:spacing w:line="316" w:lineRule="auto" w:before="19"/>
        <w:ind w:left="634" w:right="0"/>
        <w:jc w:val="left"/>
      </w:pPr>
      <w:r>
        <w:rPr/>
        <w:t>①持有至到期投资、贷款和应收款项减值 </w:t>
      </w:r>
      <w:r>
        <w:rPr>
          <w:spacing w:val="-1"/>
        </w:rPr>
        <w:t>以成本或摊余成本计量的金融资产将其账面价值减记至预计未来现金流量现值，减记金额确认为减值损失，计入当期</w:t>
      </w:r>
    </w:p>
    <w:p>
      <w:pPr>
        <w:pStyle w:val="BodyText"/>
        <w:spacing w:line="316" w:lineRule="auto" w:before="19"/>
        <w:ind w:right="1032"/>
        <w:jc w:val="left"/>
      </w:pPr>
      <w:r>
        <w:rPr/>
        <w:t>损益。金融资产在确认减值损失后，如有客观证据表明该金融资产价值已恢复，且客观上与确认该损失后发生的事项有关， </w:t>
      </w:r>
      <w:r>
        <w:rPr>
          <w:spacing w:val="-2"/>
        </w:rPr>
        <w:t>原确认的减值损失予以转回，金融资产转回减值损失后的账面价值不超过假定不计提减值准备情况下该金融资产在转回日的</w:t>
      </w:r>
      <w:r>
        <w:rPr>
          <w:spacing w:val="-64"/>
        </w:rPr>
        <w:t> </w:t>
      </w:r>
      <w:r>
        <w:rPr>
          <w:spacing w:val="-64"/>
        </w:rPr>
      </w:r>
      <w:r>
        <w:rPr/>
        <w:t>摊余成本。</w:t>
      </w:r>
    </w:p>
    <w:p>
      <w:pPr>
        <w:pStyle w:val="BodyText"/>
        <w:spacing w:line="316" w:lineRule="auto" w:before="19"/>
        <w:ind w:left="634" w:right="0"/>
        <w:jc w:val="left"/>
      </w:pPr>
      <w:r>
        <w:rPr/>
        <w:t>②可供出售金融资产减值 </w:t>
      </w:r>
      <w:r>
        <w:rPr>
          <w:spacing w:val="-1"/>
        </w:rPr>
        <w:t>当综合相关因素判断可供出售权益工具投资公允价值下跌是严重或非暂时性下跌时，表明该可供出售权益工具投资发</w:t>
      </w:r>
    </w:p>
    <w:p>
      <w:pPr>
        <w:pStyle w:val="BodyText"/>
        <w:spacing w:line="316" w:lineRule="auto" w:before="19"/>
        <w:ind w:left="634" w:right="0" w:hanging="480"/>
        <w:jc w:val="left"/>
      </w:pPr>
      <w:r>
        <w:rPr>
          <w:spacing w:val="-2"/>
        </w:rPr>
        <w:t>生减值。其中“严重下跌”是指公允价值下跌幅度累计超过</w:t>
      </w:r>
      <w:r>
        <w:rPr>
          <w:rFonts w:ascii="宋体" w:hAnsi="宋体" w:cs="宋体" w:eastAsia="宋体" w:hint="default"/>
          <w:spacing w:val="-2"/>
        </w:rPr>
        <w:t>20%</w:t>
      </w:r>
      <w:r>
        <w:rPr>
          <w:spacing w:val="-2"/>
        </w:rPr>
        <w:t>；“非暂时性下跌”是指公允价值连续下跌时间超过</w:t>
      </w:r>
      <w:r>
        <w:rPr>
          <w:rFonts w:ascii="宋体" w:hAnsi="宋体" w:cs="宋体" w:eastAsia="宋体" w:hint="default"/>
          <w:spacing w:val="-2"/>
        </w:rPr>
        <w:t>12</w:t>
      </w:r>
      <w:r>
        <w:rPr>
          <w:spacing w:val="-2"/>
        </w:rPr>
        <w:t>个月。</w:t>
      </w:r>
      <w:r>
        <w:rPr>
          <w:spacing w:val="-61"/>
        </w:rPr>
        <w:t> </w:t>
      </w:r>
      <w:r>
        <w:rPr/>
        <w:t>可供出售金融资产发生减值时，将原计入其他综合收益的因公允价值下降形成的累计损失予以转出并计入当期损益，</w:t>
      </w:r>
    </w:p>
    <w:p>
      <w:pPr>
        <w:pStyle w:val="BodyText"/>
        <w:spacing w:line="316" w:lineRule="auto" w:before="19"/>
        <w:ind w:right="1118"/>
        <w:jc w:val="left"/>
      </w:pPr>
      <w:r>
        <w:rPr/>
        <w:t>该转出的累计损失为该资产初始取得成本扣除已收回本金和已摊销金额、当前公允价值和原已计入损益的减值损失后的余</w:t>
      </w:r>
      <w:r>
        <w:rPr>
          <w:spacing w:val="1"/>
        </w:rPr>
        <w:t> </w:t>
      </w:r>
      <w:r>
        <w:rPr>
          <w:spacing w:val="1"/>
        </w:rPr>
      </w:r>
      <w:r>
        <w:rPr/>
        <w:t>额。</w:t>
      </w:r>
    </w:p>
    <w:p>
      <w:pPr>
        <w:pStyle w:val="BodyText"/>
        <w:spacing w:line="316" w:lineRule="auto" w:before="19"/>
        <w:ind w:right="1133" w:firstLine="480"/>
        <w:jc w:val="both"/>
      </w:pPr>
      <w:r>
        <w:rPr>
          <w:spacing w:val="-1"/>
        </w:rPr>
        <w:t>在确认减值损失后，期后如有客观证据表明该金融资产价值已恢复，且客观上与确认该损失后发生的事项有关，原确</w:t>
      </w:r>
      <w:r>
        <w:rPr/>
        <w:t> </w:t>
      </w:r>
      <w:r>
        <w:rPr>
          <w:spacing w:val="-2"/>
        </w:rPr>
        <w:t>认的减值损失予以转回，可供出售权益工具投资的减值损失转回确认为其他综合收益，可供出售债务工具的减值损失转回计</w:t>
      </w:r>
      <w:r>
        <w:rPr>
          <w:spacing w:val="-64"/>
        </w:rPr>
        <w:t> </w:t>
      </w:r>
      <w:r>
        <w:rPr>
          <w:spacing w:val="-64"/>
        </w:rPr>
      </w:r>
      <w:r>
        <w:rPr/>
        <w:t>入当期损益。</w:t>
      </w:r>
    </w:p>
    <w:p>
      <w:pPr>
        <w:pStyle w:val="BodyText"/>
        <w:spacing w:line="316" w:lineRule="auto" w:before="19"/>
        <w:ind w:right="1133" w:firstLine="480"/>
        <w:jc w:val="both"/>
      </w:pPr>
      <w:r>
        <w:rPr>
          <w:spacing w:val="-1"/>
        </w:rPr>
        <w:t>在活跃市场中没有报价且其公允价值不能可靠计量的权益工具投资，或与该权益工具挂钩并须通过交付该权益工具结</w:t>
      </w:r>
      <w:r>
        <w:rPr/>
        <w:t> 算的衍生金融资产的减值损失，不予转回。</w:t>
      </w:r>
    </w:p>
    <w:p>
      <w:pPr>
        <w:pStyle w:val="BodyText"/>
        <w:spacing w:line="316" w:lineRule="auto" w:before="19"/>
        <w:ind w:left="634" w:right="1092"/>
        <w:jc w:val="left"/>
      </w:pPr>
      <w:r>
        <w:rPr/>
        <w:t>（</w:t>
      </w:r>
      <w:r>
        <w:rPr>
          <w:rFonts w:ascii="宋体" w:hAnsi="宋体" w:cs="宋体" w:eastAsia="宋体" w:hint="default"/>
        </w:rPr>
        <w:t>4</w:t>
      </w:r>
      <w:r>
        <w:rPr/>
        <w:t>）金融资产转移的确认依据和计量方法 满足下列条件之一的金融资产，予以终止确认：①收取该金融资产现金流量的合同权利终止；②该金融资产已转移，</w:t>
      </w:r>
    </w:p>
    <w:p>
      <w:pPr>
        <w:pStyle w:val="BodyText"/>
        <w:spacing w:line="316" w:lineRule="auto" w:before="19"/>
        <w:ind w:right="0"/>
        <w:jc w:val="left"/>
      </w:pPr>
      <w:r>
        <w:rPr>
          <w:spacing w:val="-2"/>
        </w:rPr>
        <w:t>且将金融资产所有权上几乎所有的风险和报酬转移给转入方；③该金融资产已转移，虽然企业既没有转移也没有保留金融资</w:t>
      </w:r>
      <w:r>
        <w:rPr>
          <w:spacing w:val="-64"/>
        </w:rPr>
        <w:t> </w:t>
      </w:r>
      <w:r>
        <w:rPr>
          <w:spacing w:val="-64"/>
        </w:rPr>
      </w:r>
      <w:r>
        <w:rPr/>
        <w:t>产所有权上几乎所有的风险和报酬，但是放弃了对该金融资产控制。</w:t>
      </w:r>
    </w:p>
    <w:p>
      <w:pPr>
        <w:pStyle w:val="BodyText"/>
        <w:spacing w:line="316" w:lineRule="auto" w:before="19"/>
        <w:ind w:right="1133" w:firstLine="480"/>
        <w:jc w:val="both"/>
      </w:pPr>
      <w:r>
        <w:rPr>
          <w:spacing w:val="-1"/>
        </w:rPr>
        <w:t>若企业既没有转移也没有保留金融资产所有权上几乎所有的风险和报酬，且未放弃对该金融资产的控制的，则按照继</w:t>
      </w:r>
      <w:r>
        <w:rPr/>
        <w:t> </w:t>
      </w:r>
      <w:r>
        <w:rPr>
          <w:spacing w:val="-2"/>
        </w:rPr>
        <w:t>续涉入所转移金融资产的程度确认有关金融资产，并相应确认有关负债。继续涉入所转移金融资产的程度，是指该金融资产</w:t>
      </w:r>
      <w:r>
        <w:rPr>
          <w:spacing w:val="-66"/>
        </w:rPr>
        <w:t> </w:t>
      </w:r>
      <w:r>
        <w:rPr>
          <w:spacing w:val="-66"/>
        </w:rPr>
      </w:r>
      <w:r>
        <w:rPr/>
        <w:t>价值变动使企业面临的风险水平。</w:t>
      </w:r>
    </w:p>
    <w:p>
      <w:pPr>
        <w:pStyle w:val="BodyText"/>
        <w:spacing w:line="316" w:lineRule="auto" w:before="19"/>
        <w:ind w:right="1130" w:firstLine="480"/>
        <w:jc w:val="both"/>
      </w:pPr>
      <w:r>
        <w:rPr>
          <w:spacing w:val="-1"/>
        </w:rPr>
        <w:t>金融资产整体转移满足终止确认条件的，将所转移金融资产的账面价值及因转移而收到的对价与原计入其他综合收益</w:t>
      </w:r>
      <w:r>
        <w:rPr/>
        <w:t> 的公允价值变动累计额之和的差额计入当期损益。</w:t>
      </w:r>
    </w:p>
    <w:p>
      <w:pPr>
        <w:pStyle w:val="BodyText"/>
        <w:spacing w:line="316" w:lineRule="auto" w:before="19"/>
        <w:ind w:right="1131" w:firstLine="480"/>
        <w:jc w:val="both"/>
      </w:pPr>
      <w:r>
        <w:rPr>
          <w:spacing w:val="-1"/>
        </w:rPr>
        <w:t>金融资产部分转移满足终止确认条件的，将所转移金融资产的账面价值在终止确认及未终止确认部分之间按其相对的</w:t>
      </w:r>
      <w:r>
        <w:rPr/>
        <w:t> </w:t>
      </w:r>
      <w:r>
        <w:rPr>
          <w:spacing w:val="-2"/>
        </w:rPr>
        <w:t>公允价值进行分摊，并将因转移而收到的对价与应分摊至终止确认部分的原计入其他综合收益的公允价值变动累计额之和与</w:t>
      </w:r>
      <w:r>
        <w:rPr>
          <w:spacing w:val="-64"/>
        </w:rPr>
        <w:t> </w:t>
      </w:r>
      <w:r>
        <w:rPr>
          <w:spacing w:val="-64"/>
        </w:rPr>
      </w:r>
      <w:r>
        <w:rPr/>
        <w:t>分摊的前述账面金额之差额计入当期损益。</w:t>
      </w:r>
    </w:p>
    <w:p>
      <w:pPr>
        <w:pStyle w:val="BodyText"/>
        <w:spacing w:line="240" w:lineRule="auto" w:before="19"/>
        <w:ind w:left="634" w:right="0"/>
        <w:jc w:val="left"/>
      </w:pPr>
      <w:r>
        <w:rPr/>
        <w:t>本公司对采用附追索权方式出售的金融资产，或将持有的金融资产背书转让，需确定该金融资产所有权上几乎所有的</w:t>
      </w:r>
    </w:p>
    <w:p>
      <w:pPr>
        <w:spacing w:after="0" w:line="24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6" w:lineRule="auto" w:before="44"/>
        <w:ind w:right="1132"/>
        <w:jc w:val="both"/>
      </w:pPr>
      <w:r>
        <w:rPr>
          <w:spacing w:val="-2"/>
        </w:rPr>
        <w:t>风险和报酬是否已经转移。已将该金融资产所有权上几乎所有的风险和报酬转移给转入方的，终止确认该金融资产；保留了</w:t>
      </w:r>
      <w:r>
        <w:rPr>
          <w:spacing w:val="-65"/>
        </w:rPr>
        <w:t> </w:t>
      </w:r>
      <w:r>
        <w:rPr>
          <w:spacing w:val="-65"/>
        </w:rPr>
      </w:r>
      <w:r>
        <w:rPr>
          <w:spacing w:val="-2"/>
        </w:rPr>
        <w:t>金融资产所有权上几乎所有的风险和报酬的，不终止确认该金融资产；既没有转移也没有保留金融资产所有权上几乎所有的</w:t>
      </w:r>
      <w:r>
        <w:rPr>
          <w:spacing w:val="-64"/>
        </w:rPr>
        <w:t> </w:t>
      </w:r>
      <w:r>
        <w:rPr>
          <w:spacing w:val="-64"/>
        </w:rPr>
      </w:r>
      <w:r>
        <w:rPr/>
        <w:t>风险和报酬的，则继续判断企业是否对该资产保留了控制，并根据前面各段所述的原则进行会计处理。</w:t>
      </w:r>
    </w:p>
    <w:p>
      <w:pPr>
        <w:pStyle w:val="BodyText"/>
        <w:spacing w:line="319" w:lineRule="auto" w:before="19"/>
        <w:ind w:left="634" w:right="0"/>
        <w:jc w:val="left"/>
      </w:pPr>
      <w:r>
        <w:rPr/>
        <w:t>（</w:t>
      </w:r>
      <w:r>
        <w:rPr>
          <w:rFonts w:ascii="宋体" w:hAnsi="宋体" w:cs="宋体" w:eastAsia="宋体" w:hint="default"/>
        </w:rPr>
        <w:t>5</w:t>
      </w:r>
      <w:r>
        <w:rPr/>
        <w:t>）金融负债的分类和计量 </w:t>
      </w:r>
      <w:r>
        <w:rPr>
          <w:spacing w:val="2"/>
        </w:rPr>
        <w:t>金融负债在初始确认时划分为以公允价值计量且其变动计入当期损益的金融负债和其他金融负债。初始确认金融负</w:t>
      </w:r>
    </w:p>
    <w:p>
      <w:pPr>
        <w:pStyle w:val="BodyText"/>
        <w:spacing w:line="316" w:lineRule="auto" w:before="17"/>
        <w:ind w:right="1131"/>
        <w:jc w:val="both"/>
      </w:pPr>
      <w:r>
        <w:rPr>
          <w:spacing w:val="-2"/>
        </w:rPr>
        <w:t>债，以公允价值计量。对于以公允价值计量且其变动计入当期损益的金融负债，相关的交易费用直接计入当期损益，对于其</w:t>
      </w:r>
      <w:r>
        <w:rPr>
          <w:spacing w:val="-66"/>
        </w:rPr>
        <w:t> </w:t>
      </w:r>
      <w:r>
        <w:rPr>
          <w:spacing w:val="-66"/>
        </w:rPr>
      </w:r>
      <w:r>
        <w:rPr/>
        <w:t>他金融负债，相关交易费用计入初始确认金额。</w:t>
      </w:r>
    </w:p>
    <w:p>
      <w:pPr>
        <w:pStyle w:val="BodyText"/>
        <w:spacing w:line="316" w:lineRule="auto" w:before="19"/>
        <w:ind w:left="634" w:right="0"/>
        <w:jc w:val="left"/>
      </w:pPr>
      <w:r>
        <w:rPr/>
        <w:t>①以公允价值计量且其变动计入当期损益的金融负债 </w:t>
      </w:r>
      <w:r>
        <w:rPr>
          <w:spacing w:val="2"/>
        </w:rPr>
        <w:t>分类为交易性金融负债和在初始确认时指定为以公允价值计量且其变动计入当期损益的金融负债的条件与分类为交</w:t>
      </w:r>
    </w:p>
    <w:p>
      <w:pPr>
        <w:pStyle w:val="BodyText"/>
        <w:spacing w:line="316" w:lineRule="auto" w:before="19"/>
        <w:ind w:left="634" w:right="0" w:hanging="480"/>
        <w:jc w:val="left"/>
      </w:pPr>
      <w:r>
        <w:rPr/>
        <w:t>易性金融资产和在初始确认时指定为以公允价值计量且其变动计入当期损益的金融资产的条件一致。 </w:t>
      </w:r>
      <w:r>
        <w:rPr>
          <w:spacing w:val="-1"/>
        </w:rPr>
        <w:t>以公允价值计量且其变动计入当期损益的金融负债采用公允价值进行后续计量，公允价值的变动形成的利得或损失以</w:t>
      </w:r>
    </w:p>
    <w:p>
      <w:pPr>
        <w:pStyle w:val="BodyText"/>
        <w:spacing w:line="240" w:lineRule="auto" w:before="19"/>
        <w:ind w:right="0"/>
        <w:jc w:val="both"/>
      </w:pPr>
      <w:r>
        <w:rPr/>
        <w:t>及与该等金融负债相关的股利和利息支出计入当期损益。</w:t>
      </w:r>
    </w:p>
    <w:p>
      <w:pPr>
        <w:pStyle w:val="BodyText"/>
        <w:spacing w:line="316" w:lineRule="auto" w:before="76"/>
        <w:ind w:left="634" w:right="0"/>
        <w:jc w:val="left"/>
      </w:pPr>
      <w:r>
        <w:rPr/>
        <w:t>②其他金融负债 </w:t>
      </w:r>
      <w:r>
        <w:rPr>
          <w:spacing w:val="-1"/>
        </w:rPr>
        <w:t>与在活跃市场中没有报价、公允价值不能可靠计量的权益工具挂钩并须通过交付该权益工具结算的衍生金融负债，按</w:t>
      </w:r>
    </w:p>
    <w:p>
      <w:pPr>
        <w:pStyle w:val="BodyText"/>
        <w:spacing w:line="316" w:lineRule="auto" w:before="19"/>
        <w:ind w:right="1132"/>
        <w:jc w:val="both"/>
      </w:pPr>
      <w:r>
        <w:rPr>
          <w:spacing w:val="-2"/>
        </w:rPr>
        <w:t>照成本进行后续计量。其他金融负债采用实际利率法，按摊余成本进行后续计量，终止确认或摊销产生的利得或损失计入当</w:t>
      </w:r>
      <w:r>
        <w:rPr>
          <w:spacing w:val="-66"/>
        </w:rPr>
        <w:t> </w:t>
      </w:r>
      <w:r>
        <w:rPr>
          <w:spacing w:val="-66"/>
        </w:rPr>
      </w:r>
      <w:r>
        <w:rPr/>
        <w:t>期损益。</w:t>
      </w:r>
    </w:p>
    <w:p>
      <w:pPr>
        <w:pStyle w:val="BodyText"/>
        <w:spacing w:line="316" w:lineRule="auto" w:before="19"/>
        <w:ind w:left="634" w:right="0"/>
        <w:jc w:val="left"/>
      </w:pPr>
      <w:r>
        <w:rPr/>
        <w:t>③财务担保合同及贷款承诺 </w:t>
      </w:r>
      <w:r>
        <w:rPr>
          <w:spacing w:val="-1"/>
        </w:rPr>
        <w:t>不属于指定为以公允价值计量且其变动计入当期损益的金融负债的财务担保合同，或没有指定为以公允价值计量且其</w:t>
      </w:r>
    </w:p>
    <w:p>
      <w:pPr>
        <w:pStyle w:val="BodyText"/>
        <w:spacing w:line="316" w:lineRule="auto" w:before="19"/>
        <w:ind w:right="1132"/>
        <w:jc w:val="both"/>
      </w:pPr>
      <w:r>
        <w:rPr>
          <w:spacing w:val="-2"/>
        </w:rPr>
        <w:t>变动计入损益并将以低于市场利率贷款的贷款承诺，以公允价值进行初始确认，在初始确认后按照《企业会计准则第</w:t>
      </w:r>
      <w:r>
        <w:rPr>
          <w:rFonts w:ascii="宋体" w:hAnsi="宋体" w:cs="宋体" w:eastAsia="宋体" w:hint="default"/>
          <w:spacing w:val="-2"/>
        </w:rPr>
        <w:t>13</w:t>
      </w:r>
      <w:r>
        <w:rPr>
          <w:spacing w:val="-2"/>
        </w:rPr>
        <w:t>号—</w:t>
      </w:r>
      <w:r>
        <w:rPr>
          <w:spacing w:val="-63"/>
        </w:rPr>
        <w:t> </w:t>
      </w:r>
      <w:r>
        <w:rPr>
          <w:spacing w:val="-2"/>
        </w:rPr>
        <w:t>或有事项》确定的金额和初始确认金额扣除按照《企业会计准则第</w:t>
      </w:r>
      <w:r>
        <w:rPr>
          <w:rFonts w:ascii="宋体" w:hAnsi="宋体" w:cs="宋体" w:eastAsia="宋体" w:hint="default"/>
          <w:spacing w:val="-2"/>
        </w:rPr>
        <w:t>14</w:t>
      </w:r>
      <w:r>
        <w:rPr>
          <w:spacing w:val="-2"/>
        </w:rPr>
        <w:t>号—收入》的原则确定的累计摊销额后的余额之中的较</w:t>
      </w:r>
      <w:r>
        <w:rPr>
          <w:spacing w:val="-64"/>
        </w:rPr>
        <w:t> </w:t>
      </w:r>
      <w:r>
        <w:rPr>
          <w:spacing w:val="-64"/>
        </w:rPr>
      </w:r>
      <w:r>
        <w:rPr/>
        <w:t>高者进行后续计量。</w:t>
      </w:r>
    </w:p>
    <w:p>
      <w:pPr>
        <w:pStyle w:val="BodyText"/>
        <w:spacing w:line="319" w:lineRule="auto" w:before="19"/>
        <w:ind w:left="634" w:right="0"/>
        <w:jc w:val="left"/>
      </w:pPr>
      <w:r>
        <w:rPr/>
        <w:t>（</w:t>
      </w:r>
      <w:r>
        <w:rPr>
          <w:rFonts w:ascii="宋体" w:hAnsi="宋体" w:cs="宋体" w:eastAsia="宋体" w:hint="default"/>
        </w:rPr>
        <w:t>6</w:t>
      </w:r>
      <w:r>
        <w:rPr/>
        <w:t>）金融负债的终止确认 </w:t>
      </w:r>
      <w:r>
        <w:rPr>
          <w:spacing w:val="-1"/>
        </w:rPr>
        <w:t>金融负债的现时义务全部或部分已经解除的，才能终止确认该金融负债或其一部分。本公司（债务人）与债权人之间</w:t>
      </w:r>
    </w:p>
    <w:p>
      <w:pPr>
        <w:pStyle w:val="BodyText"/>
        <w:spacing w:line="316" w:lineRule="auto" w:before="17"/>
        <w:ind w:right="1133"/>
        <w:jc w:val="both"/>
      </w:pPr>
      <w:r>
        <w:rPr>
          <w:spacing w:val="-2"/>
        </w:rPr>
        <w:t>签订协议，以承担新金融负债方式替换现存金融负债，且新金融负债与现存金融负债的合同条款实质上不同的，终止确认现</w:t>
      </w:r>
      <w:r>
        <w:rPr>
          <w:spacing w:val="-66"/>
        </w:rPr>
        <w:t> </w:t>
      </w:r>
      <w:r>
        <w:rPr>
          <w:spacing w:val="-66"/>
        </w:rPr>
      </w:r>
      <w:r>
        <w:rPr/>
        <w:t>存金融负债，并同时确认新金融负债。</w:t>
      </w:r>
    </w:p>
    <w:p>
      <w:pPr>
        <w:pStyle w:val="BodyText"/>
        <w:spacing w:line="316" w:lineRule="auto" w:before="19"/>
        <w:ind w:right="1133" w:firstLine="480"/>
        <w:jc w:val="both"/>
      </w:pPr>
      <w:r>
        <w:rPr>
          <w:spacing w:val="-1"/>
        </w:rPr>
        <w:t>金融负债全部或部分终止确认的，将终止确认部分的账面价值与支付的对价（包括转出的非现金资产或承担的新金融</w:t>
      </w:r>
      <w:r>
        <w:rPr/>
        <w:t> 负债）之间的差额，计入当期损益。</w:t>
      </w:r>
    </w:p>
    <w:p>
      <w:pPr>
        <w:pStyle w:val="BodyText"/>
        <w:spacing w:line="316" w:lineRule="auto" w:before="19"/>
        <w:ind w:left="634" w:right="0"/>
        <w:jc w:val="left"/>
      </w:pPr>
      <w:r>
        <w:rPr/>
        <w:t>（</w:t>
      </w:r>
      <w:r>
        <w:rPr>
          <w:rFonts w:ascii="宋体" w:hAnsi="宋体" w:cs="宋体" w:eastAsia="宋体" w:hint="default"/>
        </w:rPr>
        <w:t>7</w:t>
      </w:r>
      <w:r>
        <w:rPr/>
        <w:t>）衍生工具及嵌入衍生工具 </w:t>
      </w:r>
      <w:r>
        <w:rPr>
          <w:spacing w:val="-1"/>
        </w:rPr>
        <w:t>衍生工具于相关合同签署日以公允价值进行初始计量，并以公允价值进行后续计量。衍生工具的公允价值变动计入当</w:t>
      </w:r>
    </w:p>
    <w:p>
      <w:pPr>
        <w:pStyle w:val="BodyText"/>
        <w:spacing w:line="316" w:lineRule="auto" w:before="19"/>
        <w:ind w:right="1131"/>
        <w:jc w:val="both"/>
      </w:pPr>
      <w:r>
        <w:rPr>
          <w:spacing w:val="-2"/>
        </w:rPr>
        <w:t>期损益。除指定为套期工具且套期高度有效的衍生工具，其公允价值变动形成的利得或损失将根据套期关系的性质按照套期</w:t>
      </w:r>
      <w:r>
        <w:rPr>
          <w:spacing w:val="-64"/>
        </w:rPr>
        <w:t> </w:t>
      </w:r>
      <w:r>
        <w:rPr>
          <w:spacing w:val="-64"/>
        </w:rPr>
      </w:r>
      <w:r>
        <w:rPr/>
        <w:t>会计的要求确定计入损益的期间外，其余衍生工具的公允价值变动计入当期损益。</w:t>
      </w:r>
    </w:p>
    <w:p>
      <w:pPr>
        <w:pStyle w:val="BodyText"/>
        <w:spacing w:line="316" w:lineRule="auto" w:before="19"/>
        <w:ind w:right="1133" w:firstLine="480"/>
        <w:jc w:val="both"/>
      </w:pPr>
      <w:r>
        <w:rPr>
          <w:spacing w:val="-1"/>
        </w:rPr>
        <w:t>对包含嵌入衍生工具的混合工具，如未指定为以公允价值计量且其变动计入当期损益的金融资产或金融负债，嵌入衍</w:t>
      </w:r>
      <w:r>
        <w:rPr/>
        <w:t> </w:t>
      </w:r>
      <w:r>
        <w:rPr>
          <w:spacing w:val="-2"/>
        </w:rPr>
        <w:t>生工具与该主合同在经济特征及风险方面不存在紧密关系，且与嵌入衍生工具条件相同，单独存在的工具符合衍生工具定义</w:t>
      </w:r>
      <w:r>
        <w:rPr>
          <w:spacing w:val="-64"/>
        </w:rPr>
        <w:t> </w:t>
      </w:r>
      <w:r>
        <w:rPr>
          <w:spacing w:val="-64"/>
        </w:rPr>
      </w:r>
      <w:r>
        <w:rPr>
          <w:spacing w:val="-2"/>
        </w:rPr>
        <w:t>的，嵌入衍生工具从混合工具中分拆，作为单独的衍生金融工具处理。如果无法在取得时或后续的资产负债表日对嵌入衍生</w:t>
      </w:r>
      <w:r>
        <w:rPr>
          <w:spacing w:val="-66"/>
        </w:rPr>
        <w:t> </w:t>
      </w:r>
      <w:r>
        <w:rPr>
          <w:spacing w:val="-66"/>
        </w:rPr>
      </w:r>
      <w:r>
        <w:rPr/>
        <w:t>工具进行单独计量，则将混合工具整体指定为以公允价值计量且其变动计入当期损益的金融资产或金融负债。</w:t>
      </w:r>
    </w:p>
    <w:p>
      <w:pPr>
        <w:pStyle w:val="BodyText"/>
        <w:spacing w:line="316" w:lineRule="auto" w:before="19"/>
        <w:ind w:left="634" w:right="0"/>
        <w:jc w:val="left"/>
      </w:pPr>
      <w:r>
        <w:rPr/>
        <w:t>（</w:t>
      </w:r>
      <w:r>
        <w:rPr>
          <w:rFonts w:ascii="宋体" w:hAnsi="宋体" w:cs="宋体" w:eastAsia="宋体" w:hint="default"/>
        </w:rPr>
        <w:t>8</w:t>
      </w:r>
      <w:r>
        <w:rPr/>
        <w:t>）金融资产和金融负债的抵销 </w:t>
      </w:r>
      <w:r>
        <w:rPr>
          <w:spacing w:val="-1"/>
        </w:rPr>
        <w:t>当本公司具有抵销已确认金融资产和金融负债的法定权利，且目前可执行该种法定权利，同时本公司计划以净额结算</w:t>
      </w:r>
    </w:p>
    <w:p>
      <w:pPr>
        <w:pStyle w:val="BodyText"/>
        <w:spacing w:line="316" w:lineRule="auto" w:before="19"/>
        <w:ind w:right="1133"/>
        <w:jc w:val="both"/>
      </w:pPr>
      <w:r>
        <w:rPr>
          <w:spacing w:val="-2"/>
        </w:rPr>
        <w:t>或同时变现该金融资产和清偿该金融负债时，金融资产和金融负债以相互抵销后的金额在资产负债表内列示。除此以外，金</w:t>
      </w:r>
      <w:r>
        <w:rPr>
          <w:spacing w:val="-66"/>
        </w:rPr>
        <w:t> </w:t>
      </w:r>
      <w:r>
        <w:rPr>
          <w:spacing w:val="-66"/>
        </w:rPr>
      </w:r>
      <w:r>
        <w:rPr/>
        <w:t>融资产和金融负债在资产负债表内分别列示，不予相互抵销。</w:t>
      </w:r>
    </w:p>
    <w:p>
      <w:pPr>
        <w:pStyle w:val="BodyText"/>
        <w:spacing w:line="319" w:lineRule="auto" w:before="19"/>
        <w:ind w:left="634" w:right="1118"/>
        <w:jc w:val="left"/>
      </w:pPr>
      <w:r>
        <w:rPr/>
        <w:t>（</w:t>
      </w:r>
      <w:r>
        <w:rPr>
          <w:rFonts w:ascii="宋体" w:hAnsi="宋体" w:cs="宋体" w:eastAsia="宋体" w:hint="default"/>
        </w:rPr>
        <w:t>9</w:t>
      </w:r>
      <w:r>
        <w:rPr/>
        <w:t>）权益工具 </w:t>
      </w:r>
      <w:r>
        <w:rPr>
          <w:spacing w:val="-1"/>
        </w:rPr>
        <w:t>权益工具是指能证明拥有本公司在扣除所有负债后的资产中的剩余权益的合同。本公司发行（含再融资）、回购、出</w:t>
      </w:r>
    </w:p>
    <w:p>
      <w:pPr>
        <w:pStyle w:val="BodyText"/>
        <w:spacing w:line="316" w:lineRule="auto" w:before="17"/>
        <w:ind w:right="1131"/>
        <w:jc w:val="both"/>
      </w:pPr>
      <w:r>
        <w:rPr>
          <w:spacing w:val="-2"/>
        </w:rPr>
        <w:t>售或注销权益工具作为权益的变动处理。本公司不确认权益工具的公允价值变动。与权益性交易相关的交易费用从权益中扣</w:t>
      </w:r>
      <w:r>
        <w:rPr>
          <w:spacing w:val="-64"/>
        </w:rPr>
        <w:t> </w:t>
      </w:r>
      <w:r>
        <w:rPr>
          <w:spacing w:val="-64"/>
        </w:rPr>
      </w:r>
      <w:r>
        <w:rPr/>
        <w:t>减。</w:t>
      </w:r>
    </w:p>
    <w:p>
      <w:pPr>
        <w:pStyle w:val="BodyText"/>
        <w:spacing w:line="240" w:lineRule="auto" w:before="19"/>
        <w:ind w:left="634" w:right="0"/>
        <w:jc w:val="left"/>
      </w:pPr>
      <w:r>
        <w:rPr>
          <w:spacing w:val="-3"/>
        </w:rPr>
        <w:t>本公司对权益工具持有方的各种分配（不包括股票股利），减少股东权益。本公司不确认权益工具的公允价值变动额。</w:t>
      </w:r>
    </w:p>
    <w:p>
      <w:pPr>
        <w:spacing w:after="0" w:line="240" w:lineRule="auto"/>
        <w:jc w:val="left"/>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right="0"/>
        <w:jc w:val="left"/>
        <w:rPr>
          <w:b w:val="0"/>
          <w:bCs w:val="0"/>
        </w:rPr>
      </w:pPr>
      <w:bookmarkStart w:name="11、应收票据及应收账款" w:id="180"/>
      <w:bookmarkEnd w:id="180"/>
      <w:r>
        <w:rPr>
          <w:b w:val="0"/>
          <w:bCs w:val="0"/>
        </w:rPr>
      </w:r>
      <w:r>
        <w:rPr>
          <w:rFonts w:ascii="Times New Roman" w:hAnsi="Times New Roman" w:cs="Times New Roman" w:eastAsia="Times New Roman" w:hint="default"/>
        </w:rPr>
        <w:t>11</w:t>
      </w:r>
      <w:r>
        <w:rPr/>
        <w:t>、应收票据及应收账款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单项金额重大并单独计提坏账准备的应收款项" w:id="181"/>
      <w:bookmarkEnd w:id="181"/>
      <w:r>
        <w:rPr>
          <w:b w:val="0"/>
          <w:bCs w:val="0"/>
        </w:rPr>
      </w:r>
      <w:r>
        <w:rPr/>
        <w:t>（</w:t>
      </w:r>
      <w:r>
        <w:rPr>
          <w:rFonts w:ascii="Times New Roman" w:hAnsi="Times New Roman" w:cs="Times New Roman" w:eastAsia="Times New Roman" w:hint="default"/>
        </w:rPr>
        <w:t>1</w:t>
      </w:r>
      <w:r>
        <w:rPr/>
        <w:t>）单项金额重大并单独计提坏账准备的应收款项</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25"/>
          <w:szCs w:val="25"/>
        </w:rPr>
      </w:pPr>
    </w:p>
    <w:p>
      <w:pPr>
        <w:pStyle w:val="BodyText"/>
        <w:spacing w:line="240" w:lineRule="auto" w:before="44"/>
        <w:ind w:left="0" w:right="1140"/>
        <w:jc w:val="right"/>
      </w:pPr>
      <w:r>
        <w:rPr/>
        <w:pict>
          <v:shape style="position:absolute;margin-left:56.459999pt;margin-top:-52.228317pt;width:479.2pt;height:71.9pt;mso-position-horizontal-relative:page;mso-position-vertical-relative:paragraph;z-index:160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785"/>
                    <w:gridCol w:w="4784"/>
                  </w:tblGrid>
                  <w:tr>
                    <w:trPr>
                      <w:trHeight w:val="714"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单项金额重大的判断依据或金额标准</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期末应收账款单笔余额在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1,000 </w:t>
                        </w:r>
                        <w:r>
                          <w:rPr>
                            <w:rFonts w:ascii="宋体" w:hAnsi="宋体" w:cs="宋体" w:eastAsia="宋体" w:hint="default"/>
                            <w:sz w:val="18"/>
                            <w:szCs w:val="18"/>
                          </w:rPr>
                          <w:t>万元及以上的款项</w:t>
                        </w:r>
                        <w:r>
                          <w:rPr>
                            <w:rFonts w:ascii="宋体" w:hAnsi="宋体" w:cs="宋体" w:eastAsia="宋体" w:hint="default"/>
                            <w:spacing w:val="-87"/>
                            <w:sz w:val="18"/>
                            <w:szCs w:val="18"/>
                          </w:rPr>
                          <w:t>；</w:t>
                        </w:r>
                        <w:r>
                          <w:rPr>
                            <w:rFonts w:ascii="宋体" w:hAnsi="宋体" w:cs="宋体" w:eastAsia="宋体" w:hint="default"/>
                            <w:sz w:val="18"/>
                            <w:szCs w:val="18"/>
                          </w:rPr>
                          <w:t>期末</w:t>
                        </w:r>
                        <w:r>
                          <w:rPr>
                            <w:rFonts w:ascii="宋体" w:hAnsi="宋体" w:cs="宋体" w:eastAsia="宋体" w:hint="default"/>
                            <w:spacing w:val="-2"/>
                            <w:sz w:val="18"/>
                            <w:szCs w:val="18"/>
                          </w:rPr>
                          <w:t>其</w:t>
                        </w:r>
                        <w:r>
                          <w:rPr>
                            <w:rFonts w:ascii="宋体" w:hAnsi="宋体" w:cs="宋体" w:eastAsia="宋体" w:hint="default"/>
                            <w:sz w:val="18"/>
                            <w:szCs w:val="18"/>
                          </w:rPr>
                          <w:t>他</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应收款单笔余额在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万元及以上的款项。</w:t>
                        </w:r>
                      </w:p>
                    </w:tc>
                  </w:tr>
                  <w:tr>
                    <w:trPr>
                      <w:trHeight w:val="714"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单项金额重大并单项计提坏账准备的计提方法</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69"/>
                          <w:jc w:val="left"/>
                          <w:rPr>
                            <w:rFonts w:ascii="宋体" w:hAnsi="宋体" w:cs="宋体" w:eastAsia="宋体" w:hint="default"/>
                            <w:sz w:val="18"/>
                            <w:szCs w:val="18"/>
                          </w:rPr>
                        </w:pPr>
                        <w:r>
                          <w:rPr>
                            <w:rFonts w:ascii="宋体" w:hAnsi="宋体" w:cs="宋体" w:eastAsia="宋体" w:hint="default"/>
                            <w:sz w:val="18"/>
                            <w:szCs w:val="18"/>
                          </w:rPr>
                          <w:t>本公司对单项金额重大的应收款项单独进行减值测试，如有 </w:t>
                        </w:r>
                        <w:r>
                          <w:rPr>
                            <w:rFonts w:ascii="宋体" w:hAnsi="宋体" w:cs="宋体" w:eastAsia="宋体" w:hint="default"/>
                            <w:spacing w:val="-2"/>
                            <w:sz w:val="18"/>
                            <w:szCs w:val="18"/>
                          </w:rPr>
                          <w:t>客观证据表明其已发生减值，确认减值损失，计提坏账准备</w:t>
                        </w:r>
                      </w:p>
                    </w:tc>
                  </w:tr>
                </w:tbl>
                <w:p>
                  <w:pPr/>
                </w:p>
              </w:txbxContent>
            </v:textbox>
            <w10:wrap type="none"/>
          </v:shape>
        </w:pict>
      </w:r>
      <w:r>
        <w:rPr/>
        <w:t>。</w:t>
      </w:r>
    </w:p>
    <w:p>
      <w:pPr>
        <w:spacing w:line="240" w:lineRule="auto" w:before="12"/>
        <w:rPr>
          <w:rFonts w:ascii="宋体" w:hAnsi="宋体" w:cs="宋体" w:eastAsia="宋体" w:hint="default"/>
          <w:sz w:val="27"/>
          <w:szCs w:val="27"/>
        </w:rPr>
      </w:pPr>
    </w:p>
    <w:p>
      <w:pPr>
        <w:pStyle w:val="Heading3"/>
        <w:spacing w:line="240" w:lineRule="auto" w:before="35"/>
        <w:ind w:right="0"/>
        <w:jc w:val="left"/>
        <w:rPr>
          <w:b w:val="0"/>
          <w:bCs w:val="0"/>
        </w:rPr>
      </w:pPr>
      <w:bookmarkStart w:name="（2）按信用风险特征组合计提坏账准备的应收款项" w:id="182"/>
      <w:bookmarkEnd w:id="182"/>
      <w:r>
        <w:rPr>
          <w:b w:val="0"/>
          <w:bCs w:val="0"/>
        </w:rPr>
      </w:r>
      <w:r>
        <w:rPr/>
        <w:t>（</w:t>
      </w:r>
      <w:r>
        <w:rPr>
          <w:rFonts w:ascii="Times New Roman" w:hAnsi="Times New Roman" w:cs="Times New Roman" w:eastAsia="Times New Roman" w:hint="default"/>
        </w:rPr>
        <w:t>2</w:t>
      </w:r>
      <w:r>
        <w:rPr/>
        <w:t>）按信用风险特征组合计提坏账准备的应收款项</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坏账准备计提方法</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单项金额重大未出现减值迹象的应收款项</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hAnsi="宋体" w:cs="宋体" w:eastAsia="宋体" w:hint="default"/>
                <w:sz w:val="18"/>
                <w:szCs w:val="18"/>
              </w:rPr>
              <w:t>余额百分比法</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单项金额不重大未出现减值迹象的应收款项</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hAnsi="宋体" w:cs="宋体" w:eastAsia="宋体" w:hint="default"/>
                <w:sz w:val="18"/>
                <w:szCs w:val="18"/>
              </w:rPr>
              <w:t>余额百分比法</w:t>
            </w:r>
          </w:p>
        </w:tc>
      </w:tr>
    </w:tbl>
    <w:p>
      <w:pPr>
        <w:pStyle w:val="BodyText"/>
        <w:spacing w:line="240" w:lineRule="auto" w:before="51"/>
        <w:ind w:right="0"/>
        <w:jc w:val="left"/>
      </w:pPr>
      <w:r>
        <w:rPr/>
        <w:t>组合中，采用账龄分析法计提坏账准备的：</w:t>
      </w:r>
    </w:p>
    <w:p>
      <w:pPr>
        <w:pStyle w:val="BodyText"/>
        <w:spacing w:line="338" w:lineRule="auto" w:before="117"/>
        <w:ind w:right="715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组合中，采用余额百分比法计提坏账准备的：</w:t>
      </w:r>
    </w:p>
    <w:p>
      <w:pPr>
        <w:pStyle w:val="BodyText"/>
        <w:spacing w:line="240" w:lineRule="auto" w:before="42"/>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544"/>
        <w:gridCol w:w="2836"/>
        <w:gridCol w:w="3190"/>
      </w:tblGrid>
      <w:tr>
        <w:trPr>
          <w:trHeight w:val="402" w:hRule="exact"/>
        </w:trPr>
        <w:tc>
          <w:tcPr>
            <w:tcW w:w="35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93" w:right="0"/>
              <w:jc w:val="left"/>
              <w:rPr>
                <w:rFonts w:ascii="宋体" w:hAnsi="宋体" w:cs="宋体" w:eastAsia="宋体" w:hint="default"/>
                <w:sz w:val="18"/>
                <w:szCs w:val="18"/>
              </w:rPr>
            </w:pPr>
            <w:r>
              <w:rPr>
                <w:rFonts w:ascii="宋体" w:hAnsi="宋体" w:cs="宋体" w:eastAsia="宋体" w:hint="default"/>
                <w:sz w:val="18"/>
                <w:szCs w:val="18"/>
              </w:rPr>
              <w:t>应收账款计提比例</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80" w:right="0"/>
              <w:jc w:val="left"/>
              <w:rPr>
                <w:rFonts w:ascii="宋体" w:hAnsi="宋体" w:cs="宋体" w:eastAsia="宋体" w:hint="default"/>
                <w:sz w:val="18"/>
                <w:szCs w:val="18"/>
              </w:rPr>
            </w:pPr>
            <w:r>
              <w:rPr>
                <w:rFonts w:ascii="宋体" w:hAnsi="宋体" w:cs="宋体" w:eastAsia="宋体" w:hint="default"/>
                <w:sz w:val="18"/>
                <w:szCs w:val="18"/>
              </w:rPr>
              <w:t>其他应收款计提比例</w:t>
            </w:r>
          </w:p>
        </w:tc>
      </w:tr>
      <w:tr>
        <w:trPr>
          <w:trHeight w:val="402" w:hRule="exact"/>
        </w:trPr>
        <w:tc>
          <w:tcPr>
            <w:tcW w:w="3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单项金额重大未出现减值迹象的应收款项</w:t>
            </w:r>
          </w:p>
        </w:tc>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3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单项金额不重大未出现减值迹象的应收款项</w:t>
            </w:r>
          </w:p>
        </w:tc>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bl>
    <w:p>
      <w:pPr>
        <w:pStyle w:val="BodyText"/>
        <w:spacing w:line="240" w:lineRule="auto" w:before="51"/>
        <w:ind w:right="0"/>
        <w:jc w:val="left"/>
      </w:pPr>
      <w:r>
        <w:rPr/>
        <w:t>组合中，采用其他方法计提坏账准备的：</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3）单项金额不重大但单独计提坏账准备的应收款项" w:id="183"/>
      <w:bookmarkEnd w:id="183"/>
      <w:r>
        <w:rPr>
          <w:b w:val="0"/>
          <w:bCs w:val="0"/>
        </w:rPr>
      </w:r>
      <w:r>
        <w:rPr/>
        <w:t>（</w:t>
      </w:r>
      <w:r>
        <w:rPr>
          <w:rFonts w:ascii="Times New Roman" w:hAnsi="Times New Roman" w:cs="Times New Roman" w:eastAsia="Times New Roman" w:hint="default"/>
        </w:rPr>
        <w:t>3</w:t>
      </w:r>
      <w:r>
        <w:rPr/>
        <w:t>）单项金额不重大但单独计提坏账准备的应收款项</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单项计提坏账准备的理由</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hAnsi="宋体" w:cs="宋体" w:eastAsia="宋体" w:hint="default"/>
                <w:sz w:val="18"/>
                <w:szCs w:val="18"/>
              </w:rPr>
              <w:t>有明显特征表明该应收款项难以收回</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坏账准备的计提方法</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r>
    </w:tbl>
    <w:p>
      <w:pPr>
        <w:spacing w:line="240" w:lineRule="auto" w:before="2"/>
        <w:rPr>
          <w:rFonts w:ascii="宋体" w:hAnsi="宋体" w:cs="宋体" w:eastAsia="宋体" w:hint="default"/>
          <w:b/>
          <w:bCs/>
          <w:sz w:val="19"/>
          <w:szCs w:val="19"/>
        </w:rPr>
      </w:pPr>
    </w:p>
    <w:p>
      <w:pPr>
        <w:pStyle w:val="Heading3"/>
        <w:spacing w:line="240" w:lineRule="auto" w:before="35"/>
        <w:ind w:right="0"/>
        <w:jc w:val="left"/>
        <w:rPr>
          <w:b w:val="0"/>
          <w:bCs w:val="0"/>
        </w:rPr>
      </w:pPr>
      <w:bookmarkStart w:name="12、存货" w:id="184"/>
      <w:bookmarkEnd w:id="184"/>
      <w:r>
        <w:rPr>
          <w:b w:val="0"/>
          <w:bCs w:val="0"/>
        </w:rPr>
      </w:r>
      <w:r>
        <w:rPr>
          <w:rFonts w:ascii="Times New Roman" w:hAnsi="Times New Roman" w:cs="Times New Roman" w:eastAsia="Times New Roman" w:hint="default"/>
        </w:rPr>
        <w:t>12</w:t>
      </w:r>
      <w:r>
        <w:rPr/>
        <w:t>、存货</w:t>
      </w:r>
      <w:r>
        <w:rPr>
          <w:b w:val="0"/>
          <w:bCs w:val="0"/>
        </w:rPr>
      </w:r>
    </w:p>
    <w:p>
      <w:pPr>
        <w:spacing w:line="240" w:lineRule="auto" w:before="8"/>
        <w:rPr>
          <w:rFonts w:ascii="宋体" w:hAnsi="宋体" w:cs="宋体" w:eastAsia="宋体" w:hint="default"/>
          <w:b/>
          <w:bCs/>
          <w:sz w:val="26"/>
          <w:szCs w:val="26"/>
        </w:rPr>
      </w:pPr>
    </w:p>
    <w:p>
      <w:pPr>
        <w:pStyle w:val="BodyText"/>
        <w:spacing w:line="357" w:lineRule="auto"/>
        <w:ind w:right="7692"/>
        <w:jc w:val="left"/>
      </w:pPr>
      <w:r>
        <w:rPr/>
        <w:t>公司是否需要遵守特殊行业的披露要求 否</w:t>
      </w:r>
    </w:p>
    <w:p>
      <w:pPr>
        <w:pStyle w:val="BodyText"/>
        <w:spacing w:line="316" w:lineRule="auto" w:before="28"/>
        <w:ind w:left="634" w:right="0"/>
        <w:jc w:val="left"/>
      </w:pPr>
      <w:r>
        <w:rPr/>
        <w:t>（</w:t>
      </w:r>
      <w:r>
        <w:rPr>
          <w:rFonts w:ascii="宋体" w:hAnsi="宋体" w:cs="宋体" w:eastAsia="宋体" w:hint="default"/>
        </w:rPr>
        <w:t>1</w:t>
      </w:r>
      <w:r>
        <w:rPr/>
        <w:t>）存货的分类 </w:t>
      </w:r>
      <w:r>
        <w:rPr>
          <w:spacing w:val="-3"/>
        </w:rPr>
        <w:t>存货主要包括原材料、周转材料（包括包装物、低值易耗品）、在产品、库存商品、发出商品、委托加工物资等五类。</w:t>
      </w:r>
    </w:p>
    <w:p>
      <w:pPr>
        <w:pStyle w:val="BodyText"/>
        <w:spacing w:line="319" w:lineRule="auto" w:before="19"/>
        <w:ind w:left="634" w:right="1272"/>
        <w:jc w:val="left"/>
      </w:pPr>
      <w:r>
        <w:rPr/>
        <w:t>（</w:t>
      </w:r>
      <w:r>
        <w:rPr>
          <w:rFonts w:ascii="宋体" w:hAnsi="宋体" w:cs="宋体" w:eastAsia="宋体" w:hint="default"/>
        </w:rPr>
        <w:t>2</w:t>
      </w:r>
      <w:r>
        <w:rPr/>
        <w:t>）存货取得和发出的计价方法 存货在取得时按实际成本计价，存货成本包括采购成本、加工成本和其他成本。领用和发出时按加权平均法计价。</w:t>
      </w:r>
    </w:p>
    <w:p>
      <w:pPr>
        <w:pStyle w:val="BodyText"/>
        <w:spacing w:line="316" w:lineRule="auto" w:before="17"/>
        <w:ind w:left="634" w:right="0"/>
        <w:jc w:val="left"/>
      </w:pPr>
      <w:r>
        <w:rPr/>
        <w:t>（</w:t>
      </w:r>
      <w:r>
        <w:rPr>
          <w:rFonts w:ascii="宋体" w:hAnsi="宋体" w:cs="宋体" w:eastAsia="宋体" w:hint="default"/>
        </w:rPr>
        <w:t>3</w:t>
      </w:r>
      <w:r>
        <w:rPr/>
        <w:t>）存货可变现净值的确认和跌价准备的计提方法 </w:t>
      </w:r>
      <w:r>
        <w:rPr>
          <w:spacing w:val="-1"/>
        </w:rPr>
        <w:t>可变现净值是指在日常活动中，存货的估计售价减去至完工时估计将要发生的成本、估计的销售费用以及相关税费后</w:t>
      </w:r>
    </w:p>
    <w:p>
      <w:pPr>
        <w:pStyle w:val="BodyText"/>
        <w:spacing w:line="240" w:lineRule="auto" w:before="19"/>
        <w:ind w:right="0"/>
        <w:jc w:val="left"/>
      </w:pPr>
      <w:r>
        <w:rPr>
          <w:spacing w:val="-4"/>
        </w:rPr>
        <w:t>的金额。在确定存货的可变现净值时，以取得的确凿证据为基础，同时考虑持有存货的目的以及资产负债表日后事项的影响。</w:t>
      </w:r>
    </w:p>
    <w:p>
      <w:pPr>
        <w:spacing w:after="0" w:line="24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6" w:lineRule="auto" w:before="44"/>
        <w:ind w:right="1131" w:firstLine="480"/>
        <w:jc w:val="both"/>
      </w:pPr>
      <w:r>
        <w:rPr>
          <w:spacing w:val="-1"/>
        </w:rPr>
        <w:t>在资产负债表日，存货按照成本与可变现净值孰低计量。当其可变现净值低于成本时，提取存货跌价准备。存货跌价</w:t>
      </w:r>
      <w:r>
        <w:rPr/>
        <w:t> </w:t>
      </w:r>
      <w:r>
        <w:rPr>
          <w:spacing w:val="-2"/>
        </w:rPr>
        <w:t>准备通常按单个存货项目的成本高于其可变现净值的差额提取。对于数量繁多、单价较低的存货，按存货类别计提存货跌价</w:t>
      </w:r>
      <w:r>
        <w:rPr>
          <w:spacing w:val="-66"/>
        </w:rPr>
        <w:t> </w:t>
      </w:r>
      <w:r>
        <w:rPr>
          <w:spacing w:val="-66"/>
        </w:rPr>
      </w:r>
      <w:r>
        <w:rPr>
          <w:spacing w:val="-2"/>
        </w:rPr>
        <w:t>准备；对在同一地区生产和销售的产品系列相关、具有相同或类似最终用途或目的，且难以与其他项目分开计量的存货，可</w:t>
      </w:r>
      <w:r>
        <w:rPr>
          <w:spacing w:val="-66"/>
        </w:rPr>
        <w:t> </w:t>
      </w:r>
      <w:r>
        <w:rPr>
          <w:spacing w:val="-66"/>
        </w:rPr>
      </w:r>
      <w:r>
        <w:rPr/>
        <w:t>合并计提存货跌价准备。</w:t>
      </w:r>
    </w:p>
    <w:p>
      <w:pPr>
        <w:pStyle w:val="BodyText"/>
        <w:spacing w:line="316" w:lineRule="auto" w:before="19"/>
        <w:ind w:right="1133" w:firstLine="480"/>
        <w:jc w:val="both"/>
      </w:pPr>
      <w:r>
        <w:rPr>
          <w:spacing w:val="-1"/>
        </w:rPr>
        <w:t>计提存货跌价准备后，如果以前减记存货价值的影响因素已经消失，导致存货的可变现净值高于其账面价值的，在原</w:t>
      </w:r>
      <w:r>
        <w:rPr/>
        <w:t> 已计提的存货跌价准备金额内予以转回，转回的金额计入当期损益。</w:t>
      </w:r>
    </w:p>
    <w:p>
      <w:pPr>
        <w:pStyle w:val="BodyText"/>
        <w:spacing w:line="240" w:lineRule="auto" w:before="19"/>
        <w:ind w:left="634" w:right="0"/>
        <w:jc w:val="left"/>
      </w:pPr>
      <w:r>
        <w:rPr/>
        <w:t>（</w:t>
      </w:r>
      <w:r>
        <w:rPr>
          <w:rFonts w:ascii="宋体" w:hAnsi="宋体" w:cs="宋体" w:eastAsia="宋体" w:hint="default"/>
        </w:rPr>
        <w:t>4</w:t>
      </w:r>
      <w:r>
        <w:rPr/>
        <w:t>）存货的盘存制度为永续盘存制。</w:t>
      </w:r>
    </w:p>
    <w:p>
      <w:pPr>
        <w:pStyle w:val="BodyText"/>
        <w:spacing w:line="316" w:lineRule="auto" w:before="76"/>
        <w:ind w:left="634" w:right="4152"/>
        <w:jc w:val="left"/>
      </w:pPr>
      <w:r>
        <w:rPr/>
        <w:t>（</w:t>
      </w:r>
      <w:r>
        <w:rPr>
          <w:rFonts w:ascii="宋体" w:hAnsi="宋体" w:cs="宋体" w:eastAsia="宋体" w:hint="default"/>
        </w:rPr>
        <w:t>5</w:t>
      </w:r>
      <w:r>
        <w:rPr/>
        <w:t>）低值易耗品和包装物的摊销方法 低值易耗品于领用时按一次摊销法摊销；包装物于领用时按一次摊销法摊销。</w:t>
      </w:r>
    </w:p>
    <w:p>
      <w:pPr>
        <w:spacing w:line="240" w:lineRule="auto" w:before="7"/>
        <w:rPr>
          <w:rFonts w:ascii="宋体" w:hAnsi="宋体" w:cs="宋体" w:eastAsia="宋体" w:hint="default"/>
          <w:sz w:val="22"/>
          <w:szCs w:val="22"/>
        </w:rPr>
      </w:pPr>
    </w:p>
    <w:p>
      <w:pPr>
        <w:pStyle w:val="Heading3"/>
        <w:spacing w:line="240" w:lineRule="auto"/>
        <w:ind w:right="0"/>
        <w:jc w:val="both"/>
        <w:rPr>
          <w:b w:val="0"/>
          <w:bCs w:val="0"/>
        </w:rPr>
      </w:pPr>
      <w:bookmarkStart w:name="13、长期股权投资" w:id="185"/>
      <w:bookmarkEnd w:id="185"/>
      <w:r>
        <w:rPr>
          <w:b w:val="0"/>
          <w:bCs w:val="0"/>
        </w:rPr>
      </w:r>
      <w:r>
        <w:rPr>
          <w:rFonts w:ascii="Times New Roman" w:hAnsi="Times New Roman" w:cs="Times New Roman" w:eastAsia="Times New Roman" w:hint="default"/>
        </w:rPr>
        <w:t>13</w:t>
      </w:r>
      <w:r>
        <w:rPr/>
        <w:t>、长期股权投资</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131" w:firstLine="480"/>
        <w:jc w:val="both"/>
      </w:pPr>
      <w:r>
        <w:rPr>
          <w:spacing w:val="-1"/>
        </w:rPr>
        <w:t>本部分所指的长期股权投资是指本公司对被投资单位具有控制、共同控制或重大影响的长期股权投资。本公司对被投</w:t>
      </w:r>
      <w:r>
        <w:rPr/>
        <w:t> </w:t>
      </w:r>
      <w:r>
        <w:rPr>
          <w:spacing w:val="-2"/>
        </w:rPr>
        <w:t>资单位不具有控制、共同控制或重大影响的长期股权投资，作为可供出售金融资产或以公允价值计量且其变动计入当期损益</w:t>
      </w:r>
      <w:r>
        <w:rPr>
          <w:spacing w:val="-64"/>
        </w:rPr>
        <w:t> </w:t>
      </w:r>
      <w:r>
        <w:rPr>
          <w:spacing w:val="-64"/>
        </w:rPr>
      </w:r>
      <w:r>
        <w:rPr/>
        <w:t>的金融资产核算，其会计政策详见附注五、</w:t>
      </w:r>
      <w:r>
        <w:rPr>
          <w:rFonts w:ascii="宋体" w:hAnsi="宋体" w:cs="宋体" w:eastAsia="宋体" w:hint="default"/>
        </w:rPr>
        <w:t>10</w:t>
      </w:r>
      <w:r>
        <w:rPr/>
        <w:t>“金融工具”。</w:t>
      </w:r>
    </w:p>
    <w:p>
      <w:pPr>
        <w:pStyle w:val="BodyText"/>
        <w:spacing w:line="316" w:lineRule="auto" w:before="19"/>
        <w:ind w:right="1133" w:firstLine="480"/>
        <w:jc w:val="both"/>
      </w:pPr>
      <w:r>
        <w:rPr>
          <w:spacing w:val="-1"/>
        </w:rPr>
        <w:t>共同控制，是指本公司按照相关约定对某项安排所共有的控制，并且该安排的相关活动必须经过分享控制权的参与方</w:t>
      </w:r>
      <w:r>
        <w:rPr/>
        <w:t> </w:t>
      </w:r>
      <w:r>
        <w:rPr>
          <w:spacing w:val="-2"/>
        </w:rPr>
        <w:t>一致同意后才能决策。重大影响，是指本公司对被投资单位的财务和经营政策有参与决策的权力，但并不能够控制或者与其</w:t>
      </w:r>
      <w:r>
        <w:rPr>
          <w:spacing w:val="-66"/>
        </w:rPr>
        <w:t> </w:t>
      </w:r>
      <w:r>
        <w:rPr>
          <w:spacing w:val="-66"/>
        </w:rPr>
      </w:r>
      <w:r>
        <w:rPr/>
        <w:t>他方一起共同控制这些政策的制定。</w:t>
      </w:r>
    </w:p>
    <w:p>
      <w:pPr>
        <w:pStyle w:val="BodyText"/>
        <w:spacing w:line="316" w:lineRule="auto" w:before="19"/>
        <w:ind w:left="634" w:right="0"/>
        <w:jc w:val="left"/>
      </w:pPr>
      <w:r>
        <w:rPr/>
        <w:t>（</w:t>
      </w:r>
      <w:r>
        <w:rPr>
          <w:rFonts w:ascii="宋体" w:hAnsi="宋体" w:cs="宋体" w:eastAsia="宋体" w:hint="default"/>
        </w:rPr>
        <w:t>1</w:t>
      </w:r>
      <w:r>
        <w:rPr/>
        <w:t>）投资成本的确定 </w:t>
      </w:r>
      <w:r>
        <w:rPr>
          <w:spacing w:val="-1"/>
        </w:rPr>
        <w:t>对于同一控制下的企业合并取得的长期股权投资，在合并日按照被合并方股东权益在最终控制方合并财务报表中的账</w:t>
      </w:r>
    </w:p>
    <w:p>
      <w:pPr>
        <w:pStyle w:val="BodyText"/>
        <w:spacing w:line="316" w:lineRule="auto" w:before="19"/>
        <w:ind w:right="1130"/>
        <w:jc w:val="both"/>
      </w:pPr>
      <w:r>
        <w:rPr>
          <w:spacing w:val="-2"/>
        </w:rPr>
        <w:t>面价值的份额作为长期股权投资的初始投资成本。长期股权投资初始投资成本与支付的现金、转让的非现金资产以及所承担</w:t>
      </w:r>
      <w:r>
        <w:rPr>
          <w:spacing w:val="-64"/>
        </w:rPr>
        <w:t> </w:t>
      </w:r>
      <w:r>
        <w:rPr>
          <w:spacing w:val="-64"/>
        </w:rPr>
      </w:r>
      <w:r>
        <w:rPr>
          <w:spacing w:val="-2"/>
        </w:rPr>
        <w:t>债务账面价值之间的差额，调整资本公积；资本公积不足冲减的，调整留存收益。以发行权益性证券作为合并对价的，在合</w:t>
      </w:r>
      <w:r>
        <w:rPr>
          <w:spacing w:val="-66"/>
        </w:rPr>
        <w:t> </w:t>
      </w:r>
      <w:r>
        <w:rPr>
          <w:spacing w:val="-66"/>
        </w:rPr>
      </w:r>
      <w:r>
        <w:rPr>
          <w:spacing w:val="-2"/>
        </w:rPr>
        <w:t>并日按照被合并方股东权益在最终控制方合并财务报表中的账面价值的份额作为长期股权投资的初始投资成本，按照发行股</w:t>
      </w:r>
      <w:r>
        <w:rPr>
          <w:spacing w:val="-64"/>
        </w:rPr>
        <w:t> </w:t>
      </w:r>
      <w:r>
        <w:rPr>
          <w:spacing w:val="-64"/>
        </w:rPr>
      </w:r>
      <w:r>
        <w:rPr>
          <w:spacing w:val="-2"/>
        </w:rPr>
        <w:t>份的面值总额作为股本，长期股权投资初始投资成本与所发行股份面值总额之间的差额，调整资本公积；资本公积不足冲减</w:t>
      </w:r>
      <w:r>
        <w:rPr>
          <w:spacing w:val="-66"/>
        </w:rPr>
        <w:t> </w:t>
      </w:r>
      <w:r>
        <w:rPr>
          <w:spacing w:val="-66"/>
        </w:rPr>
      </w:r>
      <w:r>
        <w:rPr>
          <w:spacing w:val="-2"/>
        </w:rPr>
        <w:t>的，调整留存收益。通过多次交易分步取得同一控制下被合并方的股权，最终形成同一控制下企业合并的，应分别是否属于</w:t>
      </w:r>
      <w:r>
        <w:rPr>
          <w:spacing w:val="-66"/>
        </w:rPr>
        <w:t> </w:t>
      </w:r>
      <w:r>
        <w:rPr>
          <w:spacing w:val="-66"/>
        </w:rPr>
      </w:r>
      <w:r>
        <w:rPr>
          <w:spacing w:val="-2"/>
        </w:rPr>
        <w:t>“一揽子交易”进行处理：属于“一揽子交易”的，将各项交易作为一项取得控制权的交易进行会计处理。不属于“一揽子</w:t>
      </w:r>
      <w:r>
        <w:rPr>
          <w:spacing w:val="-68"/>
        </w:rPr>
        <w:t> </w:t>
      </w:r>
      <w:r>
        <w:rPr>
          <w:spacing w:val="-68"/>
        </w:rPr>
      </w:r>
      <w:r>
        <w:rPr>
          <w:spacing w:val="-2"/>
        </w:rPr>
        <w:t>交易”的，在合并日按照应享有被合并方股东权益在最终控制方合并财务报表中的账面价值的份额作为长期股权投资的初始</w:t>
      </w:r>
      <w:r>
        <w:rPr>
          <w:spacing w:val="-64"/>
        </w:rPr>
        <w:t> </w:t>
      </w:r>
      <w:r>
        <w:rPr>
          <w:spacing w:val="-64"/>
        </w:rPr>
      </w:r>
      <w:r>
        <w:rPr>
          <w:spacing w:val="-2"/>
        </w:rPr>
        <w:t>投资成本，长期股权投资初始投资成本与达到合并前的长期股权投资账面价值加上合并日进一步取得股份新支付对价的账面</w:t>
      </w:r>
      <w:r>
        <w:rPr>
          <w:spacing w:val="-64"/>
        </w:rPr>
        <w:t> </w:t>
      </w:r>
      <w:r>
        <w:rPr>
          <w:spacing w:val="-64"/>
        </w:rPr>
      </w:r>
      <w:r>
        <w:rPr>
          <w:spacing w:val="-2"/>
        </w:rPr>
        <w:t>价值之和的差额，调整资本公积；资本公积不足冲减的，调整留存收益。合并日之前持有的股权投资因采用权益法核算或为</w:t>
      </w:r>
      <w:r>
        <w:rPr>
          <w:spacing w:val="-66"/>
        </w:rPr>
        <w:t> </w:t>
      </w:r>
      <w:r>
        <w:rPr>
          <w:spacing w:val="-66"/>
        </w:rPr>
      </w:r>
      <w:r>
        <w:rPr/>
        <w:t>可供出售金融资产而确认的其他综合收益，暂不进行会计处理。</w:t>
      </w:r>
    </w:p>
    <w:p>
      <w:pPr>
        <w:pStyle w:val="BodyText"/>
        <w:spacing w:line="316" w:lineRule="auto" w:before="19"/>
        <w:ind w:right="1131" w:firstLine="480"/>
        <w:jc w:val="both"/>
      </w:pPr>
      <w:r>
        <w:rPr>
          <w:spacing w:val="-1"/>
        </w:rPr>
        <w:t>对于非同一控制下的企业合并取得的长期股权投资，在购买日按照合并成本作为长期股权投资的初始投资成本，合并</w:t>
      </w:r>
      <w:r>
        <w:rPr/>
        <w:t> </w:t>
      </w:r>
      <w:r>
        <w:rPr>
          <w:spacing w:val="-2"/>
        </w:rPr>
        <w:t>成本包括包括购买方付出的资产、发生或承担的负债、发行的权益性证券的公允价值之和。通过多次交易分步取得被购买方</w:t>
      </w:r>
      <w:r>
        <w:rPr>
          <w:spacing w:val="-66"/>
        </w:rPr>
        <w:t> </w:t>
      </w:r>
      <w:r>
        <w:rPr>
          <w:spacing w:val="-66"/>
        </w:rPr>
      </w:r>
      <w:r>
        <w:rPr>
          <w:spacing w:val="-2"/>
        </w:rPr>
        <w:t>的股权，最终形成非同一控制下的企业合并的，应分别是否属于“一揽子交易”进行处理：属于“一揽子交易”的，将各项</w:t>
      </w:r>
      <w:r>
        <w:rPr>
          <w:spacing w:val="-67"/>
        </w:rPr>
        <w:t> </w:t>
      </w:r>
      <w:r>
        <w:rPr>
          <w:spacing w:val="-67"/>
        </w:rPr>
      </w:r>
      <w:r>
        <w:rPr>
          <w:spacing w:val="-2"/>
        </w:rPr>
        <w:t>交易作为一项取得控制权的交易进行会计处理。不属于“一揽子交易”的，按照原持有被购买方的股权投资账面价值加上新</w:t>
      </w:r>
      <w:r>
        <w:rPr>
          <w:spacing w:val="-65"/>
        </w:rPr>
        <w:t> </w:t>
      </w:r>
      <w:r>
        <w:rPr>
          <w:spacing w:val="-65"/>
        </w:rPr>
      </w:r>
      <w:r>
        <w:rPr>
          <w:spacing w:val="-2"/>
        </w:rPr>
        <w:t>增投资成本之和，作为改按成本法核算的长期股权投资的初始投资成本。原持有的股权采用权益法核算的，相关其他综合收</w:t>
      </w:r>
      <w:r>
        <w:rPr>
          <w:spacing w:val="-66"/>
        </w:rPr>
        <w:t> </w:t>
      </w:r>
      <w:r>
        <w:rPr>
          <w:spacing w:val="-66"/>
        </w:rPr>
      </w:r>
      <w:r>
        <w:rPr>
          <w:spacing w:val="-2"/>
        </w:rPr>
        <w:t>益暂不进行会计处理。原持有股权投资为可供出售金融资产的，其公允价值与账面价值之间的差额，以及原计入其他综合收</w:t>
      </w:r>
      <w:r>
        <w:rPr>
          <w:spacing w:val="-66"/>
        </w:rPr>
        <w:t> </w:t>
      </w:r>
      <w:r>
        <w:rPr>
          <w:spacing w:val="-66"/>
        </w:rPr>
      </w:r>
      <w:r>
        <w:rPr/>
        <w:t>益的累计公允价值变动转入当期损益。</w:t>
      </w:r>
    </w:p>
    <w:p>
      <w:pPr>
        <w:pStyle w:val="BodyText"/>
        <w:spacing w:line="316" w:lineRule="auto" w:before="19"/>
        <w:ind w:right="1133" w:firstLine="480"/>
        <w:jc w:val="both"/>
      </w:pPr>
      <w:r>
        <w:rPr>
          <w:spacing w:val="-1"/>
        </w:rPr>
        <w:t>合并方或购买方为企业合并发生的审计、法律服务、评估咨询等中介费用以及其他相关管理费用，于发生时计入当期</w:t>
      </w:r>
      <w:r>
        <w:rPr/>
        <w:t> 损益。</w:t>
      </w:r>
    </w:p>
    <w:p>
      <w:pPr>
        <w:pStyle w:val="BodyText"/>
        <w:spacing w:line="319" w:lineRule="auto" w:before="19"/>
        <w:ind w:right="1110" w:firstLine="480"/>
        <w:jc w:val="both"/>
      </w:pPr>
      <w:r>
        <w:rPr/>
        <w:t>除企业合并形成的长期股权投资外的其他股权投资，按成本进行初始计量，该成本视长期股权投资取得方式的不同， </w:t>
      </w:r>
      <w:r>
        <w:rPr>
          <w:spacing w:val="-2"/>
        </w:rPr>
        <w:t>分别按照本公司实际支付的现金购买价款、本公司发行的权益性证券的公允价值、投资合同或协议约定的价值、非货币性资</w:t>
      </w:r>
      <w:r>
        <w:rPr>
          <w:spacing w:val="-66"/>
        </w:rPr>
        <w:t> </w:t>
      </w:r>
      <w:r>
        <w:rPr>
          <w:spacing w:val="-66"/>
        </w:rPr>
      </w:r>
      <w:r>
        <w:rPr>
          <w:spacing w:val="-2"/>
        </w:rPr>
        <w:t>产交换交易中换出资产的公允价值或原账面价值、该项长期股权投资自身的公允价值等方式确定。与取得长期股权投资直接</w:t>
      </w:r>
      <w:r>
        <w:rPr>
          <w:spacing w:val="-64"/>
        </w:rPr>
        <w:t> </w:t>
      </w:r>
      <w:r>
        <w:rPr>
          <w:spacing w:val="-64"/>
        </w:rPr>
      </w:r>
      <w:r>
        <w:rPr>
          <w:spacing w:val="-2"/>
        </w:rPr>
        <w:t>相关的费用、税金及其他必要支出也计入投资成本。对于因追加投资能够对被投资单位实施重大影响或实施共同控制但不构</w:t>
      </w:r>
      <w:r>
        <w:rPr>
          <w:spacing w:val="-64"/>
        </w:rPr>
        <w:t> </w:t>
      </w:r>
      <w:r>
        <w:rPr>
          <w:spacing w:val="-64"/>
        </w:rPr>
      </w:r>
      <w:r>
        <w:rPr>
          <w:spacing w:val="-2"/>
        </w:rPr>
        <w:t>成控制的，长期股权投资成本为按照《企业会计准则第</w:t>
      </w:r>
      <w:r>
        <w:rPr>
          <w:rFonts w:ascii="宋体" w:hAnsi="宋体" w:cs="宋体" w:eastAsia="宋体" w:hint="default"/>
          <w:spacing w:val="-2"/>
        </w:rPr>
        <w:t>22</w:t>
      </w:r>
      <w:r>
        <w:rPr>
          <w:spacing w:val="-2"/>
        </w:rPr>
        <w:t>号——金融工具确认和计量》确定的原持有股权投资的公允价值加</w:t>
      </w:r>
    </w:p>
    <w:p>
      <w:pPr>
        <w:spacing w:after="0" w:line="319" w:lineRule="auto"/>
        <w:jc w:val="both"/>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240" w:lineRule="auto" w:before="44"/>
        <w:ind w:right="0"/>
        <w:jc w:val="left"/>
      </w:pPr>
      <w:r>
        <w:rPr/>
        <w:t>上新增投资成本之和。</w:t>
      </w:r>
    </w:p>
    <w:p>
      <w:pPr>
        <w:pStyle w:val="BodyText"/>
        <w:spacing w:line="316" w:lineRule="auto" w:before="76"/>
        <w:ind w:left="634" w:right="0"/>
        <w:jc w:val="left"/>
      </w:pPr>
      <w:r>
        <w:rPr/>
        <w:t>（</w:t>
      </w:r>
      <w:r>
        <w:rPr>
          <w:rFonts w:ascii="宋体" w:hAnsi="宋体" w:cs="宋体" w:eastAsia="宋体" w:hint="default"/>
        </w:rPr>
        <w:t>2</w:t>
      </w:r>
      <w:r>
        <w:rPr/>
        <w:t>）后续计量及损益确认方法 </w:t>
      </w:r>
      <w:r>
        <w:rPr>
          <w:spacing w:val="-1"/>
        </w:rPr>
        <w:t>对被投资单位具有共同控制（构成共同经营者除外）或重大影响的长期股权投资，采用权益法核算。此外，公司财务</w:t>
      </w:r>
    </w:p>
    <w:p>
      <w:pPr>
        <w:pStyle w:val="BodyText"/>
        <w:spacing w:line="240" w:lineRule="auto" w:before="19"/>
        <w:ind w:right="0"/>
        <w:jc w:val="left"/>
      </w:pPr>
      <w:r>
        <w:rPr/>
        <w:t>报表采用成本法核算能够对被投资单位实施控制的长期股权投资。</w:t>
      </w:r>
    </w:p>
    <w:p>
      <w:pPr>
        <w:pStyle w:val="BodyText"/>
        <w:spacing w:line="316" w:lineRule="auto" w:before="77"/>
        <w:ind w:left="634" w:right="0"/>
        <w:jc w:val="left"/>
      </w:pPr>
      <w:r>
        <w:rPr/>
        <w:t>①成本法核算的长期股权投资 </w:t>
      </w:r>
      <w:r>
        <w:rPr>
          <w:spacing w:val="-1"/>
        </w:rPr>
        <w:t>采用成本法核算时，长期股权投资按初始投资成本计价，追加或收回投资调整长期股权投资的成本。除取得投资时实</w:t>
      </w:r>
    </w:p>
    <w:p>
      <w:pPr>
        <w:pStyle w:val="BodyText"/>
        <w:spacing w:line="316" w:lineRule="auto" w:before="19"/>
        <w:ind w:right="0"/>
        <w:jc w:val="left"/>
      </w:pPr>
      <w:r>
        <w:rPr>
          <w:spacing w:val="-2"/>
        </w:rPr>
        <w:t>际支付的价款或者对价中包含的已宣告但尚未发放的现金股利或者利润外，当期投资收益按照享有被投资单位宣告发放的现</w:t>
      </w:r>
      <w:r>
        <w:rPr>
          <w:spacing w:val="-64"/>
        </w:rPr>
        <w:t> </w:t>
      </w:r>
      <w:r>
        <w:rPr>
          <w:spacing w:val="-64"/>
        </w:rPr>
      </w:r>
      <w:r>
        <w:rPr/>
        <w:t>金股利或利润确认。</w:t>
      </w:r>
    </w:p>
    <w:p>
      <w:pPr>
        <w:pStyle w:val="BodyText"/>
        <w:spacing w:line="316" w:lineRule="auto" w:before="19"/>
        <w:ind w:left="634" w:right="0"/>
        <w:jc w:val="left"/>
      </w:pPr>
      <w:r>
        <w:rPr/>
        <w:t>②权益法核算的长期股权投资 </w:t>
      </w:r>
      <w:r>
        <w:rPr>
          <w:spacing w:val="-1"/>
        </w:rPr>
        <w:t>采用权益法核算时，长期股权投资的初始投资成本大于投资时应享有被投资单位可辨认净资产公允价值份额的，不调</w:t>
      </w:r>
    </w:p>
    <w:p>
      <w:pPr>
        <w:pStyle w:val="BodyText"/>
        <w:spacing w:line="316" w:lineRule="auto" w:before="19"/>
        <w:ind w:right="0"/>
        <w:jc w:val="left"/>
      </w:pPr>
      <w:r>
        <w:rPr>
          <w:spacing w:val="-2"/>
        </w:rPr>
        <w:t>整长期股权投资的初始投资成本；初始投资成本小于投资时应享有被投资单位可辨认净资产公允价值份额的，其差额计入当</w:t>
      </w:r>
      <w:r>
        <w:rPr>
          <w:spacing w:val="-64"/>
        </w:rPr>
        <w:t> </w:t>
      </w:r>
      <w:r>
        <w:rPr>
          <w:spacing w:val="-64"/>
        </w:rPr>
      </w:r>
      <w:r>
        <w:rPr/>
        <w:t>期损益，同时调整长期股权投资的成本。</w:t>
      </w:r>
    </w:p>
    <w:p>
      <w:pPr>
        <w:pStyle w:val="BodyText"/>
        <w:spacing w:line="316" w:lineRule="auto" w:before="19"/>
        <w:ind w:right="1032" w:firstLine="480"/>
        <w:jc w:val="left"/>
      </w:pPr>
      <w:r>
        <w:rPr/>
        <w:t>采用权益法核算时，按照应享有或应分担的被投资单位实现的净损益和其他综合收益的份额，分别确认投资收益和其 </w:t>
      </w:r>
      <w:r>
        <w:rPr>
          <w:spacing w:val="-2"/>
        </w:rPr>
        <w:t>他综合收益，同时调整长期股权投资的账面价值；按照被投资单位宣告分派的利润或现金股利计算应享有的部分，相应减少</w:t>
      </w:r>
      <w:r>
        <w:rPr>
          <w:spacing w:val="-66"/>
        </w:rPr>
        <w:t> </w:t>
      </w:r>
      <w:r>
        <w:rPr>
          <w:spacing w:val="-66"/>
        </w:rPr>
      </w:r>
      <w:r>
        <w:rPr>
          <w:spacing w:val="-2"/>
        </w:rPr>
        <w:t>长期股权投资的账面价值；对于被投资单位除净损益、其他综合收益和利润分配以外所有者权益的其他变动，调整长期股权</w:t>
      </w:r>
      <w:r>
        <w:rPr>
          <w:spacing w:val="-66"/>
        </w:rPr>
        <w:t> </w:t>
      </w:r>
      <w:r>
        <w:rPr>
          <w:spacing w:val="-66"/>
        </w:rPr>
      </w:r>
      <w:r>
        <w:rPr>
          <w:spacing w:val="-2"/>
        </w:rPr>
        <w:t>投资的账面价值并计入资本公积。在确认应享有被投资单位净损益的份额时，以取得投资时被投资单位各项可辨认资产等的</w:t>
      </w:r>
      <w:r>
        <w:rPr>
          <w:spacing w:val="-63"/>
        </w:rPr>
        <w:t> </w:t>
      </w:r>
      <w:r>
        <w:rPr>
          <w:spacing w:val="-63"/>
        </w:rPr>
      </w:r>
      <w:r>
        <w:rPr>
          <w:spacing w:val="-2"/>
        </w:rPr>
        <w:t>公允价值为基础，对被投资单位的净利润进行调整后确认。被投资单位采用的会计政策及会计期间与本公司不一致的，按照</w:t>
      </w:r>
      <w:r>
        <w:rPr>
          <w:spacing w:val="-66"/>
        </w:rPr>
        <w:t> </w:t>
      </w:r>
      <w:r>
        <w:rPr>
          <w:spacing w:val="-66"/>
        </w:rPr>
      </w:r>
      <w:r>
        <w:rPr>
          <w:spacing w:val="-2"/>
        </w:rPr>
        <w:t>本公司的会计政策及会计期间对被投资单位的财务报表进行调整，并据以确认投资收益和其他综合收益。对于本公司与联营</w:t>
      </w:r>
      <w:r>
        <w:rPr>
          <w:spacing w:val="-64"/>
        </w:rPr>
        <w:t> </w:t>
      </w:r>
      <w:r>
        <w:rPr>
          <w:spacing w:val="-64"/>
        </w:rPr>
      </w:r>
      <w:r>
        <w:rPr>
          <w:spacing w:val="-2"/>
        </w:rPr>
        <w:t>企业及合营企业之间发生的交易，投出或出售的资产不构成业务的，未实现内部交易损益按照享有的比例计算归属于本公司</w:t>
      </w:r>
      <w:r>
        <w:rPr>
          <w:spacing w:val="-64"/>
        </w:rPr>
        <w:t> </w:t>
      </w:r>
      <w:r>
        <w:rPr>
          <w:spacing w:val="-64"/>
        </w:rPr>
      </w:r>
      <w:r>
        <w:rPr>
          <w:spacing w:val="-2"/>
        </w:rPr>
        <w:t>的部分予以抵销，在此基础上确认投资损益。但本公司与被投资单位发生的未实现内部交易损失，属于所转让资产减值损失</w:t>
      </w:r>
      <w:r>
        <w:rPr>
          <w:spacing w:val="-66"/>
        </w:rPr>
        <w:t> </w:t>
      </w:r>
      <w:r>
        <w:rPr>
          <w:spacing w:val="-66"/>
        </w:rPr>
      </w:r>
      <w:r>
        <w:rPr/>
        <w:t>的，不予以抵销。本公司向合营企业或联营企业投出的资产构成业务的，投资方因此取得长期股权投资但未取得控制权的，</w:t>
      </w:r>
      <w:r>
        <w:rPr/>
        <w:t> </w:t>
      </w:r>
      <w:r>
        <w:rPr>
          <w:spacing w:val="-2"/>
        </w:rPr>
        <w:t>以投出业务的公允价值作为新增长期股权投资的初始投资成本，初始投资成本与投出业务的账面价值之差，全额计入当期损</w:t>
      </w:r>
      <w:r>
        <w:rPr>
          <w:spacing w:val="-64"/>
        </w:rPr>
        <w:t> </w:t>
      </w:r>
      <w:r>
        <w:rPr>
          <w:spacing w:val="-64"/>
        </w:rPr>
      </w:r>
      <w:r>
        <w:rPr>
          <w:spacing w:val="-2"/>
        </w:rPr>
        <w:t>益。本公司向合营企业或联营企业出售的资产构成业务的，取得的对价与业务的账面价值之差，全额计入当期损益。本公司</w:t>
      </w:r>
      <w:r>
        <w:rPr>
          <w:spacing w:val="-66"/>
        </w:rPr>
        <w:t> </w:t>
      </w:r>
      <w:r>
        <w:rPr>
          <w:spacing w:val="-66"/>
        </w:rPr>
      </w:r>
      <w:r>
        <w:rPr>
          <w:spacing w:val="-2"/>
        </w:rPr>
        <w:t>自联营企业及合营企业购入的资产构成业务的，按《企业会计准则第</w:t>
      </w:r>
      <w:r>
        <w:rPr>
          <w:rFonts w:ascii="宋体" w:hAnsi="宋体" w:cs="宋体" w:eastAsia="宋体" w:hint="default"/>
          <w:spacing w:val="-2"/>
        </w:rPr>
        <w:t>20</w:t>
      </w:r>
      <w:r>
        <w:rPr>
          <w:spacing w:val="-2"/>
        </w:rPr>
        <w:t>号——企业合并》的规定进行会计处理，全额确认与</w:t>
      </w:r>
      <w:r>
        <w:rPr>
          <w:spacing w:val="-64"/>
        </w:rPr>
        <w:t> </w:t>
      </w:r>
      <w:r>
        <w:rPr>
          <w:spacing w:val="-64"/>
        </w:rPr>
      </w:r>
      <w:r>
        <w:rPr/>
        <w:t>交易相关的利得或损失。</w:t>
      </w:r>
    </w:p>
    <w:p>
      <w:pPr>
        <w:pStyle w:val="BodyText"/>
        <w:spacing w:line="316" w:lineRule="auto" w:before="19"/>
        <w:ind w:right="1131" w:firstLine="480"/>
        <w:jc w:val="both"/>
      </w:pPr>
      <w:r>
        <w:rPr>
          <w:spacing w:val="-1"/>
        </w:rPr>
        <w:t>在确认应分担被投资单位发生的净亏损时，以长期股权投资的账面价值和其他实质上构成对被投资单位净投资的长期</w:t>
      </w:r>
      <w:r>
        <w:rPr/>
        <w:t> </w:t>
      </w:r>
      <w:r>
        <w:rPr>
          <w:spacing w:val="-2"/>
        </w:rPr>
        <w:t>权益减记至零为限。此外，如本公司对被投资单位负有承担额外损失的义务，则按预计承担的义务确认预计负债，计入当期</w:t>
      </w:r>
      <w:r>
        <w:rPr>
          <w:spacing w:val="-66"/>
        </w:rPr>
        <w:t> </w:t>
      </w:r>
      <w:r>
        <w:rPr>
          <w:spacing w:val="-66"/>
        </w:rPr>
      </w:r>
      <w:r>
        <w:rPr/>
        <w:t>投资损失。被投资单位以后期间实现净利润的，本公司在收益分享额弥补未确认的亏损分担额后，恢复确认收益分享额。</w:t>
      </w:r>
    </w:p>
    <w:p>
      <w:pPr>
        <w:pStyle w:val="BodyText"/>
        <w:spacing w:line="316" w:lineRule="auto" w:before="19"/>
        <w:ind w:right="1133" w:firstLine="480"/>
        <w:jc w:val="both"/>
      </w:pPr>
      <w:r>
        <w:rPr>
          <w:spacing w:val="-1"/>
        </w:rPr>
        <w:t>对于本公司首次执行新会计准则之前已经持有的对联营企业和合营企业的长期股权投资，如存在与该投资相关的股权</w:t>
      </w:r>
      <w:r>
        <w:rPr/>
        <w:t> 投资借方差额，按原剩余期限直线摊销的金额计入当期损益。</w:t>
      </w:r>
    </w:p>
    <w:p>
      <w:pPr>
        <w:pStyle w:val="BodyText"/>
        <w:spacing w:line="316" w:lineRule="auto" w:before="19"/>
        <w:ind w:left="634" w:right="0"/>
        <w:jc w:val="left"/>
      </w:pPr>
      <w:r>
        <w:rPr/>
        <w:t>③收购少数股权 </w:t>
      </w:r>
      <w:r>
        <w:rPr>
          <w:spacing w:val="-1"/>
        </w:rPr>
        <w:t>在编制合并财务报表时，因购买少数股权新增的长期股权投资与按照新增持股比例计算应享有子公司自购买日（或合</w:t>
      </w:r>
    </w:p>
    <w:p>
      <w:pPr>
        <w:pStyle w:val="BodyText"/>
        <w:spacing w:line="240" w:lineRule="auto" w:before="19"/>
        <w:ind w:right="0"/>
        <w:jc w:val="left"/>
      </w:pPr>
      <w:r>
        <w:rPr/>
        <w:t>并日）开始持续计算的净资产份额之间的差额，调整资本公积，资本公积不足冲减的，调整留存收益。</w:t>
      </w:r>
    </w:p>
    <w:p>
      <w:pPr>
        <w:pStyle w:val="BodyText"/>
        <w:spacing w:line="316" w:lineRule="auto" w:before="76"/>
        <w:ind w:left="634" w:right="0"/>
        <w:jc w:val="left"/>
      </w:pPr>
      <w:r>
        <w:rPr/>
        <w:t>④处置长期股权投资 </w:t>
      </w:r>
      <w:r>
        <w:rPr>
          <w:spacing w:val="-1"/>
        </w:rPr>
        <w:t>在合并财务报表中，母公司在不丧失控制权的情况下部分处置对子公司的长期股权投资，处置价款与处置长期股权投</w:t>
      </w:r>
    </w:p>
    <w:p>
      <w:pPr>
        <w:pStyle w:val="BodyText"/>
        <w:spacing w:line="316" w:lineRule="auto" w:before="19"/>
        <w:ind w:right="0"/>
        <w:jc w:val="left"/>
      </w:pPr>
      <w:r>
        <w:rPr>
          <w:spacing w:val="-2"/>
        </w:rPr>
        <w:t>资相对应享有子公司净资产的差额计入股东权益；母公司部分处置对子公司的长期股权投资导致丧失对子公司控制权的，按</w:t>
      </w:r>
      <w:r>
        <w:rPr>
          <w:spacing w:val="-64"/>
        </w:rPr>
        <w:t> </w:t>
      </w:r>
      <w:r>
        <w:rPr>
          <w:spacing w:val="-64"/>
        </w:rPr>
      </w:r>
      <w:r>
        <w:rPr/>
        <w:t>本附注五、</w:t>
      </w:r>
      <w:r>
        <w:rPr>
          <w:rFonts w:ascii="宋体" w:hAnsi="宋体" w:cs="宋体" w:eastAsia="宋体" w:hint="default"/>
        </w:rPr>
        <w:t>6</w:t>
      </w:r>
      <w:r>
        <w:rPr/>
        <w:t>、（</w:t>
      </w:r>
      <w:r>
        <w:rPr>
          <w:rFonts w:ascii="宋体" w:hAnsi="宋体" w:cs="宋体" w:eastAsia="宋体" w:hint="default"/>
        </w:rPr>
        <w:t>2</w:t>
      </w:r>
      <w:r>
        <w:rPr/>
        <w:t>）“合并财务报表编制的方法”中所述的相关会计政策处理。</w:t>
      </w:r>
    </w:p>
    <w:p>
      <w:pPr>
        <w:pStyle w:val="BodyText"/>
        <w:spacing w:line="316" w:lineRule="auto" w:before="19"/>
        <w:ind w:left="634" w:right="0"/>
        <w:jc w:val="left"/>
      </w:pPr>
      <w:r>
        <w:rPr/>
        <w:t>其他情形下的长期股权投资处置，对于处置的股权，其账面价值与实际取得价款的差额，计入当期损益。 </w:t>
      </w:r>
      <w:r>
        <w:rPr>
          <w:spacing w:val="-1"/>
        </w:rPr>
        <w:t>采用权益法核算的长期股权投资，处置后的剩余股权仍采用权益法核算的，在处置时将原计入股东权益的其他综合收</w:t>
      </w:r>
    </w:p>
    <w:p>
      <w:pPr>
        <w:pStyle w:val="BodyText"/>
        <w:spacing w:line="319" w:lineRule="auto" w:before="19"/>
        <w:ind w:right="0"/>
        <w:jc w:val="left"/>
      </w:pPr>
      <w:r>
        <w:rPr>
          <w:spacing w:val="-2"/>
        </w:rPr>
        <w:t>益部分按相应的比例采用与被投资单位直接处置相关资产或负债相同的基础进行会计处理。因被投资方除净损益、其他综合</w:t>
      </w:r>
      <w:r>
        <w:rPr>
          <w:spacing w:val="-64"/>
        </w:rPr>
        <w:t> </w:t>
      </w:r>
      <w:r>
        <w:rPr>
          <w:spacing w:val="-64"/>
        </w:rPr>
      </w:r>
      <w:r>
        <w:rPr/>
        <w:t>收益和利润分配以外的其他所有者权益变动而确认的所有者权益，按比例结转入当期损益。</w:t>
      </w:r>
    </w:p>
    <w:p>
      <w:pPr>
        <w:pStyle w:val="BodyText"/>
        <w:spacing w:line="316" w:lineRule="auto" w:before="17"/>
        <w:ind w:right="1131" w:firstLine="480"/>
        <w:jc w:val="both"/>
      </w:pPr>
      <w:r>
        <w:rPr>
          <w:spacing w:val="-1"/>
        </w:rPr>
        <w:t>采用成本法核算的长期股权投资，处置后剩余股权仍采用成本法核算的，其在取得对被投资单位的控制之前因采用权</w:t>
      </w:r>
      <w:r>
        <w:rPr/>
        <w:t> </w:t>
      </w:r>
      <w:r>
        <w:rPr>
          <w:spacing w:val="-2"/>
        </w:rPr>
        <w:t>益法核算或金融工具确认和计量准则核算而确认的其他综合收益，采用与被投资单位直接处置相关资产或负债相同的基础进</w:t>
      </w:r>
      <w:r>
        <w:rPr>
          <w:spacing w:val="-64"/>
        </w:rPr>
        <w:t> </w:t>
      </w:r>
      <w:r>
        <w:rPr>
          <w:spacing w:val="-64"/>
        </w:rPr>
      </w:r>
      <w:r>
        <w:rPr>
          <w:spacing w:val="-2"/>
        </w:rPr>
        <w:t>行会计处理，并按比例结转当期损益；因采用权益法核算而确认的被投资单位净资产中除净损益、其他综合收益和利润分配</w:t>
      </w:r>
    </w:p>
    <w:p>
      <w:pPr>
        <w:spacing w:after="0" w:line="316" w:lineRule="auto"/>
        <w:jc w:val="both"/>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6" w:lineRule="auto" w:before="44"/>
        <w:ind w:left="634" w:right="0" w:hanging="480"/>
        <w:jc w:val="left"/>
      </w:pPr>
      <w:r>
        <w:rPr/>
        <w:t>以外的其他所有者权益变动按比例结转当期损益。 </w:t>
      </w:r>
      <w:r>
        <w:rPr>
          <w:spacing w:val="-1"/>
        </w:rPr>
        <w:t>本公司因处置部分股权投资丧失了对被投资单位的控制的，在编制个别财务报表时，处置后的剩余股权能够对被投资</w:t>
      </w:r>
    </w:p>
    <w:p>
      <w:pPr>
        <w:pStyle w:val="BodyText"/>
        <w:spacing w:line="316" w:lineRule="auto" w:before="19"/>
        <w:ind w:right="1131"/>
        <w:jc w:val="both"/>
      </w:pPr>
      <w:r>
        <w:rPr>
          <w:spacing w:val="-2"/>
        </w:rPr>
        <w:t>单位实施共同控制或施加重大影响的，改按权益法核算，并对该剩余股权视同自取得时即采用权益法核算进行调整；处置后</w:t>
      </w:r>
      <w:r>
        <w:rPr>
          <w:spacing w:val="-66"/>
        </w:rPr>
        <w:t> </w:t>
      </w:r>
      <w:r>
        <w:rPr>
          <w:spacing w:val="-66"/>
        </w:rPr>
      </w:r>
      <w:r>
        <w:rPr>
          <w:spacing w:val="-2"/>
        </w:rPr>
        <w:t>的剩余股权不能对被投资单位实施共同控制或施加重大影响的，改按金融工具确认和计量准则的有关规定进行会计处理，其</w:t>
      </w:r>
      <w:r>
        <w:rPr>
          <w:spacing w:val="-64"/>
        </w:rPr>
        <w:t> </w:t>
      </w:r>
      <w:r>
        <w:rPr>
          <w:spacing w:val="-64"/>
        </w:rPr>
      </w:r>
      <w:r>
        <w:rPr>
          <w:spacing w:val="-2"/>
        </w:rPr>
        <w:t>在丧失控制之日的公允价值与账面价值之间的差额计入当期损益。对于本公司取得对被投资单位的控制之前，因采用权益法</w:t>
      </w:r>
      <w:r>
        <w:rPr>
          <w:spacing w:val="-64"/>
        </w:rPr>
        <w:t> </w:t>
      </w:r>
      <w:r>
        <w:rPr>
          <w:spacing w:val="-64"/>
        </w:rPr>
      </w:r>
      <w:r>
        <w:rPr>
          <w:spacing w:val="-2"/>
        </w:rPr>
        <w:t>核算或金融工具确认和计量准则核算而确认的其他综合收益，在丧失对被投资单位控制时采用与被投资单位直接处置相关资</w:t>
      </w:r>
      <w:r>
        <w:rPr>
          <w:spacing w:val="-64"/>
        </w:rPr>
        <w:t> </w:t>
      </w:r>
      <w:r>
        <w:rPr>
          <w:spacing w:val="-64"/>
        </w:rPr>
      </w:r>
      <w:r>
        <w:rPr>
          <w:spacing w:val="-2"/>
        </w:rPr>
        <w:t>产或负债相同的基础进行会计处理，因采用权益法核算而确认的被投资单位净资产中除净损益、其他综合收益和利润分配以</w:t>
      </w:r>
      <w:r>
        <w:rPr>
          <w:spacing w:val="-64"/>
        </w:rPr>
        <w:t> </w:t>
      </w:r>
      <w:r>
        <w:rPr>
          <w:spacing w:val="-64"/>
        </w:rPr>
      </w:r>
      <w:r>
        <w:rPr>
          <w:spacing w:val="-2"/>
        </w:rPr>
        <w:t>外的其他所有者权益变动在丧失对被投资单位控制时结转入当期损益。其中，处置后的剩余股权采用权益法核算的，其他综</w:t>
      </w:r>
      <w:r>
        <w:rPr>
          <w:spacing w:val="-66"/>
        </w:rPr>
        <w:t> </w:t>
      </w:r>
      <w:r>
        <w:rPr>
          <w:spacing w:val="-66"/>
        </w:rPr>
      </w:r>
      <w:r>
        <w:rPr>
          <w:spacing w:val="-2"/>
        </w:rPr>
        <w:t>合收益和其他所有者权益按比例结转；处置后的剩余股权改按金融工具确认和计量准则进行会计处理的，其他综合收益和其</w:t>
      </w:r>
      <w:r>
        <w:rPr>
          <w:spacing w:val="-64"/>
        </w:rPr>
        <w:t> </w:t>
      </w:r>
      <w:r>
        <w:rPr>
          <w:spacing w:val="-64"/>
        </w:rPr>
      </w:r>
      <w:r>
        <w:rPr/>
        <w:t>他所有者权益全部结转。</w:t>
      </w:r>
    </w:p>
    <w:p>
      <w:pPr>
        <w:pStyle w:val="BodyText"/>
        <w:spacing w:line="316" w:lineRule="auto" w:before="19"/>
        <w:ind w:right="1131" w:firstLine="480"/>
        <w:jc w:val="both"/>
      </w:pPr>
      <w:r>
        <w:rPr>
          <w:spacing w:val="-1"/>
        </w:rPr>
        <w:t>本公司因处置部分股权投资丧失了对被投资单位的共同控制或重大影响的，处置后的剩余股权改按金融工具确认和计</w:t>
      </w:r>
      <w:r>
        <w:rPr/>
        <w:t> </w:t>
      </w:r>
      <w:r>
        <w:rPr>
          <w:spacing w:val="-2"/>
        </w:rPr>
        <w:t>量准则核算，其在丧失共同控制或重大影响之日的公允价值与账面价值之间的差额计入当期损益。原股权投资因采用权益法</w:t>
      </w:r>
      <w:r>
        <w:rPr>
          <w:spacing w:val="-64"/>
        </w:rPr>
        <w:t> </w:t>
      </w:r>
      <w:r>
        <w:rPr>
          <w:spacing w:val="-64"/>
        </w:rPr>
      </w:r>
      <w:r>
        <w:rPr/>
        <w:t>核算而确认的其他综合收益，在终止采用权益法核算时采用与被投资单位直接处置相关资产或负债相同的基础进行会计处</w:t>
      </w:r>
      <w:r>
        <w:rPr>
          <w:spacing w:val="-9"/>
        </w:rPr>
        <w:t> </w:t>
      </w:r>
      <w:r>
        <w:rPr>
          <w:spacing w:val="-9"/>
        </w:rPr>
      </w:r>
      <w:r>
        <w:rPr>
          <w:spacing w:val="-2"/>
        </w:rPr>
        <w:t>理，因被投资方除净损益、其他综合收益和利润分配以外的其他所有者权益变动而确认的所有者权益，在终止采用权益法时</w:t>
      </w:r>
      <w:r>
        <w:rPr>
          <w:spacing w:val="-66"/>
        </w:rPr>
        <w:t> </w:t>
      </w:r>
      <w:r>
        <w:rPr>
          <w:spacing w:val="-66"/>
        </w:rPr>
      </w:r>
      <w:r>
        <w:rPr/>
        <w:t>全部转入当期投资收益。</w:t>
      </w:r>
    </w:p>
    <w:p>
      <w:pPr>
        <w:pStyle w:val="BodyText"/>
        <w:spacing w:line="316" w:lineRule="auto" w:before="19"/>
        <w:ind w:right="1131" w:firstLine="480"/>
        <w:jc w:val="both"/>
      </w:pPr>
      <w:r>
        <w:rPr>
          <w:spacing w:val="-1"/>
        </w:rPr>
        <w:t>本公司通过多次交易分步处置对子公司股权投资直至丧失控制权，如果上述交易属于一揽子交易的，将各项交易作为</w:t>
      </w:r>
      <w:r>
        <w:rPr/>
        <w:t> </w:t>
      </w:r>
      <w:r>
        <w:rPr>
          <w:spacing w:val="-2"/>
        </w:rPr>
        <w:t>一项处置子公司股权投资并丧失控制权的交易进行会计处理，在丧失控制权之前每一次处置价款与所处置的股权对应的长期</w:t>
      </w:r>
      <w:r>
        <w:rPr>
          <w:spacing w:val="-64"/>
        </w:rPr>
        <w:t> </w:t>
      </w:r>
      <w:r>
        <w:rPr>
          <w:spacing w:val="-64"/>
        </w:rPr>
      </w:r>
      <w:r>
        <w:rPr/>
        <w:t>股权投资账面价值之间的差额，先确认为其他综合收益，到丧失控制权时再一并转入丧失控制权的当期损益。</w:t>
      </w:r>
    </w:p>
    <w:p>
      <w:pPr>
        <w:spacing w:line="240" w:lineRule="auto" w:before="7"/>
        <w:rPr>
          <w:rFonts w:ascii="宋体" w:hAnsi="宋体" w:cs="宋体" w:eastAsia="宋体" w:hint="default"/>
          <w:sz w:val="22"/>
          <w:szCs w:val="22"/>
        </w:rPr>
      </w:pPr>
    </w:p>
    <w:p>
      <w:pPr>
        <w:pStyle w:val="Heading3"/>
        <w:spacing w:line="240" w:lineRule="auto"/>
        <w:ind w:right="0"/>
        <w:jc w:val="left"/>
        <w:rPr>
          <w:b w:val="0"/>
          <w:bCs w:val="0"/>
        </w:rPr>
      </w:pPr>
      <w:bookmarkStart w:name="14、投资性房地产" w:id="186"/>
      <w:bookmarkEnd w:id="186"/>
      <w:r>
        <w:rPr>
          <w:b w:val="0"/>
          <w:bCs w:val="0"/>
        </w:rPr>
      </w:r>
      <w:r>
        <w:rPr>
          <w:rFonts w:ascii="Times New Roman" w:hAnsi="Times New Roman" w:cs="Times New Roman" w:eastAsia="Times New Roman" w:hint="default"/>
        </w:rPr>
        <w:t>14</w:t>
      </w:r>
      <w:r>
        <w:rPr/>
        <w:t>、投资性房地产</w:t>
      </w:r>
      <w:r>
        <w:rPr>
          <w:b w:val="0"/>
          <w:bCs w:val="0"/>
        </w:rPr>
      </w:r>
    </w:p>
    <w:p>
      <w:pPr>
        <w:spacing w:line="240" w:lineRule="auto" w:before="8"/>
        <w:rPr>
          <w:rFonts w:ascii="宋体" w:hAnsi="宋体" w:cs="宋体" w:eastAsia="宋体" w:hint="default"/>
          <w:b/>
          <w:bCs/>
          <w:sz w:val="26"/>
          <w:szCs w:val="26"/>
        </w:rPr>
      </w:pPr>
    </w:p>
    <w:p>
      <w:pPr>
        <w:pStyle w:val="BodyText"/>
        <w:spacing w:line="360" w:lineRule="auto"/>
        <w:ind w:right="8952"/>
        <w:jc w:val="left"/>
      </w:pPr>
      <w:r>
        <w:rPr/>
        <w:t>投资性房地产计量模式 成本法计量 折旧或摊销方法</w:t>
      </w:r>
    </w:p>
    <w:p>
      <w:pPr>
        <w:pStyle w:val="BodyText"/>
        <w:spacing w:line="316" w:lineRule="auto" w:before="25"/>
        <w:ind w:right="1130" w:firstLine="480"/>
        <w:jc w:val="both"/>
      </w:pPr>
      <w:r>
        <w:rPr>
          <w:spacing w:val="-1"/>
        </w:rPr>
        <w:t>投资性房地产是指为赚取租金或资本增值，或两者兼有而持有的房地产。包括已出租的土地使用权、持有并准备增值</w:t>
      </w:r>
      <w:r>
        <w:rPr/>
        <w:t> </w:t>
      </w:r>
      <w:r>
        <w:rPr>
          <w:spacing w:val="-2"/>
        </w:rPr>
        <w:t>后转让的土地使用权、已出租的建筑物等。此外，对于本公司持有以备经营出租的空置建筑物，若董事会（或类似机构）作</w:t>
      </w:r>
      <w:r>
        <w:rPr>
          <w:spacing w:val="-68"/>
        </w:rPr>
        <w:t> </w:t>
      </w:r>
      <w:r>
        <w:rPr>
          <w:spacing w:val="-68"/>
        </w:rPr>
      </w:r>
      <w:r>
        <w:rPr/>
        <w:t>出书面决议，明确表示将其用于经营出租且持有意图短期内不再发生变化的，也作为投资性房地产列报。</w:t>
      </w:r>
    </w:p>
    <w:p>
      <w:pPr>
        <w:pStyle w:val="BodyText"/>
        <w:spacing w:line="316" w:lineRule="auto" w:before="19"/>
        <w:ind w:right="1133" w:firstLine="480"/>
        <w:jc w:val="both"/>
      </w:pPr>
      <w:r>
        <w:rPr>
          <w:spacing w:val="-1"/>
        </w:rPr>
        <w:t>投资性房地产按成本进行初始计量。与投资性房地产有关的后续支出，如果与该资产有关的经济利益很可能流入且其</w:t>
      </w:r>
      <w:r>
        <w:rPr/>
        <w:t> 成本能可靠地计量，则计入投资性房地产成本。其他后续支出，在发生时计入当期损益。</w:t>
      </w:r>
    </w:p>
    <w:p>
      <w:pPr>
        <w:pStyle w:val="BodyText"/>
        <w:spacing w:line="316" w:lineRule="auto" w:before="19"/>
        <w:ind w:left="634" w:right="1092"/>
        <w:jc w:val="left"/>
      </w:pPr>
      <w:r>
        <w:rPr/>
        <w:t>本公司采用成本模式对投资性房地产进行后续计量，并按照与房屋建筑物或土地使用权一致的政策进行折旧或摊销。 投资性房地产的减值测试方法和减值准备计提方法详见附注五、</w:t>
      </w:r>
      <w:r>
        <w:rPr>
          <w:rFonts w:ascii="宋体" w:hAnsi="宋体" w:cs="宋体" w:eastAsia="宋体" w:hint="default"/>
        </w:rPr>
        <w:t>19</w:t>
      </w:r>
      <w:r>
        <w:rPr/>
        <w:t>“长期资产减值”。 </w:t>
      </w:r>
      <w:r>
        <w:rPr>
          <w:spacing w:val="-1"/>
        </w:rPr>
        <w:t>自用房地产或存货转换为投资性房地产或投资性房地产转换为自用房地产时，按转换前的账面价值作为转换后的入账</w:t>
      </w:r>
    </w:p>
    <w:p>
      <w:pPr>
        <w:pStyle w:val="BodyText"/>
        <w:spacing w:line="240" w:lineRule="auto" w:before="19"/>
        <w:ind w:right="0"/>
        <w:jc w:val="left"/>
      </w:pPr>
      <w:r>
        <w:rPr/>
        <w:t>价值。</w:t>
      </w:r>
    </w:p>
    <w:p>
      <w:pPr>
        <w:pStyle w:val="BodyText"/>
        <w:spacing w:line="316" w:lineRule="auto" w:before="76"/>
        <w:ind w:right="0" w:firstLine="480"/>
        <w:jc w:val="left"/>
      </w:pPr>
      <w:r>
        <w:rPr/>
        <w:t>投资性房地产的用途改变为自用时，自改变之日起，将该投资性房地产转换为固定资产或无形资产。自用房地产的用 </w:t>
      </w:r>
      <w:r>
        <w:rPr>
          <w:spacing w:val="-2"/>
        </w:rPr>
        <w:t>途改变为赚取租金或资本增值时，自改变之日起，将固定资产或无形资产转换为投资性房地产。发生转换时，转换为采用成</w:t>
      </w:r>
      <w:r>
        <w:rPr>
          <w:spacing w:val="-66"/>
        </w:rPr>
        <w:t> </w:t>
      </w:r>
      <w:r>
        <w:rPr>
          <w:spacing w:val="-66"/>
        </w:rPr>
      </w:r>
      <w:r>
        <w:rPr>
          <w:spacing w:val="-4"/>
        </w:rPr>
        <w:t>本模式计量的投资性房地产的，以转换前的账面价值作为转换后的入账价值；转换为以公允价值模式计量的投资性房地产的，</w:t>
      </w:r>
      <w:r>
        <w:rPr>
          <w:spacing w:val="-44"/>
        </w:rPr>
        <w:t> </w:t>
      </w:r>
      <w:r>
        <w:rPr>
          <w:spacing w:val="-44"/>
        </w:rPr>
      </w:r>
      <w:r>
        <w:rPr/>
        <w:t>以转换日的公允价值作为转换后的入账价值。</w:t>
      </w:r>
    </w:p>
    <w:p>
      <w:pPr>
        <w:pStyle w:val="BodyText"/>
        <w:spacing w:line="316" w:lineRule="auto" w:before="19"/>
        <w:ind w:right="1133" w:firstLine="480"/>
        <w:jc w:val="both"/>
      </w:pPr>
      <w:r>
        <w:rPr>
          <w:spacing w:val="-1"/>
        </w:rPr>
        <w:t>当投资性房地产被处置、或者永久退出使用且预计不能从其处置中取得经济利益时，终止确认该项投资性房地产。投</w:t>
      </w:r>
      <w:r>
        <w:rPr/>
        <w:t> 资性房地产出售、转让、报废或毁损的处置收入扣除其账面价值和相关税费后计入当期损益。</w:t>
      </w:r>
    </w:p>
    <w:p>
      <w:pPr>
        <w:spacing w:after="0" w:line="316" w:lineRule="auto"/>
        <w:jc w:val="both"/>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right="0"/>
        <w:jc w:val="both"/>
        <w:rPr>
          <w:b w:val="0"/>
          <w:bCs w:val="0"/>
        </w:rPr>
      </w:pPr>
      <w:bookmarkStart w:name="15、固定资产" w:id="187"/>
      <w:bookmarkEnd w:id="187"/>
      <w:r>
        <w:rPr>
          <w:b w:val="0"/>
          <w:bCs w:val="0"/>
        </w:rPr>
      </w:r>
      <w:r>
        <w:rPr>
          <w:rFonts w:ascii="Times New Roman" w:hAnsi="Times New Roman" w:cs="Times New Roman" w:eastAsia="Times New Roman" w:hint="default"/>
        </w:rPr>
        <w:t>15</w:t>
      </w:r>
      <w:r>
        <w:rPr/>
        <w:t>、固定资产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both"/>
        <w:rPr>
          <w:b w:val="0"/>
          <w:bCs w:val="0"/>
        </w:rPr>
      </w:pPr>
      <w:bookmarkStart w:name="（1）确认条件" w:id="188"/>
      <w:bookmarkEnd w:id="188"/>
      <w:r>
        <w:rPr>
          <w:b w:val="0"/>
          <w:bCs w:val="0"/>
        </w:rPr>
      </w:r>
      <w:r>
        <w:rPr/>
        <w:t>（</w:t>
      </w:r>
      <w:r>
        <w:rPr>
          <w:rFonts w:ascii="Times New Roman" w:hAnsi="Times New Roman" w:cs="Times New Roman" w:eastAsia="Times New Roman" w:hint="default"/>
        </w:rPr>
        <w:t>1</w:t>
      </w:r>
      <w:r>
        <w:rPr/>
        <w:t>）确认条件</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right="1131"/>
        <w:jc w:val="both"/>
      </w:pPr>
      <w:r>
        <w:rPr>
          <w:spacing w:val="-2"/>
        </w:rPr>
        <w:t>固定资产是指为生产商品、提供劳务、出租或经营管理而持有的，使用寿命超过一个会计年度的有形资产。固定资产仅在与</w:t>
      </w:r>
      <w:r>
        <w:rPr>
          <w:spacing w:val="-66"/>
        </w:rPr>
        <w:t> </w:t>
      </w:r>
      <w:r>
        <w:rPr>
          <w:spacing w:val="-66"/>
        </w:rPr>
      </w:r>
      <w:r>
        <w:rPr>
          <w:spacing w:val="-2"/>
        </w:rPr>
        <w:t>其有关的经济利益很可能流入本公司，且其成本能够可靠地计量时才予以确认。固定资产按成本并考虑预计弃置费用因素的</w:t>
      </w:r>
      <w:r>
        <w:rPr>
          <w:spacing w:val="-64"/>
        </w:rPr>
        <w:t> </w:t>
      </w:r>
      <w:r>
        <w:rPr>
          <w:spacing w:val="-64"/>
        </w:rPr>
      </w:r>
      <w:r>
        <w:rPr/>
        <w:t>影响进行初始计量。</w:t>
      </w:r>
    </w:p>
    <w:p>
      <w:pPr>
        <w:spacing w:line="240" w:lineRule="auto" w:before="3"/>
        <w:rPr>
          <w:rFonts w:ascii="宋体" w:hAnsi="宋体" w:cs="宋体" w:eastAsia="宋体" w:hint="default"/>
          <w:sz w:val="22"/>
          <w:szCs w:val="22"/>
        </w:rPr>
      </w:pPr>
    </w:p>
    <w:p>
      <w:pPr>
        <w:pStyle w:val="Heading3"/>
        <w:spacing w:line="240" w:lineRule="auto"/>
        <w:ind w:right="0"/>
        <w:jc w:val="both"/>
        <w:rPr>
          <w:b w:val="0"/>
          <w:bCs w:val="0"/>
        </w:rPr>
      </w:pPr>
      <w:bookmarkStart w:name="（2）折旧方法" w:id="189"/>
      <w:bookmarkEnd w:id="189"/>
      <w:r>
        <w:rPr>
          <w:b w:val="0"/>
          <w:bCs w:val="0"/>
        </w:rPr>
      </w:r>
      <w:r>
        <w:rPr/>
        <w:t>（</w:t>
      </w:r>
      <w:r>
        <w:rPr>
          <w:rFonts w:ascii="Times New Roman" w:hAnsi="Times New Roman" w:cs="Times New Roman" w:eastAsia="Times New Roman" w:hint="default"/>
        </w:rPr>
        <w:t>2</w:t>
      </w:r>
      <w:r>
        <w:rPr/>
        <w:t>）折旧方法</w:t>
      </w:r>
      <w:r>
        <w:rPr>
          <w:b w:val="0"/>
          <w:bCs w:val="0"/>
        </w:rPr>
      </w:r>
    </w:p>
    <w:p>
      <w:pPr>
        <w:spacing w:line="240" w:lineRule="auto" w:before="11"/>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401"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折旧方法</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折旧年限</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残值率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年折旧率</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20-50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1.8-4.5</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5-10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9-18</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18</w:t>
            </w:r>
          </w:p>
        </w:tc>
      </w:tr>
      <w:tr>
        <w:trPr>
          <w:trHeight w:val="403"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电子及其他设备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18</w:t>
            </w:r>
          </w:p>
        </w:tc>
      </w:tr>
    </w:tbl>
    <w:p>
      <w:pPr>
        <w:pStyle w:val="BodyText"/>
        <w:spacing w:line="316" w:lineRule="auto" w:before="10"/>
        <w:ind w:right="0" w:firstLine="360"/>
        <w:jc w:val="left"/>
      </w:pPr>
      <w:r>
        <w:rPr>
          <w:spacing w:val="-2"/>
        </w:rPr>
        <w:t>预计净残值是指假定固定资产预计使用寿命已满并处于使用寿命终了时的预期状态，本公司目前从该项资产处置中获得</w:t>
      </w:r>
      <w:r>
        <w:rPr/>
        <w:t> 的扣除预计处置费用后的金额。</w:t>
      </w:r>
    </w:p>
    <w:p>
      <w:pPr>
        <w:pStyle w:val="BodyText"/>
        <w:spacing w:line="240" w:lineRule="auto" w:before="19"/>
        <w:ind w:left="514" w:right="0"/>
        <w:jc w:val="left"/>
      </w:pPr>
      <w:r>
        <w:rPr/>
        <w:t>固定资产的减值测试方法和减值准备计提方法详见附注五、</w:t>
      </w:r>
      <w:r>
        <w:rPr>
          <w:rFonts w:ascii="Times New Roman" w:hAnsi="Times New Roman" w:cs="Times New Roman" w:eastAsia="Times New Roman" w:hint="default"/>
        </w:rPr>
        <w:t>19“</w:t>
      </w:r>
      <w:r>
        <w:rPr/>
        <w:t>长期资产减值</w:t>
      </w:r>
      <w:r>
        <w:rPr>
          <w:rFonts w:ascii="Times New Roman" w:hAnsi="Times New Roman" w:cs="Times New Roman" w:eastAsia="Times New Roman" w:hint="default"/>
        </w:rPr>
        <w:t>”</w:t>
      </w:r>
      <w:r>
        <w:rPr/>
        <w:t>。</w:t>
      </w:r>
    </w:p>
    <w:p>
      <w:pPr>
        <w:spacing w:line="240" w:lineRule="auto" w:before="11"/>
        <w:rPr>
          <w:rFonts w:ascii="宋体" w:hAnsi="宋体" w:cs="宋体" w:eastAsia="宋体" w:hint="default"/>
          <w:sz w:val="25"/>
          <w:szCs w:val="25"/>
        </w:rPr>
      </w:pPr>
    </w:p>
    <w:p>
      <w:pPr>
        <w:pStyle w:val="Heading3"/>
        <w:spacing w:line="240" w:lineRule="auto"/>
        <w:ind w:right="0"/>
        <w:jc w:val="both"/>
        <w:rPr>
          <w:b w:val="0"/>
          <w:bCs w:val="0"/>
        </w:rPr>
      </w:pPr>
      <w:bookmarkStart w:name="（3）融资租入固定资产的认定依据、计价和折旧方法" w:id="190"/>
      <w:bookmarkEnd w:id="190"/>
      <w:r>
        <w:rPr>
          <w:b w:val="0"/>
          <w:bCs w:val="0"/>
        </w:rPr>
      </w:r>
      <w:r>
        <w:rPr/>
        <w:t>（</w:t>
      </w:r>
      <w:r>
        <w:rPr>
          <w:rFonts w:ascii="Times New Roman" w:hAnsi="Times New Roman" w:cs="Times New Roman" w:eastAsia="Times New Roman" w:hint="default"/>
        </w:rPr>
        <w:t>3</w:t>
      </w:r>
      <w:r>
        <w:rPr/>
        <w:t>）融资租入固定资产的认定依据、计价和折旧方法</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right="1130"/>
        <w:jc w:val="both"/>
      </w:pPr>
      <w:r>
        <w:rPr>
          <w:spacing w:val="-2"/>
        </w:rPr>
        <w:t>融资租赁为实质上转移了与资产所有权有关的全部风险和报酬的租赁，其所有权最终可能转移，也可能不转移。以融资租赁</w:t>
      </w:r>
      <w:r>
        <w:rPr>
          <w:spacing w:val="-66"/>
        </w:rPr>
        <w:t> </w:t>
      </w:r>
      <w:r>
        <w:rPr>
          <w:spacing w:val="-66"/>
        </w:rPr>
      </w:r>
      <w:r>
        <w:rPr>
          <w:spacing w:val="-2"/>
        </w:rPr>
        <w:t>方式租入的固定资产采用与自有固定资产一致的政策计提租赁资产折旧。能够合理确定租赁期届满时取得租赁资产所有权的</w:t>
      </w:r>
      <w:r>
        <w:rPr>
          <w:spacing w:val="-63"/>
        </w:rPr>
        <w:t> </w:t>
      </w:r>
      <w:r>
        <w:rPr>
          <w:spacing w:val="-63"/>
        </w:rPr>
      </w:r>
      <w:r>
        <w:rPr>
          <w:spacing w:val="-2"/>
        </w:rPr>
        <w:t>在租赁资产使用寿命内计提折旧，无法合理确定租赁期届满能够取得租赁资产所有权的，在租赁期与租赁资产使用寿命两者</w:t>
      </w:r>
      <w:r>
        <w:rPr>
          <w:spacing w:val="-64"/>
        </w:rPr>
        <w:t> </w:t>
      </w:r>
      <w:r>
        <w:rPr>
          <w:spacing w:val="-64"/>
        </w:rPr>
      </w:r>
      <w:r>
        <w:rPr/>
        <w:t>中较短的期间内计提折旧。</w:t>
      </w:r>
    </w:p>
    <w:p>
      <w:pPr>
        <w:spacing w:line="240" w:lineRule="auto" w:before="3"/>
        <w:rPr>
          <w:rFonts w:ascii="宋体" w:hAnsi="宋体" w:cs="宋体" w:eastAsia="宋体" w:hint="default"/>
          <w:sz w:val="22"/>
          <w:szCs w:val="22"/>
        </w:rPr>
      </w:pPr>
    </w:p>
    <w:p>
      <w:pPr>
        <w:pStyle w:val="Heading3"/>
        <w:spacing w:line="240" w:lineRule="auto"/>
        <w:ind w:right="0"/>
        <w:jc w:val="both"/>
        <w:rPr>
          <w:b w:val="0"/>
          <w:bCs w:val="0"/>
        </w:rPr>
      </w:pPr>
      <w:bookmarkStart w:name="（4） 其他说明" w:id="191"/>
      <w:bookmarkEnd w:id="191"/>
      <w:r>
        <w:rPr>
          <w:b w:val="0"/>
          <w:bCs w:val="0"/>
        </w:rPr>
      </w:r>
      <w:r>
        <w:rPr/>
        <w:t>（</w:t>
      </w:r>
      <w:r>
        <w:rPr>
          <w:rFonts w:ascii="Times New Roman" w:hAnsi="Times New Roman" w:cs="Times New Roman" w:eastAsia="Times New Roman" w:hint="default"/>
        </w:rPr>
        <w:t>4</w:t>
      </w:r>
      <w:r>
        <w:rPr/>
        <w:t>）</w:t>
      </w:r>
      <w:r>
        <w:rPr>
          <w:spacing w:val="-2"/>
        </w:rPr>
        <w:t> </w:t>
      </w:r>
      <w:r>
        <w:rPr/>
        <w:t>其他说明</w:t>
      </w:r>
      <w:r>
        <w:rPr>
          <w:b w:val="0"/>
          <w:bCs w:val="0"/>
        </w:rPr>
      </w:r>
    </w:p>
    <w:p>
      <w:pPr>
        <w:spacing w:line="240" w:lineRule="auto" w:before="8"/>
        <w:rPr>
          <w:rFonts w:ascii="宋体" w:hAnsi="宋体" w:cs="宋体" w:eastAsia="宋体" w:hint="default"/>
          <w:b/>
          <w:bCs/>
          <w:sz w:val="26"/>
          <w:szCs w:val="26"/>
        </w:rPr>
      </w:pPr>
    </w:p>
    <w:p>
      <w:pPr>
        <w:pStyle w:val="BodyText"/>
        <w:spacing w:line="316" w:lineRule="auto"/>
        <w:ind w:right="0" w:firstLine="464"/>
        <w:jc w:val="left"/>
      </w:pPr>
      <w:r>
        <w:rPr>
          <w:spacing w:val="-1"/>
        </w:rPr>
        <w:t>与固定资产有关的后续支出，如果与该固定资产有关的经济利益很可能流入且其成本能可靠地计量，则计入固定资产</w:t>
      </w:r>
      <w:r>
        <w:rPr/>
        <w:t> 成本，并终止确认被替换部分的账面价值。除此以外的其他后续支出，在发生时计入当期损益。</w:t>
      </w:r>
    </w:p>
    <w:p>
      <w:pPr>
        <w:pStyle w:val="BodyText"/>
        <w:spacing w:line="316" w:lineRule="auto" w:before="19"/>
        <w:ind w:right="1108" w:firstLine="464"/>
        <w:jc w:val="left"/>
      </w:pPr>
      <w:r>
        <w:rPr/>
        <w:t>当固定资产处于处置状态或预期通过使用或处置不能产生经济利益时，终止确认该固定资产。固定资产出售、转让、 报废或毁损的处置收入扣除其账面价值和相关税费后的差额计入当期损益。</w:t>
      </w:r>
    </w:p>
    <w:p>
      <w:pPr>
        <w:pStyle w:val="BodyText"/>
        <w:spacing w:line="240" w:lineRule="auto" w:before="19"/>
        <w:ind w:left="618" w:right="0"/>
        <w:jc w:val="left"/>
      </w:pPr>
      <w:r>
        <w:rPr/>
        <w:t>本公司至少于年度终了对固定资产的使用寿命、预计净残值和折旧方法进行复核，如发生改变则作为会计估计变更处</w:t>
      </w:r>
    </w:p>
    <w:p>
      <w:pPr>
        <w:pStyle w:val="BodyText"/>
        <w:spacing w:line="240" w:lineRule="auto" w:before="76"/>
        <w:ind w:right="0"/>
        <w:jc w:val="left"/>
      </w:pPr>
      <w:r>
        <w:rPr/>
        <w:t>理。</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bookmarkStart w:name="16、在建工程" w:id="192"/>
      <w:bookmarkEnd w:id="192"/>
      <w:r>
        <w:rPr>
          <w:b w:val="0"/>
          <w:bCs w:val="0"/>
        </w:rPr>
      </w:r>
      <w:r>
        <w:rPr>
          <w:rFonts w:ascii="Times New Roman" w:hAnsi="Times New Roman" w:cs="Times New Roman" w:eastAsia="Times New Roman" w:hint="default"/>
        </w:rPr>
        <w:t>16</w:t>
      </w:r>
      <w:r>
        <w:rPr/>
        <w:t>、在建工程</w:t>
      </w:r>
      <w:r>
        <w:rPr>
          <w:b w:val="0"/>
          <w:bCs w:val="0"/>
        </w:rPr>
      </w:r>
    </w:p>
    <w:p>
      <w:pPr>
        <w:spacing w:line="240" w:lineRule="auto" w:before="8"/>
        <w:rPr>
          <w:rFonts w:ascii="宋体" w:hAnsi="宋体" w:cs="宋体" w:eastAsia="宋体" w:hint="default"/>
          <w:b/>
          <w:bCs/>
          <w:sz w:val="26"/>
          <w:szCs w:val="26"/>
        </w:rPr>
      </w:pPr>
    </w:p>
    <w:p>
      <w:pPr>
        <w:pStyle w:val="BodyText"/>
        <w:spacing w:line="357" w:lineRule="auto"/>
        <w:ind w:right="7692"/>
        <w:jc w:val="left"/>
      </w:pPr>
      <w:r>
        <w:rPr/>
        <w:t>公司是否需要遵守特殊行业的披露要求 否</w:t>
      </w:r>
    </w:p>
    <w:p>
      <w:pPr>
        <w:pStyle w:val="BodyText"/>
        <w:spacing w:line="316" w:lineRule="auto" w:before="27"/>
        <w:ind w:right="0" w:firstLine="464"/>
        <w:jc w:val="left"/>
      </w:pPr>
      <w:r>
        <w:rPr>
          <w:spacing w:val="-1"/>
        </w:rPr>
        <w:t>在建工程成本按实际工程支出确定，包括在建期间发生的各项工程支出、工程达到预定可使用状态前的资本化的借款</w:t>
      </w:r>
      <w:r>
        <w:rPr/>
        <w:t> 费用以及其他相关费用等。在建工程在达到预定可使用状态后结转为固定资产。</w:t>
      </w:r>
    </w:p>
    <w:p>
      <w:pPr>
        <w:pStyle w:val="BodyText"/>
        <w:spacing w:line="240" w:lineRule="auto" w:before="19"/>
        <w:ind w:left="618" w:right="0"/>
        <w:jc w:val="left"/>
      </w:pPr>
      <w:r>
        <w:rPr/>
        <w:t>在建工程的减值测试方法和减值准备计提方法详见附注五、</w:t>
      </w:r>
      <w:r>
        <w:rPr>
          <w:rFonts w:ascii="宋体" w:hAnsi="宋体" w:cs="宋体" w:eastAsia="宋体" w:hint="default"/>
        </w:rPr>
        <w:t>19</w:t>
      </w:r>
      <w:r>
        <w:rPr/>
        <w:t>“长期资产减值”。</w:t>
      </w:r>
    </w:p>
    <w:p>
      <w:pPr>
        <w:spacing w:after="0" w:line="240" w:lineRule="auto"/>
        <w:jc w:val="left"/>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right="0"/>
        <w:jc w:val="left"/>
        <w:rPr>
          <w:b w:val="0"/>
          <w:bCs w:val="0"/>
        </w:rPr>
      </w:pPr>
      <w:bookmarkStart w:name="17、借款费用" w:id="193"/>
      <w:bookmarkEnd w:id="193"/>
      <w:r>
        <w:rPr>
          <w:b w:val="0"/>
          <w:bCs w:val="0"/>
        </w:rPr>
      </w:r>
      <w:r>
        <w:rPr>
          <w:rFonts w:ascii="Times New Roman" w:hAnsi="Times New Roman" w:cs="Times New Roman" w:eastAsia="Times New Roman" w:hint="default"/>
        </w:rPr>
        <w:t>17</w:t>
      </w:r>
      <w:r>
        <w:rPr/>
        <w:t>、借款费用</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right="1132" w:firstLine="464"/>
        <w:jc w:val="both"/>
      </w:pPr>
      <w:r>
        <w:rPr>
          <w:spacing w:val="-1"/>
        </w:rPr>
        <w:t>借款费用包括借款利息、折价或溢价的摊销、辅助费用以及因外币借款而发生的汇兑差额等。可直接归属于符合资本</w:t>
      </w:r>
      <w:r>
        <w:rPr/>
        <w:t> </w:t>
      </w:r>
      <w:r>
        <w:rPr>
          <w:spacing w:val="-2"/>
        </w:rPr>
        <w:t>化条件的资产的购建或者生产的借款费用，在资产支出已经发生、借款费用已经发生、为使资产达到预定可使用或可销售状</w:t>
      </w:r>
      <w:r>
        <w:rPr>
          <w:spacing w:val="-66"/>
        </w:rPr>
        <w:t> </w:t>
      </w:r>
      <w:r>
        <w:rPr>
          <w:spacing w:val="-66"/>
        </w:rPr>
      </w:r>
      <w:r>
        <w:rPr>
          <w:spacing w:val="-2"/>
        </w:rPr>
        <w:t>态所必要的购建或生产活动已经开始时，开始资本化；构建或者生产的符合资本化条件的资产达到预定可使用状态或者可销</w:t>
      </w:r>
      <w:r>
        <w:rPr>
          <w:spacing w:val="-64"/>
        </w:rPr>
        <w:t> </w:t>
      </w:r>
      <w:r>
        <w:rPr>
          <w:spacing w:val="-64"/>
        </w:rPr>
      </w:r>
      <w:r>
        <w:rPr/>
        <w:t>售状态时，停止资本化。其余借款费用在发生当期确认为费用。</w:t>
      </w:r>
    </w:p>
    <w:p>
      <w:pPr>
        <w:pStyle w:val="BodyText"/>
        <w:spacing w:line="316" w:lineRule="auto" w:before="17"/>
        <w:ind w:right="1130" w:firstLine="464"/>
        <w:jc w:val="both"/>
      </w:pPr>
      <w:r>
        <w:rPr>
          <w:spacing w:val="-1"/>
        </w:rPr>
        <w:t>专门借款当期实际发生的利息费用，减去尚未动用的借款资金存入银行取得的利息收入或进行暂时性投资取得的投资</w:t>
      </w:r>
      <w:r>
        <w:rPr/>
        <w:t> </w:t>
      </w:r>
      <w:r>
        <w:rPr>
          <w:spacing w:val="-2"/>
        </w:rPr>
        <w:t>收益后的金额予以资本化；一般借款根据累计资产支出超过专门借款部分的资产支出加权平均数乘以所占用一般借款的资本</w:t>
      </w:r>
      <w:r>
        <w:rPr>
          <w:spacing w:val="-63"/>
        </w:rPr>
        <w:t> </w:t>
      </w:r>
      <w:r>
        <w:rPr>
          <w:spacing w:val="-63"/>
        </w:rPr>
      </w:r>
      <w:r>
        <w:rPr/>
        <w:t>化率，确定资本化金额。资本化率根据一般借款的加权平均利率计算确定。</w:t>
      </w:r>
    </w:p>
    <w:p>
      <w:pPr>
        <w:pStyle w:val="BodyText"/>
        <w:spacing w:line="316" w:lineRule="auto" w:before="19"/>
        <w:ind w:left="618" w:right="0"/>
        <w:jc w:val="left"/>
      </w:pPr>
      <w:r>
        <w:rPr/>
        <w:t>资本化期间内，外币专门借款的汇兑差额全部予以资本化；外币一般借款的汇兑差额计入当期损益。 </w:t>
      </w:r>
      <w:r>
        <w:rPr>
          <w:spacing w:val="-1"/>
        </w:rPr>
        <w:t>符合资本化条件的资产指需要经过相当长时间的购建或者生产活动才能达到预定可使用或可销售状态的固定资产、投</w:t>
      </w:r>
    </w:p>
    <w:p>
      <w:pPr>
        <w:pStyle w:val="BodyText"/>
        <w:spacing w:line="316" w:lineRule="auto" w:before="19"/>
        <w:ind w:left="618" w:right="0" w:hanging="465"/>
        <w:jc w:val="left"/>
      </w:pPr>
      <w:r>
        <w:rPr/>
        <w:t>资性房地产和存货等资产。 如果符合资本化条件的资产在购建或生产过程中发生非正常中断、并且中断时间连续超过</w:t>
      </w:r>
      <w:r>
        <w:rPr>
          <w:rFonts w:ascii="宋体" w:hAnsi="宋体" w:cs="宋体" w:eastAsia="宋体" w:hint="default"/>
        </w:rPr>
        <w:t>3</w:t>
      </w:r>
      <w:r>
        <w:rPr/>
        <w:t>个月的，暂停借款费用的</w:t>
      </w:r>
    </w:p>
    <w:p>
      <w:pPr>
        <w:pStyle w:val="BodyText"/>
        <w:spacing w:line="240" w:lineRule="auto" w:before="19"/>
        <w:ind w:right="0"/>
        <w:jc w:val="left"/>
      </w:pPr>
      <w:r>
        <w:rPr/>
        <w:t>资本化，直至资产的购建或生产活动重新开始。</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bookmarkStart w:name="18、无形资产" w:id="194"/>
      <w:bookmarkEnd w:id="194"/>
      <w:r>
        <w:rPr>
          <w:b w:val="0"/>
          <w:bCs w:val="0"/>
        </w:rPr>
      </w:r>
      <w:r>
        <w:rPr>
          <w:rFonts w:ascii="Times New Roman" w:hAnsi="Times New Roman" w:cs="Times New Roman" w:eastAsia="Times New Roman" w:hint="default"/>
        </w:rPr>
        <w:t>18</w:t>
      </w:r>
      <w:r>
        <w:rPr/>
        <w:t>、无形资产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计价方法、使用寿命、减值测试" w:id="195"/>
      <w:bookmarkEnd w:id="195"/>
      <w:r>
        <w:rPr>
          <w:b w:val="0"/>
          <w:bCs w:val="0"/>
        </w:rPr>
      </w:r>
      <w:r>
        <w:rPr/>
        <w:t>（</w:t>
      </w:r>
      <w:r>
        <w:rPr>
          <w:rFonts w:ascii="Times New Roman" w:hAnsi="Times New Roman" w:cs="Times New Roman" w:eastAsia="Times New Roman" w:hint="default"/>
        </w:rPr>
        <w:t>1</w:t>
      </w:r>
      <w:r>
        <w:rPr/>
        <w:t>）计价方法、使用寿命、减值测试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618" w:right="0"/>
        <w:jc w:val="left"/>
      </w:pPr>
      <w:r>
        <w:rPr/>
        <w:t>无形资产是指本公司拥有或者控制的没有实物形态的可辨认非货币性资产。 </w:t>
      </w:r>
      <w:r>
        <w:rPr>
          <w:spacing w:val="-1"/>
        </w:rPr>
        <w:t>无形资产按成本进行初始计量。与无形资产有关的支出，如果相关的经济利益很可能流入本公司且其成本能可靠地计</w:t>
      </w:r>
    </w:p>
    <w:p>
      <w:pPr>
        <w:pStyle w:val="BodyText"/>
        <w:spacing w:line="319" w:lineRule="auto" w:before="19"/>
        <w:ind w:left="618" w:right="0" w:hanging="465"/>
        <w:jc w:val="left"/>
      </w:pPr>
      <w:r>
        <w:rPr/>
        <w:t>量，则计入无形资产成本。除此以外的其他项目的支出，在发生时计入当期损益。 </w:t>
      </w:r>
      <w:r>
        <w:rPr>
          <w:spacing w:val="-1"/>
        </w:rPr>
        <w:t>取得的土地使用权通常作为无形资产核算。自行开发建造厂房等建筑物，相关的土地使用权支出和建筑物建造成本则</w:t>
      </w:r>
    </w:p>
    <w:p>
      <w:pPr>
        <w:pStyle w:val="BodyText"/>
        <w:spacing w:line="316" w:lineRule="auto" w:before="17"/>
        <w:ind w:right="0"/>
        <w:jc w:val="left"/>
      </w:pPr>
      <w:r>
        <w:rPr>
          <w:spacing w:val="-2"/>
        </w:rPr>
        <w:t>分别作为无形资产和固定资产核算。如为外购的房屋及建筑物，则将有关价款在土地使用权和建筑物之间进行分配，难以合</w:t>
      </w:r>
      <w:r>
        <w:rPr>
          <w:spacing w:val="-66"/>
        </w:rPr>
        <w:t> </w:t>
      </w:r>
      <w:r>
        <w:rPr>
          <w:spacing w:val="-66"/>
        </w:rPr>
      </w:r>
      <w:r>
        <w:rPr/>
        <w:t>理分配的，全部作为固定资产处理。</w:t>
      </w:r>
    </w:p>
    <w:p>
      <w:pPr>
        <w:pStyle w:val="BodyText"/>
        <w:spacing w:line="316" w:lineRule="auto" w:before="19"/>
        <w:ind w:right="1131" w:firstLine="464"/>
        <w:jc w:val="both"/>
      </w:pPr>
      <w:r>
        <w:rPr>
          <w:spacing w:val="-1"/>
        </w:rPr>
        <w:t>使用寿命有限的无形资产自可供使用时起，对其原值减去预计净残值和已计提的减值准备累计金额在其预计使用寿命</w:t>
      </w:r>
      <w:r>
        <w:rPr/>
        <w:t> 内采用直线法分期平均摊销。使用寿命不确定的无形资产不予摊销。</w:t>
      </w:r>
    </w:p>
    <w:p>
      <w:pPr>
        <w:pStyle w:val="BodyText"/>
        <w:spacing w:line="316" w:lineRule="auto" w:before="19"/>
        <w:ind w:right="1041" w:firstLine="840"/>
        <w:jc w:val="both"/>
      </w:pPr>
      <w:r>
        <w:rPr>
          <w:spacing w:val="-3"/>
        </w:rPr>
        <w:t>期末，对使用寿命有限的无形资产的使用寿命和摊销方法进行复核，如发生变更则作为会计估计变更处理。此外，</w:t>
      </w:r>
      <w:r>
        <w:rPr/>
        <w:t> 还对使用寿命不确定的无形资产的使用寿命进行复核，如果有证据表明该无形资产为企业带来经济利益的期限是可预见的， 则估计其使用寿命并按照使用寿命有限的无形资产的摊销政策进行摊销。</w:t>
      </w:r>
    </w:p>
    <w:p>
      <w:pPr>
        <w:pStyle w:val="BodyText"/>
        <w:spacing w:line="240" w:lineRule="auto" w:before="19"/>
        <w:ind w:left="618" w:right="0"/>
        <w:jc w:val="left"/>
      </w:pPr>
      <w:r>
        <w:rPr/>
        <w:t>无形资产的减值测试方法和减值准备计提方法详见附注五、</w:t>
      </w:r>
      <w:r>
        <w:rPr>
          <w:rFonts w:ascii="宋体" w:hAnsi="宋体" w:cs="宋体" w:eastAsia="宋体" w:hint="default"/>
        </w:rPr>
        <w:t>19</w:t>
      </w:r>
      <w:r>
        <w:rPr/>
        <w:t>“长期资产减值”。</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bookmarkStart w:name="（2）内部研究开发支出会计政策" w:id="196"/>
      <w:bookmarkEnd w:id="196"/>
      <w:r>
        <w:rPr>
          <w:b w:val="0"/>
          <w:bCs w:val="0"/>
        </w:rPr>
      </w:r>
      <w:r>
        <w:rPr/>
        <w:t>（</w:t>
      </w:r>
      <w:r>
        <w:rPr>
          <w:rFonts w:ascii="Times New Roman" w:hAnsi="Times New Roman" w:cs="Times New Roman" w:eastAsia="Times New Roman" w:hint="default"/>
        </w:rPr>
        <w:t>2</w:t>
      </w:r>
      <w:r>
        <w:rPr/>
        <w:t>）内部研究开发支出会计政策</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618" w:right="1648"/>
        <w:jc w:val="left"/>
      </w:pPr>
      <w:r>
        <w:rPr/>
        <w:t>本公司内部研究开发项目的支出分为研究阶段支出与开发阶段支出。 研究阶段的支出，于发生时计入当期损益。 开发阶段的支出同时满足下列条件的，确认为无形资产，不能满足下述条件的开发阶段的支出计入当期损益：</w:t>
      </w:r>
    </w:p>
    <w:p>
      <w:pPr>
        <w:pStyle w:val="BodyText"/>
        <w:spacing w:line="240" w:lineRule="auto" w:before="19"/>
        <w:ind w:left="618" w:right="0"/>
        <w:jc w:val="left"/>
      </w:pPr>
      <w:r>
        <w:rPr/>
        <w:t>①完成该无形资产以使其能够使用或出售在技术上具有可行性；</w:t>
      </w:r>
    </w:p>
    <w:p>
      <w:pPr>
        <w:pStyle w:val="BodyText"/>
        <w:spacing w:line="240" w:lineRule="auto" w:before="76"/>
        <w:ind w:left="618" w:right="0"/>
        <w:jc w:val="left"/>
      </w:pPr>
      <w:r>
        <w:rPr/>
        <w:t>②具有完成该无形资产并使用或出售的意图；</w:t>
      </w:r>
    </w:p>
    <w:p>
      <w:pPr>
        <w:pStyle w:val="BodyText"/>
        <w:spacing w:line="319" w:lineRule="auto" w:before="76"/>
        <w:ind w:right="1131" w:firstLine="464"/>
        <w:jc w:val="both"/>
      </w:pPr>
      <w:r>
        <w:rPr>
          <w:spacing w:val="-1"/>
        </w:rPr>
        <w:t>③无形资产产生经济利益的方式，包括能够证明运用该无形资产生产的产品存在市场或无形资产自身存在市场，无形</w:t>
      </w:r>
      <w:r>
        <w:rPr/>
        <w:t> 资产将在内部使用的，能够证明其有用性；</w:t>
      </w:r>
    </w:p>
    <w:p>
      <w:pPr>
        <w:pStyle w:val="BodyText"/>
        <w:spacing w:line="240" w:lineRule="auto" w:before="17"/>
        <w:ind w:left="618" w:right="0"/>
        <w:jc w:val="left"/>
      </w:pPr>
      <w:r>
        <w:rPr/>
        <w:t>④有足够的技术、财务资源和其他资源支持，以完成该无形资产的开发，并有能力使用或出售该无形资产；</w:t>
      </w:r>
    </w:p>
    <w:p>
      <w:pPr>
        <w:pStyle w:val="BodyText"/>
        <w:spacing w:line="316" w:lineRule="auto" w:before="76"/>
        <w:ind w:left="618" w:right="3808"/>
        <w:jc w:val="left"/>
      </w:pPr>
      <w:r>
        <w:rPr/>
        <w:t>⑤归属于该无形资产开发阶段的支出能够可靠地计量。 无法区分研究阶段支出和开发阶段支出的，将发生的研发支出全部计入当期损益。</w:t>
      </w:r>
    </w:p>
    <w:p>
      <w:pPr>
        <w:spacing w:after="0" w:line="316" w:lineRule="auto"/>
        <w:jc w:val="left"/>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right="0"/>
        <w:jc w:val="left"/>
        <w:rPr>
          <w:b w:val="0"/>
          <w:bCs w:val="0"/>
        </w:rPr>
      </w:pPr>
      <w:bookmarkStart w:name="19、长期资产减值" w:id="197"/>
      <w:bookmarkEnd w:id="197"/>
      <w:r>
        <w:rPr>
          <w:b w:val="0"/>
          <w:bCs w:val="0"/>
        </w:rPr>
      </w:r>
      <w:r>
        <w:rPr>
          <w:rFonts w:ascii="Times New Roman" w:hAnsi="Times New Roman" w:cs="Times New Roman" w:eastAsia="Times New Roman" w:hint="default"/>
        </w:rPr>
        <w:t>19</w:t>
      </w:r>
      <w:r>
        <w:rPr/>
        <w:t>、长期资产减值</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right="1032" w:firstLine="464"/>
        <w:jc w:val="left"/>
      </w:pPr>
      <w:r>
        <w:rPr/>
        <w:t>对于固定资产、在建工程、使用寿命有限的无形资产、以成本模式计量的投资性房地产及对子公司、合营企业、联营 </w:t>
      </w:r>
      <w:r>
        <w:rPr>
          <w:spacing w:val="-2"/>
        </w:rPr>
        <w:t>企业的长期股权投资等非流动非金融资产，本公司于资产负债表日判断是否存在减值迹象。如存在减值迹象的，则估计其可</w:t>
      </w:r>
      <w:r>
        <w:rPr>
          <w:spacing w:val="-66"/>
        </w:rPr>
        <w:t> </w:t>
      </w:r>
      <w:r>
        <w:rPr>
          <w:spacing w:val="-66"/>
        </w:rPr>
      </w:r>
      <w:r>
        <w:rPr/>
        <w:t>收回金额，进行减值测试。商誉、使用寿命不确定的无形资产和尚未达到可使用状态的无形资产，无论是否存在减值迹象， 每年均进行减值测试。</w:t>
      </w:r>
    </w:p>
    <w:p>
      <w:pPr>
        <w:pStyle w:val="BodyText"/>
        <w:spacing w:line="316" w:lineRule="auto" w:before="17"/>
        <w:ind w:right="1131" w:firstLine="464"/>
        <w:jc w:val="both"/>
      </w:pPr>
      <w:r>
        <w:rPr>
          <w:spacing w:val="-1"/>
        </w:rPr>
        <w:t>减值测试结果表明资产的可收回金额低于其账面价值的，按其差额计提减值准备并计入减值损失。可收回金额为资产</w:t>
      </w:r>
      <w:r>
        <w:rPr/>
        <w:t> </w:t>
      </w:r>
      <w:r>
        <w:rPr>
          <w:spacing w:val="-2"/>
        </w:rPr>
        <w:t>的公允价值减去处置费用后的净额与资产预计未来现金流量的现值两者之间的较高者。资产的公允价值根据公平交易中销售</w:t>
      </w:r>
      <w:r>
        <w:rPr>
          <w:spacing w:val="-64"/>
        </w:rPr>
        <w:t> </w:t>
      </w:r>
      <w:r>
        <w:rPr>
          <w:spacing w:val="-64"/>
        </w:rPr>
      </w:r>
      <w:r>
        <w:rPr>
          <w:spacing w:val="-2"/>
        </w:rPr>
        <w:t>协议价格确定；不存在销售协议但存在资产活跃市场的，公允价值按照该资产的买方出价确定；不存在销售协议和资产活跃</w:t>
      </w:r>
      <w:r>
        <w:rPr>
          <w:spacing w:val="-66"/>
        </w:rPr>
        <w:t> </w:t>
      </w:r>
      <w:r>
        <w:rPr>
          <w:spacing w:val="-66"/>
        </w:rPr>
      </w:r>
      <w:r>
        <w:rPr>
          <w:spacing w:val="-2"/>
        </w:rPr>
        <w:t>市场的，则以可获取的最佳信息为基础估计资产的公允价值。处置费用包括与资产处置有关的法律费用、相关税费、搬运费</w:t>
      </w:r>
      <w:r>
        <w:rPr>
          <w:spacing w:val="-66"/>
        </w:rPr>
        <w:t> </w:t>
      </w:r>
      <w:r>
        <w:rPr>
          <w:spacing w:val="-66"/>
        </w:rPr>
      </w:r>
      <w:r>
        <w:rPr>
          <w:spacing w:val="-2"/>
        </w:rPr>
        <w:t>以及为使资产达到可销售状态所发生的直接费用。资产预计未来现金流量的现值，按照资产在持续使用过程中和最终处置时</w:t>
      </w:r>
      <w:r>
        <w:rPr>
          <w:spacing w:val="-64"/>
        </w:rPr>
        <w:t> </w:t>
      </w:r>
      <w:r>
        <w:rPr>
          <w:spacing w:val="-64"/>
        </w:rPr>
      </w:r>
      <w:r>
        <w:rPr>
          <w:spacing w:val="-2"/>
        </w:rPr>
        <w:t>所产生的预计未来现金流量，选择恰当的折现率对其进行折现后的金额加以确定。资产减值准备按单项资产为基础计算并确</w:t>
      </w:r>
      <w:r>
        <w:rPr>
          <w:spacing w:val="-64"/>
        </w:rPr>
        <w:t> </w:t>
      </w:r>
      <w:r>
        <w:rPr>
          <w:spacing w:val="-64"/>
        </w:rPr>
      </w:r>
      <w:r>
        <w:rPr>
          <w:spacing w:val="-2"/>
        </w:rPr>
        <w:t>认，如果难以对单项资产的可收回金额进行估计的，以该资产所属的资产组确定资产组的可收回金额。资产组是能够独立产</w:t>
      </w:r>
      <w:r>
        <w:rPr>
          <w:spacing w:val="-66"/>
        </w:rPr>
        <w:t> </w:t>
      </w:r>
      <w:r>
        <w:rPr>
          <w:spacing w:val="-66"/>
        </w:rPr>
      </w:r>
      <w:r>
        <w:rPr/>
        <w:t>生现金流入的最小资产组合。</w:t>
      </w:r>
    </w:p>
    <w:p>
      <w:pPr>
        <w:pStyle w:val="BodyText"/>
        <w:spacing w:line="316" w:lineRule="auto" w:before="19"/>
        <w:ind w:right="1131" w:firstLine="464"/>
        <w:jc w:val="both"/>
      </w:pPr>
      <w:r>
        <w:rPr>
          <w:spacing w:val="-1"/>
        </w:rPr>
        <w:t>在财务报表中单独列示的商誉，在进行减值测试时，将商誉的账面价值分摊至预期从企业合并的协同效应中受益的资</w:t>
      </w:r>
      <w:r>
        <w:rPr/>
        <w:t> </w:t>
      </w:r>
      <w:r>
        <w:rPr>
          <w:spacing w:val="-2"/>
        </w:rPr>
        <w:t>产组或资产组组合。测试结果表明包含分摊的商誉的资产组或资产组组合的可收回金额低于其账面价值的，确认相应的减值</w:t>
      </w:r>
      <w:r>
        <w:rPr>
          <w:spacing w:val="-64"/>
        </w:rPr>
        <w:t> </w:t>
      </w:r>
      <w:r>
        <w:rPr>
          <w:spacing w:val="-64"/>
        </w:rPr>
      </w:r>
      <w:r>
        <w:rPr>
          <w:spacing w:val="-2"/>
        </w:rPr>
        <w:t>损失。减值损失金额先抵减分摊至该资产组或资产组组合的商誉的账面价值，再根据资产组或资产组组合中除商誉以外的其</w:t>
      </w:r>
      <w:r>
        <w:rPr>
          <w:spacing w:val="-64"/>
        </w:rPr>
        <w:t> </w:t>
      </w:r>
      <w:r>
        <w:rPr>
          <w:spacing w:val="-64"/>
        </w:rPr>
      </w:r>
      <w:r>
        <w:rPr/>
        <w:t>他各项资产的账面价值所占比重，按比例抵减其他各项资产的账面价值。</w:t>
      </w:r>
    </w:p>
    <w:p>
      <w:pPr>
        <w:pStyle w:val="BodyText"/>
        <w:spacing w:line="240" w:lineRule="auto" w:before="19"/>
        <w:ind w:left="618" w:right="0"/>
        <w:jc w:val="left"/>
      </w:pPr>
      <w:r>
        <w:rPr/>
        <w:t>上述资产减值损失一经确认，以后期间不予转回价值得以恢复的部分。</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bookmarkStart w:name="20、长期待摊费用" w:id="198"/>
      <w:bookmarkEnd w:id="198"/>
      <w:r>
        <w:rPr>
          <w:b w:val="0"/>
          <w:bCs w:val="0"/>
        </w:rPr>
      </w:r>
      <w:r>
        <w:rPr>
          <w:rFonts w:ascii="Times New Roman" w:hAnsi="Times New Roman" w:cs="Times New Roman" w:eastAsia="Times New Roman" w:hint="default"/>
        </w:rPr>
        <w:t>20</w:t>
      </w:r>
      <w:r>
        <w:rPr/>
        <w:t>、长期待摊费用</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131" w:firstLine="464"/>
        <w:jc w:val="both"/>
      </w:pPr>
      <w:r>
        <w:rPr>
          <w:spacing w:val="-1"/>
        </w:rPr>
        <w:t>长期待摊费用为已经发生但应由报告期和以后各期负担的分摊期限在一年以上的各项费用。本公司的长期待摊费用主</w:t>
      </w:r>
      <w:r>
        <w:rPr/>
        <w:t> 要包括搬迁费用、设备改造安装、装修费等。长期待摊费用在预计受益期间按直线法摊销。</w:t>
      </w:r>
    </w:p>
    <w:p>
      <w:pPr>
        <w:spacing w:line="240" w:lineRule="auto" w:before="7"/>
        <w:rPr>
          <w:rFonts w:ascii="宋体" w:hAnsi="宋体" w:cs="宋体" w:eastAsia="宋体" w:hint="default"/>
          <w:sz w:val="22"/>
          <w:szCs w:val="22"/>
        </w:rPr>
      </w:pPr>
    </w:p>
    <w:p>
      <w:pPr>
        <w:pStyle w:val="Heading3"/>
        <w:spacing w:line="240" w:lineRule="auto"/>
        <w:ind w:right="0"/>
        <w:jc w:val="left"/>
        <w:rPr>
          <w:b w:val="0"/>
          <w:bCs w:val="0"/>
        </w:rPr>
      </w:pPr>
      <w:bookmarkStart w:name="21、职工薪酬" w:id="199"/>
      <w:bookmarkEnd w:id="199"/>
      <w:r>
        <w:rPr>
          <w:b w:val="0"/>
          <w:bCs w:val="0"/>
        </w:rPr>
      </w:r>
      <w:r>
        <w:rPr>
          <w:rFonts w:ascii="Times New Roman" w:hAnsi="Times New Roman" w:cs="Times New Roman" w:eastAsia="Times New Roman" w:hint="default"/>
        </w:rPr>
        <w:t>21</w:t>
      </w:r>
      <w:r>
        <w:rPr/>
        <w:t>、职工薪酬</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短期薪酬的会计处理方法" w:id="200"/>
      <w:bookmarkEnd w:id="200"/>
      <w:r>
        <w:rPr>
          <w:b w:val="0"/>
          <w:bCs w:val="0"/>
        </w:rPr>
      </w:r>
      <w:r>
        <w:rPr/>
        <w:t>（</w:t>
      </w:r>
      <w:r>
        <w:rPr>
          <w:rFonts w:ascii="Times New Roman" w:hAnsi="Times New Roman" w:cs="Times New Roman" w:eastAsia="Times New Roman" w:hint="default"/>
        </w:rPr>
        <w:t>1</w:t>
      </w:r>
      <w:r>
        <w:rPr/>
        <w:t>）短期薪酬的会计处理方法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0" w:firstLine="360"/>
        <w:jc w:val="left"/>
      </w:pPr>
      <w:r>
        <w:rPr>
          <w:spacing w:val="-2"/>
        </w:rPr>
        <w:t>短期薪酬主要包括工资、奖金、津贴和补贴、职工福利费、医疗保险费、生育保险费、工伤保险费、住房公积金、工会</w:t>
      </w:r>
      <w:r>
        <w:rPr/>
        <w:t> </w:t>
      </w:r>
      <w:r>
        <w:rPr>
          <w:spacing w:val="-4"/>
        </w:rPr>
        <w:t>经费和职工教育经费、非货币性福利等。本公司在职工为本公司提供服务的会计期间将实际发生的短期职工薪酬确认为负债，</w:t>
      </w:r>
      <w:r>
        <w:rPr>
          <w:spacing w:val="-44"/>
        </w:rPr>
        <w:t> </w:t>
      </w:r>
      <w:r>
        <w:rPr>
          <w:spacing w:val="-44"/>
        </w:rPr>
      </w:r>
      <w:r>
        <w:rPr/>
        <w:t>并计入当期损益或相关资产成本。其中非货币性福利按公允价值计量。</w:t>
      </w:r>
    </w:p>
    <w:p>
      <w:pPr>
        <w:spacing w:line="240" w:lineRule="auto" w:before="7"/>
        <w:rPr>
          <w:rFonts w:ascii="宋体" w:hAnsi="宋体" w:cs="宋体" w:eastAsia="宋体" w:hint="default"/>
          <w:sz w:val="22"/>
          <w:szCs w:val="22"/>
        </w:rPr>
      </w:pPr>
    </w:p>
    <w:p>
      <w:pPr>
        <w:pStyle w:val="Heading3"/>
        <w:spacing w:line="240" w:lineRule="auto"/>
        <w:ind w:right="0"/>
        <w:jc w:val="left"/>
        <w:rPr>
          <w:b w:val="0"/>
          <w:bCs w:val="0"/>
        </w:rPr>
      </w:pPr>
      <w:bookmarkStart w:name="（2）离职后福利的会计处理方法" w:id="201"/>
      <w:bookmarkEnd w:id="201"/>
      <w:r>
        <w:rPr>
          <w:b w:val="0"/>
          <w:bCs w:val="0"/>
        </w:rPr>
      </w:r>
      <w:r>
        <w:rPr/>
        <w:t>（</w:t>
      </w:r>
      <w:r>
        <w:rPr>
          <w:rFonts w:ascii="Times New Roman" w:hAnsi="Times New Roman" w:cs="Times New Roman" w:eastAsia="Times New Roman" w:hint="default"/>
        </w:rPr>
        <w:t>2</w:t>
      </w:r>
      <w:r>
        <w:rPr/>
        <w:t>）离职后福利的会计处理方法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0"/>
        <w:jc w:val="left"/>
      </w:pPr>
      <w:r>
        <w:rPr>
          <w:spacing w:val="-2"/>
        </w:rPr>
        <w:t>离职后福利主要包括设定提存计划。设定提存计划主要包括基本养老保险、失业保险等，相应的应缴存金额于发生时计入相</w:t>
      </w:r>
      <w:r>
        <w:rPr>
          <w:spacing w:val="-66"/>
        </w:rPr>
        <w:t> </w:t>
      </w:r>
      <w:r>
        <w:rPr>
          <w:spacing w:val="-66"/>
        </w:rPr>
      </w:r>
      <w:r>
        <w:rPr/>
        <w:t>关资产成本或当期损益。</w:t>
      </w:r>
    </w:p>
    <w:p>
      <w:pPr>
        <w:spacing w:line="240" w:lineRule="auto" w:before="7"/>
        <w:rPr>
          <w:rFonts w:ascii="宋体" w:hAnsi="宋体" w:cs="宋体" w:eastAsia="宋体" w:hint="default"/>
          <w:sz w:val="22"/>
          <w:szCs w:val="22"/>
        </w:rPr>
      </w:pPr>
    </w:p>
    <w:p>
      <w:pPr>
        <w:pStyle w:val="Heading3"/>
        <w:spacing w:line="240" w:lineRule="auto"/>
        <w:ind w:right="0"/>
        <w:jc w:val="left"/>
        <w:rPr>
          <w:b w:val="0"/>
          <w:bCs w:val="0"/>
        </w:rPr>
      </w:pPr>
      <w:bookmarkStart w:name="（3）辞退福利的会计处理方法" w:id="202"/>
      <w:bookmarkEnd w:id="202"/>
      <w:r>
        <w:rPr>
          <w:b w:val="0"/>
          <w:bCs w:val="0"/>
        </w:rPr>
      </w:r>
      <w:r>
        <w:rPr/>
        <w:t>（</w:t>
      </w:r>
      <w:r>
        <w:rPr>
          <w:rFonts w:ascii="Times New Roman" w:hAnsi="Times New Roman" w:cs="Times New Roman" w:eastAsia="Times New Roman" w:hint="default"/>
        </w:rPr>
        <w:t>3</w:t>
      </w:r>
      <w:r>
        <w:rPr/>
        <w:t>）辞退福利的会计处理方法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0" w:firstLine="360"/>
        <w:jc w:val="left"/>
      </w:pPr>
      <w:r>
        <w:rPr>
          <w:spacing w:val="-2"/>
        </w:rPr>
        <w:t>在职工劳动合同到期之前解除与职工的劳动关系，或为鼓励职工自愿接受裁减而提出给予补偿的建议，在本公司不能单</w:t>
      </w:r>
      <w:r>
        <w:rPr/>
        <w:t> </w:t>
      </w:r>
      <w:r>
        <w:rPr>
          <w:spacing w:val="-2"/>
        </w:rPr>
        <w:t>方面撤回因解除劳动关系计划或裁减建议所提供的辞退福利时，和本公司确认与涉及支付辞退福利的重组相关的成本两者孰</w:t>
      </w:r>
      <w:r>
        <w:rPr>
          <w:spacing w:val="-64"/>
        </w:rPr>
        <w:t> </w:t>
      </w:r>
      <w:r>
        <w:rPr>
          <w:spacing w:val="-64"/>
        </w:rPr>
      </w:r>
      <w:r>
        <w:rPr>
          <w:spacing w:val="-4"/>
        </w:rPr>
        <w:t>早日，确认辞退福利产生的职工薪酬负债，并计入当期损益。但辞退福利预期在年度报告期结束后十二个月不能完全支付的，</w:t>
      </w:r>
      <w:r>
        <w:rPr>
          <w:spacing w:val="-44"/>
        </w:rPr>
        <w:t> </w:t>
      </w:r>
      <w:r>
        <w:rPr>
          <w:spacing w:val="-44"/>
        </w:rPr>
      </w:r>
      <w:r>
        <w:rPr/>
        <w:t>按照其他长期职工薪酬处理。</w:t>
      </w:r>
    </w:p>
    <w:p>
      <w:pPr>
        <w:pStyle w:val="BodyText"/>
        <w:spacing w:line="240" w:lineRule="auto" w:before="59"/>
        <w:ind w:right="0"/>
        <w:jc w:val="left"/>
      </w:pPr>
      <w:r>
        <w:rPr/>
        <w:t>职工内部退休计划采用上述辞退福利相同的原则处理</w:t>
      </w:r>
      <w:r>
        <w:rPr>
          <w:spacing w:val="-82"/>
        </w:rPr>
        <w:t>。</w:t>
      </w:r>
      <w:r>
        <w:rPr/>
        <w:t>本公司将自职工停止提供服务日至正常退休日的期间拟支付的内退人</w:t>
      </w:r>
    </w:p>
    <w:p>
      <w:pPr>
        <w:spacing w:after="0" w:line="240" w:lineRule="auto"/>
        <w:jc w:val="left"/>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pStyle w:val="BodyText"/>
        <w:spacing w:line="240" w:lineRule="auto" w:before="44"/>
        <w:ind w:right="0"/>
        <w:jc w:val="both"/>
      </w:pPr>
      <w:r>
        <w:rPr/>
        <w:t>员工资和缴纳的社会保险费等，在符合预计负债确认条件时，计入当期损益（辞退福利）。</w:t>
      </w:r>
    </w:p>
    <w:p>
      <w:pPr>
        <w:spacing w:line="240" w:lineRule="auto" w:before="10"/>
        <w:rPr>
          <w:rFonts w:ascii="宋体" w:hAnsi="宋体" w:cs="宋体" w:eastAsia="宋体" w:hint="default"/>
          <w:sz w:val="26"/>
          <w:szCs w:val="26"/>
        </w:rPr>
      </w:pPr>
    </w:p>
    <w:p>
      <w:pPr>
        <w:pStyle w:val="Heading3"/>
        <w:spacing w:line="240" w:lineRule="auto"/>
        <w:ind w:right="0"/>
        <w:jc w:val="both"/>
        <w:rPr>
          <w:b w:val="0"/>
          <w:bCs w:val="0"/>
        </w:rPr>
      </w:pPr>
      <w:bookmarkStart w:name="（4）其他长期职工福利的会计处理方法" w:id="203"/>
      <w:bookmarkEnd w:id="203"/>
      <w:r>
        <w:rPr>
          <w:b w:val="0"/>
          <w:bCs w:val="0"/>
        </w:rPr>
      </w:r>
      <w:r>
        <w:rPr/>
        <w:t>（</w:t>
      </w:r>
      <w:r>
        <w:rPr>
          <w:rFonts w:ascii="Times New Roman" w:hAnsi="Times New Roman" w:cs="Times New Roman" w:eastAsia="Times New Roman" w:hint="default"/>
        </w:rPr>
        <w:t>4</w:t>
      </w:r>
      <w:r>
        <w:rPr/>
        <w:t>）其他长期职工福利的会计处理方法</w:t>
      </w:r>
      <w:r>
        <w:rPr>
          <w:b w:val="0"/>
          <w:bCs w:val="0"/>
        </w:rPr>
      </w:r>
    </w:p>
    <w:p>
      <w:pPr>
        <w:spacing w:line="240" w:lineRule="auto" w:before="8"/>
        <w:rPr>
          <w:rFonts w:ascii="宋体" w:hAnsi="宋体" w:cs="宋体" w:eastAsia="宋体" w:hint="default"/>
          <w:b/>
          <w:bCs/>
          <w:sz w:val="26"/>
          <w:szCs w:val="26"/>
        </w:rPr>
      </w:pPr>
    </w:p>
    <w:p>
      <w:pPr>
        <w:pStyle w:val="BodyText"/>
        <w:spacing w:line="316" w:lineRule="auto"/>
        <w:ind w:right="0"/>
        <w:jc w:val="left"/>
      </w:pPr>
      <w:r>
        <w:rPr>
          <w:spacing w:val="-2"/>
        </w:rPr>
        <w:t>本公司向职工提供的其他长期职工福利，符合设定提存计划的，按照设定提存计划进行会计处理，除此之外按照设定收益计</w:t>
      </w:r>
      <w:r>
        <w:rPr>
          <w:spacing w:val="-66"/>
        </w:rPr>
        <w:t> </w:t>
      </w:r>
      <w:r>
        <w:rPr>
          <w:spacing w:val="-66"/>
        </w:rPr>
      </w:r>
      <w:r>
        <w:rPr/>
        <w:t>划进行会计处理。</w:t>
      </w:r>
    </w:p>
    <w:p>
      <w:pPr>
        <w:spacing w:line="240" w:lineRule="auto" w:before="7"/>
        <w:rPr>
          <w:rFonts w:ascii="宋体" w:hAnsi="宋体" w:cs="宋体" w:eastAsia="宋体" w:hint="default"/>
          <w:sz w:val="22"/>
          <w:szCs w:val="22"/>
        </w:rPr>
      </w:pPr>
    </w:p>
    <w:p>
      <w:pPr>
        <w:pStyle w:val="Heading3"/>
        <w:spacing w:line="240" w:lineRule="auto"/>
        <w:ind w:right="0"/>
        <w:jc w:val="both"/>
        <w:rPr>
          <w:b w:val="0"/>
          <w:bCs w:val="0"/>
        </w:rPr>
      </w:pPr>
      <w:bookmarkStart w:name="22、预计负债" w:id="204"/>
      <w:bookmarkEnd w:id="204"/>
      <w:r>
        <w:rPr>
          <w:b w:val="0"/>
          <w:bCs w:val="0"/>
        </w:rPr>
      </w:r>
      <w:r>
        <w:rPr>
          <w:rFonts w:ascii="Times New Roman" w:hAnsi="Times New Roman" w:cs="Times New Roman" w:eastAsia="Times New Roman" w:hint="default"/>
        </w:rPr>
        <w:t>22</w:t>
      </w:r>
      <w:r>
        <w:rPr/>
        <w:t>、预计负债</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132" w:firstLine="464"/>
        <w:jc w:val="both"/>
      </w:pPr>
      <w:r>
        <w:rPr>
          <w:spacing w:val="-1"/>
        </w:rPr>
        <w:t>当与或有事项相关的义务同时符合以下条件，确认为预计负债：（</w:t>
      </w:r>
      <w:r>
        <w:rPr>
          <w:rFonts w:ascii="宋体" w:hAnsi="宋体" w:cs="宋体" w:eastAsia="宋体" w:hint="default"/>
          <w:spacing w:val="-1"/>
        </w:rPr>
        <w:t>1</w:t>
      </w:r>
      <w:r>
        <w:rPr>
          <w:spacing w:val="-1"/>
        </w:rPr>
        <w:t>）该义务是本公司承担的现时义务；（</w:t>
      </w:r>
      <w:r>
        <w:rPr>
          <w:rFonts w:ascii="宋体" w:hAnsi="宋体" w:cs="宋体" w:eastAsia="宋体" w:hint="default"/>
          <w:spacing w:val="-1"/>
        </w:rPr>
        <w:t>2</w:t>
      </w:r>
      <w:r>
        <w:rPr>
          <w:spacing w:val="-1"/>
        </w:rPr>
        <w:t>）履行该</w:t>
      </w:r>
      <w:r>
        <w:rPr/>
        <w:t> 义务很可能导致经济利益流出；（</w:t>
      </w:r>
      <w:r>
        <w:rPr>
          <w:rFonts w:ascii="宋体" w:hAnsi="宋体" w:cs="宋体" w:eastAsia="宋体" w:hint="default"/>
        </w:rPr>
        <w:t>3</w:t>
      </w:r>
      <w:r>
        <w:rPr/>
        <w:t>）该义务的金额能够可靠地计量。</w:t>
      </w:r>
    </w:p>
    <w:p>
      <w:pPr>
        <w:pStyle w:val="BodyText"/>
        <w:spacing w:line="316" w:lineRule="auto" w:before="19"/>
        <w:ind w:right="1133" w:firstLine="464"/>
        <w:jc w:val="both"/>
      </w:pPr>
      <w:r>
        <w:rPr>
          <w:spacing w:val="-1"/>
        </w:rPr>
        <w:t>在资产负债表日，考虑与或有事项有关的风险、不确定性和货币时间价值等因素，按照履行相关现时义务所需支出的</w:t>
      </w:r>
      <w:r>
        <w:rPr/>
        <w:t> 最佳估计数对预计负债进行计量。</w:t>
      </w:r>
    </w:p>
    <w:p>
      <w:pPr>
        <w:pStyle w:val="BodyText"/>
        <w:spacing w:line="316" w:lineRule="auto" w:before="19"/>
        <w:ind w:right="1124" w:firstLine="464"/>
        <w:jc w:val="both"/>
      </w:pPr>
      <w:r>
        <w:rPr/>
        <w:t>如果清偿预计负债所需支出全部或部分预期由第三方补偿的，补偿金额在基本确定能够收到时，作为资产单独确认， 且确认的补偿金额不超过预计负债的账面价值。</w:t>
      </w:r>
    </w:p>
    <w:p>
      <w:pPr>
        <w:pStyle w:val="BodyText"/>
        <w:spacing w:line="316" w:lineRule="auto" w:before="19"/>
        <w:ind w:left="618" w:right="1118"/>
        <w:jc w:val="left"/>
      </w:pPr>
      <w:r>
        <w:rPr/>
        <w:t>（</w:t>
      </w:r>
      <w:r>
        <w:rPr>
          <w:rFonts w:ascii="宋体" w:hAnsi="宋体" w:cs="宋体" w:eastAsia="宋体" w:hint="default"/>
        </w:rPr>
        <w:t>1</w:t>
      </w:r>
      <w:r>
        <w:rPr/>
        <w:t>）亏损合同 </w:t>
      </w:r>
      <w:r>
        <w:rPr>
          <w:spacing w:val="-1"/>
        </w:rPr>
        <w:t>亏损合同是履行合同义务不可避免会发生的成本超过预期经济利益的合同。待执行合同变成亏损合同，且该亏损合同</w:t>
      </w:r>
    </w:p>
    <w:p>
      <w:pPr>
        <w:pStyle w:val="BodyText"/>
        <w:spacing w:line="316" w:lineRule="auto" w:before="19"/>
        <w:ind w:right="1118"/>
        <w:jc w:val="left"/>
      </w:pPr>
      <w:r>
        <w:rPr>
          <w:spacing w:val="-2"/>
        </w:rPr>
        <w:t>产生的义务满足上述预计负债的确认条件的，将合同预计损失超过合同标的资产已确认的减值损失（如有）的部分，确认为</w:t>
      </w:r>
      <w:r>
        <w:rPr>
          <w:spacing w:val="-66"/>
        </w:rPr>
        <w:t> </w:t>
      </w:r>
      <w:r>
        <w:rPr>
          <w:spacing w:val="-66"/>
        </w:rPr>
      </w:r>
      <w:r>
        <w:rPr/>
        <w:t>预计负债。</w:t>
      </w:r>
    </w:p>
    <w:p>
      <w:pPr>
        <w:pStyle w:val="BodyText"/>
        <w:spacing w:line="316" w:lineRule="auto" w:before="19"/>
        <w:ind w:left="618" w:right="1118"/>
        <w:jc w:val="left"/>
      </w:pPr>
      <w:r>
        <w:rPr/>
        <w:t>（</w:t>
      </w:r>
      <w:r>
        <w:rPr>
          <w:rFonts w:ascii="宋体" w:hAnsi="宋体" w:cs="宋体" w:eastAsia="宋体" w:hint="default"/>
        </w:rPr>
        <w:t>2</w:t>
      </w:r>
      <w:r>
        <w:rPr/>
        <w:t>）重组义务 </w:t>
      </w:r>
      <w:r>
        <w:rPr>
          <w:spacing w:val="-1"/>
        </w:rPr>
        <w:t>对于有详细、正式并且已经对外公告的重组计划，在满足前述预计负债的确认条件的情况下，按照与重组有关的直接</w:t>
      </w:r>
    </w:p>
    <w:p>
      <w:pPr>
        <w:pStyle w:val="BodyText"/>
        <w:spacing w:line="240" w:lineRule="auto" w:before="19"/>
        <w:ind w:right="0"/>
        <w:jc w:val="both"/>
      </w:pPr>
      <w:r>
        <w:rPr/>
        <w:t>支出确定预计负债金额。</w:t>
      </w:r>
    </w:p>
    <w:p>
      <w:pPr>
        <w:spacing w:line="240" w:lineRule="auto" w:before="12"/>
        <w:rPr>
          <w:rFonts w:ascii="宋体" w:hAnsi="宋体" w:cs="宋体" w:eastAsia="宋体" w:hint="default"/>
          <w:sz w:val="26"/>
          <w:szCs w:val="26"/>
        </w:rPr>
      </w:pPr>
    </w:p>
    <w:p>
      <w:pPr>
        <w:pStyle w:val="Heading3"/>
        <w:spacing w:line="240" w:lineRule="auto"/>
        <w:ind w:right="0"/>
        <w:jc w:val="both"/>
        <w:rPr>
          <w:b w:val="0"/>
          <w:bCs w:val="0"/>
        </w:rPr>
      </w:pPr>
      <w:bookmarkStart w:name="23、股份支付" w:id="205"/>
      <w:bookmarkEnd w:id="205"/>
      <w:r>
        <w:rPr>
          <w:b w:val="0"/>
          <w:bCs w:val="0"/>
        </w:rPr>
      </w:r>
      <w:r>
        <w:rPr>
          <w:rFonts w:ascii="Times New Roman" w:hAnsi="Times New Roman" w:cs="Times New Roman" w:eastAsia="Times New Roman" w:hint="default"/>
        </w:rPr>
        <w:t>23</w:t>
      </w:r>
      <w:r>
        <w:rPr/>
        <w:t>、股份支付</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618" w:right="0"/>
        <w:jc w:val="left"/>
      </w:pPr>
      <w:r>
        <w:rPr/>
        <w:t>（</w:t>
      </w:r>
      <w:r>
        <w:rPr>
          <w:rFonts w:ascii="宋体" w:hAnsi="宋体" w:cs="宋体" w:eastAsia="宋体" w:hint="default"/>
        </w:rPr>
        <w:t>1</w:t>
      </w:r>
      <w:r>
        <w:rPr/>
        <w:t>）股份支付的会计处理方法 </w:t>
      </w:r>
      <w:r>
        <w:rPr>
          <w:spacing w:val="-1"/>
        </w:rPr>
        <w:t>股份支付是为了获取职工或其他方提供服务而授予权益工具或者承担以权益工具为基础确定的负债的交易。股份支付</w:t>
      </w:r>
    </w:p>
    <w:p>
      <w:pPr>
        <w:pStyle w:val="BodyText"/>
        <w:spacing w:line="240" w:lineRule="auto" w:before="19"/>
        <w:ind w:right="0"/>
        <w:jc w:val="both"/>
      </w:pPr>
      <w:r>
        <w:rPr/>
        <w:t>分为以权益结算的股份支付和以现金结算的股份支付。</w:t>
      </w:r>
    </w:p>
    <w:p>
      <w:pPr>
        <w:pStyle w:val="BodyText"/>
        <w:spacing w:line="316" w:lineRule="auto" w:before="76"/>
        <w:ind w:left="618" w:right="0"/>
        <w:jc w:val="left"/>
      </w:pPr>
      <w:r>
        <w:rPr/>
        <w:t>①以权益结算的股份支付 </w:t>
      </w:r>
      <w:r>
        <w:rPr>
          <w:spacing w:val="-1"/>
        </w:rPr>
        <w:t>用以换取职工提供的服务的权益结算的股份支付，以授予职工权益工具在授予日的公允价值计量。该公允价值的金额</w:t>
      </w:r>
    </w:p>
    <w:p>
      <w:pPr>
        <w:pStyle w:val="BodyText"/>
        <w:spacing w:line="316" w:lineRule="auto" w:before="19"/>
        <w:ind w:right="0"/>
        <w:jc w:val="left"/>
      </w:pPr>
      <w:r>
        <w:rPr>
          <w:spacing w:val="-2"/>
        </w:rPr>
        <w:t>在完成等待期内的服务或达到规定业绩条件才可行权的情况下，在等待期内以对可行权权益工具数量的最佳估计为基础，按</w:t>
      </w:r>
      <w:r>
        <w:rPr>
          <w:spacing w:val="-64"/>
        </w:rPr>
        <w:t> </w:t>
      </w:r>
      <w:r>
        <w:rPr>
          <w:spacing w:val="-64"/>
        </w:rPr>
      </w:r>
      <w:r>
        <w:rPr/>
        <w:t>直线法计算计入相关成本或费用</w:t>
      </w:r>
      <w:r>
        <w:rPr>
          <w:rFonts w:ascii="宋体" w:hAnsi="宋体" w:cs="宋体" w:eastAsia="宋体" w:hint="default"/>
        </w:rPr>
        <w:t>/</w:t>
      </w:r>
      <w:r>
        <w:rPr/>
        <w:t>在授予后立即可行权时，在授予日计入相关成本或费用，相应增加资本公积。</w:t>
      </w:r>
    </w:p>
    <w:p>
      <w:pPr>
        <w:pStyle w:val="BodyText"/>
        <w:spacing w:line="316" w:lineRule="auto" w:before="19"/>
        <w:ind w:right="1132" w:firstLine="464"/>
        <w:jc w:val="both"/>
      </w:pPr>
      <w:r>
        <w:rPr>
          <w:spacing w:val="-1"/>
        </w:rPr>
        <w:t>在等待期内每个资产负债表日，本公司根据最新取得的可行权职工人数变动等后续信息做出最佳估计，修正预计可行</w:t>
      </w:r>
      <w:r>
        <w:rPr/>
        <w:t> 权的权益工具数量。上述估计的影响计入当期相关成本或费用，并相应调整资本公积。</w:t>
      </w:r>
    </w:p>
    <w:p>
      <w:pPr>
        <w:pStyle w:val="BodyText"/>
        <w:spacing w:line="316" w:lineRule="auto" w:before="19"/>
        <w:ind w:right="1131" w:firstLine="464"/>
        <w:jc w:val="both"/>
      </w:pPr>
      <w:r>
        <w:rPr>
          <w:spacing w:val="-1"/>
        </w:rPr>
        <w:t>用以换取其他方服务的权益结算的股份支付，如果其他方服务的公允价值能够可靠计量，按照其他方服务在取得日的</w:t>
      </w:r>
      <w:r>
        <w:rPr/>
        <w:t> </w:t>
      </w:r>
      <w:r>
        <w:rPr>
          <w:spacing w:val="-2"/>
        </w:rPr>
        <w:t>公允价值计量，如果其他方服务的公允价值不能可靠计量，但权益工具的公允价值能够可靠计量的，按照权益工具在服务取</w:t>
      </w:r>
      <w:r>
        <w:rPr>
          <w:spacing w:val="-66"/>
        </w:rPr>
        <w:t> </w:t>
      </w:r>
      <w:r>
        <w:rPr>
          <w:spacing w:val="-66"/>
        </w:rPr>
      </w:r>
      <w:r>
        <w:rPr>
          <w:spacing w:val="-2"/>
        </w:rPr>
        <w:t>得日的公允价值计量，计入相关成本或费用，相应增加股东权益。当授予权益工具的公允价值无法可靠计量时，在服务取得</w:t>
      </w:r>
      <w:r>
        <w:rPr>
          <w:spacing w:val="-66"/>
        </w:rPr>
        <w:t> </w:t>
      </w:r>
      <w:r>
        <w:rPr>
          <w:spacing w:val="-66"/>
        </w:rPr>
      </w:r>
      <w:r>
        <w:rPr/>
        <w:t>日、后续的每个资产负债表日以及结算日，按权益工具的内在价值计量，内在价值变动计入当期损益。</w:t>
      </w:r>
    </w:p>
    <w:p>
      <w:pPr>
        <w:pStyle w:val="BodyText"/>
        <w:spacing w:line="316" w:lineRule="auto" w:before="19"/>
        <w:ind w:left="618" w:right="0"/>
        <w:jc w:val="left"/>
      </w:pPr>
      <w:r>
        <w:rPr/>
        <w:t>②以现金结算的股份支付 </w:t>
      </w:r>
      <w:r>
        <w:rPr>
          <w:spacing w:val="-1"/>
        </w:rPr>
        <w:t>以现金结算的股份支付，按照本公司承担的以股份或其他权益工具为基础确定的负债的公允价值计量。如授予后立即</w:t>
      </w:r>
    </w:p>
    <w:p>
      <w:pPr>
        <w:pStyle w:val="BodyText"/>
        <w:spacing w:line="316" w:lineRule="auto" w:before="19"/>
        <w:ind w:right="1131"/>
        <w:jc w:val="both"/>
      </w:pPr>
      <w:r>
        <w:rPr>
          <w:spacing w:val="-2"/>
        </w:rPr>
        <w:t>可行权，在授予日计入相关成本或费用，相应增加负债；如须完成等待期内的服务或达到规定业绩条件以后才可行权，在等</w:t>
      </w:r>
      <w:r>
        <w:rPr>
          <w:spacing w:val="-66"/>
        </w:rPr>
        <w:t> </w:t>
      </w:r>
      <w:r>
        <w:rPr>
          <w:spacing w:val="-66"/>
        </w:rPr>
      </w:r>
      <w:r>
        <w:rPr>
          <w:spacing w:val="-2"/>
        </w:rPr>
        <w:t>待期的每个资产负债表日，以对可行权情况的最佳估计为基础，按照本公司承担负债的公允价值金额，将当期取得的服务计</w:t>
      </w:r>
      <w:r>
        <w:rPr>
          <w:spacing w:val="-66"/>
        </w:rPr>
        <w:t> </w:t>
      </w:r>
      <w:r>
        <w:rPr>
          <w:spacing w:val="-66"/>
        </w:rPr>
      </w:r>
      <w:r>
        <w:rPr/>
        <w:t>入成本或费用，相应增加负债。</w:t>
      </w:r>
    </w:p>
    <w:p>
      <w:pPr>
        <w:pStyle w:val="BodyText"/>
        <w:spacing w:line="240" w:lineRule="auto" w:before="19"/>
        <w:ind w:left="618" w:right="0"/>
        <w:jc w:val="left"/>
      </w:pPr>
      <w:r>
        <w:rPr/>
        <w:t>在相关负债结算前的每个资产负债表日以及结算日，对负债的公允价值重新计量，其变动计入当期损益。</w:t>
      </w:r>
    </w:p>
    <w:p>
      <w:pPr>
        <w:pStyle w:val="BodyText"/>
        <w:spacing w:line="240" w:lineRule="auto" w:before="76"/>
        <w:ind w:left="618" w:right="0"/>
        <w:jc w:val="left"/>
      </w:pPr>
      <w:r>
        <w:rPr/>
        <w:t>（</w:t>
      </w:r>
      <w:r>
        <w:rPr>
          <w:rFonts w:ascii="宋体" w:hAnsi="宋体" w:cs="宋体" w:eastAsia="宋体" w:hint="default"/>
        </w:rPr>
        <w:t>2</w:t>
      </w:r>
      <w:r>
        <w:rPr/>
        <w:t>）修改、终止股份支付计划的相关会计处理</w:t>
      </w:r>
    </w:p>
    <w:p>
      <w:pPr>
        <w:spacing w:after="0" w:line="24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6" w:lineRule="auto" w:before="44"/>
        <w:ind w:right="1132" w:firstLine="464"/>
        <w:jc w:val="both"/>
      </w:pPr>
      <w:r>
        <w:rPr>
          <w:spacing w:val="-1"/>
        </w:rPr>
        <w:t>本公司对股份支付计划进行修改时，若修改增加了所授予权益工具的公允价值，按照权益工具公允价值的增加相应确</w:t>
      </w:r>
      <w:r>
        <w:rPr/>
        <w:t> </w:t>
      </w:r>
      <w:r>
        <w:rPr>
          <w:spacing w:val="-2"/>
        </w:rPr>
        <w:t>认取得服务的增加。权益工具公允价值的增加是指修改前后的权益工具在修改日的公允价值之间的差额。若修改减少了股份</w:t>
      </w:r>
      <w:r>
        <w:rPr>
          <w:spacing w:val="-64"/>
        </w:rPr>
        <w:t> </w:t>
      </w:r>
      <w:r>
        <w:rPr>
          <w:spacing w:val="-64"/>
        </w:rPr>
      </w:r>
      <w:r>
        <w:rPr>
          <w:spacing w:val="-2"/>
        </w:rPr>
        <w:t>支付公允价值总额或采用了其他不利于职工的方式，则仍继续对取得的服务进行会计处理，视同该变更从未发生，除非本公</w:t>
      </w:r>
      <w:r>
        <w:rPr>
          <w:spacing w:val="-66"/>
        </w:rPr>
        <w:t> </w:t>
      </w:r>
      <w:r>
        <w:rPr>
          <w:spacing w:val="-66"/>
        </w:rPr>
      </w:r>
      <w:r>
        <w:rPr/>
        <w:t>司取消了部分或全部已授予的权益工具。</w:t>
      </w:r>
    </w:p>
    <w:p>
      <w:pPr>
        <w:pStyle w:val="BodyText"/>
        <w:spacing w:line="316" w:lineRule="auto" w:before="19"/>
        <w:ind w:right="1132" w:firstLine="464"/>
        <w:jc w:val="both"/>
      </w:pPr>
      <w:r>
        <w:rPr>
          <w:spacing w:val="-1"/>
        </w:rPr>
        <w:t>在等待期内，如果取消了授予的权益工具，本公司对取消所授予的权益性工具作为加速行权处理，将剩余等待期内应</w:t>
      </w:r>
      <w:r>
        <w:rPr/>
        <w:t> </w:t>
      </w:r>
      <w:r>
        <w:rPr>
          <w:spacing w:val="-2"/>
        </w:rPr>
        <w:t>确认的金额立即计入当期损益，同时确认资本公积。职工或其他方能够选择满足非可行权条件但在等待期内未满足的，本公</w:t>
      </w:r>
      <w:r>
        <w:rPr>
          <w:spacing w:val="-66"/>
        </w:rPr>
        <w:t> </w:t>
      </w:r>
      <w:r>
        <w:rPr>
          <w:spacing w:val="-66"/>
        </w:rPr>
      </w:r>
      <w:r>
        <w:rPr/>
        <w:t>司将其作为授予权益工具的取消处理。</w:t>
      </w:r>
    </w:p>
    <w:p>
      <w:pPr>
        <w:pStyle w:val="BodyText"/>
        <w:spacing w:line="316" w:lineRule="auto" w:before="19"/>
        <w:ind w:left="618" w:right="0"/>
        <w:jc w:val="left"/>
      </w:pPr>
      <w:r>
        <w:rPr/>
        <w:t>（</w:t>
      </w:r>
      <w:r>
        <w:rPr>
          <w:rFonts w:ascii="宋体" w:hAnsi="宋体" w:cs="宋体" w:eastAsia="宋体" w:hint="default"/>
        </w:rPr>
        <w:t>3</w:t>
      </w:r>
      <w:r>
        <w:rPr/>
        <w:t>）涉及本公司与本公司股东或实际控制人的股份支付交易的会计处理 </w:t>
      </w:r>
      <w:r>
        <w:rPr>
          <w:spacing w:val="-1"/>
        </w:rPr>
        <w:t>涉及本公司与本公司股东或实际控制人的股份支付交易，结算企业与接受服务企业中其一在本公司内，另一在本公司</w:t>
      </w:r>
    </w:p>
    <w:p>
      <w:pPr>
        <w:pStyle w:val="BodyText"/>
        <w:spacing w:line="240" w:lineRule="auto" w:before="19"/>
        <w:ind w:right="0"/>
        <w:jc w:val="left"/>
      </w:pPr>
      <w:r>
        <w:rPr/>
        <w:t>外的，在本公司合并财务报表中按照以下规定进行会计处理：</w:t>
      </w:r>
    </w:p>
    <w:p>
      <w:pPr>
        <w:pStyle w:val="BodyText"/>
        <w:spacing w:line="316" w:lineRule="auto" w:before="76"/>
        <w:ind w:right="1133" w:firstLine="464"/>
        <w:jc w:val="both"/>
      </w:pPr>
      <w:r>
        <w:rPr>
          <w:spacing w:val="-1"/>
        </w:rPr>
        <w:t>①结算企业以其本身权益工具结算的，将该股份支付交易作为权益结算的股份支付处理；除此之外，作为现金结算的</w:t>
      </w:r>
      <w:r>
        <w:rPr/>
        <w:t> 股份支付处理。</w:t>
      </w:r>
    </w:p>
    <w:p>
      <w:pPr>
        <w:pStyle w:val="BodyText"/>
        <w:spacing w:line="316" w:lineRule="auto" w:before="19"/>
        <w:ind w:right="1131" w:firstLine="464"/>
        <w:jc w:val="both"/>
      </w:pPr>
      <w:r>
        <w:rPr>
          <w:spacing w:val="-1"/>
        </w:rPr>
        <w:t>结算企业是接受服务企业的投资者的，按照授予日权益工具的公允价值或应承担负债的公允价值确认为对接受服务企</w:t>
      </w:r>
      <w:r>
        <w:rPr/>
        <w:t> 业的长期股权投资，同时确认资本公积（其他资本公积）或负债。</w:t>
      </w:r>
    </w:p>
    <w:p>
      <w:pPr>
        <w:pStyle w:val="BodyText"/>
        <w:spacing w:line="316" w:lineRule="auto" w:before="19"/>
        <w:ind w:right="1131" w:firstLine="464"/>
        <w:jc w:val="both"/>
      </w:pPr>
      <w:r>
        <w:rPr>
          <w:spacing w:val="-1"/>
        </w:rPr>
        <w:t>②接受服务企业没有结算义务或授予本企业职工的是其本身权益工具的，将该股份支付交易作为权益结算的股份支付</w:t>
      </w:r>
      <w:r>
        <w:rPr/>
        <w:t> </w:t>
      </w:r>
      <w:r>
        <w:rPr>
          <w:spacing w:val="-2"/>
        </w:rPr>
        <w:t>处理；接受服务企业具有结算义务且授予本企业职工的并非其本身权益工具的，将该股份支付交易作为现金结算的股份支付</w:t>
      </w:r>
      <w:r>
        <w:rPr>
          <w:spacing w:val="-64"/>
        </w:rPr>
        <w:t> </w:t>
      </w:r>
      <w:r>
        <w:rPr>
          <w:spacing w:val="-64"/>
        </w:rPr>
      </w:r>
      <w:r>
        <w:rPr/>
        <w:t>处理。</w:t>
      </w:r>
    </w:p>
    <w:p>
      <w:pPr>
        <w:pStyle w:val="BodyText"/>
        <w:spacing w:line="316" w:lineRule="auto" w:before="19"/>
        <w:ind w:right="1133" w:firstLine="464"/>
        <w:jc w:val="both"/>
      </w:pPr>
      <w:r>
        <w:rPr>
          <w:spacing w:val="-1"/>
        </w:rPr>
        <w:t>本公司内各企业之间发生的股份支付交易，接受服务企业和结算企业不是同一企业的，在接受服务企业和结算企业各</w:t>
      </w:r>
      <w:r>
        <w:rPr/>
        <w:t> 自的个别财务报表中对该股份支付交易的确认和计量，比照上述原则处理。</w:t>
      </w:r>
    </w:p>
    <w:p>
      <w:pPr>
        <w:spacing w:line="240" w:lineRule="auto" w:before="7"/>
        <w:rPr>
          <w:rFonts w:ascii="宋体" w:hAnsi="宋体" w:cs="宋体" w:eastAsia="宋体" w:hint="default"/>
          <w:sz w:val="22"/>
          <w:szCs w:val="22"/>
        </w:rPr>
      </w:pPr>
    </w:p>
    <w:p>
      <w:pPr>
        <w:pStyle w:val="Heading3"/>
        <w:spacing w:line="240" w:lineRule="auto"/>
        <w:ind w:right="0"/>
        <w:jc w:val="left"/>
        <w:rPr>
          <w:b w:val="0"/>
          <w:bCs w:val="0"/>
        </w:rPr>
      </w:pPr>
      <w:bookmarkStart w:name="24、收入" w:id="206"/>
      <w:bookmarkEnd w:id="206"/>
      <w:r>
        <w:rPr>
          <w:b w:val="0"/>
          <w:bCs w:val="0"/>
        </w:rPr>
      </w:r>
      <w:r>
        <w:rPr>
          <w:rFonts w:ascii="Times New Roman" w:hAnsi="Times New Roman" w:cs="Times New Roman" w:eastAsia="Times New Roman" w:hint="default"/>
        </w:rPr>
        <w:t>24</w:t>
      </w:r>
      <w:r>
        <w:rPr/>
        <w:t>、收入</w:t>
      </w:r>
      <w:r>
        <w:rPr>
          <w:b w:val="0"/>
          <w:bCs w:val="0"/>
        </w:rPr>
      </w:r>
    </w:p>
    <w:p>
      <w:pPr>
        <w:spacing w:line="240" w:lineRule="auto" w:before="8"/>
        <w:rPr>
          <w:rFonts w:ascii="宋体" w:hAnsi="宋体" w:cs="宋体" w:eastAsia="宋体" w:hint="default"/>
          <w:b/>
          <w:bCs/>
          <w:sz w:val="26"/>
          <w:szCs w:val="26"/>
        </w:rPr>
      </w:pPr>
    </w:p>
    <w:p>
      <w:pPr>
        <w:pStyle w:val="BodyText"/>
        <w:spacing w:line="357" w:lineRule="auto"/>
        <w:ind w:right="7692"/>
        <w:jc w:val="left"/>
      </w:pPr>
      <w:r>
        <w:rPr/>
        <w:t>公司是否需要遵守特殊行业的披露要求 否</w:t>
      </w:r>
    </w:p>
    <w:p>
      <w:pPr>
        <w:pStyle w:val="BodyText"/>
        <w:spacing w:line="316" w:lineRule="auto" w:before="28"/>
        <w:ind w:left="618" w:right="0"/>
        <w:jc w:val="left"/>
      </w:pPr>
      <w:r>
        <w:rPr/>
        <w:t>（</w:t>
      </w:r>
      <w:r>
        <w:rPr>
          <w:rFonts w:ascii="宋体" w:hAnsi="宋体" w:cs="宋体" w:eastAsia="宋体" w:hint="default"/>
        </w:rPr>
        <w:t>1</w:t>
      </w:r>
      <w:r>
        <w:rPr/>
        <w:t>）商品销售收入 </w:t>
      </w:r>
      <w:r>
        <w:rPr>
          <w:spacing w:val="-1"/>
        </w:rPr>
        <w:t>在已将商品所有权上的主要风险和报酬转移给买方，既没有保留通常与所有权相联系的继续管理权，也没有对已售商</w:t>
      </w:r>
    </w:p>
    <w:p>
      <w:pPr>
        <w:pStyle w:val="BodyText"/>
        <w:spacing w:line="316" w:lineRule="auto" w:before="19"/>
        <w:ind w:right="0"/>
        <w:jc w:val="left"/>
      </w:pPr>
      <w:r>
        <w:rPr>
          <w:spacing w:val="-2"/>
        </w:rPr>
        <w:t>品实施有效控制，收入的金额能够可靠地计量，相关的经济利益很可能流入企业，相关的已发生或将发生的成本能够可靠地</w:t>
      </w:r>
      <w:r>
        <w:rPr>
          <w:spacing w:val="-66"/>
        </w:rPr>
        <w:t> </w:t>
      </w:r>
      <w:r>
        <w:rPr>
          <w:spacing w:val="-66"/>
        </w:rPr>
      </w:r>
      <w:r>
        <w:rPr/>
        <w:t>计量时，确认商品销售收入的实现。</w:t>
      </w:r>
    </w:p>
    <w:p>
      <w:pPr>
        <w:pStyle w:val="BodyText"/>
        <w:spacing w:line="316" w:lineRule="auto" w:before="19"/>
        <w:ind w:right="1132" w:firstLine="464"/>
        <w:jc w:val="both"/>
      </w:pPr>
      <w:r>
        <w:rPr>
          <w:spacing w:val="-1"/>
        </w:rPr>
        <w:t>本公司主要的烟标印刷产品，通常根据客户订单组织生产，发货运输到客户所在地（或客户指定地点）暂存，实际交</w:t>
      </w:r>
      <w:r>
        <w:rPr/>
        <w:t> </w:t>
      </w:r>
      <w:r>
        <w:rPr>
          <w:spacing w:val="-2"/>
        </w:rPr>
        <w:t>货时需经客户检测验收，按验收合格数量办理开票结算手续，因此，本公司实际以交货验收并办理开票结算时确认商品销售</w:t>
      </w:r>
      <w:r>
        <w:rPr>
          <w:spacing w:val="-66"/>
        </w:rPr>
        <w:t> </w:t>
      </w:r>
      <w:r>
        <w:rPr>
          <w:spacing w:val="-66"/>
        </w:rPr>
      </w:r>
      <w:r>
        <w:rPr/>
        <w:t>收入的实现。</w:t>
      </w:r>
    </w:p>
    <w:p>
      <w:pPr>
        <w:pStyle w:val="BodyText"/>
        <w:spacing w:line="316" w:lineRule="auto" w:before="19"/>
        <w:ind w:left="618" w:right="0"/>
        <w:jc w:val="left"/>
      </w:pPr>
      <w:r>
        <w:rPr/>
        <w:t>（</w:t>
      </w:r>
      <w:r>
        <w:rPr>
          <w:rFonts w:ascii="宋体" w:hAnsi="宋体" w:cs="宋体" w:eastAsia="宋体" w:hint="default"/>
        </w:rPr>
        <w:t>2</w:t>
      </w:r>
      <w:r>
        <w:rPr/>
        <w:t>）提供劳务收入 </w:t>
      </w:r>
      <w:r>
        <w:rPr>
          <w:spacing w:val="-1"/>
        </w:rPr>
        <w:t>在提供劳务交易的结果能够可靠估计的情况下，于资产负债表日按照完工百分比法确认提供的劳务收入。劳务交易的</w:t>
      </w:r>
    </w:p>
    <w:p>
      <w:pPr>
        <w:pStyle w:val="BodyText"/>
        <w:spacing w:line="316" w:lineRule="auto" w:before="19"/>
        <w:ind w:left="618" w:right="1032" w:hanging="465"/>
        <w:jc w:val="left"/>
      </w:pPr>
      <w:r>
        <w:rPr/>
        <w:t>完工进度按已完工作的测量</w:t>
      </w:r>
      <w:r>
        <w:rPr>
          <w:rFonts w:ascii="宋体" w:hAnsi="宋体" w:cs="宋体" w:eastAsia="宋体" w:hint="default"/>
        </w:rPr>
        <w:t>/</w:t>
      </w:r>
      <w:r>
        <w:rPr/>
        <w:t>已经提供的劳务占应提供劳务总量的比例</w:t>
      </w:r>
      <w:r>
        <w:rPr>
          <w:rFonts w:ascii="宋体" w:hAnsi="宋体" w:cs="宋体" w:eastAsia="宋体" w:hint="default"/>
        </w:rPr>
        <w:t>/</w:t>
      </w:r>
      <w:r>
        <w:rPr/>
        <w:t>已经发生的劳务成本占估计总成本的比例确定。 </w:t>
      </w:r>
      <w:r>
        <w:rPr>
          <w:spacing w:val="-2"/>
        </w:rPr>
        <w:t>提供劳务交易的结果能够可靠估计是指同时满足：①收入的金额能够可靠地计量；②相关的经济利益很可能流入企业；</w:t>
      </w:r>
    </w:p>
    <w:p>
      <w:pPr>
        <w:pStyle w:val="BodyText"/>
        <w:spacing w:line="316" w:lineRule="auto" w:before="19"/>
        <w:ind w:left="618" w:right="1108" w:hanging="465"/>
        <w:jc w:val="left"/>
      </w:pPr>
      <w:r>
        <w:rPr/>
        <w:t>③交易的完工程度能够可靠地确定；④交易中已发生和将发生的成本能够可靠地计量。 如果提供劳务交易的结果不能够可靠估计，则按已经发生并预计能够得到补偿的劳务成本金额确认提供的劳务收入，</w:t>
      </w:r>
    </w:p>
    <w:p>
      <w:pPr>
        <w:pStyle w:val="BodyText"/>
        <w:spacing w:line="316" w:lineRule="auto" w:before="19"/>
        <w:ind w:left="618" w:right="0" w:hanging="465"/>
        <w:jc w:val="left"/>
      </w:pPr>
      <w:r>
        <w:rPr/>
        <w:t>并将已发生的劳务成本作为当期费用。已经发生的劳务成本如预计不能得到补偿的，则不确认收入。 </w:t>
      </w:r>
      <w:r>
        <w:rPr>
          <w:spacing w:val="-1"/>
        </w:rPr>
        <w:t>本公司与其他企业签订的合同或协议包括销售商品和提供劳务时，如销售商品部分和提供劳务部分能够区分并单独计</w:t>
      </w:r>
    </w:p>
    <w:p>
      <w:pPr>
        <w:pStyle w:val="BodyText"/>
        <w:spacing w:line="319" w:lineRule="auto" w:before="19"/>
        <w:ind w:right="0"/>
        <w:jc w:val="left"/>
      </w:pPr>
      <w:r>
        <w:rPr>
          <w:spacing w:val="-2"/>
        </w:rPr>
        <w:t>量的，将销售商品部分和提供劳务部分分别处理；如销售商品部分和提供劳务部分不能够区分，或虽能区分但不能够单独计</w:t>
      </w:r>
      <w:r>
        <w:rPr>
          <w:spacing w:val="-66"/>
        </w:rPr>
        <w:t> </w:t>
      </w:r>
      <w:r>
        <w:rPr>
          <w:spacing w:val="-66"/>
        </w:rPr>
      </w:r>
      <w:r>
        <w:rPr/>
        <w:t>量的，将该合同全部作为销售商品处理。</w:t>
      </w:r>
    </w:p>
    <w:p>
      <w:pPr>
        <w:pStyle w:val="BodyText"/>
        <w:spacing w:line="316" w:lineRule="auto" w:before="17"/>
        <w:ind w:left="618" w:right="6508"/>
        <w:jc w:val="left"/>
      </w:pPr>
      <w:r>
        <w:rPr/>
        <w:t>（</w:t>
      </w:r>
      <w:r>
        <w:rPr>
          <w:rFonts w:ascii="宋体" w:hAnsi="宋体" w:cs="宋体" w:eastAsia="宋体" w:hint="default"/>
        </w:rPr>
        <w:t>3</w:t>
      </w:r>
      <w:r>
        <w:rPr/>
        <w:t>）使用费收入 根据有关合同或协议，按权责发生制确认收入。</w:t>
      </w:r>
    </w:p>
    <w:p>
      <w:pPr>
        <w:pStyle w:val="BodyText"/>
        <w:spacing w:line="240" w:lineRule="auto" w:before="19"/>
        <w:ind w:left="618" w:right="0"/>
        <w:jc w:val="left"/>
      </w:pPr>
      <w:r>
        <w:rPr/>
        <w:t>（</w:t>
      </w:r>
      <w:r>
        <w:rPr>
          <w:rFonts w:ascii="宋体" w:hAnsi="宋体" w:cs="宋体" w:eastAsia="宋体" w:hint="default"/>
        </w:rPr>
        <w:t>4</w:t>
      </w:r>
      <w:r>
        <w:rPr/>
        <w:t>）利息收入</w:t>
      </w:r>
    </w:p>
    <w:p>
      <w:pPr>
        <w:spacing w:after="0" w:line="24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240" w:lineRule="auto" w:before="44"/>
        <w:ind w:left="618" w:right="0"/>
        <w:jc w:val="left"/>
      </w:pPr>
      <w:r>
        <w:rPr/>
        <w:t>按照他人使用本公司货币资金的时间和实际利率计算确定。</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bookmarkStart w:name="25、政府补助" w:id="207"/>
      <w:bookmarkEnd w:id="207"/>
      <w:r>
        <w:rPr>
          <w:b w:val="0"/>
          <w:bCs w:val="0"/>
        </w:rPr>
      </w:r>
      <w:r>
        <w:rPr>
          <w:rFonts w:ascii="Times New Roman" w:hAnsi="Times New Roman" w:cs="Times New Roman" w:eastAsia="Times New Roman" w:hint="default"/>
        </w:rPr>
        <w:t>25</w:t>
      </w:r>
      <w:r>
        <w:rPr/>
        <w:t>、政府补助</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130" w:firstLine="464"/>
        <w:jc w:val="right"/>
      </w:pPr>
      <w:r>
        <w:rPr>
          <w:spacing w:val="-1"/>
        </w:rPr>
        <w:t>政府补助是指本公司从政府无偿取得货币性资产和非货币性资产，不包括政府作为所有者投入的资本。政府补助分为</w:t>
      </w:r>
      <w:r>
        <w:rPr/>
        <w:t> </w:t>
      </w:r>
      <w:r>
        <w:rPr>
          <w:spacing w:val="-2"/>
        </w:rPr>
        <w:t>与资产相关的政府补助和与收益相关的政府补助。本公司将所取得的用于购建或以其他方式形成长期资产的政府补助界定为</w:t>
      </w:r>
      <w:r>
        <w:rPr>
          <w:spacing w:val="-72"/>
        </w:rPr>
        <w:t> </w:t>
      </w:r>
      <w:r>
        <w:rPr>
          <w:spacing w:val="-72"/>
        </w:rPr>
      </w:r>
      <w:r>
        <w:rPr>
          <w:spacing w:val="-2"/>
        </w:rPr>
        <w:t>与资产相关的政府补助；其余政府补助界定为与收益相关的政府补助。若政府文件未明确规定补助对象，则采用以下方式将</w:t>
      </w:r>
      <w:r>
        <w:rPr>
          <w:spacing w:val="-76"/>
        </w:rPr>
        <w:t> </w:t>
      </w:r>
      <w:r>
        <w:rPr>
          <w:spacing w:val="-76"/>
        </w:rPr>
      </w:r>
      <w:r>
        <w:rPr/>
        <w:t>补助款划分为与收益相关的政府补助和与资产相关的政府补助：（</w:t>
      </w:r>
      <w:r>
        <w:rPr>
          <w:rFonts w:ascii="宋体" w:hAnsi="宋体" w:cs="宋体" w:eastAsia="宋体" w:hint="default"/>
        </w:rPr>
        <w:t>1</w:t>
      </w:r>
      <w:r>
        <w:rPr/>
        <w:t>）政府文件明确了补助所针对的特定项目的，根据该特 </w:t>
      </w:r>
      <w:r>
        <w:rPr>
          <w:spacing w:val="-2"/>
        </w:rPr>
        <w:t>定项目的预算中将形成资产的支出金额和计入费用的支出金额的相对比例进行划分，对该划分比例需在每个资产负债表日进</w:t>
      </w:r>
      <w:r>
        <w:rPr>
          <w:spacing w:val="-70"/>
        </w:rPr>
        <w:t> </w:t>
      </w:r>
      <w:r>
        <w:rPr>
          <w:spacing w:val="-70"/>
        </w:rPr>
      </w:r>
      <w:r>
        <w:rPr/>
        <w:t>行复核，必要时进行变更；（</w:t>
      </w:r>
      <w:r>
        <w:rPr>
          <w:rFonts w:ascii="宋体" w:hAnsi="宋体" w:cs="宋体" w:eastAsia="宋体" w:hint="default"/>
        </w:rPr>
        <w:t>2</w:t>
      </w:r>
      <w:r>
        <w:rPr/>
        <w:t>）政府文件中对用途仅作一般性表述，没有指明特定项目的，作为与收益相关的政府补助。 </w:t>
      </w:r>
      <w:r>
        <w:rPr>
          <w:spacing w:val="-1"/>
        </w:rPr>
        <w:t>政府补助为货币性资产的，按照收到或应收的金额计量。政府补助为非货币性资产的，按照公允价值计量；公允价值</w:t>
      </w:r>
    </w:p>
    <w:p>
      <w:pPr>
        <w:pStyle w:val="BodyText"/>
        <w:spacing w:line="316" w:lineRule="auto" w:before="19"/>
        <w:ind w:left="618" w:right="0" w:hanging="465"/>
        <w:jc w:val="left"/>
      </w:pPr>
      <w:r>
        <w:rPr/>
        <w:t>不能够可靠取得的，按照名义金额计量。按照名义金额计量的政府补助，直接计入当期损益。 </w:t>
      </w:r>
      <w:r>
        <w:rPr>
          <w:spacing w:val="-1"/>
        </w:rPr>
        <w:t>本公司对于政府补助通常在实际收到时，按照实收金额予以确认和计量。但对于期末有确凿证据表明能够符合财政扶</w:t>
      </w:r>
    </w:p>
    <w:p>
      <w:pPr>
        <w:pStyle w:val="BodyText"/>
        <w:spacing w:line="316" w:lineRule="auto" w:before="19"/>
        <w:ind w:right="1032"/>
        <w:jc w:val="left"/>
      </w:pPr>
      <w:r>
        <w:rPr>
          <w:spacing w:val="-2"/>
        </w:rPr>
        <w:t>持政策规定的相关条件预计能够收到财政扶持资金，按照应收的金额计量。按照应收金额计量的政府补助应同时符合以下条</w:t>
      </w:r>
      <w:r>
        <w:rPr>
          <w:spacing w:val="-64"/>
        </w:rPr>
        <w:t> </w:t>
      </w:r>
      <w:r>
        <w:rPr>
          <w:spacing w:val="-64"/>
        </w:rPr>
      </w:r>
      <w:r>
        <w:rPr/>
        <w:t>件：（</w:t>
      </w:r>
      <w:r>
        <w:rPr>
          <w:rFonts w:ascii="宋体" w:hAnsi="宋体" w:cs="宋体" w:eastAsia="宋体" w:hint="default"/>
        </w:rPr>
        <w:t>1</w:t>
      </w:r>
      <w:r>
        <w:rPr/>
        <w:t>）应收补助款的金额已经过有权政府部门发文确认，或者可根据正式发布的财政资金管理办法的有关规定自行合理</w:t>
      </w:r>
      <w:r>
        <w:rPr>
          <w:spacing w:val="-83"/>
        </w:rPr>
        <w:t> </w:t>
      </w:r>
      <w:r>
        <w:rPr>
          <w:spacing w:val="-83"/>
        </w:rPr>
      </w:r>
      <w:r>
        <w:rPr/>
        <w:t>测算，且预计其金额不存在重大不确定性；（</w:t>
      </w:r>
      <w:r>
        <w:rPr>
          <w:rFonts w:ascii="宋体" w:hAnsi="宋体" w:cs="宋体" w:eastAsia="宋体" w:hint="default"/>
        </w:rPr>
        <w:t>2</w:t>
      </w:r>
      <w:r>
        <w:rPr/>
        <w:t>）所依据的是当地财政部门正式发布并按照《政府信息公开条例》的规定予</w:t>
      </w:r>
      <w:r>
        <w:rPr>
          <w:spacing w:val="-83"/>
        </w:rPr>
        <w:t> </w:t>
      </w:r>
      <w:r>
        <w:rPr>
          <w:spacing w:val="-83"/>
        </w:rPr>
      </w:r>
      <w:r>
        <w:rPr/>
        <w:t>以主动公开的财政扶持项目及其财政资金管理办法，且该管理办法应当是普惠性的（任何符合规定条件的企业均可申请）， 而不是专门针对特定企业制定的；（</w:t>
      </w:r>
      <w:r>
        <w:rPr>
          <w:rFonts w:ascii="宋体" w:hAnsi="宋体" w:cs="宋体" w:eastAsia="宋体" w:hint="default"/>
        </w:rPr>
        <w:t>3</w:t>
      </w:r>
      <w:r>
        <w:rPr/>
        <w:t>）相关的补助款批文中已明确承诺了拨付期限，且该款项的拨付是有相应财政预算作</w:t>
      </w:r>
      <w:r>
        <w:rPr>
          <w:spacing w:val="-83"/>
        </w:rPr>
        <w:t> </w:t>
      </w:r>
      <w:r>
        <w:rPr>
          <w:spacing w:val="-83"/>
        </w:rPr>
      </w:r>
      <w:r>
        <w:rPr/>
        <w:t>为保障的，因而可以合理保证其可在规定期限内收到；（</w:t>
      </w:r>
      <w:r>
        <w:rPr>
          <w:rFonts w:ascii="宋体" w:hAnsi="宋体" w:cs="宋体" w:eastAsia="宋体" w:hint="default"/>
        </w:rPr>
        <w:t>4</w:t>
      </w:r>
      <w:r>
        <w:rPr/>
        <w:t>）根据本公司和该补助事项的具体情况，应满足的其他相关条件</w:t>
      </w:r>
    </w:p>
    <w:p>
      <w:pPr>
        <w:pStyle w:val="BodyText"/>
        <w:spacing w:line="240" w:lineRule="auto" w:before="19"/>
        <w:ind w:right="0"/>
        <w:jc w:val="left"/>
      </w:pPr>
      <w:r>
        <w:rPr/>
        <w:t>（如有）。</w:t>
      </w:r>
    </w:p>
    <w:p>
      <w:pPr>
        <w:pStyle w:val="BodyText"/>
        <w:spacing w:line="319" w:lineRule="auto" w:before="76"/>
        <w:ind w:right="1131" w:firstLine="464"/>
        <w:jc w:val="both"/>
      </w:pPr>
      <w:r>
        <w:rPr>
          <w:spacing w:val="-1"/>
        </w:rPr>
        <w:t>与资产相关的政府补助，确认为递延收益，并在相关资产的使用寿命内平均分配计入当期损益或冲减相关资产的账面</w:t>
      </w:r>
      <w:r>
        <w:rPr/>
        <w:t> </w:t>
      </w:r>
      <w:r>
        <w:rPr>
          <w:spacing w:val="-2"/>
        </w:rPr>
        <w:t>价值。与收益相关的政府补助，用于补偿以后期间的相关费用和损失的，确认为递延收益，并在确认相关费用的期间计入当</w:t>
      </w:r>
      <w:r>
        <w:rPr>
          <w:spacing w:val="-66"/>
        </w:rPr>
        <w:t> </w:t>
      </w:r>
      <w:r>
        <w:rPr>
          <w:spacing w:val="-66"/>
        </w:rPr>
      </w:r>
      <w:r>
        <w:rPr/>
        <w:t>期损益或冲减相关成本费用；用于补偿已经发生的相关费用和损失的，直接计入当期损益。</w:t>
      </w:r>
    </w:p>
    <w:p>
      <w:pPr>
        <w:pStyle w:val="BodyText"/>
        <w:spacing w:line="316" w:lineRule="auto" w:before="17"/>
        <w:ind w:right="1133" w:firstLine="464"/>
        <w:jc w:val="both"/>
      </w:pPr>
      <w:r>
        <w:rPr>
          <w:spacing w:val="-1"/>
        </w:rPr>
        <w:t>同时包含与资产相关部分和与收益相关部分的政府补助，区分不同部分分别进行会计处理；难以区分的，将其整体归</w:t>
      </w:r>
      <w:r>
        <w:rPr/>
        <w:t> 类为与收益相关的政府补助。</w:t>
      </w:r>
    </w:p>
    <w:p>
      <w:pPr>
        <w:pStyle w:val="BodyText"/>
        <w:spacing w:line="316" w:lineRule="auto" w:before="19"/>
        <w:ind w:right="1130" w:firstLine="464"/>
        <w:jc w:val="both"/>
      </w:pPr>
      <w:r>
        <w:rPr>
          <w:spacing w:val="-1"/>
        </w:rPr>
        <w:t>与本公司日常活动相关的政府补助，按照经济业务的实质，计入其他收益；与日常活动无关的政府补助，计入营业外</w:t>
      </w:r>
      <w:r>
        <w:rPr/>
        <w:t> 收支。</w:t>
      </w:r>
    </w:p>
    <w:p>
      <w:pPr>
        <w:pStyle w:val="BodyText"/>
        <w:spacing w:line="316" w:lineRule="auto" w:before="19"/>
        <w:ind w:right="1043" w:firstLine="464"/>
        <w:jc w:val="both"/>
      </w:pPr>
      <w:r>
        <w:rPr/>
        <w:t>已确认的政府补助需要返还时，存在相关递延收益余额的，冲减相关递延收益账面余额，超出部分计入当期损益或对 </w:t>
      </w:r>
      <w:r>
        <w:rPr>
          <w:spacing w:val="-4"/>
        </w:rPr>
        <w:t>初始确认时冲减相关资产账面价值的与资产相关的政府补助调整资产账面价值；不存在相关递延收益的，直接计入当期损益。</w:t>
      </w:r>
    </w:p>
    <w:p>
      <w:pPr>
        <w:spacing w:line="240" w:lineRule="auto" w:before="7"/>
        <w:rPr>
          <w:rFonts w:ascii="宋体" w:hAnsi="宋体" w:cs="宋体" w:eastAsia="宋体" w:hint="default"/>
          <w:sz w:val="22"/>
          <w:szCs w:val="22"/>
        </w:rPr>
      </w:pPr>
    </w:p>
    <w:p>
      <w:pPr>
        <w:pStyle w:val="Heading3"/>
        <w:spacing w:line="240" w:lineRule="auto"/>
        <w:ind w:right="0"/>
        <w:jc w:val="left"/>
        <w:rPr>
          <w:b w:val="0"/>
          <w:bCs w:val="0"/>
        </w:rPr>
      </w:pPr>
      <w:bookmarkStart w:name="26、递延所得税资产/递延所得税负债" w:id="208"/>
      <w:bookmarkEnd w:id="208"/>
      <w:r>
        <w:rPr>
          <w:b w:val="0"/>
          <w:bCs w:val="0"/>
        </w:rPr>
      </w:r>
      <w:r>
        <w:rPr>
          <w:rFonts w:ascii="Times New Roman" w:hAnsi="Times New Roman" w:cs="Times New Roman" w:eastAsia="Times New Roman" w:hint="default"/>
        </w:rPr>
        <w:t>26</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618" w:right="1032"/>
        <w:jc w:val="left"/>
      </w:pPr>
      <w:r>
        <w:rPr/>
        <w:t>（</w:t>
      </w:r>
      <w:r>
        <w:rPr>
          <w:rFonts w:ascii="宋体" w:hAnsi="宋体" w:cs="宋体" w:eastAsia="宋体" w:hint="default"/>
        </w:rPr>
        <w:t>1</w:t>
      </w:r>
      <w:r>
        <w:rPr/>
        <w:t>）当期所得税 </w:t>
      </w:r>
      <w:r>
        <w:rPr>
          <w:spacing w:val="-2"/>
        </w:rPr>
        <w:t>资产负债表日，对于当期和以前期间形成的当期所得税负债（或资产），以按照税法规定计算的预期应交纳（或返还）</w:t>
      </w:r>
    </w:p>
    <w:p>
      <w:pPr>
        <w:pStyle w:val="BodyText"/>
        <w:spacing w:line="316" w:lineRule="auto" w:before="19"/>
        <w:ind w:right="1118"/>
        <w:jc w:val="left"/>
      </w:pPr>
      <w:r>
        <w:rPr>
          <w:spacing w:val="-2"/>
        </w:rPr>
        <w:t>的所得税金额计量。计算当期所得税费用所依据的应纳税所得额系根据有关税法规定对本年度税前会计利润作相应调整后计</w:t>
      </w:r>
      <w:r>
        <w:rPr>
          <w:spacing w:val="-63"/>
        </w:rPr>
        <w:t> </w:t>
      </w:r>
      <w:r>
        <w:rPr>
          <w:spacing w:val="-63"/>
        </w:rPr>
      </w:r>
      <w:r>
        <w:rPr/>
        <w:t>算得出。</w:t>
      </w:r>
    </w:p>
    <w:p>
      <w:pPr>
        <w:pStyle w:val="BodyText"/>
        <w:spacing w:line="316" w:lineRule="auto" w:before="19"/>
        <w:ind w:left="618" w:right="0"/>
        <w:jc w:val="left"/>
      </w:pPr>
      <w:r>
        <w:rPr/>
        <w:t>（</w:t>
      </w:r>
      <w:r>
        <w:rPr>
          <w:rFonts w:ascii="宋体" w:hAnsi="宋体" w:cs="宋体" w:eastAsia="宋体" w:hint="default"/>
        </w:rPr>
        <w:t>2</w:t>
      </w:r>
      <w:r>
        <w:rPr/>
        <w:t>）递延所得税资产及递延所得税负债 </w:t>
      </w:r>
      <w:r>
        <w:rPr>
          <w:spacing w:val="-1"/>
        </w:rPr>
        <w:t>某些资产、负债项目的账面价值与其计税基础之间的差额，以及未作为资产和负债确认但按照税法规定可以确定其计</w:t>
      </w:r>
    </w:p>
    <w:p>
      <w:pPr>
        <w:pStyle w:val="BodyText"/>
        <w:spacing w:line="316" w:lineRule="auto" w:before="19"/>
        <w:ind w:right="1118"/>
        <w:jc w:val="left"/>
      </w:pPr>
      <w:r>
        <w:rPr>
          <w:spacing w:val="-2"/>
        </w:rPr>
        <w:t>税基础的项目的账面价值与计税基础之间的差额产生的暂时性差异，采用资产负债表债务法确认递延所得税资产及递延所得</w:t>
      </w:r>
      <w:r>
        <w:rPr>
          <w:spacing w:val="-64"/>
        </w:rPr>
        <w:t> </w:t>
      </w:r>
      <w:r>
        <w:rPr>
          <w:spacing w:val="-64"/>
        </w:rPr>
      </w:r>
      <w:r>
        <w:rPr/>
        <w:t>税负债。</w:t>
      </w:r>
    </w:p>
    <w:p>
      <w:pPr>
        <w:pStyle w:val="BodyText"/>
        <w:spacing w:line="316" w:lineRule="auto" w:before="19"/>
        <w:ind w:right="1131" w:firstLine="464"/>
        <w:jc w:val="both"/>
      </w:pPr>
      <w:r>
        <w:rPr>
          <w:spacing w:val="-1"/>
        </w:rPr>
        <w:t>与商誉的初始确认有关，以及与既不是企业合并、发生时也不影响会计利润和应纳税所得额（或可抵扣亏损）的交易</w:t>
      </w:r>
      <w:r>
        <w:rPr/>
        <w:t> </w:t>
      </w:r>
      <w:r>
        <w:rPr>
          <w:spacing w:val="-2"/>
        </w:rPr>
        <w:t>中产生的资产或负债的初始确认有关的应纳税暂时性差异，不予确认有关的递延所得税负债。此外，对与子公司、联营企业</w:t>
      </w:r>
      <w:r>
        <w:rPr>
          <w:spacing w:val="-66"/>
        </w:rPr>
        <w:t> </w:t>
      </w:r>
      <w:r>
        <w:rPr>
          <w:spacing w:val="-66"/>
        </w:rPr>
      </w:r>
      <w:r>
        <w:rPr>
          <w:spacing w:val="-2"/>
        </w:rPr>
        <w:t>及合营企业投资相关的应纳税暂时性差异，如果本公司能够控制暂时性差异转回的时间，而且该暂时性差异在可预见的未来</w:t>
      </w:r>
      <w:r>
        <w:rPr>
          <w:spacing w:val="-64"/>
        </w:rPr>
        <w:t> </w:t>
      </w:r>
      <w:r>
        <w:rPr>
          <w:spacing w:val="-64"/>
        </w:rPr>
      </w:r>
      <w:r>
        <w:rPr>
          <w:spacing w:val="-2"/>
        </w:rPr>
        <w:t>很可能不会转回，也不予确认有关的递延所得税负债。除上述例外情况，本公司确认其他所有应纳税暂时性差异产生的递延</w:t>
      </w:r>
      <w:r>
        <w:rPr>
          <w:spacing w:val="-66"/>
        </w:rPr>
        <w:t> </w:t>
      </w:r>
      <w:r>
        <w:rPr>
          <w:spacing w:val="-66"/>
        </w:rPr>
      </w:r>
      <w:r>
        <w:rPr/>
        <w:t>所得税负债。</w:t>
      </w:r>
    </w:p>
    <w:p>
      <w:pPr>
        <w:spacing w:after="0" w:line="316" w:lineRule="auto"/>
        <w:jc w:val="both"/>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9" w:lineRule="auto" w:before="44"/>
        <w:ind w:right="1130" w:firstLine="464"/>
        <w:jc w:val="both"/>
      </w:pPr>
      <w:r>
        <w:rPr>
          <w:spacing w:val="-1"/>
        </w:rPr>
        <w:t>与既不是企业合并、发生时也不影响会计利润和应纳税所得额（或可抵扣亏损）的交易中产生的资产或负债的初始确</w:t>
      </w:r>
      <w:r>
        <w:rPr/>
        <w:t> </w:t>
      </w:r>
      <w:r>
        <w:rPr>
          <w:spacing w:val="-2"/>
        </w:rPr>
        <w:t>认有关的可抵扣暂时性差异，不予确认有关的递延所得税资产。此外，对与子公司、联营企业及合营企业投资相关的可抵扣</w:t>
      </w:r>
      <w:r>
        <w:rPr>
          <w:spacing w:val="-66"/>
        </w:rPr>
        <w:t> </w:t>
      </w:r>
      <w:r>
        <w:rPr>
          <w:spacing w:val="-66"/>
        </w:rPr>
      </w:r>
      <w:r>
        <w:rPr>
          <w:spacing w:val="-2"/>
        </w:rPr>
        <w:t>暂时性差异，如果暂时性差异在可预见的未来不是很可能转回，或者未来不是很可能获得用来抵扣可抵扣暂时性差异的应纳</w:t>
      </w:r>
      <w:r>
        <w:rPr>
          <w:spacing w:val="-63"/>
        </w:rPr>
        <w:t> </w:t>
      </w:r>
      <w:r>
        <w:rPr>
          <w:spacing w:val="-63"/>
        </w:rPr>
      </w:r>
      <w:r>
        <w:rPr>
          <w:spacing w:val="-2"/>
        </w:rPr>
        <w:t>税所得额，不予确认有关的递延所得税资产。除上述例外情况，本公司以很可能取得用来抵扣可抵扣暂时性差异的应纳税所</w:t>
      </w:r>
      <w:r>
        <w:rPr>
          <w:spacing w:val="-66"/>
        </w:rPr>
        <w:t> </w:t>
      </w:r>
      <w:r>
        <w:rPr>
          <w:spacing w:val="-66"/>
        </w:rPr>
      </w:r>
      <w:r>
        <w:rPr/>
        <w:t>得额为限，确认其他可抵扣暂时性差异产生的递延所得税资产。</w:t>
      </w:r>
    </w:p>
    <w:p>
      <w:pPr>
        <w:pStyle w:val="BodyText"/>
        <w:spacing w:line="316" w:lineRule="auto" w:before="17"/>
        <w:ind w:right="1131" w:firstLine="464"/>
        <w:jc w:val="both"/>
      </w:pPr>
      <w:r>
        <w:rPr>
          <w:spacing w:val="-1"/>
        </w:rPr>
        <w:t>对于能够结转以后年度的可抵扣亏损和税款抵减，以很可能获得用来抵扣可抵扣亏损和税款抵减的未来应纳税所得额</w:t>
      </w:r>
      <w:r>
        <w:rPr/>
        <w:t> 为限，确认相应的递延所得税资产。</w:t>
      </w:r>
    </w:p>
    <w:p>
      <w:pPr>
        <w:pStyle w:val="BodyText"/>
        <w:spacing w:line="316" w:lineRule="auto" w:before="19"/>
        <w:ind w:right="1133" w:firstLine="464"/>
        <w:jc w:val="both"/>
      </w:pPr>
      <w:r>
        <w:rPr>
          <w:spacing w:val="-1"/>
        </w:rPr>
        <w:t>资产负债表日，对于递延所得税资产和递延所得税负债，根据税法规定，按照预期收回相关资产或清偿相关负债期间</w:t>
      </w:r>
      <w:r>
        <w:rPr/>
        <w:t> 的适用税率计量。</w:t>
      </w:r>
    </w:p>
    <w:p>
      <w:pPr>
        <w:pStyle w:val="BodyText"/>
        <w:spacing w:line="316" w:lineRule="auto" w:before="19"/>
        <w:ind w:right="1132" w:firstLine="464"/>
        <w:jc w:val="both"/>
      </w:pPr>
      <w:r>
        <w:rPr>
          <w:spacing w:val="-1"/>
        </w:rPr>
        <w:t>于资产负债表日，对递延所得税资产的账面价值进行复核，如果未来很可能无法获得足够的应纳税所得额用以抵扣递</w:t>
      </w:r>
      <w:r>
        <w:rPr/>
        <w:t> 延所得税资产的利益，则减记递延所得税资产的账面价值。在很可能获得足够的应纳税所得额时，减记的金额予以转回。</w:t>
      </w:r>
    </w:p>
    <w:p>
      <w:pPr>
        <w:pStyle w:val="BodyText"/>
        <w:spacing w:line="316" w:lineRule="auto" w:before="19"/>
        <w:ind w:left="618" w:right="6868"/>
        <w:jc w:val="left"/>
      </w:pPr>
      <w:r>
        <w:rPr/>
        <w:t>（</w:t>
      </w:r>
      <w:r>
        <w:rPr>
          <w:rFonts w:ascii="宋体" w:hAnsi="宋体" w:cs="宋体" w:eastAsia="宋体" w:hint="default"/>
        </w:rPr>
        <w:t>3</w:t>
      </w:r>
      <w:r>
        <w:rPr/>
        <w:t>）所得税费用 所得税费用包括当期所得税和递延所得税。</w:t>
      </w:r>
    </w:p>
    <w:p>
      <w:pPr>
        <w:pStyle w:val="BodyText"/>
        <w:spacing w:line="316" w:lineRule="auto" w:before="19"/>
        <w:ind w:right="1130" w:firstLine="464"/>
        <w:jc w:val="both"/>
      </w:pPr>
      <w:r>
        <w:rPr>
          <w:spacing w:val="2"/>
        </w:rPr>
        <w:t>除确认为其他综合收益或直接计入股东权益的交易和事项相关的当期所得税和递延所得税计入其他综合收益或股东</w:t>
      </w:r>
      <w:r>
        <w:rPr/>
        <w:t> 权益，以及企业合并产生的递延所得税调整商誉的账面价值外，其余当期所得税和递延所得税费用或收益计入当期损益。</w:t>
      </w:r>
    </w:p>
    <w:p>
      <w:pPr>
        <w:pStyle w:val="BodyText"/>
        <w:spacing w:line="316" w:lineRule="auto" w:before="19"/>
        <w:ind w:left="618" w:right="0"/>
        <w:jc w:val="left"/>
      </w:pPr>
      <w:r>
        <w:rPr/>
        <w:t>（</w:t>
      </w:r>
      <w:r>
        <w:rPr>
          <w:rFonts w:ascii="宋体" w:hAnsi="宋体" w:cs="宋体" w:eastAsia="宋体" w:hint="default"/>
        </w:rPr>
        <w:t>4</w:t>
      </w:r>
      <w:r>
        <w:rPr/>
        <w:t>）所得税的抵销 </w:t>
      </w:r>
      <w:r>
        <w:rPr>
          <w:spacing w:val="-1"/>
        </w:rPr>
        <w:t>当拥有以净额结算的法定权利，且意图以净额结算或取得资产、清偿负债同时进行时，本公司当期所得税资产及当期</w:t>
      </w:r>
    </w:p>
    <w:p>
      <w:pPr>
        <w:pStyle w:val="BodyText"/>
        <w:spacing w:line="316" w:lineRule="auto" w:before="19"/>
        <w:ind w:left="618" w:right="0" w:hanging="465"/>
        <w:jc w:val="left"/>
      </w:pPr>
      <w:r>
        <w:rPr/>
        <w:t>所得税负债以抵销后的净额列报。 </w:t>
      </w:r>
      <w:r>
        <w:rPr>
          <w:spacing w:val="-1"/>
        </w:rPr>
        <w:t>当拥有以净额结算当期所得税资产及当期所得税负债的法定权利，且递延所得税资产及递延所得税负债是与同一税收</w:t>
      </w:r>
    </w:p>
    <w:p>
      <w:pPr>
        <w:pStyle w:val="BodyText"/>
        <w:spacing w:line="316" w:lineRule="auto" w:before="19"/>
        <w:ind w:right="1131"/>
        <w:jc w:val="both"/>
      </w:pPr>
      <w:r>
        <w:rPr>
          <w:spacing w:val="-2"/>
        </w:rPr>
        <w:t>征管部门对同一纳税主体征收的所得税相关或者是对不同的纳税主体相关，但在未来每一具有重要性的递延所得税资产及负</w:t>
      </w:r>
      <w:r>
        <w:rPr>
          <w:spacing w:val="-64"/>
        </w:rPr>
        <w:t> </w:t>
      </w:r>
      <w:r>
        <w:rPr>
          <w:spacing w:val="-64"/>
        </w:rPr>
      </w:r>
      <w:r>
        <w:rPr>
          <w:spacing w:val="-2"/>
        </w:rPr>
        <w:t>债转回的期间内，涉及的纳税主体意图以净额结算当期所得税资产和负债或是同时取得资产、清偿负债时，本公司递延所得</w:t>
      </w:r>
      <w:r>
        <w:rPr>
          <w:spacing w:val="-66"/>
        </w:rPr>
        <w:t> </w:t>
      </w:r>
      <w:r>
        <w:rPr>
          <w:spacing w:val="-66"/>
        </w:rPr>
      </w:r>
      <w:r>
        <w:rPr/>
        <w:t>税资产及递延所得税负债以抵销后的净额列报。</w:t>
      </w:r>
    </w:p>
    <w:p>
      <w:pPr>
        <w:spacing w:line="240" w:lineRule="auto" w:before="7"/>
        <w:rPr>
          <w:rFonts w:ascii="宋体" w:hAnsi="宋体" w:cs="宋体" w:eastAsia="宋体" w:hint="default"/>
          <w:sz w:val="22"/>
          <w:szCs w:val="22"/>
        </w:rPr>
      </w:pPr>
    </w:p>
    <w:p>
      <w:pPr>
        <w:pStyle w:val="Heading3"/>
        <w:spacing w:line="240" w:lineRule="auto"/>
        <w:ind w:right="0"/>
        <w:jc w:val="left"/>
        <w:rPr>
          <w:b w:val="0"/>
          <w:bCs w:val="0"/>
        </w:rPr>
      </w:pPr>
      <w:bookmarkStart w:name="27、租赁" w:id="209"/>
      <w:bookmarkEnd w:id="209"/>
      <w:r>
        <w:rPr>
          <w:b w:val="0"/>
          <w:bCs w:val="0"/>
        </w:rPr>
      </w:r>
      <w:r>
        <w:rPr>
          <w:rFonts w:ascii="Times New Roman" w:hAnsi="Times New Roman" w:cs="Times New Roman" w:eastAsia="Times New Roman" w:hint="default"/>
        </w:rPr>
        <w:t>27</w:t>
      </w:r>
      <w:r>
        <w:rPr/>
        <w:t>、租赁</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经营租赁的会计处理方法" w:id="210"/>
      <w:bookmarkEnd w:id="210"/>
      <w:r>
        <w:rPr>
          <w:b w:val="0"/>
          <w:bCs w:val="0"/>
        </w:rPr>
      </w:r>
      <w:r>
        <w:rPr/>
        <w:t>（</w:t>
      </w:r>
      <w:r>
        <w:rPr>
          <w:rFonts w:ascii="Times New Roman" w:hAnsi="Times New Roman" w:cs="Times New Roman" w:eastAsia="Times New Roman" w:hint="default"/>
        </w:rPr>
        <w:t>1</w:t>
      </w:r>
      <w:r>
        <w:rPr/>
        <w:t>）经营租赁的会计处理方法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0" w:firstLine="360"/>
        <w:jc w:val="left"/>
      </w:pPr>
      <w:r>
        <w:rPr>
          <w:spacing w:val="-2"/>
        </w:rPr>
        <w:t>融资租赁为实质上转移了与资产所有权有关的全部风险和报酬的租赁，其所有权最终可能转移，也可能不转移。融资租</w:t>
      </w:r>
      <w:r>
        <w:rPr/>
        <w:t> 赁以外的其他租赁为经营租赁。</w:t>
      </w:r>
    </w:p>
    <w:p>
      <w:pPr>
        <w:pStyle w:val="BodyText"/>
        <w:spacing w:line="300" w:lineRule="auto" w:before="19"/>
        <w:ind w:left="514" w:right="0"/>
        <w:jc w:val="left"/>
      </w:pPr>
      <w:r>
        <w:rPr>
          <w:rFonts w:ascii="Times New Roman" w:hAnsi="Times New Roman" w:cs="Times New Roman" w:eastAsia="Times New Roman" w:hint="default"/>
        </w:rPr>
        <w:t>1</w:t>
      </w:r>
      <w:r>
        <w:rPr/>
        <w:t>）本公司作为承租人记录经营租赁业务 </w:t>
      </w:r>
      <w:r>
        <w:rPr>
          <w:spacing w:val="-2"/>
        </w:rPr>
        <w:t>经营租赁的租金支出在租赁期内的各个期间按直线法计入相关资产成本或当期损益。初始直接费用计入当期损益。或有</w:t>
      </w:r>
    </w:p>
    <w:p>
      <w:pPr>
        <w:pStyle w:val="BodyText"/>
        <w:spacing w:line="240" w:lineRule="auto" w:before="31"/>
        <w:ind w:right="0"/>
        <w:jc w:val="left"/>
      </w:pPr>
      <w:r>
        <w:rPr/>
        <w:t>租金于实际发生时计入当期损益。</w:t>
      </w:r>
    </w:p>
    <w:p>
      <w:pPr>
        <w:pStyle w:val="BodyText"/>
        <w:spacing w:line="300" w:lineRule="auto" w:before="76"/>
        <w:ind w:left="514" w:right="0"/>
        <w:jc w:val="left"/>
      </w:pPr>
      <w:r>
        <w:rPr>
          <w:rFonts w:ascii="Times New Roman" w:hAnsi="Times New Roman" w:cs="Times New Roman" w:eastAsia="Times New Roman" w:hint="default"/>
        </w:rPr>
        <w:t>2</w:t>
      </w:r>
      <w:r>
        <w:rPr/>
        <w:t>）本公司作为出租人记录经营租赁业务 经营租赁的租金收入在租赁期内的各个期间按直线法确认为当期损益。对金额较大的初始直接费用于发生时予以资本</w:t>
      </w:r>
    </w:p>
    <w:p>
      <w:pPr>
        <w:pStyle w:val="BodyText"/>
        <w:spacing w:line="316" w:lineRule="auto" w:before="31"/>
        <w:ind w:right="0"/>
        <w:jc w:val="left"/>
      </w:pPr>
      <w:r>
        <w:rPr>
          <w:spacing w:val="-2"/>
        </w:rPr>
        <w:t>化，在整个租赁期间内按照与确认租金收入相同的基础分期计入当期损益；其他金额较小的初始直接费用于发生时计入当期</w:t>
      </w:r>
      <w:r>
        <w:rPr>
          <w:spacing w:val="-64"/>
        </w:rPr>
        <w:t> </w:t>
      </w:r>
      <w:r>
        <w:rPr>
          <w:spacing w:val="-64"/>
        </w:rPr>
      </w:r>
      <w:r>
        <w:rPr/>
        <w:t>损益。或有租金于实际发生时计入当期损益。</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35"/>
        <w:ind w:right="0"/>
        <w:jc w:val="left"/>
        <w:rPr>
          <w:b w:val="0"/>
          <w:bCs w:val="0"/>
        </w:rPr>
      </w:pPr>
      <w:bookmarkStart w:name="（2）融资租赁的会计处理方法" w:id="211"/>
      <w:bookmarkEnd w:id="211"/>
      <w:r>
        <w:rPr>
          <w:b w:val="0"/>
          <w:bCs w:val="0"/>
        </w:rPr>
      </w:r>
      <w:r>
        <w:rPr/>
        <w:t>（</w:t>
      </w:r>
      <w:r>
        <w:rPr>
          <w:rFonts w:ascii="Times New Roman" w:hAnsi="Times New Roman" w:cs="Times New Roman" w:eastAsia="Times New Roman" w:hint="default"/>
        </w:rPr>
        <w:t>2</w:t>
      </w:r>
      <w:r>
        <w:rPr/>
        <w:t>）融资租赁的会计处理方法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left="514" w:right="0"/>
        <w:jc w:val="left"/>
      </w:pPr>
      <w:r>
        <w:rPr>
          <w:rFonts w:ascii="Times New Roman" w:hAnsi="Times New Roman" w:cs="Times New Roman" w:eastAsia="Times New Roman" w:hint="default"/>
        </w:rPr>
        <w:t>1</w:t>
      </w:r>
      <w:r>
        <w:rPr/>
        <w:t>）本公司作为承租人记录融资租赁业务 </w:t>
      </w:r>
      <w:r>
        <w:rPr>
          <w:spacing w:val="-2"/>
        </w:rPr>
        <w:t>于租赁期开始日，将租赁开始日租赁资产的公允价值与最低租赁付款额现值两者中较低者作为租入资产的入账价值，将</w:t>
      </w:r>
    </w:p>
    <w:p>
      <w:pPr>
        <w:pStyle w:val="BodyText"/>
        <w:spacing w:line="316" w:lineRule="auto" w:before="31"/>
        <w:ind w:right="0"/>
        <w:jc w:val="left"/>
      </w:pPr>
      <w:r>
        <w:rPr>
          <w:spacing w:val="-4"/>
        </w:rPr>
        <w:t>最低租赁付款额作为长期应付款的入账价值，其差额作为未确认融资费用。此外，在租赁谈判和签订租赁合同过程中发生的，</w:t>
      </w:r>
      <w:r>
        <w:rPr>
          <w:spacing w:val="-44"/>
        </w:rPr>
        <w:t> </w:t>
      </w:r>
      <w:r>
        <w:rPr>
          <w:spacing w:val="-44"/>
        </w:rPr>
      </w:r>
      <w:r>
        <w:rPr>
          <w:spacing w:val="-2"/>
        </w:rPr>
        <w:t>可归属于租赁项目的初始直接费用也计入租入资产价值。最低租赁付款额扣除未确认融资费用后的余额分别长期负债和一年</w:t>
      </w:r>
      <w:r>
        <w:rPr>
          <w:spacing w:val="-64"/>
        </w:rPr>
        <w:t> </w:t>
      </w:r>
      <w:r>
        <w:rPr>
          <w:spacing w:val="-64"/>
        </w:rPr>
      </w:r>
      <w:r>
        <w:rPr/>
        <w:t>内到期的长期负债列示。</w:t>
      </w:r>
    </w:p>
    <w:p>
      <w:pPr>
        <w:spacing w:after="0" w:line="316"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09" w:lineRule="auto" w:before="44"/>
        <w:ind w:left="514" w:right="0"/>
        <w:jc w:val="left"/>
      </w:pPr>
      <w:r>
        <w:rPr/>
        <w:t>未确认融资费用在租赁期内采用实际利率法计算确认当期的融资费用。或有租金于实际发生时计入当期损益。 </w:t>
      </w:r>
      <w:r>
        <w:rPr>
          <w:rFonts w:ascii="Times New Roman" w:hAnsi="Times New Roman" w:cs="Times New Roman" w:eastAsia="Times New Roman" w:hint="default"/>
        </w:rPr>
        <w:t>2</w:t>
      </w:r>
      <w:r>
        <w:rPr/>
        <w:t>）本公司作为出租人记录融资租赁业务 </w:t>
      </w:r>
      <w:r>
        <w:rPr>
          <w:spacing w:val="-2"/>
        </w:rPr>
        <w:t>于租赁期开始日，将租赁开始日最低租赁收款额与初始直接费用之和作为应收融资租赁款的入账价值，同时记录未担保</w:t>
      </w:r>
    </w:p>
    <w:p>
      <w:pPr>
        <w:pStyle w:val="BodyText"/>
        <w:spacing w:line="319" w:lineRule="auto" w:before="24"/>
        <w:ind w:right="0"/>
        <w:jc w:val="left"/>
      </w:pPr>
      <w:r>
        <w:rPr>
          <w:spacing w:val="-2"/>
        </w:rPr>
        <w:t>余值；将最低租赁收款额、初始直接费用及未担保余值之和与其现值之和的差额确认为未实现融资收益。应收融资租赁款扣</w:t>
      </w:r>
      <w:r>
        <w:rPr>
          <w:spacing w:val="-66"/>
        </w:rPr>
        <w:t> </w:t>
      </w:r>
      <w:r>
        <w:rPr>
          <w:spacing w:val="-66"/>
        </w:rPr>
      </w:r>
      <w:r>
        <w:rPr/>
        <w:t>除未实现融资收益后的余额分别长期债权和一年内到期的长期债权列示。</w:t>
      </w:r>
    </w:p>
    <w:p>
      <w:pPr>
        <w:pStyle w:val="BodyText"/>
        <w:spacing w:line="240" w:lineRule="auto" w:before="17"/>
        <w:ind w:left="514" w:right="0"/>
        <w:jc w:val="left"/>
      </w:pPr>
      <w:r>
        <w:rPr/>
        <w:t>未实现融资收益在租赁期内采用实际利率法计算确认当期的融资收入。或有租金于实际发生时计入当期损益。</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4"/>
          <w:szCs w:val="14"/>
        </w:rPr>
      </w:pPr>
    </w:p>
    <w:p>
      <w:pPr>
        <w:pStyle w:val="Heading3"/>
        <w:spacing w:line="240" w:lineRule="auto"/>
        <w:ind w:right="0"/>
        <w:jc w:val="left"/>
        <w:rPr>
          <w:b w:val="0"/>
          <w:bCs w:val="0"/>
        </w:rPr>
      </w:pPr>
      <w:bookmarkStart w:name="28、其他重要的会计政策和会计估计" w:id="212"/>
      <w:bookmarkEnd w:id="212"/>
      <w:r>
        <w:rPr>
          <w:b w:val="0"/>
          <w:bCs w:val="0"/>
        </w:rPr>
      </w:r>
      <w:r>
        <w:rPr>
          <w:rFonts w:ascii="Times New Roman" w:hAnsi="Times New Roman" w:cs="Times New Roman" w:eastAsia="Times New Roman" w:hint="default"/>
        </w:rPr>
        <w:t>28</w:t>
      </w:r>
      <w:r>
        <w:rPr/>
        <w:t>、其他重要的会计政策和会计估计</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514" w:right="0"/>
        <w:jc w:val="left"/>
      </w:pPr>
      <w:r>
        <w:rPr/>
        <w:t>本公司无其他主要会计政策、会计估计和财务报表编制方法需要披露。</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bookmarkStart w:name="29、重要会计政策和会计估计变更" w:id="213"/>
      <w:bookmarkEnd w:id="213"/>
      <w:r>
        <w:rPr>
          <w:b w:val="0"/>
          <w:bCs w:val="0"/>
        </w:rPr>
      </w:r>
      <w:r>
        <w:rPr>
          <w:rFonts w:ascii="Times New Roman" w:hAnsi="Times New Roman" w:cs="Times New Roman" w:eastAsia="Times New Roman" w:hint="default"/>
        </w:rPr>
        <w:t>29</w:t>
      </w:r>
      <w:r>
        <w:rPr/>
        <w:t>、重要会计政策和会计估计变更</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重要会计政策变更" w:id="214"/>
      <w:bookmarkEnd w:id="214"/>
      <w:r>
        <w:rPr>
          <w:b w:val="0"/>
          <w:bCs w:val="0"/>
        </w:rPr>
      </w:r>
      <w:r>
        <w:rPr/>
        <w:t>（</w:t>
      </w:r>
      <w:r>
        <w:rPr>
          <w:rFonts w:ascii="Times New Roman" w:hAnsi="Times New Roman" w:cs="Times New Roman" w:eastAsia="Times New Roman" w:hint="default"/>
        </w:rPr>
        <w:t>1</w:t>
      </w:r>
      <w:r>
        <w:rPr/>
        <w:t>）重要会计政策变更</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2"/>
          <w:szCs w:val="22"/>
        </w:rPr>
      </w:pPr>
    </w:p>
    <w:p>
      <w:pPr>
        <w:pStyle w:val="BodyText"/>
        <w:spacing w:line="240" w:lineRule="auto" w:before="44"/>
        <w:ind w:left="0" w:right="1152"/>
        <w:jc w:val="right"/>
      </w:pPr>
      <w:r>
        <w:rPr/>
        <w:pict>
          <v:group style="position:absolute;margin-left:241.279999pt;margin-top:-15.908282pt;width:112.9pt;height:101.45pt;mso-position-horizontal-relative:page;mso-position-vertical-relative:paragraph;z-index:1624" coordorigin="4826,-318" coordsize="2258,2029">
            <v:shape style="position:absolute;left:4826;top:-318;width:2258;height:2029" coordorigin="4826,-318" coordsize="2258,2029" path="m4826,1710l7083,1710,7083,-318,4826,-318,4826,1710xe" filled="true" fillcolor="#ffffff" stroked="false">
              <v:path arrowok="t"/>
              <v:fill type="solid"/>
            </v:shape>
            <w10:wrap type="none"/>
          </v:group>
        </w:pict>
      </w:r>
      <w:r>
        <w:rPr/>
        <w:pict>
          <v:shape style="position:absolute;margin-left:56.459999pt;margin-top:-36.488262pt;width:479.25pt;height:259.1pt;mso-position-horizontal-relative:page;mso-position-vertical-relative:paragraph;z-index:164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687"/>
                    <w:gridCol w:w="2268"/>
                    <w:gridCol w:w="3615"/>
                  </w:tblGrid>
                  <w:tr>
                    <w:trPr>
                      <w:trHeight w:val="402" w:hRule="exact"/>
                    </w:trPr>
                    <w:tc>
                      <w:tcPr>
                        <w:tcW w:w="36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7" w:right="0"/>
                          <w:jc w:val="left"/>
                          <w:rPr>
                            <w:rFonts w:ascii="宋体" w:hAnsi="宋体" w:cs="宋体" w:eastAsia="宋体" w:hint="default"/>
                            <w:sz w:val="18"/>
                            <w:szCs w:val="18"/>
                          </w:rPr>
                        </w:pPr>
                        <w:r>
                          <w:rPr>
                            <w:rFonts w:ascii="宋体" w:hAnsi="宋体" w:cs="宋体" w:eastAsia="宋体" w:hint="default"/>
                            <w:sz w:val="18"/>
                            <w:szCs w:val="18"/>
                          </w:rPr>
                          <w:t>会计政策变更的内容和原因</w:t>
                        </w:r>
                      </w:p>
                    </w:tc>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审批程序</w:t>
                        </w:r>
                      </w:p>
                    </w:tc>
                    <w:tc>
                      <w:tcPr>
                        <w:tcW w:w="3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4770" w:hRule="exact"/>
                    </w:trPr>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财政部于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日发布的《关于修订</w:t>
                        </w:r>
                      </w:p>
                      <w:p>
                        <w:pPr>
                          <w:pStyle w:val="TableParagraph"/>
                          <w:spacing w:line="240" w:lineRule="auto" w:before="61"/>
                          <w:ind w:left="22" w:right="-36"/>
                          <w:jc w:val="left"/>
                          <w:rPr>
                            <w:rFonts w:ascii="宋体" w:hAnsi="宋体" w:cs="宋体" w:eastAsia="宋体" w:hint="default"/>
                            <w:sz w:val="18"/>
                            <w:szCs w:val="18"/>
                          </w:rPr>
                        </w:pPr>
                        <w:r>
                          <w:rPr>
                            <w:rFonts w:ascii="宋体" w:hAnsi="宋体" w:cs="宋体" w:eastAsia="宋体" w:hint="default"/>
                            <w:sz w:val="18"/>
                            <w:szCs w:val="18"/>
                          </w:rPr>
                          <w:t>印发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年度一般企业财务报表格式的通知》</w:t>
                        </w:r>
                      </w:p>
                      <w:p>
                        <w:pPr>
                          <w:pStyle w:val="TableParagraph"/>
                          <w:spacing w:line="300" w:lineRule="auto" w:before="63"/>
                          <w:ind w:left="22" w:right="11"/>
                          <w:jc w:val="left"/>
                          <w:rPr>
                            <w:rFonts w:ascii="宋体" w:hAnsi="宋体" w:cs="宋体" w:eastAsia="宋体" w:hint="default"/>
                            <w:sz w:val="18"/>
                            <w:szCs w:val="18"/>
                          </w:rPr>
                        </w:pPr>
                        <w:r>
                          <w:rPr>
                            <w:rFonts w:ascii="宋体" w:hAnsi="宋体" w:cs="宋体" w:eastAsia="宋体" w:hint="default"/>
                            <w:spacing w:val="-1"/>
                            <w:sz w:val="18"/>
                            <w:szCs w:val="18"/>
                          </w:rPr>
                          <w:t>（财会</w:t>
                        </w:r>
                        <w:r>
                          <w:rPr>
                            <w:rFonts w:ascii="Times New Roman" w:hAnsi="Times New Roman" w:cs="Times New Roman" w:eastAsia="Times New Roman" w:hint="default"/>
                            <w:spacing w:val="-1"/>
                            <w:sz w:val="18"/>
                            <w:szCs w:val="18"/>
                          </w:rPr>
                          <w:t>[2018]15</w:t>
                        </w:r>
                        <w:r>
                          <w:rPr>
                            <w:rFonts w:ascii="Times New Roman" w:hAnsi="Times New Roman" w:cs="Times New Roman" w:eastAsia="Times New Roman" w:hint="default"/>
                            <w:sz w:val="18"/>
                            <w:szCs w:val="18"/>
                          </w:rPr>
                          <w:t> </w:t>
                        </w:r>
                        <w:r>
                          <w:rPr>
                            <w:rFonts w:ascii="宋体" w:hAnsi="宋体" w:cs="宋体" w:eastAsia="宋体" w:hint="default"/>
                            <w:spacing w:val="-10"/>
                            <w:sz w:val="18"/>
                            <w:szCs w:val="18"/>
                          </w:rPr>
                          <w:t>号），对一般企业财务报表格式</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pacing w:val="-2"/>
                            <w:sz w:val="18"/>
                            <w:szCs w:val="18"/>
                          </w:rPr>
                          <w:t>进行了修订。资产负债表中的</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应收票据</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和</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应</w:t>
                        </w:r>
                        <w:r>
                          <w:rPr>
                            <w:rFonts w:ascii="宋体" w:hAnsi="宋体" w:cs="宋体" w:eastAsia="宋体" w:hint="default"/>
                            <w:spacing w:val="-79"/>
                            <w:sz w:val="18"/>
                            <w:szCs w:val="18"/>
                          </w:rPr>
                          <w:t> </w:t>
                        </w:r>
                        <w:r>
                          <w:rPr>
                            <w:rFonts w:ascii="宋体" w:hAnsi="宋体" w:cs="宋体" w:eastAsia="宋体" w:hint="default"/>
                            <w:sz w:val="18"/>
                            <w:szCs w:val="18"/>
                          </w:rPr>
                          <w:t>收账款</w:t>
                        </w:r>
                        <w:r>
                          <w:rPr>
                            <w:rFonts w:ascii="Times New Roman" w:hAnsi="Times New Roman" w:cs="Times New Roman" w:eastAsia="Times New Roman" w:hint="default"/>
                            <w:sz w:val="18"/>
                            <w:szCs w:val="18"/>
                          </w:rPr>
                          <w:t>”</w:t>
                        </w:r>
                        <w:r>
                          <w:rPr>
                            <w:rFonts w:ascii="宋体" w:hAnsi="宋体" w:cs="宋体" w:eastAsia="宋体" w:hint="default"/>
                            <w:sz w:val="18"/>
                            <w:szCs w:val="18"/>
                          </w:rPr>
                          <w:t>合并为</w:t>
                        </w:r>
                        <w:r>
                          <w:rPr>
                            <w:rFonts w:ascii="Times New Roman" w:hAnsi="Times New Roman" w:cs="Times New Roman" w:eastAsia="Times New Roman" w:hint="default"/>
                            <w:sz w:val="18"/>
                            <w:szCs w:val="18"/>
                          </w:rPr>
                          <w:t>“</w:t>
                        </w:r>
                        <w:r>
                          <w:rPr>
                            <w:rFonts w:ascii="宋体" w:hAnsi="宋体" w:cs="宋体" w:eastAsia="宋体" w:hint="default"/>
                            <w:sz w:val="18"/>
                            <w:szCs w:val="18"/>
                          </w:rPr>
                          <w:t>应收票据及应收账款</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应付 票据</w:t>
                        </w:r>
                        <w:r>
                          <w:rPr>
                            <w:rFonts w:ascii="Times New Roman" w:hAnsi="Times New Roman" w:cs="Times New Roman" w:eastAsia="Times New Roman" w:hint="default"/>
                            <w:sz w:val="18"/>
                            <w:szCs w:val="18"/>
                          </w:rPr>
                          <w:t>”</w:t>
                        </w:r>
                        <w:r>
                          <w:rPr>
                            <w:rFonts w:ascii="宋体" w:hAnsi="宋体" w:cs="宋体" w:eastAsia="宋体" w:hint="default"/>
                            <w:sz w:val="18"/>
                            <w:szCs w:val="18"/>
                          </w:rPr>
                          <w:t>和</w:t>
                        </w:r>
                        <w:r>
                          <w:rPr>
                            <w:rFonts w:ascii="Times New Roman" w:hAnsi="Times New Roman" w:cs="Times New Roman" w:eastAsia="Times New Roman" w:hint="default"/>
                            <w:sz w:val="18"/>
                            <w:szCs w:val="18"/>
                          </w:rPr>
                          <w:t>“</w:t>
                        </w:r>
                        <w:r>
                          <w:rPr>
                            <w:rFonts w:ascii="宋体" w:hAnsi="宋体" w:cs="宋体" w:eastAsia="宋体" w:hint="default"/>
                            <w:sz w:val="18"/>
                            <w:szCs w:val="18"/>
                          </w:rPr>
                          <w:t>应付账款</w:t>
                        </w:r>
                        <w:r>
                          <w:rPr>
                            <w:rFonts w:ascii="Times New Roman" w:hAnsi="Times New Roman" w:cs="Times New Roman" w:eastAsia="Times New Roman" w:hint="default"/>
                            <w:sz w:val="18"/>
                            <w:szCs w:val="18"/>
                          </w:rPr>
                          <w:t>”</w:t>
                        </w:r>
                        <w:r>
                          <w:rPr>
                            <w:rFonts w:ascii="宋体" w:hAnsi="宋体" w:cs="宋体" w:eastAsia="宋体" w:hint="default"/>
                            <w:sz w:val="18"/>
                            <w:szCs w:val="18"/>
                          </w:rPr>
                          <w:t>合并列示为</w:t>
                        </w:r>
                        <w:r>
                          <w:rPr>
                            <w:rFonts w:ascii="Times New Roman" w:hAnsi="Times New Roman" w:cs="Times New Roman" w:eastAsia="Times New Roman" w:hint="default"/>
                            <w:sz w:val="18"/>
                            <w:szCs w:val="18"/>
                          </w:rPr>
                          <w:t>“</w:t>
                        </w:r>
                        <w:r>
                          <w:rPr>
                            <w:rFonts w:ascii="宋体" w:hAnsi="宋体" w:cs="宋体" w:eastAsia="宋体" w:hint="default"/>
                            <w:sz w:val="18"/>
                            <w:szCs w:val="18"/>
                          </w:rPr>
                          <w:t>应付票据及应 </w:t>
                        </w:r>
                        <w:r>
                          <w:rPr>
                            <w:rFonts w:ascii="宋体" w:hAnsi="宋体" w:cs="宋体" w:eastAsia="宋体" w:hint="default"/>
                            <w:spacing w:val="-4"/>
                            <w:w w:val="100"/>
                            <w:sz w:val="18"/>
                            <w:szCs w:val="18"/>
                          </w:rPr>
                          <w:t>付账款</w:t>
                        </w:r>
                        <w:r>
                          <w:rPr>
                            <w:rFonts w:ascii="Times New Roman" w:hAnsi="Times New Roman" w:cs="Times New Roman" w:eastAsia="Times New Roman" w:hint="default"/>
                            <w:spacing w:val="-4"/>
                            <w:w w:val="100"/>
                            <w:sz w:val="18"/>
                            <w:szCs w:val="18"/>
                          </w:rPr>
                          <w:t>”</w:t>
                        </w:r>
                        <w:r>
                          <w:rPr>
                            <w:rFonts w:ascii="宋体" w:hAnsi="宋体" w:cs="宋体" w:eastAsia="宋体" w:hint="default"/>
                            <w:spacing w:val="-4"/>
                            <w:w w:val="100"/>
                            <w:sz w:val="18"/>
                            <w:szCs w:val="18"/>
                          </w:rPr>
                          <w:t>；</w:t>
                        </w:r>
                        <w:r>
                          <w:rPr>
                            <w:rFonts w:ascii="Times New Roman" w:hAnsi="Times New Roman" w:cs="Times New Roman" w:eastAsia="Times New Roman" w:hint="default"/>
                            <w:spacing w:val="-4"/>
                            <w:w w:val="100"/>
                            <w:sz w:val="18"/>
                            <w:szCs w:val="18"/>
                          </w:rPr>
                          <w:t>“</w:t>
                        </w:r>
                        <w:r>
                          <w:rPr>
                            <w:rFonts w:ascii="宋体" w:hAnsi="宋体" w:cs="宋体" w:eastAsia="宋体" w:hint="default"/>
                            <w:spacing w:val="-4"/>
                            <w:w w:val="100"/>
                            <w:sz w:val="18"/>
                            <w:szCs w:val="18"/>
                          </w:rPr>
                          <w:t>应收利息</w:t>
                        </w:r>
                        <w:r>
                          <w:rPr>
                            <w:rFonts w:ascii="Times New Roman" w:hAnsi="Times New Roman" w:cs="Times New Roman" w:eastAsia="Times New Roman" w:hint="default"/>
                            <w:spacing w:val="-4"/>
                            <w:w w:val="100"/>
                            <w:sz w:val="18"/>
                            <w:szCs w:val="18"/>
                          </w:rPr>
                          <w:t>”</w:t>
                        </w:r>
                        <w:r>
                          <w:rPr>
                            <w:rFonts w:ascii="宋体" w:hAnsi="宋体" w:cs="宋体" w:eastAsia="宋体" w:hint="default"/>
                            <w:spacing w:val="-4"/>
                            <w:w w:val="100"/>
                            <w:sz w:val="18"/>
                            <w:szCs w:val="18"/>
                          </w:rPr>
                          <w:t>和</w:t>
                        </w:r>
                        <w:r>
                          <w:rPr>
                            <w:rFonts w:ascii="Times New Roman" w:hAnsi="Times New Roman" w:cs="Times New Roman" w:eastAsia="Times New Roman" w:hint="default"/>
                            <w:spacing w:val="-4"/>
                            <w:w w:val="100"/>
                            <w:sz w:val="18"/>
                            <w:szCs w:val="18"/>
                          </w:rPr>
                          <w:t>“</w:t>
                        </w:r>
                        <w:r>
                          <w:rPr>
                            <w:rFonts w:ascii="宋体" w:hAnsi="宋体" w:cs="宋体" w:eastAsia="宋体" w:hint="default"/>
                            <w:spacing w:val="-4"/>
                            <w:w w:val="100"/>
                            <w:sz w:val="18"/>
                            <w:szCs w:val="18"/>
                          </w:rPr>
                          <w:t>应收股利</w:t>
                        </w:r>
                        <w:r>
                          <w:rPr>
                            <w:rFonts w:ascii="Times New Roman" w:hAnsi="Times New Roman" w:cs="Times New Roman" w:eastAsia="Times New Roman" w:hint="default"/>
                            <w:spacing w:val="-4"/>
                            <w:w w:val="100"/>
                            <w:sz w:val="18"/>
                            <w:szCs w:val="18"/>
                          </w:rPr>
                          <w:t>”</w:t>
                        </w:r>
                        <w:r>
                          <w:rPr>
                            <w:rFonts w:ascii="宋体" w:hAnsi="宋体" w:cs="宋体" w:eastAsia="宋体" w:hint="default"/>
                            <w:spacing w:val="-4"/>
                            <w:w w:val="100"/>
                            <w:sz w:val="18"/>
                            <w:szCs w:val="18"/>
                          </w:rPr>
                          <w:t>并入</w:t>
                        </w:r>
                        <w:r>
                          <w:rPr>
                            <w:rFonts w:ascii="Times New Roman" w:hAnsi="Times New Roman" w:cs="Times New Roman" w:eastAsia="Times New Roman" w:hint="default"/>
                            <w:spacing w:val="-4"/>
                            <w:w w:val="100"/>
                            <w:sz w:val="18"/>
                            <w:szCs w:val="18"/>
                          </w:rPr>
                          <w:t>“</w:t>
                        </w:r>
                        <w:r>
                          <w:rPr>
                            <w:rFonts w:ascii="宋体" w:hAnsi="宋体" w:cs="宋体" w:eastAsia="宋体" w:hint="default"/>
                            <w:spacing w:val="-4"/>
                            <w:w w:val="100"/>
                            <w:sz w:val="18"/>
                            <w:szCs w:val="18"/>
                          </w:rPr>
                          <w:t>其他应</w:t>
                        </w:r>
                        <w:r>
                          <w:rPr>
                            <w:rFonts w:ascii="宋体" w:hAnsi="宋体" w:cs="宋体" w:eastAsia="宋体" w:hint="default"/>
                            <w:spacing w:val="-87"/>
                            <w:w w:val="100"/>
                            <w:sz w:val="18"/>
                            <w:szCs w:val="18"/>
                          </w:rPr>
                          <w:t> </w:t>
                        </w:r>
                        <w:r>
                          <w:rPr>
                            <w:rFonts w:ascii="宋体" w:hAnsi="宋体" w:cs="宋体" w:eastAsia="宋体" w:hint="default"/>
                            <w:spacing w:val="-4"/>
                            <w:w w:val="100"/>
                            <w:sz w:val="18"/>
                            <w:szCs w:val="18"/>
                          </w:rPr>
                          <w:t>收款</w:t>
                        </w:r>
                        <w:r>
                          <w:rPr>
                            <w:rFonts w:ascii="Times New Roman" w:hAnsi="Times New Roman" w:cs="Times New Roman" w:eastAsia="Times New Roman" w:hint="default"/>
                            <w:spacing w:val="-4"/>
                            <w:w w:val="100"/>
                            <w:sz w:val="18"/>
                            <w:szCs w:val="18"/>
                          </w:rPr>
                          <w:t>”</w:t>
                        </w:r>
                        <w:r>
                          <w:rPr>
                            <w:rFonts w:ascii="宋体" w:hAnsi="宋体" w:cs="宋体" w:eastAsia="宋体" w:hint="default"/>
                            <w:spacing w:val="-4"/>
                            <w:w w:val="100"/>
                            <w:sz w:val="18"/>
                            <w:szCs w:val="18"/>
                          </w:rPr>
                          <w:t>；</w:t>
                        </w:r>
                        <w:r>
                          <w:rPr>
                            <w:rFonts w:ascii="Times New Roman" w:hAnsi="Times New Roman" w:cs="Times New Roman" w:eastAsia="Times New Roman" w:hint="default"/>
                            <w:spacing w:val="-4"/>
                            <w:w w:val="100"/>
                            <w:sz w:val="18"/>
                            <w:szCs w:val="18"/>
                          </w:rPr>
                          <w:t>“</w:t>
                        </w:r>
                        <w:r>
                          <w:rPr>
                            <w:rFonts w:ascii="宋体" w:hAnsi="宋体" w:cs="宋体" w:eastAsia="宋体" w:hint="default"/>
                            <w:spacing w:val="-4"/>
                            <w:w w:val="100"/>
                            <w:sz w:val="18"/>
                            <w:szCs w:val="18"/>
                          </w:rPr>
                          <w:t>应付利息</w:t>
                        </w:r>
                        <w:r>
                          <w:rPr>
                            <w:rFonts w:ascii="Times New Roman" w:hAnsi="Times New Roman" w:cs="Times New Roman" w:eastAsia="Times New Roman" w:hint="default"/>
                            <w:spacing w:val="-4"/>
                            <w:w w:val="100"/>
                            <w:sz w:val="18"/>
                            <w:szCs w:val="18"/>
                          </w:rPr>
                          <w:t>”</w:t>
                        </w:r>
                        <w:r>
                          <w:rPr>
                            <w:rFonts w:ascii="宋体" w:hAnsi="宋体" w:cs="宋体" w:eastAsia="宋体" w:hint="default"/>
                            <w:spacing w:val="-4"/>
                            <w:w w:val="100"/>
                            <w:sz w:val="18"/>
                            <w:szCs w:val="18"/>
                          </w:rPr>
                          <w:t>和</w:t>
                        </w:r>
                        <w:r>
                          <w:rPr>
                            <w:rFonts w:ascii="Times New Roman" w:hAnsi="Times New Roman" w:cs="Times New Roman" w:eastAsia="Times New Roman" w:hint="default"/>
                            <w:spacing w:val="-4"/>
                            <w:w w:val="100"/>
                            <w:sz w:val="18"/>
                            <w:szCs w:val="18"/>
                          </w:rPr>
                          <w:t>“</w:t>
                        </w:r>
                        <w:r>
                          <w:rPr>
                            <w:rFonts w:ascii="宋体" w:hAnsi="宋体" w:cs="宋体" w:eastAsia="宋体" w:hint="default"/>
                            <w:spacing w:val="-4"/>
                            <w:w w:val="100"/>
                            <w:sz w:val="18"/>
                            <w:szCs w:val="18"/>
                          </w:rPr>
                          <w:t>应付股利</w:t>
                        </w:r>
                        <w:r>
                          <w:rPr>
                            <w:rFonts w:ascii="Times New Roman" w:hAnsi="Times New Roman" w:cs="Times New Roman" w:eastAsia="Times New Roman" w:hint="default"/>
                            <w:spacing w:val="-4"/>
                            <w:w w:val="100"/>
                            <w:sz w:val="18"/>
                            <w:szCs w:val="18"/>
                          </w:rPr>
                          <w:t>”</w:t>
                        </w:r>
                        <w:r>
                          <w:rPr>
                            <w:rFonts w:ascii="宋体" w:hAnsi="宋体" w:cs="宋体" w:eastAsia="宋体" w:hint="default"/>
                            <w:spacing w:val="-4"/>
                            <w:w w:val="100"/>
                            <w:sz w:val="18"/>
                            <w:szCs w:val="18"/>
                          </w:rPr>
                          <w:t>合并计入</w:t>
                        </w:r>
                        <w:r>
                          <w:rPr>
                            <w:rFonts w:ascii="Times New Roman" w:hAnsi="Times New Roman" w:cs="Times New Roman" w:eastAsia="Times New Roman" w:hint="default"/>
                            <w:spacing w:val="-4"/>
                            <w:w w:val="100"/>
                            <w:sz w:val="18"/>
                            <w:szCs w:val="18"/>
                          </w:rPr>
                          <w:t>“</w:t>
                        </w:r>
                        <w:r>
                          <w:rPr>
                            <w:rFonts w:ascii="宋体" w:hAnsi="宋体" w:cs="宋体" w:eastAsia="宋体" w:hint="default"/>
                            <w:spacing w:val="-4"/>
                            <w:w w:val="100"/>
                            <w:sz w:val="18"/>
                            <w:szCs w:val="18"/>
                          </w:rPr>
                          <w:t>其他</w:t>
                        </w:r>
                        <w:r>
                          <w:rPr>
                            <w:rFonts w:ascii="宋体" w:hAnsi="宋体" w:cs="宋体" w:eastAsia="宋体" w:hint="default"/>
                            <w:spacing w:val="-87"/>
                            <w:w w:val="100"/>
                            <w:sz w:val="18"/>
                            <w:szCs w:val="18"/>
                          </w:rPr>
                          <w:t> </w:t>
                        </w:r>
                        <w:r>
                          <w:rPr>
                            <w:rFonts w:ascii="宋体" w:hAnsi="宋体" w:cs="宋体" w:eastAsia="宋体" w:hint="default"/>
                            <w:spacing w:val="-4"/>
                            <w:sz w:val="18"/>
                            <w:szCs w:val="18"/>
                          </w:rPr>
                          <w:t>应付款</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固定资产清理</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并入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固定资产</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工</w:t>
                        </w:r>
                        <w:r>
                          <w:rPr>
                            <w:rFonts w:ascii="宋体" w:hAnsi="宋体" w:cs="宋体" w:eastAsia="宋体" w:hint="default"/>
                            <w:spacing w:val="-87"/>
                            <w:sz w:val="18"/>
                            <w:szCs w:val="18"/>
                          </w:rPr>
                          <w:t> </w:t>
                        </w:r>
                        <w:r>
                          <w:rPr>
                            <w:rFonts w:ascii="宋体" w:hAnsi="宋体" w:cs="宋体" w:eastAsia="宋体" w:hint="default"/>
                            <w:sz w:val="18"/>
                            <w:szCs w:val="18"/>
                          </w:rPr>
                          <w:t>程物资</w:t>
                        </w:r>
                        <w:r>
                          <w:rPr>
                            <w:rFonts w:ascii="Times New Roman" w:hAnsi="Times New Roman" w:cs="Times New Roman" w:eastAsia="Times New Roman" w:hint="default"/>
                            <w:sz w:val="18"/>
                            <w:szCs w:val="18"/>
                          </w:rPr>
                          <w:t>”</w:t>
                        </w:r>
                        <w:r>
                          <w:rPr>
                            <w:rFonts w:ascii="宋体" w:hAnsi="宋体" w:cs="宋体" w:eastAsia="宋体" w:hint="default"/>
                            <w:sz w:val="18"/>
                            <w:szCs w:val="18"/>
                          </w:rPr>
                          <w:t>并入在</w:t>
                        </w:r>
                        <w:r>
                          <w:rPr>
                            <w:rFonts w:ascii="Times New Roman" w:hAnsi="Times New Roman" w:cs="Times New Roman" w:eastAsia="Times New Roman" w:hint="default"/>
                            <w:sz w:val="18"/>
                            <w:szCs w:val="18"/>
                          </w:rPr>
                          <w:t>“</w:t>
                        </w:r>
                        <w:r>
                          <w:rPr>
                            <w:rFonts w:ascii="宋体" w:hAnsi="宋体" w:cs="宋体" w:eastAsia="宋体" w:hint="default"/>
                            <w:sz w:val="18"/>
                            <w:szCs w:val="18"/>
                          </w:rPr>
                          <w:t>在建工程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专向应付款</w:t>
                        </w:r>
                        <w:r>
                          <w:rPr>
                            <w:rFonts w:ascii="Times New Roman" w:hAnsi="Times New Roman" w:cs="Times New Roman" w:eastAsia="Times New Roman" w:hint="default"/>
                            <w:sz w:val="18"/>
                            <w:szCs w:val="18"/>
                          </w:rPr>
                          <w:t>”</w:t>
                        </w:r>
                        <w:r>
                          <w:rPr>
                            <w:rFonts w:ascii="宋体" w:hAnsi="宋体" w:cs="宋体" w:eastAsia="宋体" w:hint="default"/>
                            <w:sz w:val="18"/>
                            <w:szCs w:val="18"/>
                          </w:rPr>
                          <w:t>并入 </w:t>
                        </w:r>
                        <w:r>
                          <w:rPr>
                            <w:rFonts w:ascii="Times New Roman" w:hAnsi="Times New Roman" w:cs="Times New Roman" w:eastAsia="Times New Roman" w:hint="default"/>
                            <w:sz w:val="18"/>
                            <w:szCs w:val="18"/>
                          </w:rPr>
                          <w:t>“</w:t>
                        </w:r>
                        <w:r>
                          <w:rPr>
                            <w:rFonts w:ascii="宋体" w:hAnsi="宋体" w:cs="宋体" w:eastAsia="宋体" w:hint="default"/>
                            <w:sz w:val="18"/>
                            <w:szCs w:val="18"/>
                          </w:rPr>
                          <w:t>长期应付款</w:t>
                        </w:r>
                        <w:r>
                          <w:rPr>
                            <w:rFonts w:ascii="Times New Roman" w:hAnsi="Times New Roman" w:cs="Times New Roman" w:eastAsia="Times New Roman" w:hint="default"/>
                            <w:sz w:val="18"/>
                            <w:szCs w:val="18"/>
                          </w:rPr>
                          <w:t>”</w:t>
                        </w:r>
                        <w:r>
                          <w:rPr>
                            <w:rFonts w:ascii="宋体" w:hAnsi="宋体" w:cs="宋体" w:eastAsia="宋体" w:hint="default"/>
                            <w:sz w:val="18"/>
                            <w:szCs w:val="18"/>
                          </w:rPr>
                          <w:t>；比较数据相应调整。利润表中 新增</w:t>
                        </w:r>
                        <w:r>
                          <w:rPr>
                            <w:rFonts w:ascii="Times New Roman" w:hAnsi="Times New Roman" w:cs="Times New Roman" w:eastAsia="Times New Roman" w:hint="default"/>
                            <w:sz w:val="18"/>
                            <w:szCs w:val="18"/>
                          </w:rPr>
                          <w:t>“</w:t>
                        </w:r>
                        <w:r>
                          <w:rPr>
                            <w:rFonts w:ascii="宋体" w:hAnsi="宋体" w:cs="宋体" w:eastAsia="宋体" w:hint="default"/>
                            <w:sz w:val="18"/>
                            <w:szCs w:val="18"/>
                          </w:rPr>
                          <w:t>研发费用</w:t>
                        </w:r>
                        <w:r>
                          <w:rPr>
                            <w:rFonts w:ascii="Times New Roman" w:hAnsi="Times New Roman" w:cs="Times New Roman" w:eastAsia="Times New Roman" w:hint="default"/>
                            <w:sz w:val="18"/>
                            <w:szCs w:val="18"/>
                          </w:rPr>
                          <w:t>”</w:t>
                        </w:r>
                        <w:r>
                          <w:rPr>
                            <w:rFonts w:ascii="宋体" w:hAnsi="宋体" w:cs="宋体" w:eastAsia="宋体" w:hint="default"/>
                            <w:sz w:val="18"/>
                            <w:szCs w:val="18"/>
                          </w:rPr>
                          <w:t>项目，将原</w:t>
                        </w:r>
                        <w:r>
                          <w:rPr>
                            <w:rFonts w:ascii="Times New Roman" w:hAnsi="Times New Roman" w:cs="Times New Roman" w:eastAsia="Times New Roman" w:hint="default"/>
                            <w:sz w:val="18"/>
                            <w:szCs w:val="18"/>
                          </w:rPr>
                          <w:t>“</w:t>
                        </w:r>
                        <w:r>
                          <w:rPr>
                            <w:rFonts w:ascii="宋体" w:hAnsi="宋体" w:cs="宋体" w:eastAsia="宋体" w:hint="default"/>
                            <w:sz w:val="18"/>
                            <w:szCs w:val="18"/>
                          </w:rPr>
                          <w:t>管理费用</w:t>
                        </w:r>
                        <w:r>
                          <w:rPr>
                            <w:rFonts w:ascii="Times New Roman" w:hAnsi="Times New Roman" w:cs="Times New Roman" w:eastAsia="Times New Roman" w:hint="default"/>
                            <w:sz w:val="18"/>
                            <w:szCs w:val="18"/>
                          </w:rPr>
                          <w:t>”</w:t>
                        </w:r>
                        <w:r>
                          <w:rPr>
                            <w:rFonts w:ascii="宋体" w:hAnsi="宋体" w:cs="宋体" w:eastAsia="宋体" w:hint="default"/>
                            <w:sz w:val="18"/>
                            <w:szCs w:val="18"/>
                          </w:rPr>
                          <w:t>中的研 </w:t>
                        </w:r>
                        <w:r>
                          <w:rPr>
                            <w:rFonts w:ascii="宋体" w:hAnsi="宋体" w:cs="宋体" w:eastAsia="宋体" w:hint="default"/>
                            <w:spacing w:val="-2"/>
                            <w:sz w:val="18"/>
                            <w:szCs w:val="18"/>
                          </w:rPr>
                          <w:t>发费用重分类至</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研发费用</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单独列示；在</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财务</w:t>
                        </w:r>
                        <w:r>
                          <w:rPr>
                            <w:rFonts w:ascii="宋体" w:hAnsi="宋体" w:cs="宋体" w:eastAsia="宋体" w:hint="default"/>
                            <w:spacing w:val="-78"/>
                            <w:sz w:val="18"/>
                            <w:szCs w:val="18"/>
                          </w:rPr>
                          <w:t> </w:t>
                        </w:r>
                        <w:r>
                          <w:rPr>
                            <w:rFonts w:ascii="宋体" w:hAnsi="宋体" w:cs="宋体" w:eastAsia="宋体" w:hint="default"/>
                            <w:sz w:val="18"/>
                            <w:szCs w:val="18"/>
                          </w:rPr>
                          <w:t>费用</w:t>
                        </w:r>
                        <w:r>
                          <w:rPr>
                            <w:rFonts w:ascii="Times New Roman" w:hAnsi="Times New Roman" w:cs="Times New Roman" w:eastAsia="Times New Roman" w:hint="default"/>
                            <w:sz w:val="18"/>
                            <w:szCs w:val="18"/>
                          </w:rPr>
                          <w:t>”</w:t>
                        </w:r>
                        <w:r>
                          <w:rPr>
                            <w:rFonts w:ascii="宋体" w:hAnsi="宋体" w:cs="宋体" w:eastAsia="宋体" w:hint="default"/>
                            <w:sz w:val="18"/>
                            <w:szCs w:val="18"/>
                          </w:rPr>
                          <w:t>项下新增</w:t>
                        </w:r>
                        <w:r>
                          <w:rPr>
                            <w:rFonts w:ascii="Times New Roman" w:hAnsi="Times New Roman" w:cs="Times New Roman" w:eastAsia="Times New Roman" w:hint="default"/>
                            <w:sz w:val="18"/>
                            <w:szCs w:val="18"/>
                          </w:rPr>
                          <w:t>“</w:t>
                        </w:r>
                        <w:r>
                          <w:rPr>
                            <w:rFonts w:ascii="宋体" w:hAnsi="宋体" w:cs="宋体" w:eastAsia="宋体" w:hint="default"/>
                            <w:sz w:val="18"/>
                            <w:szCs w:val="18"/>
                          </w:rPr>
                          <w:t>利息费用</w:t>
                        </w:r>
                        <w:r>
                          <w:rPr>
                            <w:rFonts w:ascii="Times New Roman" w:hAnsi="Times New Roman" w:cs="Times New Roman" w:eastAsia="Times New Roman" w:hint="default"/>
                            <w:sz w:val="18"/>
                            <w:szCs w:val="18"/>
                          </w:rPr>
                          <w:t>”</w:t>
                        </w:r>
                        <w:r>
                          <w:rPr>
                            <w:rFonts w:ascii="宋体" w:hAnsi="宋体" w:cs="宋体" w:eastAsia="宋体" w:hint="default"/>
                            <w:sz w:val="18"/>
                            <w:szCs w:val="18"/>
                          </w:rPr>
                          <w:t>和</w:t>
                        </w:r>
                        <w:r>
                          <w:rPr>
                            <w:rFonts w:ascii="Times New Roman" w:hAnsi="Times New Roman" w:cs="Times New Roman" w:eastAsia="Times New Roman" w:hint="default"/>
                            <w:sz w:val="18"/>
                            <w:szCs w:val="18"/>
                          </w:rPr>
                          <w:t>“</w:t>
                        </w:r>
                        <w:r>
                          <w:rPr>
                            <w:rFonts w:ascii="宋体" w:hAnsi="宋体" w:cs="宋体" w:eastAsia="宋体" w:hint="default"/>
                            <w:sz w:val="18"/>
                            <w:szCs w:val="18"/>
                          </w:rPr>
                          <w:t>利息收入</w:t>
                        </w:r>
                        <w:r>
                          <w:rPr>
                            <w:rFonts w:ascii="Times New Roman" w:hAnsi="Times New Roman" w:cs="Times New Roman" w:eastAsia="Times New Roman" w:hint="default"/>
                            <w:sz w:val="18"/>
                            <w:szCs w:val="18"/>
                          </w:rPr>
                          <w:t>”</w:t>
                        </w:r>
                        <w:r>
                          <w:rPr>
                            <w:rFonts w:ascii="宋体" w:hAnsi="宋体" w:cs="宋体" w:eastAsia="宋体" w:hint="default"/>
                            <w:sz w:val="18"/>
                            <w:szCs w:val="18"/>
                          </w:rPr>
                          <w:t>项目， 比较数据相应调整。</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300" w:lineRule="auto"/>
                          <w:ind w:left="22" w:right="20"/>
                          <w:jc w:val="left"/>
                          <w:rPr>
                            <w:rFonts w:ascii="宋体" w:hAnsi="宋体" w:cs="宋体" w:eastAsia="宋体" w:hint="default"/>
                            <w:sz w:val="18"/>
                            <w:szCs w:val="18"/>
                          </w:rPr>
                        </w:pPr>
                        <w:r>
                          <w:rPr>
                            <w:rFonts w:ascii="宋体" w:hAnsi="宋体" w:cs="宋体" w:eastAsia="宋体" w:hint="default"/>
                            <w:sz w:val="18"/>
                            <w:szCs w:val="18"/>
                          </w:rPr>
                          <w:t>本公司第五届董事会</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 第十一次会议审议通过</w:t>
                        </w:r>
                      </w:p>
                    </w:tc>
                    <w:tc>
                      <w:tcPr>
                        <w:tcW w:w="3615"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12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应收票据</w:t>
                        </w:r>
                        <w:r>
                          <w:rPr>
                            <w:rFonts w:ascii="Times New Roman" w:hAnsi="Times New Roman" w:cs="Times New Roman" w:eastAsia="Times New Roman" w:hint="default"/>
                            <w:sz w:val="18"/>
                            <w:szCs w:val="18"/>
                          </w:rPr>
                          <w:t>”</w:t>
                        </w:r>
                        <w:r>
                          <w:rPr>
                            <w:rFonts w:ascii="宋体" w:hAnsi="宋体" w:cs="宋体" w:eastAsia="宋体" w:hint="default"/>
                            <w:sz w:val="18"/>
                            <w:szCs w:val="18"/>
                          </w:rPr>
                          <w:t>和</w:t>
                        </w:r>
                        <w:r>
                          <w:rPr>
                            <w:rFonts w:ascii="Times New Roman" w:hAnsi="Times New Roman" w:cs="Times New Roman" w:eastAsia="Times New Roman" w:hint="default"/>
                            <w:sz w:val="18"/>
                            <w:szCs w:val="18"/>
                          </w:rPr>
                          <w:t>“</w:t>
                        </w:r>
                        <w:r>
                          <w:rPr>
                            <w:rFonts w:ascii="宋体" w:hAnsi="宋体" w:cs="宋体" w:eastAsia="宋体" w:hint="default"/>
                            <w:sz w:val="18"/>
                            <w:szCs w:val="18"/>
                          </w:rPr>
                          <w:t>应收账款</w:t>
                        </w:r>
                        <w:r>
                          <w:rPr>
                            <w:rFonts w:ascii="Times New Roman" w:hAnsi="Times New Roman" w:cs="Times New Roman" w:eastAsia="Times New Roman" w:hint="default"/>
                            <w:sz w:val="18"/>
                            <w:szCs w:val="18"/>
                          </w:rPr>
                          <w:t>”</w:t>
                        </w:r>
                        <w:r>
                          <w:rPr>
                            <w:rFonts w:ascii="宋体" w:hAnsi="宋体" w:cs="宋体" w:eastAsia="宋体" w:hint="default"/>
                            <w:sz w:val="18"/>
                            <w:szCs w:val="18"/>
                          </w:rPr>
                          <w:t>合并列示为</w:t>
                        </w:r>
                        <w:r>
                          <w:rPr>
                            <w:rFonts w:ascii="Times New Roman" w:hAnsi="Times New Roman" w:cs="Times New Roman" w:eastAsia="Times New Roman" w:hint="default"/>
                            <w:sz w:val="18"/>
                            <w:szCs w:val="18"/>
                          </w:rPr>
                          <w:t>“</w:t>
                        </w:r>
                        <w:r>
                          <w:rPr>
                            <w:rFonts w:ascii="宋体" w:hAnsi="宋体" w:cs="宋体" w:eastAsia="宋体" w:hint="default"/>
                            <w:sz w:val="18"/>
                            <w:szCs w:val="18"/>
                          </w:rPr>
                          <w:t>应收票 据及应收账款</w:t>
                        </w:r>
                        <w:r>
                          <w:rPr>
                            <w:rFonts w:ascii="Times New Roman" w:hAnsi="Times New Roman" w:cs="Times New Roman" w:eastAsia="Times New Roman" w:hint="default"/>
                            <w:sz w:val="18"/>
                            <w:szCs w:val="18"/>
                          </w:rPr>
                          <w:t>”</w:t>
                        </w:r>
                        <w:r>
                          <w:rPr>
                            <w:rFonts w:ascii="宋体" w:hAnsi="宋体" w:cs="宋体" w:eastAsia="宋体" w:hint="default"/>
                            <w:sz w:val="18"/>
                            <w:szCs w:val="18"/>
                          </w:rPr>
                          <w:t>，本期金额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879,310,955.43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pStyle w:val="TableParagraph"/>
                          <w:spacing w:line="300" w:lineRule="auto" w:before="13"/>
                          <w:ind w:left="22" w:right="20"/>
                          <w:jc w:val="left"/>
                          <w:rPr>
                            <w:rFonts w:ascii="宋体" w:hAnsi="宋体" w:cs="宋体" w:eastAsia="宋体" w:hint="default"/>
                            <w:sz w:val="18"/>
                            <w:szCs w:val="18"/>
                          </w:rPr>
                        </w:pPr>
                        <w:r>
                          <w:rPr>
                            <w:rFonts w:ascii="宋体" w:hAnsi="宋体" w:cs="宋体" w:eastAsia="宋体" w:hint="default"/>
                            <w:sz w:val="18"/>
                            <w:szCs w:val="18"/>
                          </w:rPr>
                          <w:t>上期金额</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788,919,097.14</w:t>
                        </w:r>
                        <w:r>
                          <w:rPr>
                            <w:rFonts w:ascii="Times New Roman" w:hAnsi="Times New Roman" w:cs="Times New Roman" w:eastAsia="Times New Roman" w:hint="default"/>
                            <w:spacing w:val="3"/>
                            <w:sz w:val="18"/>
                            <w:szCs w:val="18"/>
                          </w:rPr>
                          <w:t> </w:t>
                        </w:r>
                        <w:r>
                          <w:rPr>
                            <w:rFonts w:ascii="宋体" w:hAnsi="宋体" w:cs="宋体" w:eastAsia="宋体" w:hint="default"/>
                            <w:spacing w:val="-6"/>
                            <w:sz w:val="18"/>
                            <w:szCs w:val="18"/>
                          </w:rPr>
                          <w:t>元；</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应付票据</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和</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应</w:t>
                        </w:r>
                        <w:r>
                          <w:rPr>
                            <w:rFonts w:ascii="宋体" w:hAnsi="宋体" w:cs="宋体" w:eastAsia="宋体" w:hint="default"/>
                            <w:sz w:val="18"/>
                            <w:szCs w:val="18"/>
                          </w:rPr>
                          <w:t> 付账款</w:t>
                        </w:r>
                        <w:r>
                          <w:rPr>
                            <w:rFonts w:ascii="Times New Roman" w:hAnsi="Times New Roman" w:cs="Times New Roman" w:eastAsia="Times New Roman" w:hint="default"/>
                            <w:sz w:val="18"/>
                            <w:szCs w:val="18"/>
                          </w:rPr>
                          <w:t>”</w:t>
                        </w:r>
                        <w:r>
                          <w:rPr>
                            <w:rFonts w:ascii="宋体" w:hAnsi="宋体" w:cs="宋体" w:eastAsia="宋体" w:hint="default"/>
                            <w:sz w:val="18"/>
                            <w:szCs w:val="18"/>
                          </w:rPr>
                          <w:t>合并列示为</w:t>
                        </w:r>
                        <w:r>
                          <w:rPr>
                            <w:rFonts w:ascii="Times New Roman" w:hAnsi="Times New Roman" w:cs="Times New Roman" w:eastAsia="Times New Roman" w:hint="default"/>
                            <w:sz w:val="18"/>
                            <w:szCs w:val="18"/>
                          </w:rPr>
                          <w:t>“</w:t>
                        </w:r>
                        <w:r>
                          <w:rPr>
                            <w:rFonts w:ascii="宋体" w:hAnsi="宋体" w:cs="宋体" w:eastAsia="宋体" w:hint="default"/>
                            <w:sz w:val="18"/>
                            <w:szCs w:val="18"/>
                          </w:rPr>
                          <w:t>应付票据和应付账款</w:t>
                        </w:r>
                        <w:r>
                          <w:rPr>
                            <w:rFonts w:ascii="Times New Roman" w:hAnsi="Times New Roman" w:cs="Times New Roman" w:eastAsia="Times New Roman" w:hint="default"/>
                            <w:sz w:val="18"/>
                            <w:szCs w:val="18"/>
                          </w:rPr>
                          <w:t>”</w:t>
                        </w:r>
                        <w:r>
                          <w:rPr>
                            <w:rFonts w:ascii="宋体" w:hAnsi="宋体" w:cs="宋体" w:eastAsia="宋体" w:hint="default"/>
                            <w:sz w:val="18"/>
                            <w:szCs w:val="18"/>
                          </w:rPr>
                          <w:t>， 本期金额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796,104,412.00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元，上期金额</w:t>
                        </w:r>
                      </w:p>
                      <w:p>
                        <w:pPr>
                          <w:pStyle w:val="TableParagraph"/>
                          <w:spacing w:line="240" w:lineRule="auto" w:before="1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831,315,770.14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元；调增</w:t>
                        </w:r>
                        <w:r>
                          <w:rPr>
                            <w:rFonts w:ascii="Times New Roman" w:hAnsi="Times New Roman" w:cs="Times New Roman" w:eastAsia="Times New Roman" w:hint="default"/>
                            <w:sz w:val="18"/>
                            <w:szCs w:val="18"/>
                          </w:rPr>
                          <w:t>“</w:t>
                        </w:r>
                        <w:r>
                          <w:rPr>
                            <w:rFonts w:ascii="宋体" w:hAnsi="宋体" w:cs="宋体" w:eastAsia="宋体" w:hint="default"/>
                            <w:sz w:val="18"/>
                            <w:szCs w:val="18"/>
                          </w:rPr>
                          <w:t>其他应收款</w:t>
                        </w:r>
                        <w:r>
                          <w:rPr>
                            <w:rFonts w:ascii="Times New Roman" w:hAnsi="Times New Roman" w:cs="Times New Roman" w:eastAsia="Times New Roman" w:hint="default"/>
                            <w:sz w:val="18"/>
                            <w:szCs w:val="18"/>
                          </w:rPr>
                          <w:t>”</w:t>
                        </w:r>
                        <w:r>
                          <w:rPr>
                            <w:rFonts w:ascii="宋体" w:hAnsi="宋体" w:cs="宋体" w:eastAsia="宋体" w:hint="default"/>
                            <w:sz w:val="18"/>
                            <w:szCs w:val="18"/>
                          </w:rPr>
                          <w:t>本期金</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额</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74,184,285.23</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元，上期金额</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91,552,079.11</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元，调增</w:t>
                        </w:r>
                        <w:r>
                          <w:rPr>
                            <w:rFonts w:ascii="Times New Roman" w:hAnsi="Times New Roman" w:cs="Times New Roman" w:eastAsia="Times New Roman" w:hint="default"/>
                            <w:sz w:val="18"/>
                            <w:szCs w:val="18"/>
                          </w:rPr>
                          <w:t>“</w:t>
                        </w:r>
                        <w:r>
                          <w:rPr>
                            <w:rFonts w:ascii="宋体" w:hAnsi="宋体" w:cs="宋体" w:eastAsia="宋体" w:hint="default"/>
                            <w:sz w:val="18"/>
                            <w:szCs w:val="18"/>
                          </w:rPr>
                          <w:t>其他应付款</w:t>
                        </w:r>
                        <w:r>
                          <w:rPr>
                            <w:rFonts w:ascii="Times New Roman" w:hAnsi="Times New Roman" w:cs="Times New Roman" w:eastAsia="Times New Roman" w:hint="default"/>
                            <w:sz w:val="18"/>
                            <w:szCs w:val="18"/>
                          </w:rPr>
                          <w:t>”</w:t>
                        </w:r>
                        <w:r>
                          <w:rPr>
                            <w:rFonts w:ascii="宋体" w:hAnsi="宋体" w:cs="宋体" w:eastAsia="宋体" w:hint="default"/>
                            <w:sz w:val="18"/>
                            <w:szCs w:val="18"/>
                          </w:rPr>
                          <w:t>本期金额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4,100,307.39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元，上期金额</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43,100,307.39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元；调增</w:t>
                        </w:r>
                        <w:r>
                          <w:rPr>
                            <w:rFonts w:ascii="Times New Roman" w:hAnsi="Times New Roman" w:cs="Times New Roman" w:eastAsia="Times New Roman" w:hint="default"/>
                            <w:sz w:val="18"/>
                            <w:szCs w:val="18"/>
                          </w:rPr>
                          <w:t>“</w:t>
                        </w:r>
                        <w:r>
                          <w:rPr>
                            <w:rFonts w:ascii="宋体" w:hAnsi="宋体" w:cs="宋体" w:eastAsia="宋体" w:hint="default"/>
                            <w:sz w:val="18"/>
                            <w:szCs w:val="18"/>
                          </w:rPr>
                          <w:t>固定资</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产</w:t>
                        </w:r>
                        <w:r>
                          <w:rPr>
                            <w:rFonts w:ascii="Times New Roman" w:hAnsi="Times New Roman" w:cs="Times New Roman" w:eastAsia="Times New Roman" w:hint="default"/>
                            <w:sz w:val="18"/>
                            <w:szCs w:val="18"/>
                          </w:rPr>
                          <w:t>”</w:t>
                        </w:r>
                        <w:r>
                          <w:rPr>
                            <w:rFonts w:ascii="宋体" w:hAnsi="宋体" w:cs="宋体" w:eastAsia="宋体" w:hint="default"/>
                            <w:sz w:val="18"/>
                            <w:szCs w:val="18"/>
                          </w:rPr>
                          <w:t>本期金额 </w:t>
                        </w:r>
                        <w:r>
                          <w:rPr>
                            <w:rFonts w:ascii="Times New Roman" w:hAnsi="Times New Roman" w:cs="Times New Roman" w:eastAsia="Times New Roman" w:hint="default"/>
                            <w:sz w:val="18"/>
                            <w:szCs w:val="18"/>
                          </w:rPr>
                          <w:t>3,205,002.27 </w:t>
                        </w:r>
                        <w:r>
                          <w:rPr>
                            <w:rFonts w:ascii="宋体" w:hAnsi="宋体" w:cs="宋体" w:eastAsia="宋体" w:hint="default"/>
                            <w:sz w:val="18"/>
                            <w:szCs w:val="18"/>
                          </w:rPr>
                          <w:t>元，上期金额</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0.00</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元；调增</w:t>
                        </w:r>
                        <w:r>
                          <w:rPr>
                            <w:rFonts w:ascii="Times New Roman" w:hAnsi="Times New Roman" w:cs="Times New Roman" w:eastAsia="Times New Roman" w:hint="default"/>
                            <w:sz w:val="18"/>
                            <w:szCs w:val="18"/>
                          </w:rPr>
                          <w:t>“</w:t>
                        </w:r>
                        <w:r>
                          <w:rPr>
                            <w:rFonts w:ascii="宋体" w:hAnsi="宋体" w:cs="宋体" w:eastAsia="宋体" w:hint="default"/>
                            <w:sz w:val="18"/>
                            <w:szCs w:val="18"/>
                          </w:rPr>
                          <w:t>在建工程本期金额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元，上期金</w:t>
                        </w:r>
                      </w:p>
                      <w:p>
                        <w:pPr>
                          <w:pStyle w:val="TableParagraph"/>
                          <w:spacing w:line="300" w:lineRule="auto" w:before="63"/>
                          <w:ind w:left="22" w:right="44"/>
                          <w:jc w:val="left"/>
                          <w:rPr>
                            <w:rFonts w:ascii="宋体" w:hAnsi="宋体" w:cs="宋体" w:eastAsia="宋体" w:hint="default"/>
                            <w:sz w:val="18"/>
                            <w:szCs w:val="18"/>
                          </w:rPr>
                        </w:pPr>
                        <w:r>
                          <w:rPr>
                            <w:rFonts w:ascii="宋体" w:hAnsi="宋体" w:cs="宋体" w:eastAsia="宋体" w:hint="default"/>
                            <w:sz w:val="18"/>
                            <w:szCs w:val="18"/>
                          </w:rPr>
                          <w:t>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元；调增</w:t>
                        </w:r>
                        <w:r>
                          <w:rPr>
                            <w:rFonts w:ascii="Times New Roman" w:hAnsi="Times New Roman" w:cs="Times New Roman" w:eastAsia="Times New Roman" w:hint="default"/>
                            <w:sz w:val="18"/>
                            <w:szCs w:val="18"/>
                          </w:rPr>
                          <w:t>“</w:t>
                        </w:r>
                        <w:r>
                          <w:rPr>
                            <w:rFonts w:ascii="宋体" w:hAnsi="宋体" w:cs="宋体" w:eastAsia="宋体" w:hint="default"/>
                            <w:sz w:val="18"/>
                            <w:szCs w:val="18"/>
                          </w:rPr>
                          <w:t>长期应付款</w:t>
                        </w:r>
                        <w:r>
                          <w:rPr>
                            <w:rFonts w:ascii="Times New Roman" w:hAnsi="Times New Roman" w:cs="Times New Roman" w:eastAsia="Times New Roman" w:hint="default"/>
                            <w:sz w:val="18"/>
                            <w:szCs w:val="18"/>
                          </w:rPr>
                          <w:t>”</w:t>
                        </w:r>
                        <w:r>
                          <w:rPr>
                            <w:rFonts w:ascii="宋体" w:hAnsi="宋体" w:cs="宋体" w:eastAsia="宋体" w:hint="default"/>
                            <w:sz w:val="18"/>
                            <w:szCs w:val="18"/>
                          </w:rPr>
                          <w:t>本期金额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0.00 </w:t>
                        </w:r>
                        <w:r>
                          <w:rPr>
                            <w:rFonts w:ascii="宋体" w:hAnsi="宋体" w:cs="宋体" w:eastAsia="宋体" w:hint="default"/>
                            <w:sz w:val="18"/>
                            <w:szCs w:val="18"/>
                          </w:rPr>
                          <w:t>元，上期金额 </w:t>
                        </w:r>
                        <w:r>
                          <w:rPr>
                            <w:rFonts w:ascii="Times New Roman" w:hAnsi="Times New Roman" w:cs="Times New Roman" w:eastAsia="Times New Roman" w:hint="default"/>
                            <w:sz w:val="18"/>
                            <w:szCs w:val="18"/>
                          </w:rPr>
                          <w:t>0.00 </w:t>
                        </w:r>
                        <w:r>
                          <w:rPr>
                            <w:rFonts w:ascii="宋体" w:hAnsi="宋体" w:cs="宋体" w:eastAsia="宋体" w:hint="default"/>
                            <w:sz w:val="18"/>
                            <w:szCs w:val="18"/>
                          </w:rPr>
                          <w:t>元。调减</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w:t>
                        </w:r>
                        <w:r>
                          <w:rPr>
                            <w:rFonts w:ascii="宋体" w:hAnsi="宋体" w:cs="宋体" w:eastAsia="宋体" w:hint="default"/>
                            <w:sz w:val="18"/>
                            <w:szCs w:val="18"/>
                          </w:rPr>
                          <w:t>管理费用</w:t>
                        </w:r>
                        <w:r>
                          <w:rPr>
                            <w:rFonts w:ascii="Times New Roman" w:hAnsi="Times New Roman" w:cs="Times New Roman" w:eastAsia="Times New Roman" w:hint="default"/>
                            <w:sz w:val="18"/>
                            <w:szCs w:val="18"/>
                          </w:rPr>
                          <w:t>”</w:t>
                        </w:r>
                        <w:r>
                          <w:rPr>
                            <w:rFonts w:ascii="宋体" w:hAnsi="宋体" w:cs="宋体" w:eastAsia="宋体" w:hint="default"/>
                            <w:sz w:val="18"/>
                            <w:szCs w:val="18"/>
                          </w:rPr>
                          <w:t>本期 金额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140,312,981.76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元，上期金额</w:t>
                        </w:r>
                      </w:p>
                      <w:p>
                        <w:pPr>
                          <w:pStyle w:val="TableParagraph"/>
                          <w:spacing w:line="240" w:lineRule="auto" w:before="1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126,600,230.25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元，重分类至</w:t>
                        </w:r>
                        <w:r>
                          <w:rPr>
                            <w:rFonts w:ascii="Times New Roman" w:hAnsi="Times New Roman" w:cs="Times New Roman" w:eastAsia="Times New Roman" w:hint="default"/>
                            <w:sz w:val="18"/>
                            <w:szCs w:val="18"/>
                          </w:rPr>
                          <w:t>“</w:t>
                        </w:r>
                        <w:r>
                          <w:rPr>
                            <w:rFonts w:ascii="宋体" w:hAnsi="宋体" w:cs="宋体" w:eastAsia="宋体" w:hint="default"/>
                            <w:sz w:val="18"/>
                            <w:szCs w:val="18"/>
                          </w:rPr>
                          <w:t>研发费用</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8"/>
          <w:szCs w:val="18"/>
        </w:rPr>
      </w:pPr>
    </w:p>
    <w:p>
      <w:pPr>
        <w:pStyle w:val="Heading3"/>
        <w:spacing w:line="240" w:lineRule="auto" w:before="35"/>
        <w:ind w:right="0"/>
        <w:jc w:val="left"/>
        <w:rPr>
          <w:b w:val="0"/>
          <w:bCs w:val="0"/>
        </w:rPr>
      </w:pPr>
      <w:bookmarkStart w:name="（2）重要会计估计变更" w:id="215"/>
      <w:bookmarkEnd w:id="215"/>
      <w:r>
        <w:rPr>
          <w:b w:val="0"/>
          <w:bCs w:val="0"/>
        </w:rPr>
      </w:r>
      <w:r>
        <w:rPr/>
        <w:t>（</w:t>
      </w:r>
      <w:r>
        <w:rPr>
          <w:rFonts w:ascii="Times New Roman" w:hAnsi="Times New Roman" w:cs="Times New Roman" w:eastAsia="Times New Roman" w:hint="default"/>
        </w:rPr>
        <w:t>2</w:t>
      </w:r>
      <w:r>
        <w:rPr/>
        <w:t>）重要会计估计变更</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30、 重大会计判断和估计" w:id="216"/>
      <w:bookmarkEnd w:id="216"/>
      <w:r>
        <w:rPr>
          <w:b w:val="0"/>
          <w:bCs w:val="0"/>
        </w:rPr>
      </w:r>
      <w:r>
        <w:rPr>
          <w:rFonts w:ascii="Times New Roman" w:hAnsi="Times New Roman" w:cs="Times New Roman" w:eastAsia="Times New Roman" w:hint="default"/>
        </w:rPr>
        <w:t>30</w:t>
      </w:r>
      <w:r>
        <w:rPr/>
        <w:t>、</w:t>
      </w:r>
      <w:r>
        <w:rPr>
          <w:spacing w:val="-4"/>
        </w:rPr>
        <w:t> </w:t>
      </w:r>
      <w:r>
        <w:rPr/>
        <w:t>重大会计判断和估计</w:t>
      </w:r>
      <w:r>
        <w:rPr>
          <w:b w:val="0"/>
          <w:bCs w:val="0"/>
        </w:rPr>
      </w:r>
    </w:p>
    <w:p>
      <w:pPr>
        <w:spacing w:line="240" w:lineRule="auto" w:before="8"/>
        <w:rPr>
          <w:rFonts w:ascii="宋体" w:hAnsi="宋体" w:cs="宋体" w:eastAsia="宋体" w:hint="default"/>
          <w:b/>
          <w:bCs/>
          <w:sz w:val="26"/>
          <w:szCs w:val="26"/>
        </w:rPr>
      </w:pPr>
    </w:p>
    <w:p>
      <w:pPr>
        <w:pStyle w:val="BodyText"/>
        <w:spacing w:line="316" w:lineRule="auto"/>
        <w:ind w:right="1032" w:firstLine="360"/>
        <w:jc w:val="left"/>
      </w:pPr>
      <w:r>
        <w:rPr>
          <w:spacing w:val="-2"/>
        </w:rPr>
        <w:t>本公司在运用会计政策过程中，由于经营活动内在的不确定性，本公司需要对无法准确计量的报表项目的账面价值进行</w:t>
      </w:r>
      <w:r>
        <w:rPr/>
        <w:t> 判断、估计和假设。这些判断、估计和假设是基于本公司管理层过去的历史经验，并在考虑其他相关因素的基础上做出的。 </w:t>
      </w:r>
      <w:r>
        <w:rPr>
          <w:spacing w:val="-2"/>
        </w:rPr>
        <w:t>这些判断、估计和假设会影响收入、费用、资产和负债的报告金额以及资产负债表日或有负债的披露。然而，这些估计的不</w:t>
      </w:r>
      <w:r>
        <w:rPr>
          <w:spacing w:val="-65"/>
        </w:rPr>
        <w:t> </w:t>
      </w:r>
      <w:r>
        <w:rPr>
          <w:spacing w:val="-65"/>
        </w:rPr>
      </w:r>
      <w:r>
        <w:rPr>
          <w:spacing w:val="-2"/>
        </w:rPr>
        <w:t>确定性所导致的实际结果可能与本公司管理层当前的估计存在差异，进而造成对未来受影响的资产或负债的账面金额进行重</w:t>
      </w:r>
    </w:p>
    <w:p>
      <w:pPr>
        <w:spacing w:after="0" w:line="316"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240" w:lineRule="auto" w:before="44"/>
        <w:ind w:right="0"/>
        <w:jc w:val="both"/>
      </w:pPr>
      <w:r>
        <w:rPr/>
        <w:t>大调整。</w:t>
      </w:r>
    </w:p>
    <w:p>
      <w:pPr>
        <w:pStyle w:val="BodyText"/>
        <w:spacing w:line="316" w:lineRule="auto" w:before="76"/>
        <w:ind w:right="0" w:firstLine="360"/>
        <w:jc w:val="left"/>
      </w:pPr>
      <w:r>
        <w:rPr>
          <w:spacing w:val="-2"/>
        </w:rPr>
        <w:t>本公司对前述判断、估计和假设在持续经营的基础上进行定期复核，会计估计的变更仅影响变更当期的，其影响数在变</w:t>
      </w:r>
      <w:r>
        <w:rPr/>
        <w:t> 更当期予以确认；既影响变更当期又影响未来期间的，其影响数在变更当期和未来期间予以确认。</w:t>
      </w:r>
    </w:p>
    <w:p>
      <w:pPr>
        <w:pStyle w:val="BodyText"/>
        <w:spacing w:line="240" w:lineRule="auto" w:before="19"/>
        <w:ind w:left="514" w:right="0"/>
        <w:jc w:val="left"/>
      </w:pPr>
      <w:r>
        <w:rPr/>
        <w:t>于资产负债表日，本公司需对财务报表项目金额进行判断、估计和假设的重要领域如下：</w:t>
      </w:r>
    </w:p>
    <w:p>
      <w:pPr>
        <w:pStyle w:val="BodyText"/>
        <w:spacing w:line="316" w:lineRule="auto" w:before="77"/>
        <w:ind w:left="514" w:right="0"/>
        <w:jc w:val="left"/>
      </w:pPr>
      <w:r>
        <w:rPr/>
        <w:t>（</w:t>
      </w:r>
      <w:r>
        <w:rPr>
          <w:rFonts w:ascii="宋体" w:hAnsi="宋体" w:cs="宋体" w:eastAsia="宋体" w:hint="default"/>
        </w:rPr>
        <w:t>1</w:t>
      </w:r>
      <w:r>
        <w:rPr/>
        <w:t>）坏账准备计提 </w:t>
      </w:r>
      <w:r>
        <w:rPr>
          <w:spacing w:val="-2"/>
        </w:rPr>
        <w:t>本公司根据应收款项的会计政策，采用备抵法核算坏账损失。应收账款减值是基于评估应收账款的可收回性。鉴定应收</w:t>
      </w:r>
    </w:p>
    <w:p>
      <w:pPr>
        <w:pStyle w:val="BodyText"/>
        <w:spacing w:line="316" w:lineRule="auto" w:before="19"/>
        <w:ind w:right="1131"/>
        <w:jc w:val="both"/>
      </w:pPr>
      <w:r>
        <w:rPr>
          <w:spacing w:val="-2"/>
        </w:rPr>
        <w:t>账款减值要求管理层的判断和估计。实际的结果与原先估计的差异将在估计被改变的期间影响应收账款的账面价值及应收账</w:t>
      </w:r>
      <w:r>
        <w:rPr>
          <w:spacing w:val="-64"/>
        </w:rPr>
        <w:t> </w:t>
      </w:r>
      <w:r>
        <w:rPr>
          <w:spacing w:val="-64"/>
        </w:rPr>
      </w:r>
      <w:r>
        <w:rPr/>
        <w:t>款坏账准备的计提或转回。</w:t>
      </w:r>
    </w:p>
    <w:p>
      <w:pPr>
        <w:pStyle w:val="BodyText"/>
        <w:spacing w:line="316" w:lineRule="auto" w:before="19"/>
        <w:ind w:left="514" w:right="0"/>
        <w:jc w:val="left"/>
      </w:pPr>
      <w:r>
        <w:rPr/>
        <w:t>（</w:t>
      </w:r>
      <w:r>
        <w:rPr>
          <w:rFonts w:ascii="宋体" w:hAnsi="宋体" w:cs="宋体" w:eastAsia="宋体" w:hint="default"/>
        </w:rPr>
        <w:t>2</w:t>
      </w:r>
      <w:r>
        <w:rPr/>
        <w:t>）存货跌价准备 </w:t>
      </w:r>
      <w:r>
        <w:rPr>
          <w:spacing w:val="-2"/>
        </w:rPr>
        <w:t>本公司根据存货会计政策，按照成本与可变现净值孰低计量，对成本高于可变现净值及陈旧和滞销的存货，计提存货跌</w:t>
      </w:r>
    </w:p>
    <w:p>
      <w:pPr>
        <w:pStyle w:val="BodyText"/>
        <w:spacing w:line="316" w:lineRule="auto" w:before="19"/>
        <w:ind w:right="1132"/>
        <w:jc w:val="both"/>
      </w:pPr>
      <w:r>
        <w:rPr>
          <w:spacing w:val="-2"/>
        </w:rPr>
        <w:t>价准备。存货减值至可变现净值是基于评估存货的可售性及其可变现净值。鉴定存货减值要求管理层在取得确凿证据，并且</w:t>
      </w:r>
      <w:r>
        <w:rPr>
          <w:spacing w:val="-66"/>
        </w:rPr>
        <w:t> </w:t>
      </w:r>
      <w:r>
        <w:rPr>
          <w:spacing w:val="-66"/>
        </w:rPr>
      </w:r>
      <w:r>
        <w:rPr>
          <w:spacing w:val="-2"/>
        </w:rPr>
        <w:t>考虑持有存货的目的、资产负债表日后事项的影响等因素的基础上作出判断和估计。实际的结果与原先估计的差异将在估计</w:t>
      </w:r>
      <w:r>
        <w:rPr>
          <w:spacing w:val="-64"/>
        </w:rPr>
        <w:t> </w:t>
      </w:r>
      <w:r>
        <w:rPr>
          <w:spacing w:val="-64"/>
        </w:rPr>
      </w:r>
      <w:r>
        <w:rPr/>
        <w:t>被改变的期间影响存货的账面价值及存货跌价准备的计提或转回。</w:t>
      </w:r>
    </w:p>
    <w:p>
      <w:pPr>
        <w:pStyle w:val="BodyText"/>
        <w:spacing w:line="316" w:lineRule="auto" w:before="19"/>
        <w:ind w:left="514" w:right="0"/>
        <w:jc w:val="left"/>
      </w:pPr>
      <w:r>
        <w:rPr/>
        <w:t>（</w:t>
      </w:r>
      <w:r>
        <w:rPr>
          <w:rFonts w:ascii="宋体" w:hAnsi="宋体" w:cs="宋体" w:eastAsia="宋体" w:hint="default"/>
        </w:rPr>
        <w:t>3</w:t>
      </w:r>
      <w:r>
        <w:rPr/>
        <w:t>）金融工具公允价值 </w:t>
      </w:r>
      <w:r>
        <w:rPr>
          <w:spacing w:val="-2"/>
        </w:rPr>
        <w:t>对不存在活跃交易市场的金融工具，本公司通过各种估值方法确定其公允价值。这些估值方法包括贴现现金流模型分析</w:t>
      </w:r>
    </w:p>
    <w:p>
      <w:pPr>
        <w:pStyle w:val="BodyText"/>
        <w:spacing w:line="316" w:lineRule="auto" w:before="19"/>
        <w:ind w:right="1133"/>
        <w:jc w:val="both"/>
      </w:pPr>
      <w:r>
        <w:rPr>
          <w:spacing w:val="-2"/>
        </w:rPr>
        <w:t>等。估值时本公司需对未来现金流量、信用风险、市场波动率和相关性等方面进行估计，并选择适当的折现率。这些相关假</w:t>
      </w:r>
      <w:r>
        <w:rPr>
          <w:spacing w:val="-66"/>
        </w:rPr>
        <w:t> </w:t>
      </w:r>
      <w:r>
        <w:rPr>
          <w:spacing w:val="-66"/>
        </w:rPr>
      </w:r>
      <w:r>
        <w:rPr/>
        <w:t>设具有不确定性，其变化会对金融工具的公允价值产生影响。</w:t>
      </w:r>
    </w:p>
    <w:p>
      <w:pPr>
        <w:pStyle w:val="BodyText"/>
        <w:spacing w:line="316" w:lineRule="auto" w:before="19"/>
        <w:ind w:left="514" w:right="0"/>
        <w:jc w:val="left"/>
      </w:pPr>
      <w:r>
        <w:rPr/>
        <w:t>（</w:t>
      </w:r>
      <w:r>
        <w:rPr>
          <w:rFonts w:ascii="宋体" w:hAnsi="宋体" w:cs="宋体" w:eastAsia="宋体" w:hint="default"/>
        </w:rPr>
        <w:t>4</w:t>
      </w:r>
      <w:r>
        <w:rPr/>
        <w:t>）可供出售金融资产减值 </w:t>
      </w:r>
      <w:r>
        <w:rPr>
          <w:spacing w:val="-2"/>
        </w:rPr>
        <w:t>本公司确定可供出售金融资产是否减值在很大程度上依赖于管理层的判断和假设，以确定是否需要在利润表中确认其减</w:t>
      </w:r>
    </w:p>
    <w:p>
      <w:pPr>
        <w:pStyle w:val="BodyText"/>
        <w:spacing w:line="316" w:lineRule="auto" w:before="19"/>
        <w:ind w:right="1132"/>
        <w:jc w:val="both"/>
      </w:pPr>
      <w:r>
        <w:rPr>
          <w:spacing w:val="-2"/>
        </w:rPr>
        <w:t>值损失。在进行判断和作出假设的过程中，本公司需评估该项投资的公允价值低于成本的程度和持续期间，以及被投资对象</w:t>
      </w:r>
      <w:r>
        <w:rPr>
          <w:spacing w:val="-66"/>
        </w:rPr>
        <w:t> </w:t>
      </w:r>
      <w:r>
        <w:rPr>
          <w:spacing w:val="-66"/>
        </w:rPr>
      </w:r>
      <w:r>
        <w:rPr/>
        <w:t>的财务状况和短期业务展望，包括行业状况、技术变革、信用评级、违约率和对手方的风险。</w:t>
      </w:r>
    </w:p>
    <w:p>
      <w:pPr>
        <w:pStyle w:val="BodyText"/>
        <w:spacing w:line="319" w:lineRule="auto" w:before="19"/>
        <w:ind w:left="514" w:right="0"/>
        <w:jc w:val="left"/>
      </w:pPr>
      <w:r>
        <w:rPr/>
        <w:t>（</w:t>
      </w:r>
      <w:r>
        <w:rPr>
          <w:rFonts w:ascii="宋体" w:hAnsi="宋体" w:cs="宋体" w:eastAsia="宋体" w:hint="default"/>
        </w:rPr>
        <w:t>5</w:t>
      </w:r>
      <w:r>
        <w:rPr/>
        <w:t>）非金融非流动资产减值准备 </w:t>
      </w:r>
      <w:r>
        <w:rPr>
          <w:spacing w:val="-2"/>
        </w:rPr>
        <w:t>本公司于资产负债表日对除金融资产之外的非流动资产判断是否存在可能发生减值的迹象。对使用寿命不确定的无形资</w:t>
      </w:r>
    </w:p>
    <w:p>
      <w:pPr>
        <w:pStyle w:val="BodyText"/>
        <w:spacing w:line="316" w:lineRule="auto" w:before="17"/>
        <w:ind w:right="1133"/>
        <w:jc w:val="both"/>
      </w:pPr>
      <w:r>
        <w:rPr>
          <w:spacing w:val="-2"/>
        </w:rPr>
        <w:t>产，除每年进行的减值测试外，当其存在减值迹象时，也进行减值测试。其他除金融资产之外的非流动资产，当存在迹象表</w:t>
      </w:r>
      <w:r>
        <w:rPr>
          <w:spacing w:val="-66"/>
        </w:rPr>
        <w:t> </w:t>
      </w:r>
      <w:r>
        <w:rPr>
          <w:spacing w:val="-66"/>
        </w:rPr>
      </w:r>
      <w:r>
        <w:rPr/>
        <w:t>明其账面金额不可收回时，进行减值测试。</w:t>
      </w:r>
    </w:p>
    <w:p>
      <w:pPr>
        <w:pStyle w:val="BodyText"/>
        <w:spacing w:line="316" w:lineRule="auto" w:before="19"/>
        <w:ind w:right="0" w:firstLine="360"/>
        <w:jc w:val="left"/>
      </w:pPr>
      <w:r>
        <w:rPr/>
        <w:t>当资产或资产组的账面价值高于可收回金额，即公允价值减去处置费用后的净额和预计未来现金流量的现值中的较高 者，表明发生了减值。</w:t>
      </w:r>
    </w:p>
    <w:p>
      <w:pPr>
        <w:pStyle w:val="BodyText"/>
        <w:spacing w:line="316" w:lineRule="auto" w:before="19"/>
        <w:ind w:right="0" w:firstLine="360"/>
        <w:jc w:val="left"/>
      </w:pPr>
      <w:r>
        <w:rPr>
          <w:spacing w:val="-2"/>
        </w:rPr>
        <w:t>公允价值减去处置费用后的净额，参考公平交易中类似资产的销售协议价格或可观察到的市场价格，减去可直接归属于</w:t>
      </w:r>
      <w:r>
        <w:rPr/>
        <w:t> 该资产处置的增量成本确定。</w:t>
      </w:r>
    </w:p>
    <w:p>
      <w:pPr>
        <w:pStyle w:val="BodyText"/>
        <w:spacing w:line="316" w:lineRule="auto" w:before="19"/>
        <w:ind w:right="0" w:firstLine="360"/>
        <w:jc w:val="left"/>
      </w:pPr>
      <w:r>
        <w:rPr>
          <w:spacing w:val="-2"/>
        </w:rPr>
        <w:t>在预计未来现金流量现值时，需要对该资产（或资产组）的产量、售价、相关经营成本以及计算现值时使用的折现率等</w:t>
      </w:r>
      <w:r>
        <w:rPr/>
        <w:t> </w:t>
      </w:r>
      <w:r>
        <w:rPr>
          <w:spacing w:val="-4"/>
        </w:rPr>
        <w:t>作出重大判断。本公司在估计可收回金额时会采用所有能够获得的相关资料，包括根据合理和可支持的假设所作出有关产量、</w:t>
      </w:r>
      <w:r>
        <w:rPr>
          <w:spacing w:val="-44"/>
        </w:rPr>
        <w:t> </w:t>
      </w:r>
      <w:r>
        <w:rPr>
          <w:spacing w:val="-44"/>
        </w:rPr>
      </w:r>
      <w:r>
        <w:rPr/>
        <w:t>售价和相关经营成本的预测。</w:t>
      </w:r>
    </w:p>
    <w:p>
      <w:pPr>
        <w:pStyle w:val="BodyText"/>
        <w:spacing w:line="316" w:lineRule="auto" w:before="19"/>
        <w:ind w:right="1132" w:firstLine="360"/>
        <w:jc w:val="both"/>
      </w:pPr>
      <w:r>
        <w:rPr/>
        <w:t>本公司至少每年测试商誉是否发生减值。这要求对分配了商誉的资产组或者资产组组合的未来现金流量的现值进行预 </w:t>
      </w:r>
      <w:r>
        <w:rPr>
          <w:spacing w:val="-2"/>
        </w:rPr>
        <w:t>计。对未来现金流量的现值进行预计时，本公司需要预计未来资产组或者资产组组合产生的现金流量，同时选择恰当的折现</w:t>
      </w:r>
      <w:r>
        <w:rPr>
          <w:spacing w:val="-66"/>
        </w:rPr>
        <w:t> </w:t>
      </w:r>
      <w:r>
        <w:rPr>
          <w:spacing w:val="-66"/>
        </w:rPr>
      </w:r>
      <w:r>
        <w:rPr/>
        <w:t>率确定未来现金流量的现值。</w:t>
      </w:r>
    </w:p>
    <w:p>
      <w:pPr>
        <w:pStyle w:val="BodyText"/>
        <w:spacing w:line="316" w:lineRule="auto" w:before="19"/>
        <w:ind w:left="514" w:right="0"/>
        <w:jc w:val="left"/>
      </w:pPr>
      <w:r>
        <w:rPr/>
        <w:t>（</w:t>
      </w:r>
      <w:r>
        <w:rPr>
          <w:rFonts w:ascii="宋体" w:hAnsi="宋体" w:cs="宋体" w:eastAsia="宋体" w:hint="default"/>
        </w:rPr>
        <w:t>6</w:t>
      </w:r>
      <w:r>
        <w:rPr/>
        <w:t>）折旧和摊销 </w:t>
      </w:r>
      <w:r>
        <w:rPr>
          <w:spacing w:val="-2"/>
        </w:rPr>
        <w:t>本公司对投资性房地产、固定资产和无形资产在考虑其残值后，在使用寿命内按直线法计提折旧和摊销。本公司定期复</w:t>
      </w:r>
    </w:p>
    <w:p>
      <w:pPr>
        <w:pStyle w:val="BodyText"/>
        <w:spacing w:line="316" w:lineRule="auto" w:before="19"/>
        <w:ind w:right="1132"/>
        <w:jc w:val="both"/>
      </w:pPr>
      <w:r>
        <w:rPr>
          <w:spacing w:val="-2"/>
        </w:rPr>
        <w:t>核使用寿命，以决定将计入每个报告期的折旧和摊销费用数额。使用寿命是本公司根据对同类资产的以往经验并结合预期的</w:t>
      </w:r>
      <w:r>
        <w:rPr>
          <w:spacing w:val="-64"/>
        </w:rPr>
        <w:t> </w:t>
      </w:r>
      <w:r>
        <w:rPr>
          <w:spacing w:val="-64"/>
        </w:rPr>
      </w:r>
      <w:r>
        <w:rPr/>
        <w:t>技术更新而确定的。如果以前的估计发生重大变化，则会在未来期间对折旧和摊销费用进行调整。</w:t>
      </w:r>
    </w:p>
    <w:p>
      <w:pPr>
        <w:pStyle w:val="BodyText"/>
        <w:spacing w:line="319" w:lineRule="auto" w:before="19"/>
        <w:ind w:left="514" w:right="1032"/>
        <w:jc w:val="left"/>
      </w:pPr>
      <w:r>
        <w:rPr/>
        <w:t>（</w:t>
      </w:r>
      <w:r>
        <w:rPr>
          <w:rFonts w:ascii="宋体" w:hAnsi="宋体" w:cs="宋体" w:eastAsia="宋体" w:hint="default"/>
        </w:rPr>
        <w:t>7</w:t>
      </w:r>
      <w:r>
        <w:rPr/>
        <w:t>）开发支出 确定资本化的金额时，本公司管理层需要作出有关资产的预计未来现金流量、适用的折现率以及预计受益期间的假设。</w:t>
      </w:r>
    </w:p>
    <w:p>
      <w:pPr>
        <w:pStyle w:val="BodyText"/>
        <w:spacing w:line="316" w:lineRule="auto" w:before="17"/>
        <w:ind w:left="514" w:right="0"/>
        <w:jc w:val="left"/>
      </w:pPr>
      <w:r>
        <w:rPr/>
        <w:t>（</w:t>
      </w:r>
      <w:r>
        <w:rPr>
          <w:rFonts w:ascii="宋体" w:hAnsi="宋体" w:cs="宋体" w:eastAsia="宋体" w:hint="default"/>
        </w:rPr>
        <w:t>8</w:t>
      </w:r>
      <w:r>
        <w:rPr/>
        <w:t>）递延所得税资产 </w:t>
      </w:r>
      <w:r>
        <w:rPr>
          <w:spacing w:val="-2"/>
        </w:rPr>
        <w:t>在很有可能有足够的应纳税利润来抵扣亏损的限度内，本公司就所有未利用的税务亏损确认递延所得税资产。这需要本</w:t>
      </w:r>
    </w:p>
    <w:p>
      <w:pPr>
        <w:pStyle w:val="BodyText"/>
        <w:spacing w:line="240" w:lineRule="auto" w:before="19"/>
        <w:ind w:right="0"/>
        <w:jc w:val="both"/>
      </w:pPr>
      <w:r>
        <w:rPr/>
        <w:t>公司管理层运用大量的判断来估计未来应纳税利润发生的时间和金额，结合纳税筹划策略，以决定应确认的递延所得税资产</w:t>
      </w:r>
    </w:p>
    <w:p>
      <w:pPr>
        <w:spacing w:after="0" w:line="240" w:lineRule="auto"/>
        <w:jc w:val="both"/>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240" w:lineRule="auto" w:before="44"/>
        <w:ind w:right="0"/>
        <w:jc w:val="both"/>
      </w:pPr>
      <w:r>
        <w:rPr/>
        <w:t>的金额。</w:t>
      </w:r>
    </w:p>
    <w:p>
      <w:pPr>
        <w:pStyle w:val="BodyText"/>
        <w:spacing w:line="316" w:lineRule="auto" w:before="76"/>
        <w:ind w:left="514" w:right="1118"/>
        <w:jc w:val="left"/>
      </w:pPr>
      <w:r>
        <w:rPr/>
        <w:t>（</w:t>
      </w:r>
      <w:r>
        <w:rPr>
          <w:rFonts w:ascii="宋体" w:hAnsi="宋体" w:cs="宋体" w:eastAsia="宋体" w:hint="default"/>
        </w:rPr>
        <w:t>9</w:t>
      </w:r>
      <w:r>
        <w:rPr/>
        <w:t>）所得税 </w:t>
      </w:r>
      <w:r>
        <w:rPr>
          <w:spacing w:val="-2"/>
        </w:rPr>
        <w:t>本公司在正常的经营活动中，有部分交易其最终的税务处理和计算存在一定的不确定性。部分项目是否能够在税前列支</w:t>
      </w:r>
    </w:p>
    <w:p>
      <w:pPr>
        <w:pStyle w:val="BodyText"/>
        <w:spacing w:line="319" w:lineRule="auto" w:before="19"/>
        <w:ind w:right="1130"/>
        <w:jc w:val="both"/>
      </w:pPr>
      <w:r>
        <w:rPr>
          <w:spacing w:val="-2"/>
        </w:rPr>
        <w:t>需要税收主管机关的审批。如果这些税务事项的最终认定结果同最初估计的金额存在差异，则该差异将对其最终认定期间的</w:t>
      </w:r>
      <w:r>
        <w:rPr>
          <w:spacing w:val="-63"/>
        </w:rPr>
        <w:t> </w:t>
      </w:r>
      <w:r>
        <w:rPr>
          <w:spacing w:val="-63"/>
        </w:rPr>
      </w:r>
      <w:r>
        <w:rPr/>
        <w:t>当期所得税和递延所得税产生影响。</w:t>
      </w:r>
    </w:p>
    <w:p>
      <w:pPr>
        <w:pStyle w:val="BodyText"/>
        <w:spacing w:line="316" w:lineRule="auto" w:before="17"/>
        <w:ind w:left="514" w:right="0"/>
        <w:jc w:val="left"/>
      </w:pPr>
      <w:r>
        <w:rPr/>
        <w:t>（</w:t>
      </w:r>
      <w:r>
        <w:rPr>
          <w:rFonts w:ascii="宋体" w:hAnsi="宋体" w:cs="宋体" w:eastAsia="宋体" w:hint="default"/>
        </w:rPr>
        <w:t>10</w:t>
      </w:r>
      <w:r>
        <w:rPr/>
        <w:t>）预计负债 </w:t>
      </w:r>
      <w:r>
        <w:rPr>
          <w:spacing w:val="-4"/>
        </w:rPr>
        <w:t>本公司根据合约条款、现有知识及历史经验，对产品质量保证、预计合同亏损、延迟交货违约金等估计并计提相应准备。</w:t>
      </w:r>
    </w:p>
    <w:p>
      <w:pPr>
        <w:pStyle w:val="BodyText"/>
        <w:spacing w:line="316" w:lineRule="auto" w:before="19"/>
        <w:ind w:right="1132"/>
        <w:jc w:val="both"/>
      </w:pPr>
      <w:r>
        <w:rPr>
          <w:spacing w:val="-2"/>
        </w:rPr>
        <w:t>在该等或有事项已经形成一项现时义务，且履行该等现时义务很可能导致经济利益流出本公司的情况下，本公司对或有事项</w:t>
      </w:r>
      <w:r>
        <w:rPr>
          <w:spacing w:val="-64"/>
        </w:rPr>
        <w:t> </w:t>
      </w:r>
      <w:r>
        <w:rPr>
          <w:spacing w:val="-64"/>
        </w:rPr>
      </w:r>
      <w:r>
        <w:rPr>
          <w:spacing w:val="-2"/>
        </w:rPr>
        <w:t>按履行相关现时义务所需支出的最佳估计数确认为预计负债。预计负债的确认和计量在很大程度上依赖于管理层的判断。在</w:t>
      </w:r>
      <w:r>
        <w:rPr>
          <w:spacing w:val="-64"/>
        </w:rPr>
        <w:t> </w:t>
      </w:r>
      <w:r>
        <w:rPr>
          <w:spacing w:val="-64"/>
        </w:rPr>
      </w:r>
      <w:r>
        <w:rPr/>
        <w:t>进行判断过程中本公司需评估该等或有事项相关的风险、不确定性及货币时间价值等因素。</w:t>
      </w:r>
    </w:p>
    <w:p>
      <w:pPr>
        <w:pStyle w:val="BodyText"/>
        <w:spacing w:line="316" w:lineRule="auto" w:before="19"/>
        <w:ind w:right="1132" w:firstLine="360"/>
        <w:jc w:val="both"/>
      </w:pPr>
      <w:r>
        <w:rPr>
          <w:spacing w:val="-2"/>
        </w:rPr>
        <w:t>其中，本公司会就出售、维修及改造所售商品向客户提供的售后质量维修承诺预计负债。预计负债时已考虑本公司近期</w:t>
      </w:r>
      <w:r>
        <w:rPr/>
        <w:t> </w:t>
      </w:r>
      <w:r>
        <w:rPr>
          <w:spacing w:val="-2"/>
        </w:rPr>
        <w:t>的维修经验数据，但近期的维修经验可能无法反映将来的维修情况。这项准备的任何增加或减少，均可能影响未来年度的损</w:t>
      </w:r>
      <w:r>
        <w:rPr>
          <w:spacing w:val="-66"/>
        </w:rPr>
        <w:t> </w:t>
      </w:r>
      <w:r>
        <w:rPr>
          <w:spacing w:val="-66"/>
        </w:rPr>
      </w:r>
      <w:r>
        <w:rPr/>
        <w:t>益。</w:t>
      </w:r>
    </w:p>
    <w:p>
      <w:pPr>
        <w:spacing w:line="240" w:lineRule="auto" w:before="10"/>
        <w:rPr>
          <w:rFonts w:ascii="宋体" w:hAnsi="宋体" w:cs="宋体" w:eastAsia="宋体" w:hint="default"/>
          <w:sz w:val="20"/>
          <w:szCs w:val="20"/>
        </w:rPr>
      </w:pPr>
    </w:p>
    <w:p>
      <w:pPr>
        <w:pStyle w:val="Heading2"/>
        <w:spacing w:line="240" w:lineRule="auto"/>
        <w:ind w:right="0"/>
        <w:jc w:val="both"/>
        <w:rPr>
          <w:b w:val="0"/>
          <w:bCs w:val="0"/>
        </w:rPr>
      </w:pPr>
      <w:bookmarkStart w:name="六、税项" w:id="217"/>
      <w:bookmarkEnd w:id="217"/>
      <w:r>
        <w:rPr>
          <w:b w:val="0"/>
          <w:bCs w:val="0"/>
        </w:rPr>
      </w:r>
      <w:r>
        <w:rPr/>
        <w:t>六、税项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both"/>
        <w:rPr>
          <w:b w:val="0"/>
          <w:bCs w:val="0"/>
        </w:rPr>
      </w:pPr>
      <w:bookmarkStart w:name="1、主要税种及税率" w:id="218"/>
      <w:bookmarkEnd w:id="218"/>
      <w:r>
        <w:rPr>
          <w:b w:val="0"/>
          <w:bCs w:val="0"/>
        </w:rPr>
      </w:r>
      <w:r>
        <w:rPr>
          <w:rFonts w:ascii="Times New Roman" w:hAnsi="Times New Roman" w:cs="Times New Roman" w:eastAsia="Times New Roman" w:hint="default"/>
        </w:rPr>
        <w:t>1</w:t>
      </w:r>
      <w:r>
        <w:rPr/>
        <w:t>、主要税种及税率</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1170"/>
        <w:gridCol w:w="202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税种</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319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317" w:hRule="exact"/>
        </w:trPr>
        <w:tc>
          <w:tcPr>
            <w:tcW w:w="3190" w:type="dxa"/>
            <w:tcBorders>
              <w:top w:val="single" w:sz="4" w:space="0" w:color="000000"/>
              <w:left w:val="single" w:sz="4" w:space="0" w:color="000000"/>
              <w:bottom w:val="nil" w:sz="6" w:space="0" w:color="auto"/>
              <w:right w:val="single" w:sz="4" w:space="0" w:color="000000"/>
            </w:tcBorders>
            <w:shd w:val="clear" w:color="auto" w:fill="D2D2D2"/>
          </w:tcPr>
          <w:p>
            <w:pPr/>
          </w:p>
        </w:tc>
        <w:tc>
          <w:tcPr>
            <w:tcW w:w="3190" w:type="dxa"/>
            <w:vMerge w:val="restart"/>
            <w:tcBorders>
              <w:top w:val="single" w:sz="4" w:space="0" w:color="000000"/>
              <w:left w:val="single" w:sz="9" w:space="0" w:color="D2D2D2"/>
              <w:right w:val="single" w:sz="4" w:space="0" w:color="000000"/>
            </w:tcBorders>
          </w:tcPr>
          <w:p>
            <w:pPr>
              <w:pStyle w:val="TableParagraph"/>
              <w:spacing w:line="309" w:lineRule="auto" w:before="51"/>
              <w:ind w:left="16" w:right="50"/>
              <w:jc w:val="both"/>
              <w:rPr>
                <w:rFonts w:ascii="宋体" w:hAnsi="宋体" w:cs="宋体" w:eastAsia="宋体" w:hint="default"/>
                <w:sz w:val="18"/>
                <w:szCs w:val="18"/>
              </w:rPr>
            </w:pPr>
            <w:r>
              <w:rPr>
                <w:rFonts w:ascii="宋体" w:hAnsi="宋体" w:cs="宋体" w:eastAsia="宋体" w:hint="default"/>
                <w:sz w:val="18"/>
                <w:szCs w:val="18"/>
              </w:rPr>
              <w:t>应税收入按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宋体" w:hAnsi="宋体" w:cs="宋体" w:eastAsia="宋体" w:hint="default"/>
                <w:sz w:val="18"/>
                <w:szCs w:val="18"/>
              </w:rPr>
              <w:t>、</w:t>
            </w:r>
            <w:r>
              <w:rPr>
                <w:rFonts w:ascii="Times New Roman" w:hAnsi="Times New Roman" w:cs="Times New Roman" w:eastAsia="Times New Roman" w:hint="default"/>
                <w:sz w:val="18"/>
                <w:szCs w:val="18"/>
              </w:rPr>
              <w:t>16%</w:t>
            </w:r>
            <w:r>
              <w:rPr>
                <w:rFonts w:ascii="宋体" w:hAnsi="宋体" w:cs="宋体" w:eastAsia="宋体" w:hint="default"/>
                <w:sz w:val="18"/>
                <w:szCs w:val="18"/>
              </w:rPr>
              <w:t>、</w:t>
            </w:r>
            <w:r>
              <w:rPr>
                <w:rFonts w:ascii="Times New Roman" w:hAnsi="Times New Roman" w:cs="Times New Roman" w:eastAsia="Times New Roman" w:hint="default"/>
                <w:sz w:val="18"/>
                <w:szCs w:val="18"/>
              </w:rPr>
              <w:t>6%</w:t>
            </w:r>
            <w:r>
              <w:rPr>
                <w:rFonts w:ascii="宋体" w:hAnsi="宋体" w:cs="宋体" w:eastAsia="宋体" w:hint="default"/>
                <w:sz w:val="18"/>
                <w:szCs w:val="18"/>
              </w:rPr>
              <w:t>的税率计算 销项税，并按扣除当期允许抵扣的进项 税额后的差额计缴增值税</w:t>
            </w:r>
          </w:p>
        </w:tc>
        <w:tc>
          <w:tcPr>
            <w:tcW w:w="3190" w:type="dxa"/>
            <w:gridSpan w:val="2"/>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897"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17%</w:t>
            </w:r>
            <w:r>
              <w:rPr>
                <w:rFonts w:ascii="宋体" w:hAnsi="宋体" w:cs="宋体" w:eastAsia="宋体" w:hint="default"/>
                <w:sz w:val="18"/>
                <w:szCs w:val="18"/>
              </w:rPr>
              <w:t>、</w:t>
            </w:r>
            <w:r>
              <w:rPr>
                <w:rFonts w:ascii="Times New Roman" w:hAnsi="Times New Roman" w:cs="Times New Roman" w:eastAsia="Times New Roman" w:hint="default"/>
                <w:sz w:val="18"/>
                <w:szCs w:val="18"/>
              </w:rPr>
              <w:t>16%</w:t>
            </w:r>
            <w:r>
              <w:rPr>
                <w:rFonts w:ascii="宋体" w:hAnsi="宋体" w:cs="宋体" w:eastAsia="宋体" w:hint="default"/>
                <w:sz w:val="18"/>
                <w:szCs w:val="18"/>
              </w:rPr>
              <w:t>、</w:t>
            </w:r>
            <w:r>
              <w:rPr>
                <w:rFonts w:ascii="Times New Roman" w:hAnsi="Times New Roman" w:cs="Times New Roman" w:eastAsia="Times New Roman" w:hint="default"/>
                <w:sz w:val="18"/>
                <w:szCs w:val="18"/>
              </w:rPr>
              <w:t>6%</w:t>
            </w:r>
          </w:p>
        </w:tc>
      </w:tr>
      <w:tr>
        <w:trPr>
          <w:trHeight w:val="392" w:hRule="exact"/>
        </w:trPr>
        <w:tc>
          <w:tcPr>
            <w:tcW w:w="319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0" w:type="dxa"/>
            <w:vMerge/>
            <w:tcBorders>
              <w:left w:val="single" w:sz="9" w:space="0" w:color="D2D2D2"/>
              <w:right w:val="single" w:sz="4" w:space="0" w:color="000000"/>
            </w:tcBorders>
          </w:tcPr>
          <w:p>
            <w:pPr/>
          </w:p>
        </w:tc>
        <w:tc>
          <w:tcPr>
            <w:tcW w:w="3190" w:type="dxa"/>
            <w:gridSpan w:val="2"/>
            <w:vMerge/>
            <w:tcBorders>
              <w:left w:val="single" w:sz="4" w:space="0" w:color="000000"/>
              <w:right w:val="single" w:sz="4" w:space="0" w:color="000000"/>
            </w:tcBorders>
          </w:tcPr>
          <w:p>
            <w:pPr/>
          </w:p>
        </w:tc>
      </w:tr>
      <w:tr>
        <w:trPr>
          <w:trHeight w:val="317" w:hRule="exact"/>
        </w:trPr>
        <w:tc>
          <w:tcPr>
            <w:tcW w:w="3190" w:type="dxa"/>
            <w:tcBorders>
              <w:top w:val="nil" w:sz="6" w:space="0" w:color="auto"/>
              <w:left w:val="single" w:sz="4" w:space="0" w:color="000000"/>
              <w:bottom w:val="single" w:sz="4" w:space="0" w:color="000000"/>
              <w:right w:val="single" w:sz="4" w:space="0" w:color="000000"/>
            </w:tcBorders>
            <w:shd w:val="clear" w:color="auto" w:fill="D2D2D2"/>
          </w:tcPr>
          <w:p>
            <w:pPr/>
          </w:p>
        </w:tc>
        <w:tc>
          <w:tcPr>
            <w:tcW w:w="3190" w:type="dxa"/>
            <w:vMerge/>
            <w:tcBorders>
              <w:left w:val="single" w:sz="9" w:space="0" w:color="D2D2D2"/>
              <w:bottom w:val="single" w:sz="4" w:space="0" w:color="000000"/>
              <w:right w:val="single" w:sz="4" w:space="0" w:color="000000"/>
            </w:tcBorders>
          </w:tcPr>
          <w:p>
            <w:pPr/>
          </w:p>
        </w:tc>
        <w:tc>
          <w:tcPr>
            <w:tcW w:w="3190" w:type="dxa"/>
            <w:gridSpan w:val="2"/>
            <w:vMerge/>
            <w:tcBorders>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z w:val="18"/>
                <w:szCs w:val="18"/>
              </w:rPr>
              <w:t>按实际缴纳的流转税的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r>
              <w:rPr>
                <w:rFonts w:ascii="宋体" w:hAnsi="宋体" w:cs="宋体" w:eastAsia="宋体" w:hint="default"/>
                <w:sz w:val="18"/>
                <w:szCs w:val="18"/>
              </w:rPr>
              <w:t>计缴</w:t>
            </w:r>
          </w:p>
        </w:tc>
        <w:tc>
          <w:tcPr>
            <w:tcW w:w="31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7%</w:t>
            </w:r>
            <w:r>
              <w:rPr>
                <w:rFonts w:ascii="Times New Roman"/>
                <w:sz w:val="18"/>
              </w:rPr>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z w:val="18"/>
                <w:szCs w:val="18"/>
              </w:rPr>
              <w:t>按应纳税所得额的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计缴</w:t>
            </w:r>
          </w:p>
        </w:tc>
        <w:tc>
          <w:tcPr>
            <w:tcW w:w="31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按实际缴纳的流转税的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计缴</w:t>
            </w:r>
          </w:p>
        </w:tc>
        <w:tc>
          <w:tcPr>
            <w:tcW w:w="31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3%</w:t>
            </w:r>
            <w:r>
              <w:rPr>
                <w:rFonts w:ascii="Times New Roman"/>
                <w:sz w:val="18"/>
              </w:rPr>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按实际缴纳的流转税的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计缴</w:t>
            </w:r>
          </w:p>
        </w:tc>
        <w:tc>
          <w:tcPr>
            <w:tcW w:w="31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2%</w:t>
            </w:r>
            <w:r>
              <w:rPr>
                <w:rFonts w:ascii="Times New Roman"/>
                <w:sz w:val="18"/>
              </w:rPr>
            </w:r>
          </w:p>
        </w:tc>
      </w:tr>
      <w:tr>
        <w:trPr>
          <w:trHeight w:val="1026" w:hRule="exact"/>
        </w:trPr>
        <w:tc>
          <w:tcPr>
            <w:tcW w:w="319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80"/>
              <w:jc w:val="left"/>
              <w:rPr>
                <w:rFonts w:ascii="宋体" w:hAnsi="宋体" w:cs="宋体" w:eastAsia="宋体" w:hint="default"/>
                <w:sz w:val="18"/>
                <w:szCs w:val="18"/>
              </w:rPr>
            </w:pPr>
            <w:r>
              <w:rPr>
                <w:rFonts w:ascii="宋体" w:hAnsi="宋体" w:cs="宋体" w:eastAsia="宋体" w:hint="default"/>
                <w:sz w:val="18"/>
                <w:szCs w:val="18"/>
              </w:rPr>
              <w:t>按应税房产的计税余值的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计缴或应税房产租金收入的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宋体" w:hAnsi="宋体" w:cs="宋体" w:eastAsia="宋体" w:hint="default"/>
                <w:sz w:val="18"/>
                <w:szCs w:val="18"/>
              </w:rPr>
              <w:t>（年税 率）计缴</w:t>
            </w:r>
          </w:p>
        </w:tc>
        <w:tc>
          <w:tcPr>
            <w:tcW w:w="1170" w:type="dxa"/>
            <w:tcBorders>
              <w:top w:val="single" w:sz="4" w:space="0" w:color="000000"/>
              <w:left w:val="single" w:sz="4" w:space="0" w:color="000000"/>
              <w:bottom w:val="single" w:sz="4" w:space="0" w:color="000000"/>
              <w:right w:val="nil" w:sz="6" w:space="0" w:color="auto"/>
            </w:tcBorders>
          </w:tcPr>
          <w:p>
            <w:pPr/>
          </w:p>
        </w:tc>
        <w:tc>
          <w:tcPr>
            <w:tcW w:w="2020"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107"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w:t>
            </w:r>
            <w:r>
              <w:rPr>
                <w:rFonts w:ascii="宋体" w:hAnsi="宋体" w:cs="宋体" w:eastAsia="宋体" w:hint="default"/>
                <w:sz w:val="18"/>
                <w:szCs w:val="18"/>
              </w:rPr>
              <w:t>、</w:t>
            </w:r>
            <w:r>
              <w:rPr>
                <w:rFonts w:ascii="Times New Roman" w:hAnsi="Times New Roman" w:cs="Times New Roman" w:eastAsia="Times New Roman" w:hint="default"/>
                <w:sz w:val="18"/>
                <w:szCs w:val="18"/>
              </w:rPr>
              <w:t>12%</w:t>
            </w:r>
          </w:p>
        </w:tc>
      </w:tr>
    </w:tbl>
    <w:p>
      <w:pPr>
        <w:pStyle w:val="BodyText"/>
        <w:spacing w:line="360" w:lineRule="auto" w:before="51"/>
        <w:ind w:right="6612"/>
        <w:jc w:val="left"/>
      </w:pPr>
      <w:r>
        <w:rPr/>
        <w:pict>
          <v:shape style="position:absolute;margin-left:333.820007pt;margin-top:-51.318275pt;width:201.15pt;height:15.6pt;mso-position-horizontal-relative:page;mso-position-vertical-relative:paragraph;z-index:-1231288" type="#_x0000_t202" filled="false" stroked="false">
            <v:textbox inset="0,0,0,0">
              <w:txbxContent>
                <w:p>
                  <w:pPr>
                    <w:pStyle w:val="BodyText"/>
                    <w:spacing w:line="240" w:lineRule="auto" w:before="51"/>
                    <w:ind w:left="0" w:right="0"/>
                    <w:jc w:val="left"/>
                  </w:pPr>
                  <w:r>
                    <w:rPr/>
                    <w:t>（年税率）</w:t>
                  </w:r>
                </w:p>
              </w:txbxContent>
            </v:textbox>
            <w10:wrap type="none"/>
          </v:shape>
        </w:pict>
      </w:r>
      <w:r>
        <w:rPr/>
        <w:pict>
          <v:group style="position:absolute;margin-left:375.940002pt;margin-top:-51.318275pt;width:159.050pt;height:15.6pt;mso-position-horizontal-relative:page;mso-position-vertical-relative:paragraph;z-index:-1231264" coordorigin="7519,-1026" coordsize="3181,312">
            <v:shape style="position:absolute;left:7519;top:-1026;width:3181;height:312" coordorigin="7519,-1026" coordsize="3181,312" path="m7519,-714l10699,-714,10699,-1026,7519,-1026,7519,-714xe" filled="true" fillcolor="#ffffff" stroked="false">
              <v:path arrowok="t"/>
              <v:fill type="solid"/>
            </v:shape>
            <w10:wrap type="none"/>
          </v:group>
        </w:pict>
      </w:r>
      <w:r>
        <w:rPr/>
        <w:t>存在不同企业所得税税率纳税主体的，披露情况说明 无</w:t>
      </w:r>
    </w:p>
    <w:p>
      <w:pPr>
        <w:spacing w:line="240" w:lineRule="auto" w:before="11"/>
        <w:rPr>
          <w:rFonts w:ascii="宋体" w:hAnsi="宋体" w:cs="宋体" w:eastAsia="宋体" w:hint="default"/>
          <w:sz w:val="19"/>
          <w:szCs w:val="19"/>
        </w:rPr>
      </w:pPr>
    </w:p>
    <w:p>
      <w:pPr>
        <w:pStyle w:val="Heading3"/>
        <w:spacing w:line="240" w:lineRule="auto"/>
        <w:ind w:right="0"/>
        <w:jc w:val="left"/>
        <w:rPr>
          <w:b w:val="0"/>
          <w:bCs w:val="0"/>
        </w:rPr>
      </w:pPr>
      <w:bookmarkStart w:name="2、税收优惠" w:id="219"/>
      <w:bookmarkEnd w:id="219"/>
      <w:r>
        <w:rPr>
          <w:b w:val="0"/>
          <w:bCs w:val="0"/>
        </w:rPr>
      </w:r>
      <w:r>
        <w:rPr>
          <w:rFonts w:ascii="Times New Roman" w:hAnsi="Times New Roman" w:cs="Times New Roman" w:eastAsia="Times New Roman" w:hint="default"/>
        </w:rPr>
        <w:t>2</w:t>
      </w:r>
      <w:r>
        <w:rPr/>
        <w:t>、税收优惠</w:t>
      </w:r>
      <w:r>
        <w:rPr>
          <w:b w:val="0"/>
          <w:bCs w:val="0"/>
        </w:rPr>
      </w:r>
    </w:p>
    <w:p>
      <w:pPr>
        <w:spacing w:line="240" w:lineRule="auto" w:before="8"/>
        <w:rPr>
          <w:rFonts w:ascii="宋体" w:hAnsi="宋体" w:cs="宋体" w:eastAsia="宋体" w:hint="default"/>
          <w:b/>
          <w:bCs/>
          <w:sz w:val="26"/>
          <w:szCs w:val="26"/>
        </w:rPr>
      </w:pPr>
    </w:p>
    <w:p>
      <w:pPr>
        <w:pStyle w:val="BodyText"/>
        <w:spacing w:line="300" w:lineRule="auto"/>
        <w:ind w:left="511" w:right="1118"/>
        <w:jc w:val="left"/>
      </w:pPr>
      <w:r>
        <w:rPr/>
        <w:t>（</w:t>
      </w:r>
      <w:r>
        <w:rPr>
          <w:rFonts w:ascii="Times New Roman" w:hAnsi="Times New Roman" w:cs="Times New Roman" w:eastAsia="Times New Roman" w:hint="default"/>
        </w:rPr>
        <w:t>1</w:t>
      </w:r>
      <w:r>
        <w:rPr/>
        <w:t>）本公司 </w:t>
      </w:r>
      <w:r>
        <w:rPr>
          <w:spacing w:val="-2"/>
        </w:rPr>
        <w:t>本公司</w:t>
      </w:r>
      <w:r>
        <w:rPr>
          <w:rFonts w:ascii="Times New Roman" w:hAnsi="Times New Roman" w:cs="Times New Roman" w:eastAsia="Times New Roman" w:hint="default"/>
          <w:spacing w:val="-2"/>
        </w:rPr>
        <w:t>2009</w:t>
      </w:r>
      <w:r>
        <w:rPr>
          <w:spacing w:val="-2"/>
        </w:rPr>
        <w:t>年被认定为国家高新技术企业，</w:t>
      </w:r>
      <w:r>
        <w:rPr>
          <w:rFonts w:ascii="Times New Roman" w:hAnsi="Times New Roman" w:cs="Times New Roman" w:eastAsia="Times New Roman" w:hint="default"/>
          <w:spacing w:val="-2"/>
        </w:rPr>
        <w:t>2019</w:t>
      </w:r>
      <w:r>
        <w:rPr>
          <w:spacing w:val="-2"/>
        </w:rPr>
        <w:t>年通过复审，并领取深圳市科技创新委员会、深圳市财政委员会、国家</w:t>
      </w:r>
    </w:p>
    <w:p>
      <w:pPr>
        <w:pStyle w:val="BodyText"/>
        <w:spacing w:line="300" w:lineRule="auto" w:before="13"/>
        <w:ind w:right="1027"/>
        <w:jc w:val="left"/>
      </w:pPr>
      <w:r>
        <w:rPr>
          <w:spacing w:val="-1"/>
        </w:rPr>
        <w:t>税务总局深圳市税务局联合颁发的高新技术企业证书，编号为</w:t>
      </w:r>
      <w:r>
        <w:rPr>
          <w:rFonts w:ascii="Times New Roman" w:hAnsi="Times New Roman" w:cs="Times New Roman" w:eastAsia="Times New Roman" w:hint="default"/>
          <w:spacing w:val="-1"/>
        </w:rPr>
        <w:t>GR201844201266</w:t>
      </w:r>
      <w:r>
        <w:rPr>
          <w:spacing w:val="-1"/>
        </w:rPr>
        <w:t>，发证日期为</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10</w:t>
      </w:r>
      <w:r>
        <w:rPr>
          <w:spacing w:val="-1"/>
        </w:rPr>
        <w:t>月</w:t>
      </w:r>
      <w:r>
        <w:rPr>
          <w:rFonts w:ascii="Times New Roman" w:hAnsi="Times New Roman" w:cs="Times New Roman" w:eastAsia="Times New Roman" w:hint="default"/>
          <w:spacing w:val="-1"/>
        </w:rPr>
        <w:t>16</w:t>
      </w:r>
      <w:r>
        <w:rPr>
          <w:spacing w:val="-1"/>
        </w:rPr>
        <w:t>日，有效期三年，</w:t>
      </w:r>
      <w:r>
        <w:rPr/>
        <w:t> 根据《中华人民共和国企业所得税法》的有关规定，本公司</w:t>
      </w:r>
      <w:r>
        <w:rPr>
          <w:rFonts w:ascii="Times New Roman" w:hAnsi="Times New Roman" w:cs="Times New Roman" w:eastAsia="Times New Roman" w:hint="default"/>
        </w:rPr>
        <w:t>2018</w:t>
      </w:r>
      <w:r>
        <w:rPr/>
        <w:t>年至</w:t>
      </w:r>
      <w:r>
        <w:rPr>
          <w:rFonts w:ascii="Times New Roman" w:hAnsi="Times New Roman" w:cs="Times New Roman" w:eastAsia="Times New Roman" w:hint="default"/>
        </w:rPr>
        <w:t>2020</w:t>
      </w:r>
      <w:r>
        <w:rPr/>
        <w:t>年享受高新技术企业税收优惠政策，减按</w:t>
      </w:r>
      <w:r>
        <w:rPr>
          <w:rFonts w:ascii="Times New Roman" w:hAnsi="Times New Roman" w:cs="Times New Roman" w:eastAsia="Times New Roman" w:hint="default"/>
        </w:rPr>
        <w:t>15%</w:t>
      </w:r>
      <w:r>
        <w:rPr/>
        <w:t>的税 率缴纳企业所得税。</w:t>
      </w:r>
    </w:p>
    <w:p>
      <w:pPr>
        <w:pStyle w:val="BodyText"/>
        <w:spacing w:line="316" w:lineRule="auto" w:before="31"/>
        <w:ind w:right="1130" w:firstLine="357"/>
        <w:jc w:val="left"/>
      </w:pPr>
      <w:r>
        <w:rPr>
          <w:spacing w:val="-2"/>
        </w:rPr>
        <w:t>本公司根据深圳经济特区房产税实施办法规定，纳税单位新建或购置的新建房屋</w:t>
      </w:r>
      <w:r>
        <w:rPr>
          <w:rFonts w:ascii="宋体" w:hAnsi="宋体" w:cs="宋体" w:eastAsia="宋体" w:hint="default"/>
          <w:spacing w:val="-2"/>
        </w:rPr>
        <w:t>(</w:t>
      </w:r>
      <w:r>
        <w:rPr>
          <w:spacing w:val="-2"/>
        </w:rPr>
        <w:t>不包括违章建造的房屋</w:t>
      </w:r>
      <w:r>
        <w:rPr>
          <w:rFonts w:ascii="宋体" w:hAnsi="宋体" w:cs="宋体" w:eastAsia="宋体" w:hint="default"/>
          <w:spacing w:val="-2"/>
        </w:rPr>
        <w:t>)</w:t>
      </w:r>
      <w:r>
        <w:rPr>
          <w:spacing w:val="-2"/>
        </w:rPr>
        <w:t>，自建成或购</w:t>
      </w:r>
      <w:r>
        <w:rPr/>
        <w:t> 置之次月起免纳房产税三年，本公司松岗工业园二期房产自</w:t>
      </w:r>
      <w:r>
        <w:rPr>
          <w:rFonts w:ascii="宋体" w:hAnsi="宋体" w:cs="宋体" w:eastAsia="宋体" w:hint="default"/>
        </w:rPr>
        <w:t>2017-2019</w:t>
      </w:r>
      <w:r>
        <w:rPr/>
        <w:t>年、三期房产</w:t>
      </w:r>
      <w:r>
        <w:rPr>
          <w:rFonts w:ascii="宋体" w:hAnsi="宋体" w:cs="宋体" w:eastAsia="宋体" w:hint="default"/>
        </w:rPr>
        <w:t>2018-2020</w:t>
      </w:r>
      <w:r>
        <w:rPr/>
        <w:t>年免纳房产税。</w:t>
      </w:r>
    </w:p>
    <w:p>
      <w:pPr>
        <w:pStyle w:val="BodyText"/>
        <w:spacing w:line="240" w:lineRule="auto" w:before="19"/>
        <w:ind w:left="511" w:right="0"/>
        <w:jc w:val="left"/>
      </w:pPr>
      <w:r>
        <w:rPr/>
        <w:t>（</w:t>
      </w:r>
      <w:r>
        <w:rPr>
          <w:rFonts w:ascii="Times New Roman" w:hAnsi="Times New Roman" w:cs="Times New Roman" w:eastAsia="Times New Roman" w:hint="default"/>
        </w:rPr>
        <w:t>2</w:t>
      </w:r>
      <w:r>
        <w:rPr/>
        <w:t>）安徽安泰新型包装材料印刷有限公司（以下简称</w:t>
      </w:r>
      <w:r>
        <w:rPr>
          <w:rFonts w:ascii="Times New Roman" w:hAnsi="Times New Roman" w:cs="Times New Roman" w:eastAsia="Times New Roman" w:hint="default"/>
        </w:rPr>
        <w:t>“</w:t>
      </w:r>
      <w:r>
        <w:rPr/>
        <w:t>安徽安泰</w:t>
      </w:r>
      <w:r>
        <w:rPr>
          <w:rFonts w:ascii="Times New Roman" w:hAnsi="Times New Roman" w:cs="Times New Roman" w:eastAsia="Times New Roman" w:hint="default"/>
        </w:rPr>
        <w:t>”</w:t>
      </w:r>
      <w:r>
        <w:rPr/>
        <w:t>）</w:t>
      </w:r>
    </w:p>
    <w:p>
      <w:pPr>
        <w:spacing w:after="0" w:line="24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00" w:lineRule="auto" w:before="44"/>
        <w:ind w:right="1130" w:firstLine="357"/>
        <w:jc w:val="both"/>
      </w:pPr>
      <w:r>
        <w:rPr>
          <w:spacing w:val="-2"/>
        </w:rPr>
        <w:t>安徽安泰</w:t>
      </w:r>
      <w:r>
        <w:rPr>
          <w:rFonts w:ascii="Times New Roman" w:hAnsi="Times New Roman" w:cs="Times New Roman" w:eastAsia="Times New Roman" w:hint="default"/>
          <w:spacing w:val="-2"/>
        </w:rPr>
        <w:t>2014</w:t>
      </w:r>
      <w:r>
        <w:rPr>
          <w:spacing w:val="-2"/>
        </w:rPr>
        <w:t>年被认定为国家高新技术企业，</w:t>
      </w:r>
      <w:r>
        <w:rPr>
          <w:rFonts w:ascii="Times New Roman" w:hAnsi="Times New Roman" w:cs="Times New Roman" w:eastAsia="Times New Roman" w:hint="default"/>
          <w:spacing w:val="-2"/>
        </w:rPr>
        <w:t>2017</w:t>
      </w:r>
      <w:r>
        <w:rPr>
          <w:spacing w:val="-2"/>
        </w:rPr>
        <w:t>年通过复审，并领取安徽省科学技术厅、安徽省财政厅、安徽省国家</w:t>
      </w:r>
      <w:r>
        <w:rPr/>
        <w:t> 税务局、安徽省地方税务局颁发的高新技术企业证书，编号为</w:t>
      </w:r>
      <w:r>
        <w:rPr>
          <w:rFonts w:ascii="Times New Roman" w:hAnsi="Times New Roman" w:cs="Times New Roman" w:eastAsia="Times New Roman" w:hint="default"/>
        </w:rPr>
        <w:t>GR201734000436</w:t>
      </w:r>
      <w:r>
        <w:rPr/>
        <w:t>。根据《中华人民共和国企业所得税法》的</w:t>
      </w:r>
      <w:r>
        <w:rPr>
          <w:spacing w:val="-66"/>
        </w:rPr>
        <w:t> </w:t>
      </w:r>
      <w:r>
        <w:rPr>
          <w:spacing w:val="-66"/>
        </w:rPr>
      </w:r>
      <w:r>
        <w:rPr/>
        <w:t>有关规定，该公司</w:t>
      </w:r>
      <w:r>
        <w:rPr>
          <w:rFonts w:ascii="Times New Roman" w:hAnsi="Times New Roman" w:cs="Times New Roman" w:eastAsia="Times New Roman" w:hint="default"/>
        </w:rPr>
        <w:t>2017</w:t>
      </w:r>
      <w:r>
        <w:rPr/>
        <w:t>年至</w:t>
      </w:r>
      <w:r>
        <w:rPr>
          <w:rFonts w:ascii="Times New Roman" w:hAnsi="Times New Roman" w:cs="Times New Roman" w:eastAsia="Times New Roman" w:hint="default"/>
        </w:rPr>
        <w:t>2019</w:t>
      </w:r>
      <w:r>
        <w:rPr/>
        <w:t>年享受高新技术企业税收优惠政策，减按</w:t>
      </w:r>
      <w:r>
        <w:rPr>
          <w:rFonts w:ascii="Times New Roman" w:hAnsi="Times New Roman" w:cs="Times New Roman" w:eastAsia="Times New Roman" w:hint="default"/>
        </w:rPr>
        <w:t>15%</w:t>
      </w:r>
      <w:r>
        <w:rPr/>
        <w:t>的税率缴纳企业所得税。</w:t>
      </w:r>
    </w:p>
    <w:p>
      <w:pPr>
        <w:pStyle w:val="BodyText"/>
        <w:spacing w:line="300" w:lineRule="auto" w:before="13"/>
        <w:ind w:left="511" w:right="0"/>
        <w:jc w:val="left"/>
      </w:pPr>
      <w:r>
        <w:rPr/>
        <w:t>（</w:t>
      </w:r>
      <w:r>
        <w:rPr>
          <w:rFonts w:ascii="Times New Roman" w:hAnsi="Times New Roman" w:cs="Times New Roman" w:eastAsia="Times New Roman" w:hint="default"/>
        </w:rPr>
        <w:t>3</w:t>
      </w:r>
      <w:r>
        <w:rPr/>
        <w:t>）贵州劲嘉新型包装材料有限公司（以下简称</w:t>
      </w:r>
      <w:r>
        <w:rPr>
          <w:rFonts w:ascii="Times New Roman" w:hAnsi="Times New Roman" w:cs="Times New Roman" w:eastAsia="Times New Roman" w:hint="default"/>
        </w:rPr>
        <w:t>“</w:t>
      </w:r>
      <w:r>
        <w:rPr/>
        <w:t>贵州劲嘉</w:t>
      </w:r>
      <w:r>
        <w:rPr>
          <w:rFonts w:ascii="Times New Roman" w:hAnsi="Times New Roman" w:cs="Times New Roman" w:eastAsia="Times New Roman" w:hint="default"/>
        </w:rPr>
        <w:t>”</w:t>
      </w:r>
      <w:r>
        <w:rPr/>
        <w:t>） </w:t>
      </w:r>
      <w:r>
        <w:rPr>
          <w:spacing w:val="-2"/>
        </w:rPr>
        <w:t>贵州劲嘉</w:t>
      </w:r>
      <w:r>
        <w:rPr>
          <w:rFonts w:ascii="Times New Roman" w:hAnsi="Times New Roman" w:cs="Times New Roman" w:eastAsia="Times New Roman" w:hint="default"/>
          <w:spacing w:val="-2"/>
        </w:rPr>
        <w:t>2012</w:t>
      </w:r>
      <w:r>
        <w:rPr>
          <w:spacing w:val="-2"/>
        </w:rPr>
        <w:t>年被认定为国家高新技术企业，</w:t>
      </w:r>
      <w:r>
        <w:rPr>
          <w:rFonts w:ascii="Times New Roman" w:hAnsi="Times New Roman" w:cs="Times New Roman" w:eastAsia="Times New Roman" w:hint="default"/>
          <w:spacing w:val="-2"/>
        </w:rPr>
        <w:t>2018</w:t>
      </w:r>
      <w:r>
        <w:rPr>
          <w:spacing w:val="-2"/>
        </w:rPr>
        <w:t>年通过复审，并领取贵州省科技厅、贵州省财政厅、国家税务总局贵</w:t>
      </w:r>
    </w:p>
    <w:p>
      <w:pPr>
        <w:pStyle w:val="BodyText"/>
        <w:spacing w:line="300" w:lineRule="auto" w:before="13"/>
        <w:ind w:right="0"/>
        <w:jc w:val="left"/>
      </w:pPr>
      <w:r>
        <w:rPr/>
        <w:t>州省税务局联合颁发的高新技术企业证书，证书编号</w:t>
      </w:r>
      <w:r>
        <w:rPr>
          <w:rFonts w:ascii="Times New Roman" w:hAnsi="Times New Roman" w:cs="Times New Roman" w:eastAsia="Times New Roman" w:hint="default"/>
        </w:rPr>
        <w:t>GR201852000363</w:t>
      </w:r>
      <w:r>
        <w:rPr/>
        <w:t>，发证日期</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1</w:t>
      </w:r>
      <w:r>
        <w:rPr/>
        <w:t>日。根据《中华人民共和国企</w:t>
      </w:r>
      <w:r>
        <w:rPr>
          <w:spacing w:val="-67"/>
        </w:rPr>
        <w:t> </w:t>
      </w:r>
      <w:r>
        <w:rPr>
          <w:spacing w:val="-67"/>
        </w:rPr>
      </w:r>
      <w:r>
        <w:rPr/>
        <w:t>业所得税法》的有关规定，该公司</w:t>
      </w:r>
      <w:r>
        <w:rPr>
          <w:rFonts w:ascii="Times New Roman" w:hAnsi="Times New Roman" w:cs="Times New Roman" w:eastAsia="Times New Roman" w:hint="default"/>
        </w:rPr>
        <w:t>2018</w:t>
      </w:r>
      <w:r>
        <w:rPr/>
        <w:t>年至</w:t>
      </w:r>
      <w:r>
        <w:rPr>
          <w:rFonts w:ascii="Times New Roman" w:hAnsi="Times New Roman" w:cs="Times New Roman" w:eastAsia="Times New Roman" w:hint="default"/>
        </w:rPr>
        <w:t>2020</w:t>
      </w:r>
      <w:r>
        <w:rPr/>
        <w:t>年享受高新技术企业税收优惠政策</w:t>
      </w:r>
      <w:r>
        <w:rPr>
          <w:rFonts w:ascii="Times New Roman" w:hAnsi="Times New Roman" w:cs="Times New Roman" w:eastAsia="Times New Roman" w:hint="default"/>
        </w:rPr>
        <w:t>,</w:t>
      </w:r>
      <w:r>
        <w:rPr>
          <w:rFonts w:ascii="Times New Roman" w:hAnsi="Times New Roman" w:cs="Times New Roman" w:eastAsia="Times New Roman" w:hint="default"/>
          <w:spacing w:val="27"/>
        </w:rPr>
        <w:t> </w:t>
      </w:r>
      <w:r>
        <w:rPr/>
        <w:t>减按</w:t>
      </w:r>
      <w:r>
        <w:rPr>
          <w:rFonts w:ascii="Times New Roman" w:hAnsi="Times New Roman" w:cs="Times New Roman" w:eastAsia="Times New Roman" w:hint="default"/>
        </w:rPr>
        <w:t>15%</w:t>
      </w:r>
      <w:r>
        <w:rPr/>
        <w:t>的税率缴纳企业所得税。</w:t>
      </w:r>
    </w:p>
    <w:p>
      <w:pPr>
        <w:pStyle w:val="BodyText"/>
        <w:spacing w:line="300" w:lineRule="auto" w:before="13"/>
        <w:ind w:left="511" w:right="1026"/>
        <w:jc w:val="left"/>
      </w:pPr>
      <w:r>
        <w:rPr/>
        <w:t>（</w:t>
      </w:r>
      <w:r>
        <w:rPr>
          <w:rFonts w:ascii="Times New Roman" w:hAnsi="Times New Roman" w:cs="Times New Roman" w:eastAsia="Times New Roman" w:hint="default"/>
        </w:rPr>
        <w:t>4</w:t>
      </w:r>
      <w:r>
        <w:rPr/>
        <w:t>）江苏劲嘉新型包装材料有限公司（以下简称</w:t>
      </w:r>
      <w:r>
        <w:rPr>
          <w:rFonts w:ascii="Times New Roman" w:hAnsi="Times New Roman" w:cs="Times New Roman" w:eastAsia="Times New Roman" w:hint="default"/>
        </w:rPr>
        <w:t>“</w:t>
      </w:r>
      <w:r>
        <w:rPr/>
        <w:t>江苏劲嘉</w:t>
      </w:r>
      <w:r>
        <w:rPr>
          <w:rFonts w:ascii="Times New Roman" w:hAnsi="Times New Roman" w:cs="Times New Roman" w:eastAsia="Times New Roman" w:hint="default"/>
        </w:rPr>
        <w:t>”</w:t>
      </w:r>
      <w:r>
        <w:rPr/>
        <w:t>） </w:t>
      </w:r>
      <w:r>
        <w:rPr>
          <w:spacing w:val="-3"/>
        </w:rPr>
        <w:t>江苏劲嘉</w:t>
      </w:r>
      <w:r>
        <w:rPr>
          <w:rFonts w:ascii="Times New Roman" w:hAnsi="Times New Roman" w:cs="Times New Roman" w:eastAsia="Times New Roman" w:hint="default"/>
          <w:spacing w:val="-3"/>
        </w:rPr>
        <w:t>2014</w:t>
      </w:r>
      <w:r>
        <w:rPr>
          <w:spacing w:val="-3"/>
        </w:rPr>
        <w:t>年被认定为国家高新技术企业，</w:t>
      </w:r>
      <w:r>
        <w:rPr>
          <w:rFonts w:ascii="Times New Roman" w:hAnsi="Times New Roman" w:cs="Times New Roman" w:eastAsia="Times New Roman" w:hint="default"/>
          <w:spacing w:val="-3"/>
        </w:rPr>
        <w:t>2017</w:t>
      </w:r>
      <w:r>
        <w:rPr>
          <w:spacing w:val="-3"/>
        </w:rPr>
        <w:t>到期后重新认定为高新技术企业，并领取苏省科技厅、江苏省财政厅、</w:t>
      </w:r>
    </w:p>
    <w:p>
      <w:pPr>
        <w:pStyle w:val="BodyText"/>
        <w:spacing w:line="300" w:lineRule="auto" w:before="13"/>
        <w:ind w:right="0"/>
        <w:jc w:val="left"/>
      </w:pPr>
      <w:r>
        <w:rPr/>
        <w:t>江苏省国家税务局、江苏省地方税务局联合颁发的高新技术企业证书，证书编号</w:t>
      </w:r>
      <w:r>
        <w:rPr>
          <w:rFonts w:ascii="Times New Roman" w:hAnsi="Times New Roman" w:cs="Times New Roman" w:eastAsia="Times New Roman" w:hint="default"/>
        </w:rPr>
        <w:t>GR201732001768</w:t>
      </w:r>
      <w:r>
        <w:rPr/>
        <w:t>。根据《中华人民共和国</w:t>
      </w:r>
      <w:r>
        <w:rPr>
          <w:spacing w:val="-64"/>
        </w:rPr>
        <w:t> </w:t>
      </w:r>
      <w:r>
        <w:rPr>
          <w:spacing w:val="-64"/>
        </w:rPr>
      </w:r>
      <w:r>
        <w:rPr/>
        <w:t>企业所得税法》的有关规定，该公司</w:t>
      </w:r>
      <w:r>
        <w:rPr>
          <w:rFonts w:ascii="Times New Roman" w:hAnsi="Times New Roman" w:cs="Times New Roman" w:eastAsia="Times New Roman" w:hint="default"/>
        </w:rPr>
        <w:t>2017</w:t>
      </w:r>
      <w:r>
        <w:rPr/>
        <w:t>年至</w:t>
      </w:r>
      <w:r>
        <w:rPr>
          <w:rFonts w:ascii="Times New Roman" w:hAnsi="Times New Roman" w:cs="Times New Roman" w:eastAsia="Times New Roman" w:hint="default"/>
        </w:rPr>
        <w:t>2019</w:t>
      </w:r>
      <w:r>
        <w:rPr/>
        <w:t>年享受高新技术企业税收优惠政策，减按</w:t>
      </w:r>
      <w:r>
        <w:rPr>
          <w:rFonts w:ascii="Times New Roman" w:hAnsi="Times New Roman" w:cs="Times New Roman" w:eastAsia="Times New Roman" w:hint="default"/>
        </w:rPr>
        <w:t>15%</w:t>
      </w:r>
      <w:r>
        <w:rPr/>
        <w:t>的税率缴纳企业所得税。</w:t>
      </w:r>
    </w:p>
    <w:p>
      <w:pPr>
        <w:pStyle w:val="BodyText"/>
        <w:spacing w:line="300" w:lineRule="auto" w:before="13"/>
        <w:ind w:left="511" w:right="0"/>
        <w:jc w:val="left"/>
      </w:pPr>
      <w:r>
        <w:rPr/>
        <w:t>（</w:t>
      </w:r>
      <w:r>
        <w:rPr>
          <w:rFonts w:ascii="Times New Roman" w:hAnsi="Times New Roman" w:cs="Times New Roman" w:eastAsia="Times New Roman" w:hint="default"/>
        </w:rPr>
        <w:t>5</w:t>
      </w:r>
      <w:r>
        <w:rPr/>
        <w:t>）江苏顺泰包装印刷科技有限公司（以下简称</w:t>
      </w:r>
      <w:r>
        <w:rPr>
          <w:rFonts w:ascii="Times New Roman" w:hAnsi="Times New Roman" w:cs="Times New Roman" w:eastAsia="Times New Roman" w:hint="default"/>
        </w:rPr>
        <w:t>“</w:t>
      </w:r>
      <w:r>
        <w:rPr/>
        <w:t>江苏顺泰</w:t>
      </w:r>
      <w:r>
        <w:rPr>
          <w:rFonts w:ascii="Times New Roman" w:hAnsi="Times New Roman" w:cs="Times New Roman" w:eastAsia="Times New Roman" w:hint="default"/>
        </w:rPr>
        <w:t>”</w:t>
      </w:r>
      <w:r>
        <w:rPr/>
        <w:t>） </w:t>
      </w:r>
      <w:r>
        <w:rPr>
          <w:spacing w:val="-2"/>
        </w:rPr>
        <w:t>江苏顺泰</w:t>
      </w:r>
      <w:r>
        <w:rPr>
          <w:rFonts w:ascii="Times New Roman" w:hAnsi="Times New Roman" w:cs="Times New Roman" w:eastAsia="Times New Roman" w:hint="default"/>
          <w:spacing w:val="-2"/>
        </w:rPr>
        <w:t>2014</w:t>
      </w:r>
      <w:r>
        <w:rPr>
          <w:spacing w:val="-2"/>
        </w:rPr>
        <w:t>年被认定为国家高新技术企业，</w:t>
      </w:r>
      <w:r>
        <w:rPr>
          <w:rFonts w:ascii="Times New Roman" w:hAnsi="Times New Roman" w:cs="Times New Roman" w:eastAsia="Times New Roman" w:hint="default"/>
          <w:spacing w:val="-2"/>
        </w:rPr>
        <w:t>2017</w:t>
      </w:r>
      <w:r>
        <w:rPr>
          <w:spacing w:val="-2"/>
        </w:rPr>
        <w:t>年通过复审，并领取江苏省科学技术厅、江苏省财政厅、江苏省国家</w:t>
      </w:r>
    </w:p>
    <w:p>
      <w:pPr>
        <w:pStyle w:val="BodyText"/>
        <w:spacing w:line="300" w:lineRule="auto" w:before="13"/>
        <w:ind w:right="0"/>
        <w:jc w:val="left"/>
      </w:pPr>
      <w:r>
        <w:rPr/>
        <w:t>税务局、江苏省地方税务局联合颁发的高新技术企业证书，证书编号</w:t>
      </w:r>
      <w:r>
        <w:rPr>
          <w:rFonts w:ascii="Times New Roman" w:hAnsi="Times New Roman" w:cs="Times New Roman" w:eastAsia="Times New Roman" w:hint="default"/>
        </w:rPr>
        <w:t>GR201432001312</w:t>
      </w:r>
      <w:r>
        <w:rPr/>
        <w:t>。根据《中华人民共和国企业所得税</w:t>
      </w:r>
      <w:r>
        <w:rPr>
          <w:spacing w:val="-66"/>
        </w:rPr>
        <w:t> </w:t>
      </w:r>
      <w:r>
        <w:rPr>
          <w:spacing w:val="-66"/>
        </w:rPr>
      </w:r>
      <w:r>
        <w:rPr/>
        <w:t>法》的有关规定，该公司</w:t>
      </w:r>
      <w:r>
        <w:rPr>
          <w:rFonts w:ascii="Times New Roman" w:hAnsi="Times New Roman" w:cs="Times New Roman" w:eastAsia="Times New Roman" w:hint="default"/>
        </w:rPr>
        <w:t>2017</w:t>
      </w:r>
      <w:r>
        <w:rPr/>
        <w:t>年至</w:t>
      </w:r>
      <w:r>
        <w:rPr>
          <w:rFonts w:ascii="Times New Roman" w:hAnsi="Times New Roman" w:cs="Times New Roman" w:eastAsia="Times New Roman" w:hint="default"/>
        </w:rPr>
        <w:t>2019</w:t>
      </w:r>
      <w:r>
        <w:rPr/>
        <w:t>年享受高新技术企业税收优惠政策，减按</w:t>
      </w:r>
      <w:r>
        <w:rPr>
          <w:rFonts w:ascii="Times New Roman" w:hAnsi="Times New Roman" w:cs="Times New Roman" w:eastAsia="Times New Roman" w:hint="default"/>
        </w:rPr>
        <w:t>15%</w:t>
      </w:r>
      <w:r>
        <w:rPr/>
        <w:t>的税率缴纳企业所得税。</w:t>
      </w:r>
    </w:p>
    <w:p>
      <w:pPr>
        <w:pStyle w:val="BodyText"/>
        <w:spacing w:line="240" w:lineRule="auto" w:before="13"/>
        <w:ind w:left="511" w:right="0"/>
        <w:jc w:val="left"/>
      </w:pPr>
      <w:r>
        <w:rPr/>
        <w:t>（</w:t>
      </w:r>
      <w:r>
        <w:rPr>
          <w:rFonts w:ascii="Times New Roman" w:hAnsi="Times New Roman" w:cs="Times New Roman" w:eastAsia="Times New Roman" w:hint="default"/>
        </w:rPr>
        <w:t>6</w:t>
      </w:r>
      <w:r>
        <w:rPr/>
        <w:t>）青岛嘉颐泽印刷包装有限公司（以下简称</w:t>
      </w:r>
      <w:r>
        <w:rPr>
          <w:rFonts w:ascii="Times New Roman" w:hAnsi="Times New Roman" w:cs="Times New Roman" w:eastAsia="Times New Roman" w:hint="default"/>
        </w:rPr>
        <w:t>“</w:t>
      </w:r>
      <w:r>
        <w:rPr/>
        <w:t>嘉颐泽</w:t>
      </w:r>
      <w:r>
        <w:rPr>
          <w:rFonts w:ascii="Times New Roman" w:hAnsi="Times New Roman" w:cs="Times New Roman" w:eastAsia="Times New Roman" w:hint="default"/>
        </w:rPr>
        <w:t>”</w:t>
      </w:r>
      <w:r>
        <w:rPr/>
        <w:t>）</w:t>
      </w:r>
    </w:p>
    <w:p>
      <w:pPr>
        <w:pStyle w:val="BodyText"/>
        <w:spacing w:line="300" w:lineRule="auto" w:before="63"/>
        <w:ind w:right="1132" w:firstLine="357"/>
        <w:jc w:val="both"/>
      </w:pPr>
      <w:r>
        <w:rPr>
          <w:rFonts w:ascii="Times New Roman" w:hAnsi="Times New Roman" w:cs="Times New Roman" w:eastAsia="Times New Roman" w:hint="default"/>
        </w:rPr>
        <w:t>2017</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10</w:t>
      </w:r>
      <w:r>
        <w:rPr/>
        <w:t>日嘉颐泽收到由青岛市科学技术局、青岛市财政局、山东省青岛国家税务局、青岛市地方税务局联合颁发 的《高新技术企业证书》（证书编号：</w:t>
      </w:r>
      <w:r>
        <w:rPr>
          <w:rFonts w:ascii="Times New Roman" w:hAnsi="Times New Roman" w:cs="Times New Roman" w:eastAsia="Times New Roman" w:hint="default"/>
        </w:rPr>
        <w:t>GR201637100313</w:t>
      </w:r>
      <w:r>
        <w:rPr/>
        <w:t>，发证时间：</w:t>
      </w:r>
      <w:r>
        <w:rPr>
          <w:rFonts w:ascii="Times New Roman" w:hAnsi="Times New Roman" w:cs="Times New Roman" w:eastAsia="Times New Roman" w:hint="default"/>
        </w:rPr>
        <w:t>2016</w:t>
      </w:r>
      <w:r>
        <w:rPr>
          <w:rFonts w:ascii="Times New Roman" w:hAnsi="Times New Roman" w:cs="Times New Roman" w:eastAsia="Times New Roman" w:hint="default"/>
          <w:spacing w:val="16"/>
        </w:rPr>
        <w:t> </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w:t>
      </w:r>
      <w:r>
        <w:rPr/>
        <w:t>日，有效期三年）。根据相关规定，嘉</w:t>
      </w:r>
      <w:r>
        <w:rPr>
          <w:spacing w:val="-85"/>
        </w:rPr>
        <w:t> </w:t>
      </w:r>
      <w:r>
        <w:rPr>
          <w:spacing w:val="-85"/>
        </w:rPr>
      </w:r>
      <w:r>
        <w:rPr/>
        <w:t>颐泽高新技术企业认证通过后三年内（</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-2018</w:t>
      </w:r>
      <w:r>
        <w:rPr/>
        <w:t>年），享受国家关于高新技术企业的相关税收优惠政策，即企业所得税</w:t>
      </w:r>
      <w:r>
        <w:rPr>
          <w:spacing w:val="-58"/>
        </w:rPr>
        <w:t> </w:t>
      </w:r>
      <w:r>
        <w:rPr>
          <w:spacing w:val="-58"/>
        </w:rPr>
      </w:r>
      <w:r>
        <w:rPr/>
        <w:t>按</w:t>
      </w:r>
      <w:r>
        <w:rPr>
          <w:rFonts w:ascii="Times New Roman" w:hAnsi="Times New Roman" w:cs="Times New Roman" w:eastAsia="Times New Roman" w:hint="default"/>
        </w:rPr>
        <w:t>15%</w:t>
      </w:r>
      <w:r>
        <w:rPr/>
        <w:t>的税率征收。</w:t>
      </w:r>
    </w:p>
    <w:p>
      <w:pPr>
        <w:pStyle w:val="BodyText"/>
        <w:spacing w:line="300" w:lineRule="auto" w:before="13"/>
        <w:ind w:left="511" w:right="0"/>
        <w:jc w:val="left"/>
      </w:pPr>
      <w:r>
        <w:rPr/>
        <w:t>（</w:t>
      </w:r>
      <w:r>
        <w:rPr>
          <w:rFonts w:ascii="Times New Roman" w:hAnsi="Times New Roman" w:cs="Times New Roman" w:eastAsia="Times New Roman" w:hint="default"/>
        </w:rPr>
        <w:t>7</w:t>
      </w:r>
      <w:r>
        <w:rPr/>
        <w:t>）深圳市合元劲嘉电子科技有限公司（以下简称</w:t>
      </w:r>
      <w:r>
        <w:rPr>
          <w:rFonts w:ascii="Times New Roman" w:hAnsi="Times New Roman" w:cs="Times New Roman" w:eastAsia="Times New Roman" w:hint="default"/>
        </w:rPr>
        <w:t>“</w:t>
      </w:r>
      <w:r>
        <w:rPr/>
        <w:t>合元劲嘉</w:t>
      </w:r>
      <w:r>
        <w:rPr>
          <w:rFonts w:ascii="Times New Roman" w:hAnsi="Times New Roman" w:cs="Times New Roman" w:eastAsia="Times New Roman" w:hint="default"/>
        </w:rPr>
        <w:t>”</w:t>
      </w:r>
      <w:r>
        <w:rPr/>
        <w:t>） </w:t>
      </w:r>
      <w:r>
        <w:rPr>
          <w:spacing w:val="-2"/>
        </w:rPr>
        <w:t>合元劲嘉为小型微利企业，国家对符合条件的小型微利企业减按</w:t>
      </w:r>
      <w:r>
        <w:rPr>
          <w:rFonts w:ascii="Times New Roman" w:hAnsi="Times New Roman" w:cs="Times New Roman" w:eastAsia="Times New Roman" w:hint="default"/>
          <w:spacing w:val="-2"/>
        </w:rPr>
        <w:t>20</w:t>
      </w:r>
      <w:r>
        <w:rPr>
          <w:spacing w:val="-2"/>
        </w:rPr>
        <w:t>％的税率征收企业所得税，同时将享受减半征收企业</w:t>
      </w:r>
    </w:p>
    <w:p>
      <w:pPr>
        <w:pStyle w:val="BodyText"/>
        <w:spacing w:line="240" w:lineRule="auto" w:before="13"/>
        <w:ind w:right="0"/>
        <w:jc w:val="left"/>
      </w:pPr>
      <w:r>
        <w:rPr/>
        <w:t>所得税政策，即所得税税率为</w:t>
      </w:r>
      <w:r>
        <w:rPr>
          <w:rFonts w:ascii="Times New Roman" w:hAnsi="Times New Roman" w:cs="Times New Roman" w:eastAsia="Times New Roman" w:hint="default"/>
        </w:rPr>
        <w:t>10%</w:t>
      </w:r>
      <w:r>
        <w:rPr/>
        <w:t>。</w:t>
      </w:r>
    </w:p>
    <w:p>
      <w:pPr>
        <w:pStyle w:val="BodyText"/>
        <w:spacing w:line="240" w:lineRule="auto" w:before="63"/>
        <w:ind w:left="511" w:right="0"/>
        <w:jc w:val="left"/>
      </w:pPr>
      <w:r>
        <w:rPr/>
        <w:t>（</w:t>
      </w:r>
      <w:r>
        <w:rPr>
          <w:rFonts w:ascii="Times New Roman" w:hAnsi="Times New Roman" w:cs="Times New Roman" w:eastAsia="Times New Roman" w:hint="default"/>
        </w:rPr>
        <w:t>8</w:t>
      </w:r>
      <w:r>
        <w:rPr/>
        <w:t>）贵州劲瑞新型包装材料有限公司（以下简称</w:t>
      </w:r>
      <w:r>
        <w:rPr>
          <w:rFonts w:ascii="Times New Roman" w:hAnsi="Times New Roman" w:cs="Times New Roman" w:eastAsia="Times New Roman" w:hint="default"/>
        </w:rPr>
        <w:t>“</w:t>
      </w:r>
      <w:r>
        <w:rPr/>
        <w:t>贵州劲瑞</w:t>
      </w:r>
      <w:r>
        <w:rPr>
          <w:rFonts w:ascii="Times New Roman" w:hAnsi="Times New Roman" w:cs="Times New Roman" w:eastAsia="Times New Roman" w:hint="default"/>
        </w:rPr>
        <w:t>”</w:t>
      </w:r>
      <w:r>
        <w:rPr/>
        <w:t>）</w:t>
      </w:r>
    </w:p>
    <w:p>
      <w:pPr>
        <w:pStyle w:val="BodyText"/>
        <w:spacing w:line="300" w:lineRule="auto" w:before="63"/>
        <w:ind w:right="1131" w:firstLine="357"/>
        <w:jc w:val="both"/>
      </w:pPr>
      <w:r>
        <w:rPr>
          <w:rFonts w:ascii="Times New Roman" w:hAnsi="Times New Roman" w:cs="Times New Roman" w:eastAsia="Times New Roman" w:hint="default"/>
          <w:spacing w:val="-2"/>
        </w:rPr>
        <w:t>2015</w:t>
      </w:r>
      <w:r>
        <w:rPr>
          <w:spacing w:val="-2"/>
        </w:rPr>
        <w:t>年贵州劲瑞取得《省经济和信息化委关于确定贵州劲瑞新型包装材料有限公司国家鼓励类产业项目的批复》（黔经</w:t>
      </w:r>
      <w:r>
        <w:rPr/>
        <w:t> 信产业函（</w:t>
      </w:r>
      <w:r>
        <w:rPr>
          <w:rFonts w:ascii="Times New Roman" w:hAnsi="Times New Roman" w:cs="Times New Roman" w:eastAsia="Times New Roman" w:hint="default"/>
        </w:rPr>
        <w:t>2015</w:t>
      </w:r>
      <w:r>
        <w:rPr/>
        <w:t>）</w:t>
      </w:r>
      <w:r>
        <w:rPr>
          <w:rFonts w:ascii="Times New Roman" w:hAnsi="Times New Roman" w:cs="Times New Roman" w:eastAsia="Times New Roman" w:hint="default"/>
        </w:rPr>
        <w:t>53</w:t>
      </w:r>
      <w:r>
        <w:rPr/>
        <w:t>号）文件，该公司</w:t>
      </w:r>
      <w:r>
        <w:rPr>
          <w:rFonts w:ascii="Times New Roman" w:hAnsi="Times New Roman" w:cs="Times New Roman" w:eastAsia="Times New Roman" w:hint="default"/>
        </w:rPr>
        <w:t>2018</w:t>
      </w:r>
      <w:r>
        <w:rPr/>
        <w:t>年继续享受西部大开发税收优惠政策，减按</w:t>
      </w:r>
      <w:r>
        <w:rPr>
          <w:rFonts w:ascii="Times New Roman" w:hAnsi="Times New Roman" w:cs="Times New Roman" w:eastAsia="Times New Roman" w:hint="default"/>
        </w:rPr>
        <w:t>15%</w:t>
      </w:r>
      <w:r>
        <w:rPr/>
        <w:t>的税率缴纳企业所得税。</w:t>
      </w:r>
    </w:p>
    <w:p>
      <w:pPr>
        <w:pStyle w:val="BodyText"/>
        <w:spacing w:line="240" w:lineRule="auto" w:before="13"/>
        <w:ind w:left="511" w:right="0"/>
        <w:jc w:val="left"/>
      </w:pPr>
      <w:r>
        <w:rPr/>
        <w:t>（</w:t>
      </w:r>
      <w:r>
        <w:rPr>
          <w:rFonts w:ascii="Times New Roman" w:hAnsi="Times New Roman" w:cs="Times New Roman" w:eastAsia="Times New Roman" w:hint="default"/>
        </w:rPr>
        <w:t>9</w:t>
      </w:r>
      <w:r>
        <w:rPr/>
        <w:t>）中丰田光电科技（珠海）有限公司（以下简称</w:t>
      </w:r>
      <w:r>
        <w:rPr>
          <w:rFonts w:ascii="Times New Roman" w:hAnsi="Times New Roman" w:cs="Times New Roman" w:eastAsia="Times New Roman" w:hint="default"/>
        </w:rPr>
        <w:t>“</w:t>
      </w:r>
      <w:r>
        <w:rPr/>
        <w:t>中丰田</w:t>
      </w:r>
      <w:r>
        <w:rPr>
          <w:rFonts w:ascii="Times New Roman" w:hAnsi="Times New Roman" w:cs="Times New Roman" w:eastAsia="Times New Roman" w:hint="default"/>
        </w:rPr>
        <w:t>”</w:t>
      </w:r>
      <w:r>
        <w:rPr/>
        <w:t>）</w:t>
      </w:r>
    </w:p>
    <w:p>
      <w:pPr>
        <w:pStyle w:val="BodyText"/>
        <w:spacing w:line="300" w:lineRule="auto" w:before="63"/>
        <w:ind w:right="1130" w:firstLine="357"/>
        <w:jc w:val="both"/>
      </w:pPr>
      <w:r>
        <w:rPr>
          <w:rFonts w:ascii="Times New Roman" w:hAnsi="Times New Roman" w:cs="Times New Roman" w:eastAsia="Times New Roman" w:hint="default"/>
          <w:spacing w:val="-2"/>
        </w:rPr>
        <w:t>2015</w:t>
      </w:r>
      <w:r>
        <w:rPr>
          <w:spacing w:val="-2"/>
        </w:rPr>
        <w:t>年中丰田被认定为国家高新技术企业，</w:t>
      </w:r>
      <w:r>
        <w:rPr>
          <w:rFonts w:ascii="Times New Roman" w:hAnsi="Times New Roman" w:cs="Times New Roman" w:eastAsia="Times New Roman" w:hint="default"/>
          <w:spacing w:val="-2"/>
        </w:rPr>
        <w:t>2018</w:t>
      </w:r>
      <w:r>
        <w:rPr>
          <w:spacing w:val="-2"/>
        </w:rPr>
        <w:t>年通过复审，并领取广东省科学技术厅、广东省财政厅、国家税务总局</w:t>
      </w:r>
      <w:r>
        <w:rPr/>
        <w:t> 广东省税务局联合颁发的高新技术企业证书，证书编号</w:t>
      </w:r>
      <w:r>
        <w:rPr>
          <w:rFonts w:ascii="Times New Roman" w:hAnsi="Times New Roman" w:cs="Times New Roman" w:eastAsia="Times New Roman" w:hint="default"/>
        </w:rPr>
        <w:t>GR201844003700</w:t>
      </w:r>
      <w:r>
        <w:rPr/>
        <w:t>。根据《中华人民共和国企业所得税法》的有关规</w:t>
      </w:r>
      <w:r>
        <w:rPr>
          <w:spacing w:val="-66"/>
        </w:rPr>
        <w:t> </w:t>
      </w:r>
      <w:r>
        <w:rPr>
          <w:spacing w:val="-66"/>
        </w:rPr>
      </w:r>
      <w:r>
        <w:rPr/>
        <w:t>定，该公司</w:t>
      </w:r>
      <w:r>
        <w:rPr>
          <w:rFonts w:ascii="Times New Roman" w:hAnsi="Times New Roman" w:cs="Times New Roman" w:eastAsia="Times New Roman" w:hint="default"/>
        </w:rPr>
        <w:t>2018</w:t>
      </w:r>
      <w:r>
        <w:rPr/>
        <w:t>年至</w:t>
      </w:r>
      <w:r>
        <w:rPr>
          <w:rFonts w:ascii="Times New Roman" w:hAnsi="Times New Roman" w:cs="Times New Roman" w:eastAsia="Times New Roman" w:hint="default"/>
        </w:rPr>
        <w:t>2020</w:t>
      </w:r>
      <w:r>
        <w:rPr/>
        <w:t>年享受高新技术企业税收优惠政策，减按</w:t>
      </w:r>
      <w:r>
        <w:rPr>
          <w:rFonts w:ascii="Times New Roman" w:hAnsi="Times New Roman" w:cs="Times New Roman" w:eastAsia="Times New Roman" w:hint="default"/>
        </w:rPr>
        <w:t>15%</w:t>
      </w:r>
      <w:r>
        <w:rPr/>
        <w:t>的税率缴纳企业所得税。</w:t>
      </w:r>
    </w:p>
    <w:p>
      <w:pPr>
        <w:pStyle w:val="BodyText"/>
        <w:spacing w:line="240" w:lineRule="auto" w:before="13"/>
        <w:ind w:left="511" w:right="0"/>
        <w:jc w:val="left"/>
      </w:pPr>
      <w:r>
        <w:rPr/>
        <w:t>（</w:t>
      </w:r>
      <w:r>
        <w:rPr>
          <w:rFonts w:ascii="Times New Roman" w:hAnsi="Times New Roman" w:cs="Times New Roman" w:eastAsia="Times New Roman" w:hint="default"/>
        </w:rPr>
        <w:t>10</w:t>
      </w:r>
      <w:r>
        <w:rPr/>
        <w:t>）长春吉星印务有限责任公司（以下简称</w:t>
      </w:r>
      <w:r>
        <w:rPr>
          <w:rFonts w:ascii="Times New Roman" w:hAnsi="Times New Roman" w:cs="Times New Roman" w:eastAsia="Times New Roman" w:hint="default"/>
        </w:rPr>
        <w:t>“</w:t>
      </w:r>
      <w:r>
        <w:rPr/>
        <w:t>长春吉星</w:t>
      </w:r>
      <w:r>
        <w:rPr>
          <w:rFonts w:ascii="Times New Roman" w:hAnsi="Times New Roman" w:cs="Times New Roman" w:eastAsia="Times New Roman" w:hint="default"/>
        </w:rPr>
        <w:t>”</w:t>
      </w:r>
      <w:r>
        <w:rPr/>
        <w:t>）</w:t>
      </w:r>
    </w:p>
    <w:p>
      <w:pPr>
        <w:pStyle w:val="BodyText"/>
        <w:spacing w:line="300" w:lineRule="auto" w:before="63"/>
        <w:ind w:right="1130" w:firstLine="357"/>
        <w:jc w:val="both"/>
      </w:pPr>
      <w:r>
        <w:rPr>
          <w:rFonts w:ascii="Times New Roman" w:hAnsi="Times New Roman" w:cs="Times New Roman" w:eastAsia="Times New Roman" w:hint="default"/>
          <w:spacing w:val="-2"/>
        </w:rPr>
        <w:t>2016</w:t>
      </w:r>
      <w:r>
        <w:rPr>
          <w:spacing w:val="-2"/>
        </w:rPr>
        <w:t>年长春吉星被认定为国家高新技术企业，并领取吉林省科学技术厅、吉林省财政厅、吉林省国家税务局、吉林省地</w:t>
      </w:r>
      <w:r>
        <w:rPr/>
        <w:t> 方税务局联合颁发的高新技术企业证书，证书编号</w:t>
      </w:r>
      <w:r>
        <w:rPr>
          <w:rFonts w:ascii="Times New Roman" w:hAnsi="Times New Roman" w:cs="Times New Roman" w:eastAsia="Times New Roman" w:hint="default"/>
        </w:rPr>
        <w:t>GR201622000115</w:t>
      </w:r>
      <w:r>
        <w:rPr/>
        <w:t>。根据《中华人民共和国企业所得税法》的有关规定，</w:t>
      </w:r>
      <w:r>
        <w:rPr>
          <w:spacing w:val="-66"/>
        </w:rPr>
        <w:t> </w:t>
      </w:r>
      <w:r>
        <w:rPr>
          <w:spacing w:val="-66"/>
        </w:rPr>
      </w:r>
      <w:r>
        <w:rPr/>
        <w:t>该公司</w:t>
      </w:r>
      <w:r>
        <w:rPr>
          <w:rFonts w:ascii="Times New Roman" w:hAnsi="Times New Roman" w:cs="Times New Roman" w:eastAsia="Times New Roman" w:hint="default"/>
        </w:rPr>
        <w:t>2016</w:t>
      </w:r>
      <w:r>
        <w:rPr/>
        <w:t>年至</w:t>
      </w:r>
      <w:r>
        <w:rPr>
          <w:rFonts w:ascii="Times New Roman" w:hAnsi="Times New Roman" w:cs="Times New Roman" w:eastAsia="Times New Roman" w:hint="default"/>
        </w:rPr>
        <w:t>2018</w:t>
      </w:r>
      <w:r>
        <w:rPr/>
        <w:t>年享受高新技术企业税收优惠政策，减按</w:t>
      </w:r>
      <w:r>
        <w:rPr>
          <w:rFonts w:ascii="Times New Roman" w:hAnsi="Times New Roman" w:cs="Times New Roman" w:eastAsia="Times New Roman" w:hint="default"/>
        </w:rPr>
        <w:t>15%</w:t>
      </w:r>
      <w:r>
        <w:rPr/>
        <w:t>的税率缴纳企业所得税。</w:t>
      </w:r>
    </w:p>
    <w:p>
      <w:pPr>
        <w:pStyle w:val="BodyText"/>
        <w:spacing w:line="300" w:lineRule="auto" w:before="13"/>
        <w:ind w:right="1130" w:firstLine="357"/>
        <w:jc w:val="both"/>
      </w:pPr>
      <w:r>
        <w:rPr>
          <w:spacing w:val="-2"/>
        </w:rPr>
        <w:t>根据国家税务总局《促进残疾人就业增值税优惠政策管理办法》</w:t>
      </w:r>
      <w:r>
        <w:rPr>
          <w:rFonts w:ascii="Times New Roman" w:hAnsi="Times New Roman" w:cs="Times New Roman" w:eastAsia="Times New Roman" w:hint="default"/>
          <w:spacing w:val="-2"/>
        </w:rPr>
        <w:t>2016</w:t>
      </w:r>
      <w:r>
        <w:rPr>
          <w:spacing w:val="-2"/>
        </w:rPr>
        <w:t>年第</w:t>
      </w:r>
      <w:r>
        <w:rPr>
          <w:rFonts w:ascii="Times New Roman" w:hAnsi="Times New Roman" w:cs="Times New Roman" w:eastAsia="Times New Roman" w:hint="default"/>
          <w:spacing w:val="-2"/>
        </w:rPr>
        <w:t>33</w:t>
      </w:r>
      <w:r>
        <w:rPr>
          <w:spacing w:val="-2"/>
        </w:rPr>
        <w:t>号，纳税人按安置残疾人的人数，限额享受</w:t>
      </w:r>
      <w:r>
        <w:rPr/>
        <w:t> 增值税即征即退优惠政策，长春吉星为安置残疾人就业福利企业，</w:t>
      </w:r>
      <w:r>
        <w:rPr>
          <w:rFonts w:ascii="Times New Roman" w:hAnsi="Times New Roman" w:cs="Times New Roman" w:eastAsia="Times New Roman" w:hint="default"/>
        </w:rPr>
        <w:t>2018</w:t>
      </w:r>
      <w:r>
        <w:rPr/>
        <w:t>年限额享受增值税即征即退优惠政策。</w:t>
      </w:r>
    </w:p>
    <w:p>
      <w:pPr>
        <w:pStyle w:val="BodyText"/>
        <w:spacing w:line="300" w:lineRule="auto" w:before="13"/>
        <w:ind w:left="511" w:right="0"/>
        <w:jc w:val="left"/>
      </w:pPr>
      <w:r>
        <w:rPr/>
        <w:t>（</w:t>
      </w:r>
      <w:r>
        <w:rPr>
          <w:rFonts w:ascii="Times New Roman" w:hAnsi="Times New Roman" w:cs="Times New Roman" w:eastAsia="Times New Roman" w:hint="default"/>
        </w:rPr>
        <w:t>11</w:t>
      </w:r>
      <w:r>
        <w:rPr/>
        <w:t>）深圳前海劲嘉供应链有限公司（以下简称</w:t>
      </w:r>
      <w:r>
        <w:rPr>
          <w:rFonts w:ascii="Times New Roman" w:hAnsi="Times New Roman" w:cs="Times New Roman" w:eastAsia="Times New Roman" w:hint="default"/>
        </w:rPr>
        <w:t>“</w:t>
      </w:r>
      <w:r>
        <w:rPr/>
        <w:t>劲嘉供应链</w:t>
      </w:r>
      <w:r>
        <w:rPr>
          <w:rFonts w:ascii="Times New Roman" w:hAnsi="Times New Roman" w:cs="Times New Roman" w:eastAsia="Times New Roman" w:hint="default"/>
        </w:rPr>
        <w:t>”</w:t>
      </w:r>
      <w:r>
        <w:rPr/>
        <w:t>） </w:t>
      </w:r>
      <w:r>
        <w:rPr>
          <w:spacing w:val="-2"/>
        </w:rPr>
        <w:t>劲嘉供应链是设立在前海深港现代化服务合作区内的企业，符合《企业所得税优惠目录》中规定的产业项目，</w:t>
      </w:r>
      <w:r>
        <w:rPr>
          <w:rFonts w:ascii="Times New Roman" w:hAnsi="Times New Roman" w:cs="Times New Roman" w:eastAsia="Times New Roman" w:hint="default"/>
          <w:spacing w:val="-2"/>
        </w:rPr>
        <w:t>2018</w:t>
      </w:r>
      <w:r>
        <w:rPr>
          <w:spacing w:val="-2"/>
        </w:rPr>
        <w:t>年所</w:t>
      </w:r>
    </w:p>
    <w:p>
      <w:pPr>
        <w:pStyle w:val="BodyText"/>
        <w:spacing w:line="240" w:lineRule="auto" w:before="13"/>
        <w:ind w:right="0"/>
        <w:jc w:val="left"/>
      </w:pPr>
      <w:r>
        <w:rPr/>
        <w:t>得税减按</w:t>
      </w:r>
      <w:r>
        <w:rPr>
          <w:rFonts w:ascii="Times New Roman" w:hAnsi="Times New Roman" w:cs="Times New Roman" w:eastAsia="Times New Roman" w:hint="default"/>
        </w:rPr>
        <w:t>15%</w:t>
      </w:r>
      <w:r>
        <w:rPr/>
        <w:t>的税率缴纳企业所得税。</w:t>
      </w:r>
    </w:p>
    <w:p>
      <w:pPr>
        <w:pStyle w:val="BodyText"/>
        <w:spacing w:line="300" w:lineRule="auto" w:before="63"/>
        <w:ind w:left="511" w:right="0"/>
        <w:jc w:val="left"/>
      </w:pPr>
      <w:r>
        <w:rPr/>
        <w:t>（</w:t>
      </w:r>
      <w:r>
        <w:rPr>
          <w:rFonts w:ascii="Times New Roman" w:hAnsi="Times New Roman" w:cs="Times New Roman" w:eastAsia="Times New Roman" w:hint="default"/>
        </w:rPr>
        <w:t>12</w:t>
      </w:r>
      <w:r>
        <w:rPr/>
        <w:t>）深圳前海蓝莓文化传播有限公司（以下简称</w:t>
      </w:r>
      <w:r>
        <w:rPr>
          <w:rFonts w:ascii="Times New Roman" w:hAnsi="Times New Roman" w:cs="Times New Roman" w:eastAsia="Times New Roman" w:hint="default"/>
        </w:rPr>
        <w:t>“</w:t>
      </w:r>
      <w:r>
        <w:rPr/>
        <w:t>蓝莓文化</w:t>
      </w:r>
      <w:r>
        <w:rPr>
          <w:rFonts w:ascii="Times New Roman" w:hAnsi="Times New Roman" w:cs="Times New Roman" w:eastAsia="Times New Roman" w:hint="default"/>
        </w:rPr>
        <w:t>”</w:t>
      </w:r>
      <w:r>
        <w:rPr/>
        <w:t>） </w:t>
      </w:r>
      <w:r>
        <w:rPr>
          <w:spacing w:val="-2"/>
        </w:rPr>
        <w:t>蓝莓文化是设立在前海深港现代化服务合作区内的企业，符合《企业所得税优惠目录》中规定的产业项目，</w:t>
      </w:r>
      <w:r>
        <w:rPr>
          <w:rFonts w:ascii="Times New Roman" w:hAnsi="Times New Roman" w:cs="Times New Roman" w:eastAsia="Times New Roman" w:hint="default"/>
          <w:spacing w:val="-2"/>
        </w:rPr>
        <w:t>2018</w:t>
      </w:r>
      <w:r>
        <w:rPr>
          <w:spacing w:val="-2"/>
        </w:rPr>
        <w:t>年所得</w:t>
      </w:r>
    </w:p>
    <w:p>
      <w:pPr>
        <w:pStyle w:val="BodyText"/>
        <w:spacing w:line="240" w:lineRule="auto" w:before="13"/>
        <w:ind w:right="0"/>
        <w:jc w:val="left"/>
      </w:pPr>
      <w:r>
        <w:rPr/>
        <w:t>税减按</w:t>
      </w:r>
      <w:r>
        <w:rPr>
          <w:rFonts w:ascii="Times New Roman" w:hAnsi="Times New Roman" w:cs="Times New Roman" w:eastAsia="Times New Roman" w:hint="default"/>
        </w:rPr>
        <w:t>15%</w:t>
      </w:r>
      <w:r>
        <w:rPr/>
        <w:t>的税率缴纳企业所得税。</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3"/>
          <w:szCs w:val="23"/>
        </w:rPr>
      </w:pPr>
    </w:p>
    <w:p>
      <w:pPr>
        <w:pStyle w:val="Heading2"/>
        <w:spacing w:line="240" w:lineRule="auto" w:before="26"/>
        <w:ind w:right="0"/>
        <w:jc w:val="left"/>
        <w:rPr>
          <w:b w:val="0"/>
          <w:bCs w:val="0"/>
        </w:rPr>
      </w:pPr>
      <w:bookmarkStart w:name="七、合并财务报表项目注释" w:id="220"/>
      <w:bookmarkEnd w:id="220"/>
      <w:r>
        <w:rPr>
          <w:b w:val="0"/>
          <w:bCs w:val="0"/>
        </w:rPr>
      </w:r>
      <w:r>
        <w:rPr/>
        <w:t>七、合并财务报表项目注释</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货币资金" w:id="221"/>
      <w:bookmarkEnd w:id="221"/>
      <w:r>
        <w:rPr>
          <w:b w:val="0"/>
          <w:bCs w:val="0"/>
        </w:rPr>
      </w:r>
      <w:r>
        <w:rPr>
          <w:rFonts w:ascii="Times New Roman" w:hAnsi="Times New Roman" w:cs="Times New Roman" w:eastAsia="Times New Roman" w:hint="default"/>
        </w:rPr>
        <w:t>1</w:t>
      </w:r>
      <w:r>
        <w:rPr/>
        <w:t>、货币资金</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库存现金</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899,219.85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1,180,391.98</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740,478,424.11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1,165,896,290.32</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98,077,194.06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59,826,004.65</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839,454,838.02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1,226,902,686.95</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91" w:right="0"/>
              <w:jc w:val="left"/>
              <w:rPr>
                <w:rFonts w:ascii="宋体" w:hAnsi="宋体" w:cs="宋体" w:eastAsia="宋体" w:hint="default"/>
                <w:sz w:val="18"/>
                <w:szCs w:val="18"/>
              </w:rPr>
            </w:pPr>
            <w:r>
              <w:rPr>
                <w:rFonts w:ascii="宋体" w:hAnsi="宋体" w:cs="宋体" w:eastAsia="宋体" w:hint="default"/>
                <w:sz w:val="18"/>
                <w:szCs w:val="18"/>
              </w:rPr>
              <w:t>其中：存放在境外的款项总额</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34,823,471.16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8,256,529.32</w:t>
            </w:r>
          </w:p>
        </w:tc>
      </w:tr>
    </w:tbl>
    <w:p>
      <w:pPr>
        <w:pStyle w:val="BodyText"/>
        <w:spacing w:line="357" w:lineRule="auto" w:before="51"/>
        <w:ind w:right="3912"/>
        <w:jc w:val="left"/>
      </w:pPr>
      <w:r>
        <w:rPr/>
        <w:t>其他说明 注：其他货币资金主要为银行承兑汇票保证金，使用受限的货币资金详见附注七、</w:t>
      </w:r>
      <w:r>
        <w:rPr>
          <w:rFonts w:ascii="Times New Roman" w:hAnsi="Times New Roman" w:cs="Times New Roman" w:eastAsia="Times New Roman" w:hint="default"/>
        </w:rPr>
        <w:t>47</w:t>
      </w:r>
      <w:r>
        <w:rPr/>
        <w:t>。</w:t>
      </w:r>
    </w:p>
    <w:p>
      <w:pPr>
        <w:spacing w:line="240" w:lineRule="auto" w:before="5"/>
        <w:rPr>
          <w:rFonts w:ascii="宋体" w:hAnsi="宋体" w:cs="宋体" w:eastAsia="宋体" w:hint="default"/>
          <w:sz w:val="18"/>
          <w:szCs w:val="18"/>
        </w:rPr>
      </w:pPr>
    </w:p>
    <w:p>
      <w:pPr>
        <w:pStyle w:val="Heading3"/>
        <w:spacing w:line="240" w:lineRule="auto"/>
        <w:ind w:right="0"/>
        <w:jc w:val="left"/>
        <w:rPr>
          <w:b w:val="0"/>
          <w:bCs w:val="0"/>
        </w:rPr>
      </w:pPr>
      <w:bookmarkStart w:name="2、应收票据及应收账款" w:id="222"/>
      <w:bookmarkEnd w:id="222"/>
      <w:r>
        <w:rPr>
          <w:b w:val="0"/>
          <w:bCs w:val="0"/>
        </w:rPr>
      </w:r>
      <w:r>
        <w:rPr>
          <w:rFonts w:ascii="Times New Roman" w:hAnsi="Times New Roman" w:cs="Times New Roman" w:eastAsia="Times New Roman" w:hint="default"/>
        </w:rPr>
        <w:t>2</w:t>
      </w:r>
      <w:r>
        <w:rPr/>
        <w:t>、应收票据及应收账款</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119,088,458.32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120,236,975.64</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760,222,497.11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668,682,121.50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879,310,955.43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788,919,097.14</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1）应收票据" w:id="223"/>
      <w:bookmarkEnd w:id="223"/>
      <w:r>
        <w:rPr>
          <w:b w:val="0"/>
          <w:bCs w:val="0"/>
        </w:rPr>
      </w:r>
      <w:r>
        <w:rPr/>
        <w:t>（</w:t>
      </w:r>
      <w:r>
        <w:rPr>
          <w:rFonts w:ascii="Times New Roman" w:hAnsi="Times New Roman" w:cs="Times New Roman" w:eastAsia="Times New Roman" w:hint="default"/>
        </w:rPr>
        <w:t>1</w:t>
      </w:r>
      <w:r>
        <w:rPr/>
        <w:t>）应收票据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1)</w:t>
      </w:r>
      <w:r>
        <w:rPr/>
        <w:t>应收票据分类列示</w:t>
      </w:r>
    </w:p>
    <w:p>
      <w:pPr>
        <w:pStyle w:val="BodyText"/>
        <w:spacing w:line="240" w:lineRule="auto" w:before="103"/>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119,088,458.32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120,236,975.64</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119,088,458.32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120,236,975.64</w:t>
            </w:r>
          </w:p>
        </w:tc>
      </w:tr>
    </w:tbl>
    <w:p>
      <w:pPr>
        <w:pStyle w:val="BodyText"/>
        <w:spacing w:line="240" w:lineRule="auto" w:before="51"/>
        <w:ind w:right="0"/>
        <w:jc w:val="left"/>
      </w:pPr>
      <w:r>
        <w:rPr>
          <w:rFonts w:ascii="Times New Roman" w:hAnsi="Times New Roman" w:cs="Times New Roman" w:eastAsia="Times New Roman" w:hint="default"/>
        </w:rPr>
        <w:t>2)</w:t>
      </w:r>
      <w:r>
        <w:rPr/>
        <w:t>期末公司已质押的应收票据</w:t>
      </w:r>
    </w:p>
    <w:p>
      <w:pPr>
        <w:pStyle w:val="BodyText"/>
        <w:spacing w:line="240" w:lineRule="auto" w:before="103"/>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4762"/>
        <w:gridCol w:w="4796"/>
      </w:tblGrid>
      <w:tr>
        <w:trPr>
          <w:trHeight w:val="403"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期末已质押金额</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1,000,000.00</w:t>
            </w:r>
          </w:p>
        </w:tc>
      </w:tr>
      <w:tr>
        <w:trPr>
          <w:trHeight w:val="403"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1,000,000.00</w:t>
            </w:r>
          </w:p>
        </w:tc>
      </w:tr>
    </w:tbl>
    <w:p>
      <w:pPr>
        <w:pStyle w:val="BodyText"/>
        <w:spacing w:line="240" w:lineRule="auto" w:before="51"/>
        <w:ind w:right="0"/>
        <w:jc w:val="left"/>
      </w:pPr>
      <w:r>
        <w:rPr>
          <w:rFonts w:ascii="Times New Roman" w:hAnsi="Times New Roman" w:cs="Times New Roman" w:eastAsia="Times New Roman" w:hint="default"/>
        </w:rPr>
        <w:t>3)</w:t>
      </w:r>
      <w:r>
        <w:rPr/>
        <w:t>期末公司已背书或贴现且在资产负债表日尚未到期的应收票据</w:t>
      </w:r>
    </w:p>
    <w:p>
      <w:pPr>
        <w:pStyle w:val="BodyText"/>
        <w:spacing w:line="240" w:lineRule="auto" w:before="102"/>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82" w:right="0"/>
              <w:jc w:val="left"/>
              <w:rPr>
                <w:rFonts w:ascii="宋体" w:hAnsi="宋体" w:cs="宋体" w:eastAsia="宋体" w:hint="default"/>
                <w:sz w:val="18"/>
                <w:szCs w:val="18"/>
              </w:rPr>
            </w:pPr>
            <w:r>
              <w:rPr>
                <w:rFonts w:ascii="宋体" w:hAnsi="宋体" w:cs="宋体" w:eastAsia="宋体" w:hint="default"/>
                <w:sz w:val="18"/>
                <w:szCs w:val="18"/>
              </w:rPr>
              <w:t>期末终止确认金额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80" w:right="0"/>
              <w:jc w:val="left"/>
              <w:rPr>
                <w:rFonts w:ascii="宋体" w:hAnsi="宋体" w:cs="宋体" w:eastAsia="宋体" w:hint="default"/>
                <w:sz w:val="18"/>
                <w:szCs w:val="18"/>
              </w:rPr>
            </w:pPr>
            <w:r>
              <w:rPr>
                <w:rFonts w:ascii="宋体" w:hAnsi="宋体" w:cs="宋体" w:eastAsia="宋体" w:hint="default"/>
                <w:sz w:val="18"/>
                <w:szCs w:val="18"/>
              </w:rPr>
              <w:t>期末未终止确认金额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033" w:right="0"/>
              <w:jc w:val="left"/>
              <w:rPr>
                <w:rFonts w:ascii="Times New Roman" w:hAnsi="Times New Roman" w:cs="Times New Roman" w:eastAsia="Times New Roman" w:hint="default"/>
                <w:sz w:val="18"/>
                <w:szCs w:val="18"/>
              </w:rPr>
            </w:pPr>
            <w:r>
              <w:rPr>
                <w:rFonts w:ascii="Times New Roman"/>
                <w:sz w:val="18"/>
              </w:rPr>
              <w:t>273,881,469.76</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9"/>
        <w:gridCol w:w="3191"/>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商业承兑票据</w:t>
            </w:r>
          </w:p>
        </w:tc>
        <w:tc>
          <w:tcPr>
            <w:tcW w:w="3191"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60,000,000.00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33" w:right="0"/>
              <w:jc w:val="left"/>
              <w:rPr>
                <w:rFonts w:ascii="Times New Roman" w:hAnsi="Times New Roman" w:cs="Times New Roman" w:eastAsia="Times New Roman" w:hint="default"/>
                <w:sz w:val="18"/>
                <w:szCs w:val="18"/>
              </w:rPr>
            </w:pPr>
            <w:r>
              <w:rPr>
                <w:rFonts w:ascii="Times New Roman"/>
                <w:sz w:val="18"/>
              </w:rPr>
              <w:t>273,881,469.76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60,000,000.00</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应收账款" w:id="224"/>
      <w:bookmarkEnd w:id="224"/>
      <w:r>
        <w:rPr>
          <w:b w:val="0"/>
          <w:bCs w:val="0"/>
        </w:rPr>
      </w:r>
      <w:r>
        <w:rPr/>
        <w:t>（</w:t>
      </w:r>
      <w:r>
        <w:rPr>
          <w:rFonts w:ascii="Times New Roman" w:hAnsi="Times New Roman" w:cs="Times New Roman" w:eastAsia="Times New Roman" w:hint="default"/>
        </w:rPr>
        <w:t>2</w:t>
      </w:r>
      <w:r>
        <w:rPr/>
        <w:t>）应收账款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1)</w:t>
      </w:r>
      <w:r>
        <w:rPr/>
        <w:t>应收账款分类披露</w:t>
      </w:r>
    </w:p>
    <w:p>
      <w:pPr>
        <w:pStyle w:val="BodyText"/>
        <w:spacing w:line="240" w:lineRule="auto" w:before="103"/>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611"/>
        <w:gridCol w:w="775"/>
        <w:gridCol w:w="762"/>
        <w:gridCol w:w="762"/>
        <w:gridCol w:w="762"/>
        <w:gridCol w:w="790"/>
        <w:gridCol w:w="654"/>
        <w:gridCol w:w="762"/>
        <w:gridCol w:w="813"/>
        <w:gridCol w:w="932"/>
        <w:gridCol w:w="932"/>
      </w:tblGrid>
      <w:tr>
        <w:trPr>
          <w:trHeight w:val="397" w:hRule="exact"/>
        </w:trPr>
        <w:tc>
          <w:tcPr>
            <w:tcW w:w="1611" w:type="dxa"/>
            <w:vMerge w:val="restart"/>
            <w:tcBorders>
              <w:top w:val="single" w:sz="4" w:space="0" w:color="000000"/>
              <w:left w:val="single" w:sz="4" w:space="0" w:color="000000"/>
              <w:right w:val="single" w:sz="4" w:space="0" w:color="000000"/>
            </w:tcBorders>
            <w:shd w:val="clear" w:color="auto" w:fill="D2D2D2"/>
          </w:tcPr>
          <w:p>
            <w:pPr/>
          </w:p>
        </w:tc>
        <w:tc>
          <w:tcPr>
            <w:tcW w:w="385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11" w:type="dxa"/>
            <w:vMerge/>
            <w:tcBorders>
              <w:left w:val="single" w:sz="4" w:space="0" w:color="000000"/>
              <w:bottom w:val="nil" w:sz="6" w:space="0" w:color="auto"/>
              <w:right w:val="single" w:sz="4" w:space="0" w:color="000000"/>
            </w:tcBorders>
            <w:shd w:val="clear" w:color="auto" w:fill="D2D2D2"/>
          </w:tcPr>
          <w:p>
            <w:pPr/>
          </w:p>
        </w:tc>
        <w:tc>
          <w:tcPr>
            <w:tcW w:w="153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40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4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1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537"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11" w:type="dxa"/>
            <w:vMerge/>
            <w:tcBorders>
              <w:left w:val="single" w:sz="4" w:space="0" w:color="000000"/>
              <w:bottom w:val="single" w:sz="4" w:space="0" w:color="FFFFFF"/>
              <w:right w:val="single" w:sz="4" w:space="0" w:color="000000"/>
            </w:tcBorders>
            <w:shd w:val="clear" w:color="auto" w:fill="D2D2D2"/>
          </w:tcPr>
          <w:p>
            <w:pPr/>
          </w:p>
        </w:tc>
        <w:tc>
          <w:tcPr>
            <w:tcW w:w="775"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2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4" w:hRule="exact"/>
        </w:trPr>
        <w:tc>
          <w:tcPr>
            <w:tcW w:w="1611" w:type="dxa"/>
            <w:vMerge w:val="restart"/>
            <w:tcBorders>
              <w:top w:val="single" w:sz="4" w:space="0" w:color="FFFFFF"/>
              <w:left w:val="single" w:sz="4" w:space="0" w:color="000000"/>
              <w:right w:val="single" w:sz="4" w:space="0" w:color="000000"/>
            </w:tcBorders>
            <w:shd w:val="clear" w:color="auto" w:fill="D2D2D2"/>
          </w:tcPr>
          <w:p>
            <w:pPr/>
          </w:p>
        </w:tc>
        <w:tc>
          <w:tcPr>
            <w:tcW w:w="775"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20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0" w:hRule="exact"/>
        </w:trPr>
        <w:tc>
          <w:tcPr>
            <w:tcW w:w="1611" w:type="dxa"/>
            <w:vMerge/>
            <w:tcBorders>
              <w:left w:val="single" w:sz="4" w:space="0" w:color="000000"/>
              <w:right w:val="single" w:sz="4" w:space="0" w:color="000000"/>
            </w:tcBorders>
            <w:shd w:val="clear" w:color="auto" w:fill="D2D2D2"/>
          </w:tcPr>
          <w:p>
            <w:pPr/>
          </w:p>
        </w:tc>
        <w:tc>
          <w:tcPr>
            <w:tcW w:w="775"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11" w:type="dxa"/>
            <w:vMerge/>
            <w:tcBorders>
              <w:left w:val="single" w:sz="4" w:space="0" w:color="000000"/>
              <w:bottom w:val="single" w:sz="4" w:space="0" w:color="000000"/>
              <w:right w:val="single" w:sz="4" w:space="0" w:color="000000"/>
            </w:tcBorders>
            <w:shd w:val="clear" w:color="auto" w:fill="D2D2D2"/>
          </w:tcPr>
          <w:p>
            <w:pPr/>
          </w:p>
        </w:tc>
        <w:tc>
          <w:tcPr>
            <w:tcW w:w="77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48"/>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5" w:right="0"/>
              <w:jc w:val="center"/>
              <w:rPr>
                <w:rFonts w:ascii="Times New Roman" w:hAnsi="Times New Roman" w:cs="Times New Roman" w:eastAsia="Times New Roman" w:hint="default"/>
                <w:sz w:val="18"/>
                <w:szCs w:val="18"/>
              </w:rPr>
            </w:pPr>
            <w:r>
              <w:rPr>
                <w:rFonts w:ascii="Times New Roman"/>
                <w:sz w:val="18"/>
              </w:rPr>
              <w:t>800,234,</w:t>
            </w:r>
          </w:p>
          <w:p>
            <w:pPr>
              <w:pStyle w:val="TableParagraph"/>
              <w:spacing w:line="240" w:lineRule="auto" w:before="106"/>
              <w:ind w:left="212" w:right="0"/>
              <w:jc w:val="center"/>
              <w:rPr>
                <w:rFonts w:ascii="Times New Roman" w:hAnsi="Times New Roman" w:cs="Times New Roman" w:eastAsia="Times New Roman" w:hint="default"/>
                <w:sz w:val="18"/>
                <w:szCs w:val="18"/>
              </w:rPr>
            </w:pPr>
            <w:r>
              <w:rPr>
                <w:rFonts w:ascii="Times New Roman"/>
                <w:sz w:val="18"/>
              </w:rPr>
              <w:t>207.49</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98.97%</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40,011,7</w:t>
            </w:r>
          </w:p>
          <w:p>
            <w:pPr>
              <w:pStyle w:val="TableParagraph"/>
              <w:spacing w:line="240" w:lineRule="auto" w:before="106"/>
              <w:ind w:left="323" w:right="0"/>
              <w:jc w:val="left"/>
              <w:rPr>
                <w:rFonts w:ascii="Times New Roman" w:hAnsi="Times New Roman" w:cs="Times New Roman" w:eastAsia="Times New Roman" w:hint="default"/>
                <w:sz w:val="18"/>
                <w:szCs w:val="18"/>
              </w:rPr>
            </w:pPr>
            <w:r>
              <w:rPr>
                <w:rFonts w:ascii="Times New Roman"/>
                <w:sz w:val="18"/>
              </w:rPr>
              <w:t>10.38</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760,222,4</w:t>
            </w:r>
          </w:p>
          <w:p>
            <w:pPr>
              <w:pStyle w:val="TableParagraph"/>
              <w:spacing w:line="240" w:lineRule="auto" w:before="106"/>
              <w:ind w:left="358" w:right="0"/>
              <w:jc w:val="left"/>
              <w:rPr>
                <w:rFonts w:ascii="Times New Roman" w:hAnsi="Times New Roman" w:cs="Times New Roman" w:eastAsia="Times New Roman" w:hint="default"/>
                <w:sz w:val="18"/>
                <w:szCs w:val="18"/>
              </w:rPr>
            </w:pPr>
            <w:r>
              <w:rPr>
                <w:rFonts w:ascii="Times New Roman"/>
                <w:sz w:val="18"/>
              </w:rPr>
              <w:t>97.11</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6" w:right="0"/>
              <w:jc w:val="left"/>
              <w:rPr>
                <w:rFonts w:ascii="Times New Roman" w:hAnsi="Times New Roman" w:cs="Times New Roman" w:eastAsia="Times New Roman" w:hint="default"/>
                <w:sz w:val="18"/>
                <w:szCs w:val="18"/>
              </w:rPr>
            </w:pPr>
            <w:r>
              <w:rPr>
                <w:rFonts w:ascii="Times New Roman"/>
                <w:sz w:val="18"/>
              </w:rPr>
              <w:t>703,875</w:t>
            </w:r>
          </w:p>
          <w:p>
            <w:pPr>
              <w:pStyle w:val="TableParagraph"/>
              <w:spacing w:line="240" w:lineRule="auto" w:before="106"/>
              <w:ind w:left="80" w:right="0"/>
              <w:jc w:val="left"/>
              <w:rPr>
                <w:rFonts w:ascii="Times New Roman" w:hAnsi="Times New Roman" w:cs="Times New Roman" w:eastAsia="Times New Roman" w:hint="default"/>
                <w:sz w:val="18"/>
                <w:szCs w:val="18"/>
              </w:rPr>
            </w:pPr>
            <w:r>
              <w:rPr>
                <w:rFonts w:ascii="Times New Roman"/>
                <w:sz w:val="18"/>
              </w:rPr>
              <w:t>,917.37</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99.05%</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35,193,79</w:t>
            </w:r>
          </w:p>
          <w:p>
            <w:pPr>
              <w:pStyle w:val="TableParagraph"/>
              <w:spacing w:line="240" w:lineRule="auto" w:before="106"/>
              <w:ind w:left="465" w:right="0"/>
              <w:jc w:val="left"/>
              <w:rPr>
                <w:rFonts w:ascii="Times New Roman" w:hAnsi="Times New Roman" w:cs="Times New Roman" w:eastAsia="Times New Roman" w:hint="default"/>
                <w:sz w:val="18"/>
                <w:szCs w:val="18"/>
              </w:rPr>
            </w:pPr>
            <w:r>
              <w:rPr>
                <w:rFonts w:ascii="Times New Roman"/>
                <w:sz w:val="18"/>
              </w:rPr>
              <w:t>5.87</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668,682,12</w:t>
            </w:r>
          </w:p>
          <w:p>
            <w:pPr>
              <w:pStyle w:val="TableParagraph"/>
              <w:spacing w:line="240" w:lineRule="auto" w:before="106"/>
              <w:ind w:left="584" w:right="0"/>
              <w:jc w:val="left"/>
              <w:rPr>
                <w:rFonts w:ascii="Times New Roman" w:hAnsi="Times New Roman" w:cs="Times New Roman" w:eastAsia="Times New Roman" w:hint="default"/>
                <w:sz w:val="18"/>
                <w:szCs w:val="18"/>
              </w:rPr>
            </w:pPr>
            <w:r>
              <w:rPr>
                <w:rFonts w:ascii="Times New Roman"/>
                <w:sz w:val="18"/>
              </w:rPr>
              <w:t>1.50</w:t>
            </w:r>
          </w:p>
        </w:tc>
      </w:tr>
      <w:tr>
        <w:trPr>
          <w:trHeight w:val="1026" w:hRule="exact"/>
        </w:trPr>
        <w:tc>
          <w:tcPr>
            <w:tcW w:w="1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48"/>
              <w:jc w:val="both"/>
              <w:rPr>
                <w:rFonts w:ascii="宋体" w:hAnsi="宋体" w:cs="宋体" w:eastAsia="宋体" w:hint="default"/>
                <w:sz w:val="18"/>
                <w:szCs w:val="18"/>
              </w:rPr>
            </w:pPr>
            <w:r>
              <w:rPr>
                <w:rFonts w:ascii="宋体" w:hAnsi="宋体" w:cs="宋体" w:eastAsia="宋体" w:hint="default"/>
                <w:sz w:val="18"/>
                <w:szCs w:val="18"/>
              </w:rPr>
              <w:t>单项金额不重大但 单独计提坏账准备 的应收账款</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9" w:right="0"/>
              <w:jc w:val="left"/>
              <w:rPr>
                <w:rFonts w:ascii="Times New Roman" w:hAnsi="Times New Roman" w:cs="Times New Roman" w:eastAsia="Times New Roman" w:hint="default"/>
                <w:sz w:val="18"/>
                <w:szCs w:val="18"/>
              </w:rPr>
            </w:pPr>
            <w:r>
              <w:rPr>
                <w:rFonts w:ascii="Times New Roman"/>
                <w:sz w:val="18"/>
              </w:rPr>
              <w:t>8,340,30</w:t>
            </w:r>
          </w:p>
          <w:p>
            <w:pPr>
              <w:pStyle w:val="TableParagraph"/>
              <w:spacing w:line="240" w:lineRule="auto" w:before="106"/>
              <w:ind w:left="415" w:right="0"/>
              <w:jc w:val="left"/>
              <w:rPr>
                <w:rFonts w:ascii="Times New Roman" w:hAnsi="Times New Roman" w:cs="Times New Roman" w:eastAsia="Times New Roman" w:hint="default"/>
                <w:sz w:val="18"/>
                <w:szCs w:val="18"/>
              </w:rPr>
            </w:pPr>
            <w:r>
              <w:rPr>
                <w:rFonts w:ascii="Times New Roman"/>
                <w:sz w:val="18"/>
              </w:rPr>
              <w:t>8.02</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1.03%</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8,340,30</w:t>
            </w:r>
          </w:p>
          <w:p>
            <w:pPr>
              <w:pStyle w:val="TableParagraph"/>
              <w:spacing w:line="240" w:lineRule="auto" w:before="106"/>
              <w:ind w:left="413" w:right="0"/>
              <w:jc w:val="left"/>
              <w:rPr>
                <w:rFonts w:ascii="Times New Roman" w:hAnsi="Times New Roman" w:cs="Times New Roman" w:eastAsia="Times New Roman" w:hint="default"/>
                <w:sz w:val="18"/>
                <w:szCs w:val="18"/>
              </w:rPr>
            </w:pPr>
            <w:r>
              <w:rPr>
                <w:rFonts w:ascii="Times New Roman"/>
                <w:sz w:val="18"/>
              </w:rPr>
              <w:t>8.02</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790" w:type="dxa"/>
            <w:tcBorders>
              <w:top w:val="single" w:sz="4" w:space="0" w:color="000000"/>
              <w:left w:val="single" w:sz="4" w:space="0" w:color="000000"/>
              <w:bottom w:val="single" w:sz="4" w:space="0" w:color="000000"/>
              <w:right w:val="single" w:sz="4" w:space="0" w:color="000000"/>
            </w:tcBorders>
          </w:tcPr>
          <w:p>
            <w:pP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7" w:right="0"/>
              <w:jc w:val="center"/>
              <w:rPr>
                <w:rFonts w:ascii="Times New Roman" w:hAnsi="Times New Roman" w:cs="Times New Roman" w:eastAsia="Times New Roman" w:hint="default"/>
                <w:sz w:val="18"/>
                <w:szCs w:val="18"/>
              </w:rPr>
            </w:pPr>
            <w:r>
              <w:rPr>
                <w:rFonts w:ascii="Times New Roman"/>
                <w:sz w:val="18"/>
              </w:rPr>
              <w:t>6,739,3</w:t>
            </w:r>
          </w:p>
          <w:p>
            <w:pPr>
              <w:pStyle w:val="TableParagraph"/>
              <w:spacing w:line="240" w:lineRule="auto" w:before="106"/>
              <w:ind w:left="192" w:right="0"/>
              <w:jc w:val="center"/>
              <w:rPr>
                <w:rFonts w:ascii="Times New Roman" w:hAnsi="Times New Roman" w:cs="Times New Roman" w:eastAsia="Times New Roman" w:hint="default"/>
                <w:sz w:val="18"/>
                <w:szCs w:val="18"/>
              </w:rPr>
            </w:pPr>
            <w:r>
              <w:rPr>
                <w:rFonts w:ascii="Times New Roman"/>
                <w:sz w:val="18"/>
              </w:rPr>
              <w:t>04.49</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0.95%</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6,739,304</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.49</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611" w:type="dxa"/>
            <w:tcBorders>
              <w:top w:val="single" w:sz="4" w:space="0" w:color="000000"/>
              <w:left w:val="single" w:sz="4" w:space="0" w:color="000000"/>
              <w:bottom w:val="nil" w:sz="6" w:space="0" w:color="auto"/>
              <w:right w:val="single" w:sz="4" w:space="0" w:color="000000"/>
            </w:tcBorders>
            <w:shd w:val="clear" w:color="auto" w:fill="D2D2D2"/>
          </w:tcPr>
          <w:p>
            <w:pPr/>
          </w:p>
        </w:tc>
        <w:tc>
          <w:tcPr>
            <w:tcW w:w="775" w:type="dxa"/>
            <w:vMerge w:val="restart"/>
            <w:tcBorders>
              <w:top w:val="single" w:sz="4" w:space="0" w:color="000000"/>
              <w:left w:val="single" w:sz="9" w:space="0" w:color="D2D2D2"/>
              <w:right w:val="single" w:sz="4" w:space="0" w:color="000000"/>
            </w:tcBorders>
          </w:tcPr>
          <w:p>
            <w:pPr>
              <w:pStyle w:val="TableParagraph"/>
              <w:spacing w:line="240" w:lineRule="auto" w:before="91"/>
              <w:ind w:left="81" w:right="0"/>
              <w:jc w:val="center"/>
              <w:rPr>
                <w:rFonts w:ascii="Times New Roman" w:hAnsi="Times New Roman" w:cs="Times New Roman" w:eastAsia="Times New Roman" w:hint="default"/>
                <w:sz w:val="18"/>
                <w:szCs w:val="18"/>
              </w:rPr>
            </w:pPr>
            <w:r>
              <w:rPr>
                <w:rFonts w:ascii="Times New Roman"/>
                <w:sz w:val="18"/>
              </w:rPr>
              <w:t>808,574,</w:t>
            </w:r>
          </w:p>
          <w:p>
            <w:pPr>
              <w:pStyle w:val="TableParagraph"/>
              <w:spacing w:line="240" w:lineRule="auto" w:before="106"/>
              <w:ind w:left="217" w:right="0"/>
              <w:jc w:val="center"/>
              <w:rPr>
                <w:rFonts w:ascii="Times New Roman" w:hAnsi="Times New Roman" w:cs="Times New Roman" w:eastAsia="Times New Roman" w:hint="default"/>
                <w:sz w:val="18"/>
                <w:szCs w:val="18"/>
              </w:rPr>
            </w:pPr>
            <w:r>
              <w:rPr>
                <w:rFonts w:ascii="Times New Roman"/>
                <w:sz w:val="18"/>
              </w:rPr>
              <w:t>515.51</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48,352,0</w:t>
            </w:r>
          </w:p>
          <w:p>
            <w:pPr>
              <w:pStyle w:val="TableParagraph"/>
              <w:spacing w:line="240" w:lineRule="auto" w:before="106"/>
              <w:ind w:left="323" w:right="0"/>
              <w:jc w:val="left"/>
              <w:rPr>
                <w:rFonts w:ascii="Times New Roman" w:hAnsi="Times New Roman" w:cs="Times New Roman" w:eastAsia="Times New Roman" w:hint="default"/>
                <w:sz w:val="18"/>
                <w:szCs w:val="18"/>
              </w:rPr>
            </w:pPr>
            <w:r>
              <w:rPr>
                <w:rFonts w:ascii="Times New Roman"/>
                <w:sz w:val="18"/>
              </w:rPr>
              <w:t>18.40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5.98%</w:t>
            </w: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91"/>
              <w:ind w:left="37" w:right="0"/>
              <w:jc w:val="left"/>
              <w:rPr>
                <w:rFonts w:ascii="Times New Roman" w:hAnsi="Times New Roman" w:cs="Times New Roman" w:eastAsia="Times New Roman" w:hint="default"/>
                <w:sz w:val="18"/>
                <w:szCs w:val="18"/>
              </w:rPr>
            </w:pPr>
            <w:r>
              <w:rPr>
                <w:rFonts w:ascii="Times New Roman"/>
                <w:sz w:val="18"/>
              </w:rPr>
              <w:t>760,222,4</w:t>
            </w:r>
          </w:p>
          <w:p>
            <w:pPr>
              <w:pStyle w:val="TableParagraph"/>
              <w:spacing w:line="240" w:lineRule="auto" w:before="106"/>
              <w:ind w:left="358" w:right="0"/>
              <w:jc w:val="left"/>
              <w:rPr>
                <w:rFonts w:ascii="Times New Roman" w:hAnsi="Times New Roman" w:cs="Times New Roman" w:eastAsia="Times New Roman" w:hint="default"/>
                <w:sz w:val="18"/>
                <w:szCs w:val="18"/>
              </w:rPr>
            </w:pPr>
            <w:r>
              <w:rPr>
                <w:rFonts w:ascii="Times New Roman"/>
                <w:sz w:val="18"/>
              </w:rPr>
              <w:t>97.11</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1"/>
              <w:ind w:left="36" w:right="0"/>
              <w:jc w:val="left"/>
              <w:rPr>
                <w:rFonts w:ascii="Times New Roman" w:hAnsi="Times New Roman" w:cs="Times New Roman" w:eastAsia="Times New Roman" w:hint="default"/>
                <w:sz w:val="18"/>
                <w:szCs w:val="18"/>
              </w:rPr>
            </w:pPr>
            <w:r>
              <w:rPr>
                <w:rFonts w:ascii="Times New Roman"/>
                <w:sz w:val="18"/>
              </w:rPr>
              <w:t>710,615</w:t>
            </w:r>
          </w:p>
          <w:p>
            <w:pPr>
              <w:pStyle w:val="TableParagraph"/>
              <w:spacing w:line="240" w:lineRule="auto" w:before="106"/>
              <w:ind w:left="80" w:right="0"/>
              <w:jc w:val="left"/>
              <w:rPr>
                <w:rFonts w:ascii="Times New Roman" w:hAnsi="Times New Roman" w:cs="Times New Roman" w:eastAsia="Times New Roman" w:hint="default"/>
                <w:sz w:val="18"/>
                <w:szCs w:val="18"/>
              </w:rPr>
            </w:pPr>
            <w:r>
              <w:rPr>
                <w:rFonts w:ascii="Times New Roman"/>
                <w:sz w:val="18"/>
              </w:rPr>
              <w:t>,221.86</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91"/>
              <w:ind w:left="59" w:right="0"/>
              <w:jc w:val="left"/>
              <w:rPr>
                <w:rFonts w:ascii="Times New Roman" w:hAnsi="Times New Roman" w:cs="Times New Roman" w:eastAsia="Times New Roman" w:hint="default"/>
                <w:sz w:val="18"/>
                <w:szCs w:val="18"/>
              </w:rPr>
            </w:pPr>
            <w:r>
              <w:rPr>
                <w:rFonts w:ascii="Times New Roman"/>
                <w:sz w:val="18"/>
              </w:rPr>
              <w:t>41,933,10</w:t>
            </w:r>
          </w:p>
          <w:p>
            <w:pPr>
              <w:pStyle w:val="TableParagraph"/>
              <w:spacing w:line="240" w:lineRule="auto" w:before="106"/>
              <w:ind w:left="465" w:right="0"/>
              <w:jc w:val="left"/>
              <w:rPr>
                <w:rFonts w:ascii="Times New Roman" w:hAnsi="Times New Roman" w:cs="Times New Roman" w:eastAsia="Times New Roman" w:hint="default"/>
                <w:sz w:val="18"/>
                <w:szCs w:val="18"/>
              </w:rPr>
            </w:pPr>
            <w:r>
              <w:rPr>
                <w:rFonts w:ascii="Times New Roman"/>
                <w:sz w:val="18"/>
              </w:rPr>
              <w:t>0.36</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5.90%</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668,682,12</w:t>
            </w:r>
          </w:p>
          <w:p>
            <w:pPr>
              <w:pStyle w:val="TableParagraph"/>
              <w:spacing w:line="240" w:lineRule="auto" w:before="106"/>
              <w:ind w:left="584" w:right="0"/>
              <w:jc w:val="left"/>
              <w:rPr>
                <w:rFonts w:ascii="Times New Roman" w:hAnsi="Times New Roman" w:cs="Times New Roman" w:eastAsia="Times New Roman" w:hint="default"/>
                <w:sz w:val="18"/>
                <w:szCs w:val="18"/>
              </w:rPr>
            </w:pPr>
            <w:r>
              <w:rPr>
                <w:rFonts w:ascii="Times New Roman"/>
                <w:sz w:val="18"/>
              </w:rPr>
              <w:t>1.50</w:t>
            </w:r>
          </w:p>
        </w:tc>
      </w:tr>
      <w:tr>
        <w:trPr>
          <w:trHeight w:val="392" w:hRule="exact"/>
        </w:trPr>
        <w:tc>
          <w:tcPr>
            <w:tcW w:w="161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5"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161" w:hRule="exact"/>
        </w:trPr>
        <w:tc>
          <w:tcPr>
            <w:tcW w:w="1611" w:type="dxa"/>
            <w:tcBorders>
              <w:top w:val="nil" w:sz="6" w:space="0" w:color="auto"/>
              <w:left w:val="single" w:sz="4" w:space="0" w:color="000000"/>
              <w:bottom w:val="single" w:sz="4" w:space="0" w:color="000000"/>
              <w:right w:val="single" w:sz="4" w:space="0" w:color="000000"/>
            </w:tcBorders>
            <w:shd w:val="clear" w:color="auto" w:fill="D2D2D2"/>
          </w:tcPr>
          <w:p>
            <w:pPr/>
          </w:p>
        </w:tc>
        <w:tc>
          <w:tcPr>
            <w:tcW w:w="775"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pStyle w:val="BodyText"/>
        <w:spacing w:line="240" w:lineRule="auto" w:before="51"/>
        <w:ind w:right="-20"/>
        <w:jc w:val="left"/>
      </w:pPr>
      <w:r>
        <w:rPr/>
        <w:t>期末单项金额重大并单项计提坏账准备的应收账款：</w:t>
      </w:r>
    </w:p>
    <w:p>
      <w:pPr>
        <w:pStyle w:val="BodyText"/>
        <w:spacing w:line="338" w:lineRule="auto" w:before="117"/>
        <w:ind w:right="34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组合中，按账龄分析法计提坏账准备的应收账款：</w:t>
      </w:r>
    </w:p>
    <w:p>
      <w:pPr>
        <w:pStyle w:val="BodyText"/>
        <w:spacing w:line="338" w:lineRule="auto" w:before="43"/>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组合中，采用余额百分比法计提坏账准备的应收账款：</w:t>
      </w:r>
    </w:p>
    <w:p>
      <w:pPr>
        <w:pStyle w:val="BodyText"/>
        <w:spacing w:line="240" w:lineRule="auto" w:before="42"/>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pStyle w:val="BodyText"/>
        <w:spacing w:line="240" w:lineRule="auto"/>
        <w:ind w:left="153" w:right="0"/>
        <w:jc w:val="left"/>
      </w:pPr>
      <w:r>
        <w:rPr/>
        <w:t>单位： 元</w:t>
      </w:r>
    </w:p>
    <w:p>
      <w:pPr>
        <w:spacing w:after="0" w:line="240" w:lineRule="auto"/>
        <w:jc w:val="left"/>
        <w:sectPr>
          <w:type w:val="continuous"/>
          <w:pgSz w:w="11910" w:h="16840"/>
          <w:pgMar w:top="1060" w:bottom="1160" w:left="980" w:right="0"/>
          <w:cols w:num="2" w:equalWidth="0">
            <w:col w:w="4475" w:space="4355"/>
            <w:col w:w="2100"/>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717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392" w:type="dxa"/>
            <w:vMerge/>
            <w:tcBorders>
              <w:left w:val="single" w:sz="4" w:space="0" w:color="000000"/>
              <w:bottom w:val="single" w:sz="4" w:space="0" w:color="000000"/>
              <w:right w:val="single" w:sz="4" w:space="0" w:color="000000"/>
            </w:tcBorders>
            <w:shd w:val="clear" w:color="auto" w:fill="D2D2D2"/>
          </w:tcPr>
          <w:p>
            <w:pP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97"/>
              <w:jc w:val="left"/>
              <w:rPr>
                <w:rFonts w:ascii="宋体" w:hAnsi="宋体" w:cs="宋体" w:eastAsia="宋体" w:hint="default"/>
                <w:sz w:val="18"/>
                <w:szCs w:val="18"/>
              </w:rPr>
            </w:pPr>
            <w:r>
              <w:rPr>
                <w:rFonts w:ascii="宋体" w:hAnsi="宋体" w:cs="宋体" w:eastAsia="宋体" w:hint="default"/>
                <w:sz w:val="18"/>
                <w:szCs w:val="18"/>
              </w:rPr>
              <w:t>单项金额重大未出现减值迹 象的应收账款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646,553,573.40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32,327,678.68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5.00%</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97"/>
              <w:jc w:val="left"/>
              <w:rPr>
                <w:rFonts w:ascii="宋体" w:hAnsi="宋体" w:cs="宋体" w:eastAsia="宋体" w:hint="default"/>
                <w:sz w:val="18"/>
                <w:szCs w:val="18"/>
              </w:rPr>
            </w:pPr>
            <w:r>
              <w:rPr>
                <w:rFonts w:ascii="宋体" w:hAnsi="宋体" w:cs="宋体" w:eastAsia="宋体" w:hint="default"/>
                <w:sz w:val="18"/>
                <w:szCs w:val="18"/>
              </w:rPr>
              <w:t>单项金额不重大未出现减值 迹象的应收账款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153,680,634.09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7,684,031.70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800,234,207.49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40,011,710.38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bl>
    <w:p>
      <w:pPr>
        <w:pStyle w:val="BodyText"/>
        <w:spacing w:line="240" w:lineRule="auto" w:before="51"/>
        <w:ind w:right="0"/>
        <w:jc w:val="left"/>
      </w:pPr>
      <w:r>
        <w:rPr/>
        <w:t>确定该组合依据的说明：</w:t>
      </w:r>
    </w:p>
    <w:p>
      <w:pPr>
        <w:pStyle w:val="BodyText"/>
        <w:spacing w:line="300" w:lineRule="auto" w:before="116"/>
        <w:ind w:left="574" w:right="0"/>
        <w:jc w:val="left"/>
      </w:pPr>
      <w:r>
        <w:rPr/>
        <w:t>本公司根据公司经营规模、业务性质及客户结算状况等确定单项金额重大的应收账款标准为</w:t>
      </w:r>
      <w:r>
        <w:rPr>
          <w:rFonts w:ascii="Times New Roman" w:hAnsi="Times New Roman" w:cs="Times New Roman" w:eastAsia="Times New Roman" w:hint="default"/>
        </w:rPr>
        <w:t>1,000</w:t>
      </w:r>
      <w:r>
        <w:rPr/>
        <w:t>万元。 </w:t>
      </w:r>
      <w:r>
        <w:rPr>
          <w:spacing w:val="-1"/>
        </w:rPr>
        <w:t>单项金额重大并单项计提坏账准备的应收账款是指期末余额在</w:t>
      </w:r>
      <w:r>
        <w:rPr>
          <w:rFonts w:ascii="Times New Roman" w:hAnsi="Times New Roman" w:cs="Times New Roman" w:eastAsia="Times New Roman" w:hint="default"/>
          <w:spacing w:val="-1"/>
        </w:rPr>
        <w:t>1,000</w:t>
      </w:r>
      <w:r>
        <w:rPr>
          <w:spacing w:val="-1"/>
        </w:rPr>
        <w:t>万元以上，经减值测试后如存在减值迹象，按其未</w:t>
      </w:r>
    </w:p>
    <w:p>
      <w:pPr>
        <w:pStyle w:val="BodyText"/>
        <w:spacing w:line="309" w:lineRule="auto" w:before="13"/>
        <w:ind w:left="574" w:right="0" w:hanging="420"/>
        <w:jc w:val="left"/>
      </w:pPr>
      <w:r>
        <w:rPr/>
        <w:t>来现金流量现值低于账面价值的差额，确认减值损失，计提坏账准备； 单项金额重大未出现减值迹象的应收账款是指期末余额在</w:t>
      </w:r>
      <w:r>
        <w:rPr>
          <w:rFonts w:ascii="Times New Roman" w:hAnsi="Times New Roman" w:cs="Times New Roman" w:eastAsia="Times New Roman" w:hint="default"/>
        </w:rPr>
        <w:t>1,000</w:t>
      </w:r>
      <w:r>
        <w:rPr/>
        <w:t>万元以上，经减值测试后不存在减值迹象； 单项金额不重大未出现减值迹象的应收账款是指账龄较短（一般是指三年以内），可以取得债务人确认并预计可以收</w:t>
      </w:r>
    </w:p>
    <w:p>
      <w:pPr>
        <w:spacing w:after="0" w:line="309" w:lineRule="auto"/>
        <w:jc w:val="left"/>
        <w:sectPr>
          <w:type w:val="continuous"/>
          <w:pgSz w:w="11910" w:h="16840"/>
          <w:pgMar w:top="1060" w:bottom="1160" w:left="980" w:right="0"/>
        </w:sectPr>
      </w:pPr>
    </w:p>
    <w:p>
      <w:pPr>
        <w:spacing w:line="240" w:lineRule="auto" w:before="12"/>
        <w:rPr>
          <w:rFonts w:ascii="宋体" w:hAnsi="宋体" w:cs="宋体" w:eastAsia="宋体" w:hint="default"/>
          <w:sz w:val="25"/>
          <w:szCs w:val="25"/>
        </w:rPr>
      </w:pPr>
    </w:p>
    <w:p>
      <w:pPr>
        <w:pStyle w:val="BodyText"/>
        <w:spacing w:line="360" w:lineRule="auto" w:before="44"/>
        <w:ind w:left="514" w:right="1118" w:hanging="360"/>
        <w:jc w:val="left"/>
      </w:pPr>
      <w:r>
        <w:rPr/>
        <w:t>回的应收账款； 单项金额虽不重大但单项计提坏账准备的应收账款是指单笔金额在</w:t>
      </w:r>
      <w:r>
        <w:rPr>
          <w:rFonts w:ascii="Times New Roman" w:hAnsi="Times New Roman" w:cs="Times New Roman" w:eastAsia="Times New Roman" w:hint="default"/>
        </w:rPr>
        <w:t>1,000</w:t>
      </w:r>
      <w:r>
        <w:rPr/>
        <w:t>万元以下，且有明显特征表明该等款项难以收</w:t>
      </w:r>
    </w:p>
    <w:p>
      <w:pPr>
        <w:pStyle w:val="BodyText"/>
        <w:spacing w:line="199" w:lineRule="exact"/>
        <w:ind w:right="0"/>
        <w:jc w:val="left"/>
      </w:pPr>
      <w:r>
        <w:rPr/>
        <w:t>回的应收账款。</w:t>
      </w:r>
    </w:p>
    <w:p>
      <w:pPr>
        <w:pStyle w:val="BodyText"/>
        <w:spacing w:line="357" w:lineRule="auto" w:before="117"/>
        <w:ind w:right="6792"/>
        <w:jc w:val="left"/>
      </w:pPr>
      <w:r>
        <w:rPr/>
        <w:t>组合中，采用其他方法计提坏账准备的应收账款： 不适用。</w:t>
      </w:r>
    </w:p>
    <w:p>
      <w:pPr>
        <w:spacing w:line="240" w:lineRule="auto" w:before="9"/>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747" w:footer="979" w:top="1060" w:bottom="1160" w:left="980" w:right="0"/>
        </w:sectPr>
      </w:pPr>
    </w:p>
    <w:p>
      <w:pPr>
        <w:pStyle w:val="BodyText"/>
        <w:spacing w:line="240" w:lineRule="auto" w:before="44"/>
        <w:ind w:right="-13"/>
        <w:jc w:val="left"/>
      </w:pPr>
      <w:r>
        <w:rPr>
          <w:rFonts w:ascii="Times New Roman" w:hAnsi="Times New Roman" w:cs="Times New Roman" w:eastAsia="Times New Roman" w:hint="default"/>
        </w:rPr>
        <w:t>2)</w:t>
      </w:r>
      <w:r>
        <w:rPr/>
        <w:t>本期计提、收回或转回的坏账准备情况</w:t>
      </w:r>
    </w:p>
    <w:p>
      <w:pPr>
        <w:pStyle w:val="BodyText"/>
        <w:spacing w:line="338" w:lineRule="auto" w:before="103"/>
        <w:ind w:right="-13"/>
        <w:jc w:val="left"/>
      </w:pPr>
      <w:r>
        <w:rPr/>
        <w:t>本期计提坏账准备金额</w:t>
      </w:r>
      <w:r>
        <w:rPr>
          <w:spacing w:val="-47"/>
        </w:rPr>
        <w:t> </w:t>
      </w:r>
      <w:r>
        <w:rPr>
          <w:rFonts w:ascii="Times New Roman" w:hAnsi="Times New Roman" w:cs="Times New Roman" w:eastAsia="Times New Roman" w:hint="default"/>
        </w:rPr>
        <w:t>6,772,680.79</w:t>
      </w:r>
      <w:r>
        <w:rPr>
          <w:rFonts w:ascii="Times New Roman" w:hAnsi="Times New Roman" w:cs="Times New Roman" w:eastAsia="Times New Roman" w:hint="default"/>
          <w:spacing w:val="-2"/>
        </w:rPr>
        <w:t> </w:t>
      </w:r>
      <w:r>
        <w:rPr/>
        <w:t>元；本期收回或转回坏账准备金额</w:t>
      </w:r>
      <w:r>
        <w:rPr>
          <w:spacing w:val="-47"/>
        </w:rPr>
        <w:t> </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 其中本期坏账准备收回或转回金额重要的：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58"/>
        <w:ind w:left="153" w:right="0"/>
        <w:jc w:val="left"/>
      </w:pPr>
      <w:r>
        <w:rPr/>
        <w:t>单位： 元</w:t>
      </w:r>
    </w:p>
    <w:p>
      <w:pPr>
        <w:spacing w:after="0" w:line="240" w:lineRule="auto"/>
        <w:jc w:val="left"/>
        <w:sectPr>
          <w:type w:val="continuous"/>
          <w:pgSz w:w="11910" w:h="16840"/>
          <w:pgMar w:top="1060" w:bottom="1160" w:left="980" w:right="0"/>
          <w:cols w:num="2" w:equalWidth="0">
            <w:col w:w="6454" w:space="2375"/>
            <w:col w:w="2101"/>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7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60" w:right="0"/>
              <w:jc w:val="left"/>
              <w:rPr>
                <w:rFonts w:ascii="宋体" w:hAnsi="宋体" w:cs="宋体" w:eastAsia="宋体" w:hint="default"/>
                <w:sz w:val="18"/>
                <w:szCs w:val="18"/>
              </w:rPr>
            </w:pPr>
            <w:r>
              <w:rPr>
                <w:rFonts w:ascii="宋体" w:hAnsi="宋体" w:cs="宋体" w:eastAsia="宋体" w:hint="default"/>
                <w:sz w:val="18"/>
                <w:szCs w:val="18"/>
              </w:rPr>
              <w:t>收回或转回金额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pStyle w:val="BodyText"/>
        <w:spacing w:line="240" w:lineRule="auto" w:before="51"/>
        <w:ind w:right="0"/>
        <w:jc w:val="left"/>
      </w:pPr>
      <w:r>
        <w:rPr>
          <w:rFonts w:ascii="Times New Roman" w:hAnsi="Times New Roman" w:cs="Times New Roman" w:eastAsia="Times New Roman" w:hint="default"/>
        </w:rPr>
        <w:t>3)</w:t>
      </w:r>
      <w:r>
        <w:rPr/>
        <w:t>本期实际核销的应收账款情况</w:t>
      </w:r>
    </w:p>
    <w:p>
      <w:pPr>
        <w:pStyle w:val="BodyText"/>
        <w:spacing w:line="240" w:lineRule="auto" w:before="103"/>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实际核销的应收账款</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353,762.75</w:t>
            </w:r>
          </w:p>
        </w:tc>
      </w:tr>
    </w:tbl>
    <w:p>
      <w:pPr>
        <w:pStyle w:val="BodyText"/>
        <w:spacing w:line="240" w:lineRule="auto" w:before="51"/>
        <w:ind w:right="0"/>
        <w:jc w:val="left"/>
      </w:pPr>
      <w:r>
        <w:rPr/>
        <w:t>其中重要的应收账款核销情况：</w:t>
      </w:r>
    </w:p>
    <w:p>
      <w:pPr>
        <w:pStyle w:val="BodyText"/>
        <w:spacing w:line="240" w:lineRule="auto" w:before="117"/>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714"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52"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33"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61"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523" w:right="71" w:hanging="450"/>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pStyle w:val="BodyText"/>
        <w:spacing w:line="357" w:lineRule="auto" w:before="52"/>
        <w:ind w:right="9132"/>
        <w:jc w:val="left"/>
      </w:pPr>
      <w:r>
        <w:rPr/>
        <w:t>应收账款核销说明： 无</w:t>
      </w:r>
    </w:p>
    <w:p>
      <w:pPr>
        <w:pStyle w:val="BodyText"/>
        <w:spacing w:line="240" w:lineRule="auto" w:before="29"/>
        <w:ind w:right="0"/>
        <w:jc w:val="left"/>
      </w:pPr>
      <w:r>
        <w:rPr>
          <w:rFonts w:ascii="Times New Roman" w:hAnsi="Times New Roman" w:cs="Times New Roman" w:eastAsia="Times New Roman" w:hint="default"/>
        </w:rPr>
        <w:t>4)</w:t>
      </w:r>
      <w:r>
        <w:rPr/>
        <w:t>按欠款方归集的期末余额前五名的应收账款情况</w:t>
      </w:r>
    </w:p>
    <w:p>
      <w:pPr>
        <w:spacing w:line="240" w:lineRule="auto" w:before="6"/>
        <w:rPr>
          <w:rFonts w:ascii="宋体" w:hAnsi="宋体" w:cs="宋体" w:eastAsia="宋体" w:hint="default"/>
          <w:sz w:val="7"/>
          <w:szCs w:val="7"/>
        </w:rPr>
      </w:pPr>
    </w:p>
    <w:tbl>
      <w:tblPr>
        <w:tblW w:w="0" w:type="auto"/>
        <w:jc w:val="left"/>
        <w:tblInd w:w="137" w:type="dxa"/>
        <w:tblLayout w:type="fixed"/>
        <w:tblCellMar>
          <w:top w:w="0" w:type="dxa"/>
          <w:left w:w="0" w:type="dxa"/>
          <w:bottom w:w="0" w:type="dxa"/>
          <w:right w:w="0" w:type="dxa"/>
        </w:tblCellMar>
        <w:tblLook w:val="01E0"/>
      </w:tblPr>
      <w:tblGrid>
        <w:gridCol w:w="1223"/>
        <w:gridCol w:w="2171"/>
        <w:gridCol w:w="1804"/>
        <w:gridCol w:w="1276"/>
        <w:gridCol w:w="1642"/>
        <w:gridCol w:w="1543"/>
      </w:tblGrid>
      <w:tr>
        <w:trPr>
          <w:trHeight w:val="733" w:hRule="exact"/>
        </w:trPr>
        <w:tc>
          <w:tcPr>
            <w:tcW w:w="1223"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0"/>
              <w:ind w:right="202"/>
              <w:jc w:val="right"/>
              <w:rPr>
                <w:rFonts w:ascii="宋体" w:hAnsi="宋体" w:cs="宋体" w:eastAsia="宋体" w:hint="default"/>
                <w:sz w:val="20"/>
                <w:szCs w:val="20"/>
              </w:rPr>
            </w:pPr>
            <w:r>
              <w:rPr>
                <w:rFonts w:ascii="宋体" w:hAnsi="宋体" w:cs="宋体" w:eastAsia="宋体" w:hint="default"/>
                <w:sz w:val="20"/>
                <w:szCs w:val="20"/>
              </w:rPr>
              <w:t>单位名称</w:t>
            </w:r>
          </w:p>
        </w:tc>
        <w:tc>
          <w:tcPr>
            <w:tcW w:w="217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0"/>
              <w:ind w:left="477" w:right="0"/>
              <w:jc w:val="left"/>
              <w:rPr>
                <w:rFonts w:ascii="宋体" w:hAnsi="宋体" w:cs="宋体" w:eastAsia="宋体" w:hint="default"/>
                <w:sz w:val="20"/>
                <w:szCs w:val="20"/>
              </w:rPr>
            </w:pPr>
            <w:r>
              <w:rPr>
                <w:rFonts w:ascii="宋体" w:hAnsi="宋体" w:cs="宋体" w:eastAsia="宋体" w:hint="default"/>
                <w:sz w:val="20"/>
                <w:szCs w:val="20"/>
              </w:rPr>
              <w:t>与本公司关系</w:t>
            </w:r>
          </w:p>
        </w:tc>
        <w:tc>
          <w:tcPr>
            <w:tcW w:w="180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0"/>
              <w:ind w:left="1" w:right="0"/>
              <w:jc w:val="center"/>
              <w:rPr>
                <w:rFonts w:ascii="宋体" w:hAnsi="宋体" w:cs="宋体" w:eastAsia="宋体" w:hint="default"/>
                <w:sz w:val="20"/>
                <w:szCs w:val="20"/>
              </w:rPr>
            </w:pPr>
            <w:r>
              <w:rPr>
                <w:rFonts w:ascii="宋体" w:hAnsi="宋体" w:cs="宋体" w:eastAsia="宋体" w:hint="default"/>
                <w:sz w:val="20"/>
                <w:szCs w:val="20"/>
              </w:rPr>
              <w:t>金额</w:t>
            </w:r>
          </w:p>
        </w:tc>
        <w:tc>
          <w:tcPr>
            <w:tcW w:w="127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0"/>
              <w:ind w:left="1" w:right="0"/>
              <w:jc w:val="center"/>
              <w:rPr>
                <w:rFonts w:ascii="宋体" w:hAnsi="宋体" w:cs="宋体" w:eastAsia="宋体" w:hint="default"/>
                <w:sz w:val="20"/>
                <w:szCs w:val="20"/>
              </w:rPr>
            </w:pPr>
            <w:r>
              <w:rPr>
                <w:rFonts w:ascii="宋体" w:hAnsi="宋体" w:cs="宋体" w:eastAsia="宋体" w:hint="default"/>
                <w:sz w:val="20"/>
                <w:szCs w:val="20"/>
              </w:rPr>
              <w:t>年限</w:t>
            </w:r>
          </w:p>
        </w:tc>
        <w:tc>
          <w:tcPr>
            <w:tcW w:w="164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85" w:lineRule="auto" w:before="40"/>
              <w:ind w:left="613" w:right="11" w:hanging="601"/>
              <w:jc w:val="left"/>
              <w:rPr>
                <w:rFonts w:ascii="宋体" w:hAnsi="宋体" w:cs="宋体" w:eastAsia="宋体" w:hint="default"/>
                <w:sz w:val="20"/>
                <w:szCs w:val="20"/>
              </w:rPr>
            </w:pPr>
            <w:r>
              <w:rPr>
                <w:rFonts w:ascii="宋体" w:hAnsi="宋体" w:cs="宋体" w:eastAsia="宋体" w:hint="default"/>
                <w:sz w:val="20"/>
                <w:szCs w:val="20"/>
              </w:rPr>
              <w:t>占应收账款总额的</w:t>
            </w:r>
            <w:r>
              <w:rPr>
                <w:rFonts w:ascii="宋体" w:hAnsi="宋体" w:cs="宋体" w:eastAsia="宋体" w:hint="default"/>
                <w:w w:val="100"/>
                <w:sz w:val="20"/>
                <w:szCs w:val="20"/>
              </w:rPr>
              <w:t> </w:t>
            </w:r>
            <w:r>
              <w:rPr>
                <w:rFonts w:ascii="宋体" w:hAnsi="宋体" w:cs="宋体" w:eastAsia="宋体" w:hint="default"/>
                <w:sz w:val="20"/>
                <w:szCs w:val="20"/>
              </w:rPr>
              <w:t>比例</w:t>
            </w:r>
          </w:p>
        </w:tc>
        <w:tc>
          <w:tcPr>
            <w:tcW w:w="1543"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85" w:lineRule="auto" w:before="40"/>
              <w:ind w:left="363" w:right="361"/>
              <w:jc w:val="left"/>
              <w:rPr>
                <w:rFonts w:ascii="宋体" w:hAnsi="宋体" w:cs="宋体" w:eastAsia="宋体" w:hint="default"/>
                <w:sz w:val="20"/>
                <w:szCs w:val="20"/>
              </w:rPr>
            </w:pPr>
            <w:r>
              <w:rPr>
                <w:rFonts w:ascii="宋体" w:hAnsi="宋体" w:cs="宋体" w:eastAsia="宋体" w:hint="default"/>
                <w:sz w:val="20"/>
                <w:szCs w:val="20"/>
              </w:rPr>
              <w:t>坏账准备</w:t>
            </w:r>
            <w:r>
              <w:rPr>
                <w:rFonts w:ascii="宋体" w:hAnsi="宋体" w:cs="宋体" w:eastAsia="宋体" w:hint="default"/>
                <w:w w:val="100"/>
                <w:sz w:val="20"/>
                <w:szCs w:val="20"/>
              </w:rPr>
              <w:t> </w:t>
            </w:r>
            <w:r>
              <w:rPr>
                <w:rFonts w:ascii="宋体" w:hAnsi="宋体" w:cs="宋体" w:eastAsia="宋体" w:hint="default"/>
                <w:sz w:val="20"/>
                <w:szCs w:val="20"/>
              </w:rPr>
              <w:t>期末余额</w:t>
            </w:r>
          </w:p>
        </w:tc>
      </w:tr>
      <w:tr>
        <w:trPr>
          <w:trHeight w:val="428" w:hRule="exact"/>
        </w:trPr>
        <w:tc>
          <w:tcPr>
            <w:tcW w:w="12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203"/>
              <w:jc w:val="right"/>
              <w:rPr>
                <w:rFonts w:ascii="宋体" w:hAnsi="宋体" w:cs="宋体" w:eastAsia="宋体" w:hint="default"/>
                <w:sz w:val="20"/>
                <w:szCs w:val="20"/>
              </w:rPr>
            </w:pPr>
            <w:r>
              <w:rPr>
                <w:rFonts w:ascii="宋体" w:hAnsi="宋体" w:cs="宋体" w:eastAsia="宋体" w:hint="default"/>
                <w:spacing w:val="-1"/>
                <w:sz w:val="20"/>
                <w:szCs w:val="20"/>
              </w:rPr>
              <w:t>第一名公司</w:t>
            </w:r>
          </w:p>
        </w:tc>
        <w:tc>
          <w:tcPr>
            <w:tcW w:w="21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2" w:right="0"/>
              <w:jc w:val="left"/>
              <w:rPr>
                <w:rFonts w:ascii="宋体" w:hAnsi="宋体" w:cs="宋体" w:eastAsia="宋体" w:hint="default"/>
                <w:sz w:val="20"/>
                <w:szCs w:val="20"/>
              </w:rPr>
            </w:pPr>
            <w:r>
              <w:rPr>
                <w:rFonts w:ascii="宋体" w:hAnsi="宋体" w:cs="宋体" w:eastAsia="宋体" w:hint="default"/>
                <w:sz w:val="20"/>
                <w:szCs w:val="20"/>
              </w:rPr>
              <w:t>非关联方</w:t>
            </w:r>
          </w:p>
        </w:tc>
        <w:tc>
          <w:tcPr>
            <w:tcW w:w="18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right="1"/>
              <w:jc w:val="right"/>
              <w:rPr>
                <w:rFonts w:ascii="Times New Roman" w:hAnsi="Times New Roman" w:cs="Times New Roman" w:eastAsia="Times New Roman" w:hint="default"/>
                <w:sz w:val="20"/>
                <w:szCs w:val="20"/>
              </w:rPr>
            </w:pPr>
            <w:r>
              <w:rPr>
                <w:rFonts w:ascii="Times New Roman"/>
                <w:spacing w:val="-1"/>
                <w:sz w:val="20"/>
              </w:rPr>
              <w:t>171,708,162.72</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1"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1</w:t>
            </w:r>
            <w:r>
              <w:rPr>
                <w:rFonts w:ascii="宋体" w:hAnsi="宋体" w:cs="宋体" w:eastAsia="宋体" w:hint="default"/>
                <w:sz w:val="20"/>
                <w:szCs w:val="20"/>
              </w:rPr>
              <w:t>年以内</w:t>
            </w:r>
          </w:p>
        </w:tc>
        <w:tc>
          <w:tcPr>
            <w:tcW w:w="16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right="1"/>
              <w:jc w:val="right"/>
              <w:rPr>
                <w:rFonts w:ascii="Times New Roman" w:hAnsi="Times New Roman" w:cs="Times New Roman" w:eastAsia="Times New Roman" w:hint="default"/>
                <w:sz w:val="20"/>
                <w:szCs w:val="20"/>
              </w:rPr>
            </w:pPr>
            <w:r>
              <w:rPr>
                <w:rFonts w:ascii="Times New Roman"/>
                <w:sz w:val="20"/>
              </w:rPr>
              <w:t>21.24%</w:t>
            </w:r>
          </w:p>
        </w:tc>
        <w:tc>
          <w:tcPr>
            <w:tcW w:w="1543"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87"/>
              <w:ind w:right="0"/>
              <w:jc w:val="right"/>
              <w:rPr>
                <w:rFonts w:ascii="Times New Roman" w:hAnsi="Times New Roman" w:cs="Times New Roman" w:eastAsia="Times New Roman" w:hint="default"/>
                <w:sz w:val="20"/>
                <w:szCs w:val="20"/>
              </w:rPr>
            </w:pPr>
            <w:r>
              <w:rPr>
                <w:rFonts w:ascii="Times New Roman"/>
                <w:spacing w:val="-1"/>
                <w:sz w:val="20"/>
              </w:rPr>
              <w:t>8,585,408.14</w:t>
            </w:r>
          </w:p>
        </w:tc>
      </w:tr>
      <w:tr>
        <w:trPr>
          <w:trHeight w:val="426" w:hRule="exact"/>
        </w:trPr>
        <w:tc>
          <w:tcPr>
            <w:tcW w:w="12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203"/>
              <w:jc w:val="right"/>
              <w:rPr>
                <w:rFonts w:ascii="宋体" w:hAnsi="宋体" w:cs="宋体" w:eastAsia="宋体" w:hint="default"/>
                <w:sz w:val="20"/>
                <w:szCs w:val="20"/>
              </w:rPr>
            </w:pPr>
            <w:r>
              <w:rPr>
                <w:rFonts w:ascii="宋体" w:hAnsi="宋体" w:cs="宋体" w:eastAsia="宋体" w:hint="default"/>
                <w:spacing w:val="-1"/>
                <w:sz w:val="20"/>
                <w:szCs w:val="20"/>
              </w:rPr>
              <w:t>第二名公司</w:t>
            </w:r>
          </w:p>
        </w:tc>
        <w:tc>
          <w:tcPr>
            <w:tcW w:w="21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2" w:right="0"/>
              <w:jc w:val="left"/>
              <w:rPr>
                <w:rFonts w:ascii="宋体" w:hAnsi="宋体" w:cs="宋体" w:eastAsia="宋体" w:hint="default"/>
                <w:sz w:val="20"/>
                <w:szCs w:val="20"/>
              </w:rPr>
            </w:pPr>
            <w:r>
              <w:rPr>
                <w:rFonts w:ascii="宋体" w:hAnsi="宋体" w:cs="宋体" w:eastAsia="宋体" w:hint="default"/>
                <w:sz w:val="20"/>
                <w:szCs w:val="20"/>
              </w:rPr>
              <w:t>非关联方</w:t>
            </w:r>
          </w:p>
        </w:tc>
        <w:tc>
          <w:tcPr>
            <w:tcW w:w="18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0"/>
              <w:ind w:right="1"/>
              <w:jc w:val="right"/>
              <w:rPr>
                <w:rFonts w:ascii="Times New Roman" w:hAnsi="Times New Roman" w:cs="Times New Roman" w:eastAsia="Times New Roman" w:hint="default"/>
                <w:sz w:val="20"/>
                <w:szCs w:val="20"/>
              </w:rPr>
            </w:pPr>
            <w:r>
              <w:rPr>
                <w:rFonts w:ascii="Times New Roman"/>
                <w:spacing w:val="-1"/>
                <w:sz w:val="20"/>
              </w:rPr>
              <w:t>152,117,863.40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1</w:t>
            </w:r>
            <w:r>
              <w:rPr>
                <w:rFonts w:ascii="宋体" w:hAnsi="宋体" w:cs="宋体" w:eastAsia="宋体" w:hint="default"/>
                <w:sz w:val="20"/>
                <w:szCs w:val="20"/>
              </w:rPr>
              <w:t>年以内</w:t>
            </w:r>
          </w:p>
        </w:tc>
        <w:tc>
          <w:tcPr>
            <w:tcW w:w="16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0"/>
              <w:ind w:right="1"/>
              <w:jc w:val="right"/>
              <w:rPr>
                <w:rFonts w:ascii="Times New Roman" w:hAnsi="Times New Roman" w:cs="Times New Roman" w:eastAsia="Times New Roman" w:hint="default"/>
                <w:sz w:val="20"/>
                <w:szCs w:val="20"/>
              </w:rPr>
            </w:pPr>
            <w:r>
              <w:rPr>
                <w:rFonts w:ascii="Times New Roman"/>
                <w:sz w:val="20"/>
              </w:rPr>
              <w:t>18.81%</w:t>
            </w:r>
          </w:p>
        </w:tc>
        <w:tc>
          <w:tcPr>
            <w:tcW w:w="15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0"/>
              <w:ind w:right="0"/>
              <w:jc w:val="right"/>
              <w:rPr>
                <w:rFonts w:ascii="Times New Roman" w:hAnsi="Times New Roman" w:cs="Times New Roman" w:eastAsia="Times New Roman" w:hint="default"/>
                <w:sz w:val="20"/>
                <w:szCs w:val="20"/>
              </w:rPr>
            </w:pPr>
            <w:r>
              <w:rPr>
                <w:rFonts w:ascii="Times New Roman"/>
                <w:spacing w:val="-1"/>
                <w:sz w:val="20"/>
              </w:rPr>
              <w:t>7,605,893.17</w:t>
            </w:r>
          </w:p>
        </w:tc>
      </w:tr>
      <w:tr>
        <w:trPr>
          <w:trHeight w:val="427" w:hRule="exact"/>
        </w:trPr>
        <w:tc>
          <w:tcPr>
            <w:tcW w:w="12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203"/>
              <w:jc w:val="right"/>
              <w:rPr>
                <w:rFonts w:ascii="宋体" w:hAnsi="宋体" w:cs="宋体" w:eastAsia="宋体" w:hint="default"/>
                <w:sz w:val="20"/>
                <w:szCs w:val="20"/>
              </w:rPr>
            </w:pPr>
            <w:r>
              <w:rPr>
                <w:rFonts w:ascii="宋体" w:hAnsi="宋体" w:cs="宋体" w:eastAsia="宋体" w:hint="default"/>
                <w:spacing w:val="-1"/>
                <w:sz w:val="20"/>
                <w:szCs w:val="20"/>
              </w:rPr>
              <w:t>第三名公司</w:t>
            </w:r>
          </w:p>
        </w:tc>
        <w:tc>
          <w:tcPr>
            <w:tcW w:w="21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2" w:right="0"/>
              <w:jc w:val="left"/>
              <w:rPr>
                <w:rFonts w:ascii="宋体" w:hAnsi="宋体" w:cs="宋体" w:eastAsia="宋体" w:hint="default"/>
                <w:sz w:val="20"/>
                <w:szCs w:val="20"/>
              </w:rPr>
            </w:pPr>
            <w:r>
              <w:rPr>
                <w:rFonts w:ascii="宋体" w:hAnsi="宋体" w:cs="宋体" w:eastAsia="宋体" w:hint="default"/>
                <w:sz w:val="20"/>
                <w:szCs w:val="20"/>
              </w:rPr>
              <w:t>非关联方</w:t>
            </w:r>
          </w:p>
        </w:tc>
        <w:tc>
          <w:tcPr>
            <w:tcW w:w="18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1"/>
              <w:jc w:val="right"/>
              <w:rPr>
                <w:rFonts w:ascii="Times New Roman" w:hAnsi="Times New Roman" w:cs="Times New Roman" w:eastAsia="Times New Roman" w:hint="default"/>
                <w:sz w:val="20"/>
                <w:szCs w:val="20"/>
              </w:rPr>
            </w:pPr>
            <w:r>
              <w:rPr>
                <w:rFonts w:ascii="Times New Roman"/>
                <w:spacing w:val="-1"/>
                <w:sz w:val="20"/>
              </w:rPr>
              <w:t>84,739,368.68</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1"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1</w:t>
            </w:r>
            <w:r>
              <w:rPr>
                <w:rFonts w:ascii="宋体" w:hAnsi="宋体" w:cs="宋体" w:eastAsia="宋体" w:hint="default"/>
                <w:sz w:val="20"/>
                <w:szCs w:val="20"/>
              </w:rPr>
              <w:t>年以内</w:t>
            </w:r>
          </w:p>
        </w:tc>
        <w:tc>
          <w:tcPr>
            <w:tcW w:w="16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1"/>
              <w:jc w:val="right"/>
              <w:rPr>
                <w:rFonts w:ascii="Times New Roman" w:hAnsi="Times New Roman" w:cs="Times New Roman" w:eastAsia="Times New Roman" w:hint="default"/>
                <w:sz w:val="20"/>
                <w:szCs w:val="20"/>
              </w:rPr>
            </w:pPr>
            <w:r>
              <w:rPr>
                <w:rFonts w:ascii="Times New Roman"/>
                <w:sz w:val="20"/>
              </w:rPr>
              <w:t>10.48%</w:t>
            </w:r>
          </w:p>
        </w:tc>
        <w:tc>
          <w:tcPr>
            <w:tcW w:w="15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0"/>
              <w:jc w:val="right"/>
              <w:rPr>
                <w:rFonts w:ascii="Times New Roman" w:hAnsi="Times New Roman" w:cs="Times New Roman" w:eastAsia="Times New Roman" w:hint="default"/>
                <w:sz w:val="20"/>
                <w:szCs w:val="20"/>
              </w:rPr>
            </w:pPr>
            <w:r>
              <w:rPr>
                <w:rFonts w:ascii="Times New Roman"/>
                <w:spacing w:val="-1"/>
                <w:sz w:val="20"/>
              </w:rPr>
              <w:t>4,236,968.44</w:t>
            </w:r>
          </w:p>
        </w:tc>
      </w:tr>
      <w:tr>
        <w:trPr>
          <w:trHeight w:val="427" w:hRule="exact"/>
        </w:trPr>
        <w:tc>
          <w:tcPr>
            <w:tcW w:w="12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203"/>
              <w:jc w:val="right"/>
              <w:rPr>
                <w:rFonts w:ascii="宋体" w:hAnsi="宋体" w:cs="宋体" w:eastAsia="宋体" w:hint="default"/>
                <w:sz w:val="20"/>
                <w:szCs w:val="20"/>
              </w:rPr>
            </w:pPr>
            <w:r>
              <w:rPr>
                <w:rFonts w:ascii="宋体" w:hAnsi="宋体" w:cs="宋体" w:eastAsia="宋体" w:hint="default"/>
                <w:spacing w:val="-1"/>
                <w:sz w:val="20"/>
                <w:szCs w:val="20"/>
              </w:rPr>
              <w:t>第四名公司</w:t>
            </w:r>
          </w:p>
        </w:tc>
        <w:tc>
          <w:tcPr>
            <w:tcW w:w="21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2" w:right="0"/>
              <w:jc w:val="left"/>
              <w:rPr>
                <w:rFonts w:ascii="宋体" w:hAnsi="宋体" w:cs="宋体" w:eastAsia="宋体" w:hint="default"/>
                <w:sz w:val="20"/>
                <w:szCs w:val="20"/>
              </w:rPr>
            </w:pPr>
            <w:r>
              <w:rPr>
                <w:rFonts w:ascii="宋体" w:hAnsi="宋体" w:cs="宋体" w:eastAsia="宋体" w:hint="default"/>
                <w:sz w:val="20"/>
                <w:szCs w:val="20"/>
              </w:rPr>
              <w:t>非合并范围内关联方</w:t>
            </w:r>
          </w:p>
        </w:tc>
        <w:tc>
          <w:tcPr>
            <w:tcW w:w="18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1"/>
              <w:jc w:val="right"/>
              <w:rPr>
                <w:rFonts w:ascii="Times New Roman" w:hAnsi="Times New Roman" w:cs="Times New Roman" w:eastAsia="Times New Roman" w:hint="default"/>
                <w:sz w:val="20"/>
                <w:szCs w:val="20"/>
              </w:rPr>
            </w:pPr>
            <w:r>
              <w:rPr>
                <w:rFonts w:ascii="Times New Roman"/>
                <w:spacing w:val="-1"/>
                <w:sz w:val="20"/>
              </w:rPr>
              <w:t>44,969,344.08</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1"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1-3</w:t>
            </w:r>
            <w:r>
              <w:rPr>
                <w:rFonts w:ascii="宋体" w:hAnsi="宋体" w:cs="宋体" w:eastAsia="宋体" w:hint="default"/>
                <w:sz w:val="20"/>
                <w:szCs w:val="20"/>
              </w:rPr>
              <w:t>年</w:t>
            </w:r>
          </w:p>
        </w:tc>
        <w:tc>
          <w:tcPr>
            <w:tcW w:w="16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0"/>
              <w:jc w:val="right"/>
              <w:rPr>
                <w:rFonts w:ascii="Times New Roman" w:hAnsi="Times New Roman" w:cs="Times New Roman" w:eastAsia="Times New Roman" w:hint="default"/>
                <w:sz w:val="20"/>
                <w:szCs w:val="20"/>
              </w:rPr>
            </w:pPr>
            <w:r>
              <w:rPr>
                <w:rFonts w:ascii="Times New Roman"/>
                <w:sz w:val="20"/>
              </w:rPr>
              <w:t>5.56%</w:t>
            </w:r>
          </w:p>
        </w:tc>
        <w:tc>
          <w:tcPr>
            <w:tcW w:w="15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0"/>
              <w:jc w:val="right"/>
              <w:rPr>
                <w:rFonts w:ascii="Times New Roman" w:hAnsi="Times New Roman" w:cs="Times New Roman" w:eastAsia="Times New Roman" w:hint="default"/>
                <w:sz w:val="20"/>
                <w:szCs w:val="20"/>
              </w:rPr>
            </w:pPr>
            <w:r>
              <w:rPr>
                <w:rFonts w:ascii="Times New Roman"/>
                <w:spacing w:val="-1"/>
                <w:sz w:val="20"/>
              </w:rPr>
              <w:t>2,248,467.17</w:t>
            </w:r>
          </w:p>
        </w:tc>
      </w:tr>
      <w:tr>
        <w:trPr>
          <w:trHeight w:val="427" w:hRule="exact"/>
        </w:trPr>
        <w:tc>
          <w:tcPr>
            <w:tcW w:w="12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203"/>
              <w:jc w:val="right"/>
              <w:rPr>
                <w:rFonts w:ascii="宋体" w:hAnsi="宋体" w:cs="宋体" w:eastAsia="宋体" w:hint="default"/>
                <w:sz w:val="20"/>
                <w:szCs w:val="20"/>
              </w:rPr>
            </w:pPr>
            <w:r>
              <w:rPr>
                <w:rFonts w:ascii="宋体" w:hAnsi="宋体" w:cs="宋体" w:eastAsia="宋体" w:hint="default"/>
                <w:spacing w:val="-1"/>
                <w:sz w:val="20"/>
                <w:szCs w:val="20"/>
              </w:rPr>
              <w:t>第五名公司</w:t>
            </w:r>
          </w:p>
        </w:tc>
        <w:tc>
          <w:tcPr>
            <w:tcW w:w="21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2" w:right="0"/>
              <w:jc w:val="left"/>
              <w:rPr>
                <w:rFonts w:ascii="宋体" w:hAnsi="宋体" w:cs="宋体" w:eastAsia="宋体" w:hint="default"/>
                <w:sz w:val="20"/>
                <w:szCs w:val="20"/>
              </w:rPr>
            </w:pPr>
            <w:r>
              <w:rPr>
                <w:rFonts w:ascii="宋体" w:hAnsi="宋体" w:cs="宋体" w:eastAsia="宋体" w:hint="default"/>
                <w:sz w:val="20"/>
                <w:szCs w:val="20"/>
              </w:rPr>
              <w:t>非关联方</w:t>
            </w:r>
          </w:p>
        </w:tc>
        <w:tc>
          <w:tcPr>
            <w:tcW w:w="18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1"/>
              <w:jc w:val="right"/>
              <w:rPr>
                <w:rFonts w:ascii="Times New Roman" w:hAnsi="Times New Roman" w:cs="Times New Roman" w:eastAsia="Times New Roman" w:hint="default"/>
                <w:sz w:val="20"/>
                <w:szCs w:val="20"/>
              </w:rPr>
            </w:pPr>
            <w:r>
              <w:rPr>
                <w:rFonts w:ascii="Times New Roman"/>
                <w:spacing w:val="-1"/>
                <w:sz w:val="20"/>
              </w:rPr>
              <w:t>33,530,680.21</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1"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1</w:t>
            </w:r>
            <w:r>
              <w:rPr>
                <w:rFonts w:ascii="宋体" w:hAnsi="宋体" w:cs="宋体" w:eastAsia="宋体" w:hint="default"/>
                <w:sz w:val="20"/>
                <w:szCs w:val="20"/>
              </w:rPr>
              <w:t>年以内</w:t>
            </w:r>
          </w:p>
        </w:tc>
        <w:tc>
          <w:tcPr>
            <w:tcW w:w="16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0"/>
              <w:jc w:val="right"/>
              <w:rPr>
                <w:rFonts w:ascii="Times New Roman" w:hAnsi="Times New Roman" w:cs="Times New Roman" w:eastAsia="Times New Roman" w:hint="default"/>
                <w:sz w:val="20"/>
                <w:szCs w:val="20"/>
              </w:rPr>
            </w:pPr>
            <w:r>
              <w:rPr>
                <w:rFonts w:ascii="Times New Roman"/>
                <w:sz w:val="20"/>
              </w:rPr>
              <w:t>4.15%</w:t>
            </w:r>
          </w:p>
        </w:tc>
        <w:tc>
          <w:tcPr>
            <w:tcW w:w="15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0"/>
              <w:jc w:val="right"/>
              <w:rPr>
                <w:rFonts w:ascii="Times New Roman" w:hAnsi="Times New Roman" w:cs="Times New Roman" w:eastAsia="Times New Roman" w:hint="default"/>
                <w:sz w:val="20"/>
                <w:szCs w:val="20"/>
              </w:rPr>
            </w:pPr>
            <w:r>
              <w:rPr>
                <w:rFonts w:ascii="Times New Roman"/>
                <w:spacing w:val="-1"/>
                <w:sz w:val="20"/>
              </w:rPr>
              <w:t>1,676,534.01</w:t>
            </w:r>
          </w:p>
        </w:tc>
      </w:tr>
      <w:tr>
        <w:trPr>
          <w:trHeight w:val="427" w:hRule="exact"/>
        </w:trPr>
        <w:tc>
          <w:tcPr>
            <w:tcW w:w="12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1"/>
              <w:jc w:val="center"/>
              <w:rPr>
                <w:rFonts w:ascii="宋体" w:hAnsi="宋体" w:cs="宋体" w:eastAsia="宋体" w:hint="default"/>
                <w:sz w:val="20"/>
                <w:szCs w:val="20"/>
              </w:rPr>
            </w:pPr>
            <w:r>
              <w:rPr>
                <w:rFonts w:ascii="宋体" w:hAnsi="宋体" w:cs="宋体" w:eastAsia="宋体" w:hint="default"/>
                <w:sz w:val="20"/>
                <w:szCs w:val="20"/>
              </w:rPr>
              <w:t>合计</w:t>
            </w:r>
          </w:p>
        </w:tc>
        <w:tc>
          <w:tcPr>
            <w:tcW w:w="2171" w:type="dxa"/>
            <w:tcBorders>
              <w:top w:val="single" w:sz="6" w:space="0" w:color="000000"/>
              <w:left w:val="single" w:sz="6" w:space="0" w:color="000000"/>
              <w:bottom w:val="single" w:sz="6" w:space="0" w:color="000000"/>
              <w:right w:val="single" w:sz="6" w:space="0" w:color="000000"/>
            </w:tcBorders>
          </w:tcPr>
          <w:p>
            <w:pPr/>
          </w:p>
        </w:tc>
        <w:tc>
          <w:tcPr>
            <w:tcW w:w="18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1"/>
              <w:jc w:val="right"/>
              <w:rPr>
                <w:rFonts w:ascii="Times New Roman" w:hAnsi="Times New Roman" w:cs="Times New Roman" w:eastAsia="Times New Roman" w:hint="default"/>
                <w:sz w:val="20"/>
                <w:szCs w:val="20"/>
              </w:rPr>
            </w:pPr>
            <w:r>
              <w:rPr>
                <w:rFonts w:ascii="Times New Roman"/>
                <w:spacing w:val="-1"/>
                <w:sz w:val="20"/>
              </w:rPr>
              <w:t>487,065,419.09</w:t>
            </w:r>
          </w:p>
        </w:tc>
        <w:tc>
          <w:tcPr>
            <w:tcW w:w="1276" w:type="dxa"/>
            <w:tcBorders>
              <w:top w:val="single" w:sz="6" w:space="0" w:color="000000"/>
              <w:left w:val="single" w:sz="6" w:space="0" w:color="000000"/>
              <w:bottom w:val="single" w:sz="6" w:space="0" w:color="000000"/>
              <w:right w:val="single" w:sz="6" w:space="0" w:color="000000"/>
            </w:tcBorders>
          </w:tcPr>
          <w:p>
            <w:pPr/>
          </w:p>
        </w:tc>
        <w:tc>
          <w:tcPr>
            <w:tcW w:w="16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1"/>
              <w:jc w:val="right"/>
              <w:rPr>
                <w:rFonts w:ascii="Times New Roman" w:hAnsi="Times New Roman" w:cs="Times New Roman" w:eastAsia="Times New Roman" w:hint="default"/>
                <w:sz w:val="20"/>
                <w:szCs w:val="20"/>
              </w:rPr>
            </w:pPr>
            <w:r>
              <w:rPr>
                <w:rFonts w:ascii="Times New Roman"/>
                <w:sz w:val="20"/>
              </w:rPr>
              <w:t>60.24%</w:t>
            </w:r>
          </w:p>
        </w:tc>
        <w:tc>
          <w:tcPr>
            <w:tcW w:w="15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0"/>
              <w:jc w:val="right"/>
              <w:rPr>
                <w:rFonts w:ascii="Times New Roman" w:hAnsi="Times New Roman" w:cs="Times New Roman" w:eastAsia="Times New Roman" w:hint="default"/>
                <w:sz w:val="20"/>
                <w:szCs w:val="20"/>
              </w:rPr>
            </w:pPr>
            <w:r>
              <w:rPr>
                <w:rFonts w:ascii="Times New Roman"/>
                <w:spacing w:val="-1"/>
                <w:sz w:val="20"/>
              </w:rPr>
              <w:t>24,353,270.93</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预付款项" w:id="225"/>
      <w:bookmarkEnd w:id="225"/>
      <w:r>
        <w:rPr>
          <w:b w:val="0"/>
          <w:bCs w:val="0"/>
        </w:rPr>
      </w:r>
      <w:r>
        <w:rPr>
          <w:rFonts w:ascii="Times New Roman" w:hAnsi="Times New Roman" w:cs="Times New Roman" w:eastAsia="Times New Roman" w:hint="default"/>
        </w:rPr>
        <w:t>3</w:t>
      </w:r>
      <w:r>
        <w:rPr/>
        <w:t>、预付款项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预付款项按账龄列示" w:id="226"/>
      <w:bookmarkEnd w:id="226"/>
      <w:r>
        <w:rPr>
          <w:b w:val="0"/>
          <w:bCs w:val="0"/>
        </w:rPr>
      </w:r>
      <w:r>
        <w:rPr/>
        <w:t>（</w:t>
      </w:r>
      <w:r>
        <w:rPr>
          <w:rFonts w:ascii="Times New Roman" w:hAnsi="Times New Roman" w:cs="Times New Roman" w:eastAsia="Times New Roman" w:hint="default"/>
        </w:rPr>
        <w:t>1</w:t>
      </w:r>
      <w:r>
        <w:rPr/>
        <w:t>）预付款项按账龄列示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3830"/>
        <w:gridCol w:w="3818"/>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38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1889"/>
        <w:gridCol w:w="1927"/>
        <w:gridCol w:w="1914"/>
        <w:gridCol w:w="1914"/>
        <w:gridCol w:w="1915"/>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比例</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10,784,431.04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75.18%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8,899,176.83</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78.03%</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2,212,860.74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15.42%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1,928,820.32</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16.91%</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1,060,694.03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7.39%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305,880.30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2.68%</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9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289,050.58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271,530.08</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2.38%</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7"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14,347,036.39</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11,405,407.53</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338" w:lineRule="auto" w:before="51"/>
        <w:ind w:right="5894"/>
        <w:jc w:val="left"/>
      </w:pPr>
      <w:r>
        <w:rPr/>
        <w:t>账龄超过</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年且金额重要的预付款项未及时结算原因的说明： 不适用</w:t>
      </w:r>
    </w:p>
    <w:p>
      <w:pPr>
        <w:spacing w:line="240" w:lineRule="auto" w:before="4"/>
        <w:rPr>
          <w:rFonts w:ascii="宋体" w:hAnsi="宋体" w:cs="宋体" w:eastAsia="宋体" w:hint="default"/>
          <w:sz w:val="21"/>
          <w:szCs w:val="21"/>
        </w:rPr>
      </w:pPr>
    </w:p>
    <w:p>
      <w:pPr>
        <w:pStyle w:val="Heading3"/>
        <w:spacing w:line="240" w:lineRule="auto"/>
        <w:ind w:right="0"/>
        <w:jc w:val="left"/>
        <w:rPr>
          <w:b w:val="0"/>
          <w:bCs w:val="0"/>
        </w:rPr>
      </w:pPr>
      <w:bookmarkStart w:name="（2）按预付对象归集的期末余额前五名的预付款情况" w:id="227"/>
      <w:bookmarkEnd w:id="227"/>
      <w:r>
        <w:rPr>
          <w:b w:val="0"/>
          <w:bCs w:val="0"/>
        </w:rPr>
      </w:r>
      <w:r>
        <w:rPr/>
        <w:t>（</w:t>
      </w:r>
      <w:r>
        <w:rPr>
          <w:rFonts w:ascii="Times New Roman" w:hAnsi="Times New Roman" w:cs="Times New Roman" w:eastAsia="Times New Roman" w:hint="default"/>
        </w:rPr>
        <w:t>2</w:t>
      </w:r>
      <w:r>
        <w:rPr/>
        <w:t>）按预付对象归集的期末余额前五名的预付款情况</w:t>
      </w:r>
      <w:r>
        <w:rPr>
          <w:b w:val="0"/>
          <w:bCs w:val="0"/>
        </w:rPr>
      </w:r>
    </w:p>
    <w:p>
      <w:pPr>
        <w:spacing w:line="240" w:lineRule="auto" w:before="9"/>
        <w:rPr>
          <w:rFonts w:ascii="宋体" w:hAnsi="宋体" w:cs="宋体" w:eastAsia="宋体" w:hint="default"/>
          <w:b/>
          <w:bCs/>
          <w:sz w:val="25"/>
          <w:szCs w:val="25"/>
        </w:rPr>
      </w:pPr>
    </w:p>
    <w:tbl>
      <w:tblPr>
        <w:tblW w:w="0" w:type="auto"/>
        <w:jc w:val="left"/>
        <w:tblInd w:w="137" w:type="dxa"/>
        <w:tblLayout w:type="fixed"/>
        <w:tblCellMar>
          <w:top w:w="0" w:type="dxa"/>
          <w:left w:w="0" w:type="dxa"/>
          <w:bottom w:w="0" w:type="dxa"/>
          <w:right w:w="0" w:type="dxa"/>
        </w:tblCellMar>
        <w:tblLook w:val="01E0"/>
      </w:tblPr>
      <w:tblGrid>
        <w:gridCol w:w="2258"/>
        <w:gridCol w:w="2164"/>
        <w:gridCol w:w="3197"/>
        <w:gridCol w:w="2040"/>
      </w:tblGrid>
      <w:tr>
        <w:trPr>
          <w:trHeight w:val="427" w:hRule="exact"/>
        </w:trPr>
        <w:tc>
          <w:tcPr>
            <w:tcW w:w="225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16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2"/>
              <w:ind w:left="713" w:right="0"/>
              <w:jc w:val="left"/>
              <w:rPr>
                <w:rFonts w:ascii="宋体" w:hAnsi="宋体" w:cs="宋体" w:eastAsia="宋体" w:hint="default"/>
                <w:sz w:val="18"/>
                <w:szCs w:val="18"/>
              </w:rPr>
            </w:pPr>
            <w:r>
              <w:rPr>
                <w:rFonts w:ascii="宋体" w:hAnsi="宋体" w:cs="宋体" w:eastAsia="宋体" w:hint="default"/>
                <w:sz w:val="18"/>
                <w:szCs w:val="18"/>
              </w:rPr>
              <w:t>年末余额</w:t>
            </w:r>
          </w:p>
        </w:tc>
        <w:tc>
          <w:tcPr>
            <w:tcW w:w="319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年限</w:t>
            </w:r>
          </w:p>
        </w:tc>
        <w:tc>
          <w:tcPr>
            <w:tcW w:w="204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427" w:hRule="exact"/>
        </w:trPr>
        <w:tc>
          <w:tcPr>
            <w:tcW w:w="22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第一名公司</w:t>
            </w:r>
          </w:p>
        </w:tc>
        <w:tc>
          <w:tcPr>
            <w:tcW w:w="21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pacing w:val="-1"/>
                <w:sz w:val="18"/>
              </w:rPr>
              <w:t>1,720,200.72</w:t>
            </w:r>
          </w:p>
        </w:tc>
        <w:tc>
          <w:tcPr>
            <w:tcW w:w="31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20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z w:val="18"/>
              </w:rPr>
              <w:t>11.99%</w:t>
            </w:r>
          </w:p>
        </w:tc>
      </w:tr>
      <w:tr>
        <w:trPr>
          <w:trHeight w:val="427" w:hRule="exact"/>
        </w:trPr>
        <w:tc>
          <w:tcPr>
            <w:tcW w:w="22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第二名公司</w:t>
            </w:r>
          </w:p>
        </w:tc>
        <w:tc>
          <w:tcPr>
            <w:tcW w:w="21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pacing w:val="-1"/>
                <w:sz w:val="18"/>
              </w:rPr>
              <w:t>1,583,250.00</w:t>
            </w:r>
          </w:p>
        </w:tc>
        <w:tc>
          <w:tcPr>
            <w:tcW w:w="31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宋体" w:hAnsi="宋体" w:cs="宋体" w:eastAsia="宋体" w:hint="default"/>
                <w:sz w:val="18"/>
                <w:szCs w:val="18"/>
              </w:rPr>
              <w:t>年</w:t>
            </w:r>
          </w:p>
        </w:tc>
        <w:tc>
          <w:tcPr>
            <w:tcW w:w="20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z w:val="18"/>
              </w:rPr>
              <w:t>11.04%</w:t>
            </w:r>
          </w:p>
        </w:tc>
      </w:tr>
      <w:tr>
        <w:trPr>
          <w:trHeight w:val="426" w:hRule="exact"/>
        </w:trPr>
        <w:tc>
          <w:tcPr>
            <w:tcW w:w="22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第三名公司</w:t>
            </w:r>
          </w:p>
        </w:tc>
        <w:tc>
          <w:tcPr>
            <w:tcW w:w="21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sz w:val="18"/>
              </w:rPr>
              <w:t>990,700.00</w:t>
            </w:r>
          </w:p>
        </w:tc>
        <w:tc>
          <w:tcPr>
            <w:tcW w:w="31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20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sz w:val="18"/>
              </w:rPr>
              <w:t>6.91%</w:t>
            </w:r>
          </w:p>
        </w:tc>
      </w:tr>
      <w:tr>
        <w:trPr>
          <w:trHeight w:val="427" w:hRule="exact"/>
        </w:trPr>
        <w:tc>
          <w:tcPr>
            <w:tcW w:w="22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第四名公司</w:t>
            </w:r>
          </w:p>
        </w:tc>
        <w:tc>
          <w:tcPr>
            <w:tcW w:w="21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z w:val="18"/>
              </w:rPr>
              <w:t>706,000.00</w:t>
            </w:r>
          </w:p>
        </w:tc>
        <w:tc>
          <w:tcPr>
            <w:tcW w:w="31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r>
              <w:rPr>
                <w:rFonts w:ascii="Times New Roman" w:hAnsi="Times New Roman" w:cs="Times New Roman" w:eastAsia="Times New Roman" w:hint="default"/>
                <w:sz w:val="18"/>
                <w:szCs w:val="18"/>
              </w:rPr>
              <w:t>2-3</w:t>
            </w:r>
            <w:r>
              <w:rPr>
                <w:rFonts w:ascii="宋体" w:hAnsi="宋体" w:cs="宋体" w:eastAsia="宋体" w:hint="default"/>
                <w:sz w:val="18"/>
                <w:szCs w:val="18"/>
              </w:rPr>
              <w:t>年</w:t>
            </w:r>
          </w:p>
        </w:tc>
        <w:tc>
          <w:tcPr>
            <w:tcW w:w="20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z w:val="18"/>
              </w:rPr>
              <w:t>4.92%</w:t>
            </w:r>
          </w:p>
        </w:tc>
      </w:tr>
      <w:tr>
        <w:trPr>
          <w:trHeight w:val="427" w:hRule="exact"/>
        </w:trPr>
        <w:tc>
          <w:tcPr>
            <w:tcW w:w="22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第五名公司</w:t>
            </w:r>
          </w:p>
        </w:tc>
        <w:tc>
          <w:tcPr>
            <w:tcW w:w="21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z w:val="18"/>
              </w:rPr>
              <w:t>657,962.91</w:t>
            </w:r>
          </w:p>
        </w:tc>
        <w:tc>
          <w:tcPr>
            <w:tcW w:w="31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20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z w:val="18"/>
              </w:rPr>
              <w:t>4.59%</w:t>
            </w:r>
          </w:p>
        </w:tc>
      </w:tr>
      <w:tr>
        <w:trPr>
          <w:trHeight w:val="428" w:hRule="exact"/>
        </w:trPr>
        <w:tc>
          <w:tcPr>
            <w:tcW w:w="22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1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pacing w:val="-1"/>
                <w:sz w:val="18"/>
              </w:rPr>
              <w:t>5,658,113.63</w:t>
            </w:r>
          </w:p>
        </w:tc>
        <w:tc>
          <w:tcPr>
            <w:tcW w:w="3197" w:type="dxa"/>
            <w:tcBorders>
              <w:top w:val="single" w:sz="6" w:space="0" w:color="000000"/>
              <w:left w:val="single" w:sz="6" w:space="0" w:color="000000"/>
              <w:bottom w:val="single" w:sz="6" w:space="0" w:color="000000"/>
              <w:right w:val="single" w:sz="6" w:space="0" w:color="000000"/>
            </w:tcBorders>
          </w:tcPr>
          <w:p>
            <w:pPr/>
          </w:p>
        </w:tc>
        <w:tc>
          <w:tcPr>
            <w:tcW w:w="20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z w:val="18"/>
              </w:rPr>
              <w:t>39.45%</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4、其他应收款" w:id="228"/>
      <w:bookmarkEnd w:id="228"/>
      <w:r>
        <w:rPr>
          <w:b w:val="0"/>
          <w:bCs w:val="0"/>
        </w:rPr>
      </w:r>
      <w:r>
        <w:rPr>
          <w:rFonts w:ascii="Times New Roman" w:hAnsi="Times New Roman" w:cs="Times New Roman" w:eastAsia="Times New Roman" w:hint="default"/>
        </w:rPr>
        <w:t>4</w:t>
      </w:r>
      <w:r>
        <w:rPr/>
        <w:t>、其他应收款</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1,570,444.47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3,938,238.35</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72,613,840.76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87,613,840.76</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26,221,403.86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40,301,687.18</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100,405,689.09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131,853,766.29</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1）应收利息" w:id="229"/>
      <w:bookmarkEnd w:id="229"/>
      <w:r>
        <w:rPr>
          <w:b w:val="0"/>
          <w:bCs w:val="0"/>
        </w:rPr>
      </w:r>
      <w:r>
        <w:rPr/>
        <w:t>（</w:t>
      </w:r>
      <w:r>
        <w:rPr>
          <w:rFonts w:ascii="Times New Roman" w:hAnsi="Times New Roman" w:cs="Times New Roman" w:eastAsia="Times New Roman" w:hint="default"/>
        </w:rPr>
        <w:t>1</w:t>
      </w:r>
      <w:r>
        <w:rPr/>
        <w:t>）应收利息</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1)</w:t>
      </w:r>
      <w:r>
        <w:rPr/>
        <w:t>应收利息分类</w:t>
      </w:r>
    </w:p>
    <w:p>
      <w:pPr>
        <w:pStyle w:val="BodyText"/>
        <w:spacing w:line="240" w:lineRule="auto" w:before="102"/>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1"/>
        <w:gridCol w:w="318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银行保本理财产品利息</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1,570,444.47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3,938,238.35</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1,570,444.47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3,938,238.35</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right="0"/>
        <w:jc w:val="left"/>
        <w:rPr>
          <w:b w:val="0"/>
          <w:bCs w:val="0"/>
        </w:rPr>
      </w:pPr>
      <w:bookmarkStart w:name="（2）应收股利" w:id="230"/>
      <w:bookmarkEnd w:id="230"/>
      <w:r>
        <w:rPr>
          <w:b w:val="0"/>
          <w:bCs w:val="0"/>
        </w:rPr>
      </w:r>
      <w:r>
        <w:rPr/>
        <w:t>（</w:t>
      </w:r>
      <w:r>
        <w:rPr>
          <w:rFonts w:ascii="Times New Roman" w:hAnsi="Times New Roman" w:cs="Times New Roman" w:eastAsia="Times New Roman" w:hint="default"/>
        </w:rPr>
        <w:t>2</w:t>
      </w:r>
      <w:r>
        <w:rPr/>
        <w:t>）应收股利</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1)</w:t>
      </w:r>
      <w:r>
        <w:rPr/>
        <w:t>应收股利</w:t>
      </w:r>
    </w:p>
    <w:p>
      <w:pPr>
        <w:pStyle w:val="BodyText"/>
        <w:spacing w:line="240" w:lineRule="auto" w:before="102"/>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1"/>
        <w:gridCol w:w="318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1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青岛嘉泽包装有限公司</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15,146,815.30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15,146,815.30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重庆宏声印务有限责任公司</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57,467,025.46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72,467,025.46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72,613,840.76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87,613,840.76</w:t>
            </w:r>
          </w:p>
        </w:tc>
      </w:tr>
    </w:tbl>
    <w:p>
      <w:pPr>
        <w:pStyle w:val="BodyText"/>
        <w:spacing w:line="240" w:lineRule="auto" w:before="51"/>
        <w:ind w:right="0"/>
        <w:jc w:val="left"/>
      </w:pPr>
      <w:r>
        <w:rPr>
          <w:rFonts w:ascii="Times New Roman" w:hAnsi="Times New Roman" w:cs="Times New Roman" w:eastAsia="Times New Roman" w:hint="default"/>
        </w:rPr>
        <w:t>2)</w:t>
      </w:r>
      <w:r>
        <w:rPr/>
        <w:t>重要的账龄超过</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年的应收股利</w:t>
      </w:r>
    </w:p>
    <w:p>
      <w:pPr>
        <w:pStyle w:val="BodyText"/>
        <w:spacing w:line="240" w:lineRule="auto" w:before="103"/>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714"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7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未收回的原因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771" w:right="50" w:hanging="720"/>
              <w:jc w:val="left"/>
              <w:rPr>
                <w:rFonts w:ascii="宋体" w:hAnsi="宋体" w:cs="宋体" w:eastAsia="宋体" w:hint="default"/>
                <w:sz w:val="18"/>
                <w:szCs w:val="18"/>
              </w:rPr>
            </w:pPr>
            <w:r>
              <w:rPr>
                <w:rFonts w:ascii="宋体" w:hAnsi="宋体" w:cs="宋体" w:eastAsia="宋体" w:hint="default"/>
                <w:sz w:val="18"/>
                <w:szCs w:val="18"/>
              </w:rPr>
              <w:t>是否发生减值及其判断 依据</w:t>
            </w:r>
          </w:p>
        </w:tc>
      </w:tr>
      <w:tr>
        <w:trPr>
          <w:trHeight w:val="1026"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青岛嘉泽包装有限公司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15,146,815.30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81"/>
              <w:jc w:val="left"/>
              <w:rPr>
                <w:rFonts w:ascii="宋体" w:hAnsi="宋体" w:cs="宋体" w:eastAsia="宋体" w:hint="default"/>
                <w:sz w:val="18"/>
                <w:szCs w:val="18"/>
              </w:rPr>
            </w:pPr>
            <w:r>
              <w:rPr>
                <w:rFonts w:ascii="宋体" w:hAnsi="宋体" w:cs="宋体" w:eastAsia="宋体" w:hint="default"/>
                <w:sz w:val="18"/>
                <w:szCs w:val="18"/>
              </w:rPr>
              <w:t>该公司因投资对资金需 求较大</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9"/>
              <w:jc w:val="left"/>
              <w:rPr>
                <w:rFonts w:ascii="宋体" w:hAnsi="宋体" w:cs="宋体" w:eastAsia="宋体" w:hint="default"/>
                <w:sz w:val="18"/>
                <w:szCs w:val="18"/>
              </w:rPr>
            </w:pPr>
            <w:r>
              <w:rPr>
                <w:rFonts w:ascii="宋体" w:hAnsi="宋体" w:cs="宋体" w:eastAsia="宋体" w:hint="default"/>
                <w:sz w:val="18"/>
                <w:szCs w:val="18"/>
              </w:rPr>
              <w:t>公司目前经营情况较 好，应收股利不存在减 值迹象</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pacing w:val="-1"/>
                <w:sz w:val="18"/>
              </w:rPr>
              <w:t>15,146,815.30</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0"/>
        <w:jc w:val="left"/>
      </w:pPr>
      <w:r>
        <w:rPr/>
        <w:t>其他说明：无</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3）其他应收款" w:id="231"/>
      <w:bookmarkEnd w:id="231"/>
      <w:r>
        <w:rPr>
          <w:b w:val="0"/>
          <w:bCs w:val="0"/>
        </w:rPr>
      </w:r>
      <w:r>
        <w:rPr/>
        <w:t>（</w:t>
      </w:r>
      <w:r>
        <w:rPr>
          <w:rFonts w:ascii="Times New Roman" w:hAnsi="Times New Roman" w:cs="Times New Roman" w:eastAsia="Times New Roman" w:hint="default"/>
        </w:rPr>
        <w:t>3</w:t>
      </w:r>
      <w:r>
        <w:rPr/>
        <w:t>）其他应收款</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1)</w:t>
      </w:r>
      <w:r>
        <w:rPr/>
        <w:t>其他应收款分类披露</w:t>
      </w:r>
    </w:p>
    <w:p>
      <w:pPr>
        <w:pStyle w:val="BodyText"/>
        <w:spacing w:line="240" w:lineRule="auto" w:before="102"/>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635"/>
        <w:gridCol w:w="763"/>
        <w:gridCol w:w="762"/>
        <w:gridCol w:w="762"/>
        <w:gridCol w:w="762"/>
        <w:gridCol w:w="790"/>
        <w:gridCol w:w="654"/>
        <w:gridCol w:w="762"/>
        <w:gridCol w:w="813"/>
        <w:gridCol w:w="932"/>
        <w:gridCol w:w="932"/>
      </w:tblGrid>
      <w:tr>
        <w:trPr>
          <w:trHeight w:val="403" w:hRule="exact"/>
        </w:trPr>
        <w:tc>
          <w:tcPr>
            <w:tcW w:w="1635" w:type="dxa"/>
            <w:vMerge w:val="restart"/>
            <w:tcBorders>
              <w:top w:val="single" w:sz="4" w:space="0" w:color="000000"/>
              <w:left w:val="single" w:sz="4" w:space="0" w:color="000000"/>
              <w:right w:val="single" w:sz="4" w:space="0" w:color="000000"/>
            </w:tcBorders>
            <w:shd w:val="clear" w:color="auto" w:fill="D2D2D2"/>
          </w:tcPr>
          <w:p>
            <w:pP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1" w:hRule="exact"/>
        </w:trPr>
        <w:tc>
          <w:tcPr>
            <w:tcW w:w="1635" w:type="dxa"/>
            <w:vMerge/>
            <w:tcBorders>
              <w:left w:val="single" w:sz="4" w:space="0" w:color="000000"/>
              <w:bottom w:val="nil" w:sz="6" w:space="0" w:color="auto"/>
              <w:right w:val="single" w:sz="4" w:space="0" w:color="000000"/>
            </w:tcBorders>
            <w:shd w:val="clear" w:color="auto" w:fill="D2D2D2"/>
          </w:tcPr>
          <w:p>
            <w:pPr/>
          </w:p>
        </w:tc>
        <w:tc>
          <w:tcPr>
            <w:tcW w:w="152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4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3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525"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9" w:hRule="exact"/>
        </w:trPr>
        <w:tc>
          <w:tcPr>
            <w:tcW w:w="1635" w:type="dxa"/>
            <w:vMerge/>
            <w:tcBorders>
              <w:left w:val="single" w:sz="4" w:space="0" w:color="000000"/>
              <w:bottom w:val="single" w:sz="4"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2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4" w:hRule="exact"/>
        </w:trPr>
        <w:tc>
          <w:tcPr>
            <w:tcW w:w="1635" w:type="dxa"/>
            <w:vMerge w:val="restart"/>
            <w:tcBorders>
              <w:top w:val="single" w:sz="4" w:space="0" w:color="FFFFFF"/>
              <w:left w:val="single" w:sz="4" w:space="0" w:color="000000"/>
              <w:right w:val="single" w:sz="4" w:space="0" w:color="000000"/>
            </w:tcBorders>
            <w:shd w:val="clear" w:color="auto" w:fill="D2D2D2"/>
          </w:tcPr>
          <w:p>
            <w:pPr/>
          </w:p>
        </w:tc>
        <w:tc>
          <w:tcPr>
            <w:tcW w:w="76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0" w:hRule="exact"/>
        </w:trPr>
        <w:tc>
          <w:tcPr>
            <w:tcW w:w="1635" w:type="dxa"/>
            <w:vMerge/>
            <w:tcBorders>
              <w:left w:val="single" w:sz="4" w:space="0" w:color="000000"/>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35"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160"/>
              <w:jc w:val="both"/>
              <w:rPr>
                <w:rFonts w:ascii="宋体" w:hAnsi="宋体" w:cs="宋体" w:eastAsia="宋体" w:hint="default"/>
                <w:sz w:val="18"/>
                <w:szCs w:val="18"/>
              </w:rPr>
            </w:pPr>
            <w:r>
              <w:rPr>
                <w:rFonts w:ascii="宋体" w:hAnsi="宋体" w:cs="宋体" w:eastAsia="宋体" w:hint="default"/>
                <w:sz w:val="18"/>
                <w:szCs w:val="18"/>
              </w:rPr>
              <w:t>单项金额重大并单 独计提坏账准备的 其他应收款</w:t>
            </w:r>
          </w:p>
        </w:tc>
        <w:tc>
          <w:tcPr>
            <w:tcW w:w="7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7" w:right="0"/>
              <w:jc w:val="left"/>
              <w:rPr>
                <w:rFonts w:ascii="Times New Roman" w:hAnsi="Times New Roman" w:cs="Times New Roman" w:eastAsia="Times New Roman" w:hint="default"/>
                <w:sz w:val="18"/>
                <w:szCs w:val="18"/>
              </w:rPr>
            </w:pPr>
            <w:r>
              <w:rPr>
                <w:rFonts w:ascii="Times New Roman"/>
                <w:sz w:val="18"/>
              </w:rPr>
              <w:t>4,702,83</w:t>
            </w:r>
          </w:p>
          <w:p>
            <w:pPr>
              <w:pStyle w:val="TableParagraph"/>
              <w:spacing w:line="240" w:lineRule="auto" w:before="105"/>
              <w:ind w:left="403" w:right="0"/>
              <w:jc w:val="left"/>
              <w:rPr>
                <w:rFonts w:ascii="Times New Roman" w:hAnsi="Times New Roman" w:cs="Times New Roman" w:eastAsia="Times New Roman" w:hint="default"/>
                <w:sz w:val="18"/>
                <w:szCs w:val="18"/>
              </w:rPr>
            </w:pPr>
            <w:r>
              <w:rPr>
                <w:rFonts w:ascii="Times New Roman"/>
                <w:sz w:val="18"/>
              </w:rPr>
              <w:t>0.04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14.21%</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4,702,83</w:t>
            </w:r>
          </w:p>
          <w:p>
            <w:pPr>
              <w:pStyle w:val="TableParagraph"/>
              <w:spacing w:line="240" w:lineRule="auto" w:before="105"/>
              <w:ind w:left="413" w:right="0"/>
              <w:jc w:val="left"/>
              <w:rPr>
                <w:rFonts w:ascii="Times New Roman" w:hAnsi="Times New Roman" w:cs="Times New Roman" w:eastAsia="Times New Roman" w:hint="default"/>
                <w:sz w:val="18"/>
                <w:szCs w:val="18"/>
              </w:rPr>
            </w:pPr>
            <w:r>
              <w:rPr>
                <w:rFonts w:ascii="Times New Roman"/>
                <w:sz w:val="18"/>
              </w:rPr>
              <w:t>0.04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790" w:type="dxa"/>
            <w:tcBorders>
              <w:top w:val="single" w:sz="4" w:space="0" w:color="000000"/>
              <w:left w:val="single" w:sz="4" w:space="0" w:color="000000"/>
              <w:bottom w:val="single" w:sz="4" w:space="0" w:color="000000"/>
              <w:right w:val="single" w:sz="4" w:space="0" w:color="000000"/>
            </w:tcBorders>
          </w:tcPr>
          <w:p>
            <w:pP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7" w:right="0"/>
              <w:jc w:val="center"/>
              <w:rPr>
                <w:rFonts w:ascii="Times New Roman" w:hAnsi="Times New Roman" w:cs="Times New Roman" w:eastAsia="Times New Roman" w:hint="default"/>
                <w:sz w:val="18"/>
                <w:szCs w:val="18"/>
              </w:rPr>
            </w:pPr>
            <w:r>
              <w:rPr>
                <w:rFonts w:ascii="Times New Roman"/>
                <w:sz w:val="18"/>
              </w:rPr>
              <w:t>4,702,8</w:t>
            </w:r>
          </w:p>
          <w:p>
            <w:pPr>
              <w:pStyle w:val="TableParagraph"/>
              <w:spacing w:line="240" w:lineRule="auto" w:before="105"/>
              <w:ind w:left="192" w:right="0"/>
              <w:jc w:val="center"/>
              <w:rPr>
                <w:rFonts w:ascii="Times New Roman" w:hAnsi="Times New Roman" w:cs="Times New Roman" w:eastAsia="Times New Roman" w:hint="default"/>
                <w:sz w:val="18"/>
                <w:szCs w:val="18"/>
              </w:rPr>
            </w:pPr>
            <w:r>
              <w:rPr>
                <w:rFonts w:ascii="Times New Roman"/>
                <w:sz w:val="18"/>
              </w:rPr>
              <w:t>30.04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9.82%</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4,702,830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.04</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160"/>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7" w:right="0"/>
              <w:jc w:val="left"/>
              <w:rPr>
                <w:rFonts w:ascii="Times New Roman" w:hAnsi="Times New Roman" w:cs="Times New Roman" w:eastAsia="Times New Roman" w:hint="default"/>
                <w:sz w:val="18"/>
                <w:szCs w:val="18"/>
              </w:rPr>
            </w:pPr>
            <w:r>
              <w:rPr>
                <w:rFonts w:ascii="Times New Roman"/>
                <w:sz w:val="18"/>
              </w:rPr>
              <w:t>27,601,4</w:t>
            </w:r>
          </w:p>
          <w:p>
            <w:pPr>
              <w:pStyle w:val="TableParagraph"/>
              <w:spacing w:line="240" w:lineRule="auto" w:before="105"/>
              <w:ind w:left="313" w:right="0"/>
              <w:jc w:val="left"/>
              <w:rPr>
                <w:rFonts w:ascii="Times New Roman" w:hAnsi="Times New Roman" w:cs="Times New Roman" w:eastAsia="Times New Roman" w:hint="default"/>
                <w:sz w:val="18"/>
                <w:szCs w:val="18"/>
              </w:rPr>
            </w:pPr>
            <w:r>
              <w:rPr>
                <w:rFonts w:ascii="Times New Roman"/>
                <w:sz w:val="18"/>
              </w:rPr>
              <w:t>77.73</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83.39%</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1,380,07</w:t>
            </w:r>
          </w:p>
          <w:p>
            <w:pPr>
              <w:pStyle w:val="TableParagraph"/>
              <w:spacing w:line="240" w:lineRule="auto" w:before="105"/>
              <w:ind w:left="413" w:right="0"/>
              <w:jc w:val="left"/>
              <w:rPr>
                <w:rFonts w:ascii="Times New Roman" w:hAnsi="Times New Roman" w:cs="Times New Roman" w:eastAsia="Times New Roman" w:hint="default"/>
                <w:sz w:val="18"/>
                <w:szCs w:val="18"/>
              </w:rPr>
            </w:pPr>
            <w:r>
              <w:rPr>
                <w:rFonts w:ascii="Times New Roman"/>
                <w:sz w:val="18"/>
              </w:rPr>
              <w:t>3.87</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26,221,40</w:t>
            </w:r>
          </w:p>
          <w:p>
            <w:pPr>
              <w:pStyle w:val="TableParagraph"/>
              <w:spacing w:line="240" w:lineRule="auto" w:before="105"/>
              <w:ind w:left="442" w:right="0"/>
              <w:jc w:val="left"/>
              <w:rPr>
                <w:rFonts w:ascii="Times New Roman" w:hAnsi="Times New Roman" w:cs="Times New Roman" w:eastAsia="Times New Roman" w:hint="default"/>
                <w:sz w:val="18"/>
                <w:szCs w:val="18"/>
              </w:rPr>
            </w:pPr>
            <w:r>
              <w:rPr>
                <w:rFonts w:ascii="Times New Roman"/>
                <w:sz w:val="18"/>
              </w:rPr>
              <w:t>3.86</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0" w:right="0"/>
              <w:jc w:val="left"/>
              <w:rPr>
                <w:rFonts w:ascii="Times New Roman" w:hAnsi="Times New Roman" w:cs="Times New Roman" w:eastAsia="Times New Roman" w:hint="default"/>
                <w:sz w:val="18"/>
                <w:szCs w:val="18"/>
              </w:rPr>
            </w:pPr>
            <w:r>
              <w:rPr>
                <w:rFonts w:ascii="Times New Roman"/>
                <w:sz w:val="18"/>
              </w:rPr>
              <w:t>42,422,</w:t>
            </w:r>
          </w:p>
          <w:p>
            <w:pPr>
              <w:pStyle w:val="TableParagraph"/>
              <w:spacing w:line="240" w:lineRule="auto" w:before="105"/>
              <w:ind w:left="126" w:right="0"/>
              <w:jc w:val="left"/>
              <w:rPr>
                <w:rFonts w:ascii="Times New Roman" w:hAnsi="Times New Roman" w:cs="Times New Roman" w:eastAsia="Times New Roman" w:hint="default"/>
                <w:sz w:val="18"/>
                <w:szCs w:val="18"/>
              </w:rPr>
            </w:pPr>
            <w:r>
              <w:rPr>
                <w:rFonts w:ascii="Times New Roman"/>
                <w:sz w:val="18"/>
              </w:rPr>
              <w:t>828.61</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88.55%</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2,121,141</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.43</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40,301,687.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18</w:t>
            </w:r>
          </w:p>
        </w:tc>
      </w:tr>
      <w:tr>
        <w:trPr>
          <w:trHeight w:val="1026"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160"/>
              <w:jc w:val="both"/>
              <w:rPr>
                <w:rFonts w:ascii="宋体" w:hAnsi="宋体" w:cs="宋体" w:eastAsia="宋体" w:hint="default"/>
                <w:sz w:val="18"/>
                <w:szCs w:val="18"/>
              </w:rPr>
            </w:pPr>
            <w:r>
              <w:rPr>
                <w:rFonts w:ascii="宋体" w:hAnsi="宋体" w:cs="宋体" w:eastAsia="宋体" w:hint="default"/>
                <w:sz w:val="18"/>
                <w:szCs w:val="18"/>
              </w:rPr>
              <w:t>单项金额不重大但 单独计提坏账准备 的其他应收款</w:t>
            </w:r>
          </w:p>
        </w:tc>
        <w:tc>
          <w:tcPr>
            <w:tcW w:w="7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796,188.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2.41%</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796,188.</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60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790" w:type="dxa"/>
            <w:tcBorders>
              <w:top w:val="single" w:sz="4" w:space="0" w:color="000000"/>
              <w:left w:val="single" w:sz="4" w:space="0" w:color="000000"/>
              <w:bottom w:val="single" w:sz="4" w:space="0" w:color="000000"/>
              <w:right w:val="single" w:sz="4" w:space="0" w:color="000000"/>
            </w:tcBorders>
          </w:tcPr>
          <w:p>
            <w:pP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6" w:right="0"/>
              <w:jc w:val="left"/>
              <w:rPr>
                <w:rFonts w:ascii="Times New Roman" w:hAnsi="Times New Roman" w:cs="Times New Roman" w:eastAsia="Times New Roman" w:hint="default"/>
                <w:sz w:val="18"/>
                <w:szCs w:val="18"/>
              </w:rPr>
            </w:pPr>
            <w:r>
              <w:rPr>
                <w:rFonts w:ascii="Times New Roman"/>
                <w:sz w:val="18"/>
              </w:rPr>
              <w:t>784,783</w:t>
            </w:r>
          </w:p>
          <w:p>
            <w:pPr>
              <w:pStyle w:val="TableParagraph"/>
              <w:spacing w:line="240" w:lineRule="auto" w:before="105"/>
              <w:ind w:left="396" w:right="0"/>
              <w:jc w:val="left"/>
              <w:rPr>
                <w:rFonts w:ascii="Times New Roman" w:hAnsi="Times New Roman" w:cs="Times New Roman" w:eastAsia="Times New Roman" w:hint="default"/>
                <w:sz w:val="18"/>
                <w:szCs w:val="18"/>
              </w:rPr>
            </w:pPr>
            <w:r>
              <w:rPr>
                <w:rFonts w:ascii="Times New Roman"/>
                <w:sz w:val="18"/>
              </w:rPr>
              <w:t>.70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1.64%</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784,783.7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162" w:hRule="exact"/>
        </w:trPr>
        <w:tc>
          <w:tcPr>
            <w:tcW w:w="1635" w:type="dxa"/>
            <w:tcBorders>
              <w:top w:val="single" w:sz="4" w:space="0" w:color="000000"/>
              <w:left w:val="single" w:sz="4" w:space="0" w:color="000000"/>
              <w:bottom w:val="nil" w:sz="6" w:space="0" w:color="auto"/>
              <w:right w:val="single" w:sz="4" w:space="0" w:color="000000"/>
            </w:tcBorders>
            <w:shd w:val="clear" w:color="auto" w:fill="D2D2D2"/>
          </w:tcPr>
          <w:p>
            <w:pPr/>
          </w:p>
        </w:tc>
        <w:tc>
          <w:tcPr>
            <w:tcW w:w="763" w:type="dxa"/>
            <w:vMerge w:val="restart"/>
            <w:tcBorders>
              <w:top w:val="single" w:sz="4" w:space="0" w:color="000000"/>
              <w:left w:val="single" w:sz="9" w:space="0" w:color="D2D2D2"/>
              <w:right w:val="single" w:sz="4" w:space="0" w:color="000000"/>
            </w:tcBorders>
          </w:tcPr>
          <w:p>
            <w:pPr>
              <w:pStyle w:val="TableParagraph"/>
              <w:spacing w:line="240" w:lineRule="auto" w:before="92"/>
              <w:ind w:left="93" w:right="0"/>
              <w:jc w:val="left"/>
              <w:rPr>
                <w:rFonts w:ascii="Times New Roman" w:hAnsi="Times New Roman" w:cs="Times New Roman" w:eastAsia="Times New Roman" w:hint="default"/>
                <w:sz w:val="18"/>
                <w:szCs w:val="18"/>
              </w:rPr>
            </w:pPr>
            <w:r>
              <w:rPr>
                <w:rFonts w:ascii="Times New Roman"/>
                <w:sz w:val="18"/>
              </w:rPr>
              <w:t>33,100,4</w:t>
            </w:r>
          </w:p>
          <w:p>
            <w:pPr>
              <w:pStyle w:val="TableParagraph"/>
              <w:spacing w:line="240" w:lineRule="auto" w:before="105"/>
              <w:ind w:left="318" w:right="0"/>
              <w:jc w:val="left"/>
              <w:rPr>
                <w:rFonts w:ascii="Times New Roman" w:hAnsi="Times New Roman" w:cs="Times New Roman" w:eastAsia="Times New Roman" w:hint="default"/>
                <w:sz w:val="18"/>
                <w:szCs w:val="18"/>
              </w:rPr>
            </w:pPr>
            <w:r>
              <w:rPr>
                <w:rFonts w:ascii="Times New Roman"/>
                <w:sz w:val="18"/>
              </w:rPr>
              <w:t>96.37</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92"/>
              <w:ind w:left="98" w:right="0"/>
              <w:jc w:val="left"/>
              <w:rPr>
                <w:rFonts w:ascii="Times New Roman" w:hAnsi="Times New Roman" w:cs="Times New Roman" w:eastAsia="Times New Roman" w:hint="default"/>
                <w:sz w:val="18"/>
                <w:szCs w:val="18"/>
              </w:rPr>
            </w:pPr>
            <w:r>
              <w:rPr>
                <w:rFonts w:ascii="Times New Roman"/>
                <w:sz w:val="18"/>
              </w:rPr>
              <w:t>6,879,09</w:t>
            </w:r>
          </w:p>
          <w:p>
            <w:pPr>
              <w:pStyle w:val="TableParagraph"/>
              <w:spacing w:line="240" w:lineRule="auto" w:before="105"/>
              <w:ind w:left="413" w:right="0"/>
              <w:jc w:val="left"/>
              <w:rPr>
                <w:rFonts w:ascii="Times New Roman" w:hAnsi="Times New Roman" w:cs="Times New Roman" w:eastAsia="Times New Roman" w:hint="default"/>
                <w:sz w:val="18"/>
                <w:szCs w:val="18"/>
              </w:rPr>
            </w:pPr>
            <w:r>
              <w:rPr>
                <w:rFonts w:ascii="Times New Roman"/>
                <w:sz w:val="18"/>
              </w:rPr>
              <w:t>2.51</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175" w:right="0"/>
              <w:jc w:val="left"/>
              <w:rPr>
                <w:rFonts w:ascii="Times New Roman" w:hAnsi="Times New Roman" w:cs="Times New Roman" w:eastAsia="Times New Roman" w:hint="default"/>
                <w:sz w:val="18"/>
                <w:szCs w:val="18"/>
              </w:rPr>
            </w:pPr>
            <w:r>
              <w:rPr>
                <w:rFonts w:ascii="Times New Roman"/>
                <w:sz w:val="18"/>
              </w:rPr>
              <w:t>20.78%</w:t>
            </w: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92"/>
              <w:ind w:left="37" w:right="0"/>
              <w:jc w:val="left"/>
              <w:rPr>
                <w:rFonts w:ascii="Times New Roman" w:hAnsi="Times New Roman" w:cs="Times New Roman" w:eastAsia="Times New Roman" w:hint="default"/>
                <w:sz w:val="18"/>
                <w:szCs w:val="18"/>
              </w:rPr>
            </w:pPr>
            <w:r>
              <w:rPr>
                <w:rFonts w:ascii="Times New Roman"/>
                <w:sz w:val="18"/>
              </w:rPr>
              <w:t>26,221,40</w:t>
            </w:r>
          </w:p>
          <w:p>
            <w:pPr>
              <w:pStyle w:val="TableParagraph"/>
              <w:spacing w:line="240" w:lineRule="auto" w:before="105"/>
              <w:ind w:left="442" w:right="0"/>
              <w:jc w:val="left"/>
              <w:rPr>
                <w:rFonts w:ascii="Times New Roman" w:hAnsi="Times New Roman" w:cs="Times New Roman" w:eastAsia="Times New Roman" w:hint="default"/>
                <w:sz w:val="18"/>
                <w:szCs w:val="18"/>
              </w:rPr>
            </w:pPr>
            <w:r>
              <w:rPr>
                <w:rFonts w:ascii="Times New Roman"/>
                <w:sz w:val="18"/>
              </w:rPr>
              <w:t>3.86</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2"/>
              <w:ind w:left="80" w:right="0"/>
              <w:jc w:val="left"/>
              <w:rPr>
                <w:rFonts w:ascii="Times New Roman" w:hAnsi="Times New Roman" w:cs="Times New Roman" w:eastAsia="Times New Roman" w:hint="default"/>
                <w:sz w:val="18"/>
                <w:szCs w:val="18"/>
              </w:rPr>
            </w:pPr>
            <w:r>
              <w:rPr>
                <w:rFonts w:ascii="Times New Roman"/>
                <w:sz w:val="18"/>
              </w:rPr>
              <w:t>47,910,</w:t>
            </w:r>
          </w:p>
          <w:p>
            <w:pPr>
              <w:pStyle w:val="TableParagraph"/>
              <w:spacing w:line="240" w:lineRule="auto" w:before="105"/>
              <w:ind w:left="126" w:right="0"/>
              <w:jc w:val="left"/>
              <w:rPr>
                <w:rFonts w:ascii="Times New Roman" w:hAnsi="Times New Roman" w:cs="Times New Roman" w:eastAsia="Times New Roman" w:hint="default"/>
                <w:sz w:val="18"/>
                <w:szCs w:val="18"/>
              </w:rPr>
            </w:pPr>
            <w:r>
              <w:rPr>
                <w:rFonts w:ascii="Times New Roman"/>
                <w:sz w:val="18"/>
              </w:rPr>
              <w:t>442.35</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7,608,755</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.17</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345" w:right="0"/>
              <w:jc w:val="left"/>
              <w:rPr>
                <w:rFonts w:ascii="Times New Roman" w:hAnsi="Times New Roman" w:cs="Times New Roman" w:eastAsia="Times New Roman" w:hint="default"/>
                <w:sz w:val="18"/>
                <w:szCs w:val="18"/>
              </w:rPr>
            </w:pPr>
            <w:r>
              <w:rPr>
                <w:rFonts w:ascii="Times New Roman"/>
                <w:sz w:val="18"/>
              </w:rPr>
              <w:t>15.88%</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40,301,687.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18</w:t>
            </w:r>
          </w:p>
        </w:tc>
      </w:tr>
      <w:tr>
        <w:trPr>
          <w:trHeight w:val="392" w:hRule="exact"/>
        </w:trPr>
        <w:tc>
          <w:tcPr>
            <w:tcW w:w="163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162" w:hRule="exact"/>
        </w:trPr>
        <w:tc>
          <w:tcPr>
            <w:tcW w:w="163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pStyle w:val="BodyText"/>
        <w:spacing w:line="240" w:lineRule="auto" w:before="51"/>
        <w:ind w:right="0"/>
        <w:jc w:val="left"/>
      </w:pPr>
      <w:r>
        <w:rPr/>
        <w:t>期末单项金额重大并单项计提坏账准备的其他应收款：</w:t>
      </w:r>
    </w:p>
    <w:p>
      <w:pPr>
        <w:pStyle w:val="BodyText"/>
        <w:spacing w:line="240" w:lineRule="auto" w:before="116"/>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4"/>
        <w:gridCol w:w="1914"/>
        <w:gridCol w:w="1915"/>
      </w:tblGrid>
      <w:tr>
        <w:trPr>
          <w:trHeight w:val="402" w:hRule="exact"/>
        </w:trPr>
        <w:tc>
          <w:tcPr>
            <w:tcW w:w="19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50" w:right="0"/>
              <w:jc w:val="left"/>
              <w:rPr>
                <w:rFonts w:ascii="宋体" w:hAnsi="宋体" w:cs="宋体" w:eastAsia="宋体" w:hint="default"/>
                <w:sz w:val="18"/>
                <w:szCs w:val="18"/>
              </w:rPr>
            </w:pPr>
            <w:r>
              <w:rPr>
                <w:rFonts w:ascii="宋体" w:hAnsi="宋体" w:cs="宋体" w:eastAsia="宋体" w:hint="default"/>
                <w:sz w:val="18"/>
                <w:szCs w:val="18"/>
              </w:rPr>
              <w:t>其他应收款（按单位）</w:t>
            </w:r>
          </w:p>
        </w:tc>
        <w:tc>
          <w:tcPr>
            <w:tcW w:w="765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912"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0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593"/>
              <w:jc w:val="right"/>
              <w:rPr>
                <w:rFonts w:ascii="宋体" w:hAnsi="宋体" w:cs="宋体" w:eastAsia="宋体" w:hint="default"/>
                <w:sz w:val="18"/>
                <w:szCs w:val="18"/>
              </w:rPr>
            </w:pPr>
            <w:r>
              <w:rPr>
                <w:rFonts w:ascii="宋体" w:hAnsi="宋体" w:cs="宋体" w:eastAsia="宋体" w:hint="default"/>
                <w:sz w:val="18"/>
                <w:szCs w:val="18"/>
              </w:rPr>
              <w:t>计提理由</w:t>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2" w:right="77"/>
              <w:jc w:val="left"/>
              <w:rPr>
                <w:rFonts w:ascii="宋体" w:hAnsi="宋体" w:cs="宋体" w:eastAsia="宋体" w:hint="default"/>
                <w:sz w:val="18"/>
                <w:szCs w:val="18"/>
              </w:rPr>
            </w:pPr>
            <w:r>
              <w:rPr>
                <w:rFonts w:ascii="宋体" w:hAnsi="宋体" w:cs="宋体" w:eastAsia="宋体" w:hint="default"/>
                <w:sz w:val="18"/>
                <w:szCs w:val="18"/>
              </w:rPr>
              <w:t>深圳市泛彩溢实业有限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right="620"/>
              <w:jc w:val="right"/>
              <w:rPr>
                <w:rFonts w:ascii="宋体" w:hAnsi="宋体" w:cs="宋体" w:eastAsia="宋体" w:hint="default"/>
                <w:sz w:val="18"/>
                <w:szCs w:val="18"/>
              </w:rPr>
            </w:pPr>
            <w:r>
              <w:rPr>
                <w:rFonts w:ascii="宋体" w:hAnsi="宋体" w:cs="宋体" w:eastAsia="宋体" w:hint="default"/>
                <w:sz w:val="18"/>
                <w:szCs w:val="18"/>
              </w:rPr>
              <w:t>收回可能性较小</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深圳市宜美特科技公司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2,702,830.04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2,702,830.04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620"/>
              <w:jc w:val="right"/>
              <w:rPr>
                <w:rFonts w:ascii="宋体" w:hAnsi="宋体" w:cs="宋体" w:eastAsia="宋体" w:hint="default"/>
                <w:sz w:val="18"/>
                <w:szCs w:val="18"/>
              </w:rPr>
            </w:pPr>
            <w:r>
              <w:rPr>
                <w:rFonts w:ascii="宋体" w:hAnsi="宋体" w:cs="宋体" w:eastAsia="宋体" w:hint="default"/>
                <w:sz w:val="18"/>
                <w:szCs w:val="18"/>
              </w:rPr>
              <w:t>收回可能性较小</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珠海永庆贸易有限公司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620"/>
              <w:jc w:val="right"/>
              <w:rPr>
                <w:rFonts w:ascii="宋体" w:hAnsi="宋体" w:cs="宋体" w:eastAsia="宋体" w:hint="default"/>
                <w:sz w:val="18"/>
                <w:szCs w:val="18"/>
              </w:rPr>
            </w:pPr>
            <w:r>
              <w:rPr>
                <w:rFonts w:ascii="宋体" w:hAnsi="宋体" w:cs="宋体" w:eastAsia="宋体" w:hint="default"/>
                <w:sz w:val="18"/>
                <w:szCs w:val="18"/>
              </w:rPr>
              <w:t>收回可能性较小</w:t>
            </w: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4,702,830.04</w:t>
            </w:r>
          </w:p>
        </w:tc>
        <w:tc>
          <w:tcPr>
            <w:tcW w:w="1914"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92"/>
              <w:ind w:right="16"/>
              <w:jc w:val="right"/>
              <w:rPr>
                <w:rFonts w:ascii="Times New Roman" w:hAnsi="Times New Roman" w:cs="Times New Roman" w:eastAsia="Times New Roman" w:hint="default"/>
                <w:sz w:val="18"/>
                <w:szCs w:val="18"/>
              </w:rPr>
            </w:pPr>
            <w:r>
              <w:rPr>
                <w:rFonts w:ascii="Times New Roman"/>
                <w:spacing w:val="-1"/>
                <w:sz w:val="18"/>
              </w:rPr>
              <w:t>4,702,830.04</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47" w:footer="979" w:top="1060" w:bottom="1160" w:left="980" w:right="0"/>
        </w:sectPr>
      </w:pPr>
    </w:p>
    <w:p>
      <w:pPr>
        <w:pStyle w:val="BodyText"/>
        <w:spacing w:line="240" w:lineRule="auto" w:before="51"/>
        <w:ind w:right="-20"/>
        <w:jc w:val="left"/>
      </w:pPr>
      <w:r>
        <w:rPr/>
        <w:t>组合中，按账龄分析法计提坏账准备的其他应收款：</w:t>
      </w:r>
    </w:p>
    <w:p>
      <w:pPr>
        <w:pStyle w:val="BodyText"/>
        <w:spacing w:line="340" w:lineRule="auto" w:before="116"/>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组合中，采用余额百分比法计提坏账准备的其他应收款：</w:t>
      </w:r>
    </w:p>
    <w:p>
      <w:pPr>
        <w:pStyle w:val="BodyText"/>
        <w:spacing w:line="240" w:lineRule="auto" w:before="40"/>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pStyle w:val="BodyText"/>
        <w:spacing w:line="240" w:lineRule="auto"/>
        <w:ind w:left="153" w:right="0"/>
        <w:jc w:val="left"/>
      </w:pPr>
      <w:r>
        <w:rPr/>
        <w:t>单位： 元</w:t>
      </w:r>
    </w:p>
    <w:p>
      <w:pPr>
        <w:spacing w:after="0" w:line="240" w:lineRule="auto"/>
        <w:jc w:val="left"/>
        <w:sectPr>
          <w:type w:val="continuous"/>
          <w:pgSz w:w="11910" w:h="16840"/>
          <w:pgMar w:top="1060" w:bottom="1160" w:left="980" w:right="0"/>
          <w:cols w:num="2" w:equalWidth="0">
            <w:col w:w="4655" w:space="4175"/>
            <w:col w:w="2100"/>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717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392" w:type="dxa"/>
            <w:vMerge/>
            <w:tcBorders>
              <w:left w:val="single" w:sz="4" w:space="0" w:color="000000"/>
              <w:bottom w:val="single" w:sz="4" w:space="0" w:color="000000"/>
              <w:right w:val="single" w:sz="4" w:space="0" w:color="000000"/>
            </w:tcBorders>
            <w:shd w:val="clear" w:color="auto" w:fill="D2D2D2"/>
          </w:tcPr>
          <w:p>
            <w:pP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97"/>
              <w:jc w:val="left"/>
              <w:rPr>
                <w:rFonts w:ascii="宋体" w:hAnsi="宋体" w:cs="宋体" w:eastAsia="宋体" w:hint="default"/>
                <w:sz w:val="18"/>
                <w:szCs w:val="18"/>
              </w:rPr>
            </w:pPr>
            <w:r>
              <w:rPr>
                <w:rFonts w:ascii="宋体" w:hAnsi="宋体" w:cs="宋体" w:eastAsia="宋体" w:hint="default"/>
                <w:sz w:val="18"/>
                <w:szCs w:val="18"/>
              </w:rPr>
              <w:t>单项金额重大未出现减值迹 象的其他应收款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9,368,643.67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468,432.18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5.00%</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97"/>
              <w:jc w:val="left"/>
              <w:rPr>
                <w:rFonts w:ascii="宋体" w:hAnsi="宋体" w:cs="宋体" w:eastAsia="宋体" w:hint="default"/>
                <w:sz w:val="18"/>
                <w:szCs w:val="18"/>
              </w:rPr>
            </w:pPr>
            <w:r>
              <w:rPr>
                <w:rFonts w:ascii="宋体" w:hAnsi="宋体" w:cs="宋体" w:eastAsia="宋体" w:hint="default"/>
                <w:sz w:val="18"/>
                <w:szCs w:val="18"/>
              </w:rPr>
              <w:t>单项金额不重大未出现减值 迹象的其他应收款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18,232,834.06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911,641.69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27,601,477.73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1,380,073.87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bl>
    <w:p>
      <w:pPr>
        <w:pStyle w:val="BodyText"/>
        <w:spacing w:line="240" w:lineRule="auto" w:before="51"/>
        <w:ind w:right="0"/>
        <w:jc w:val="left"/>
      </w:pPr>
      <w:r>
        <w:rPr/>
        <w:t>确定该组合依据的说明：</w:t>
      </w:r>
    </w:p>
    <w:p>
      <w:pPr>
        <w:pStyle w:val="BodyText"/>
        <w:spacing w:line="300" w:lineRule="auto" w:before="116"/>
        <w:ind w:left="574" w:right="1115"/>
        <w:jc w:val="left"/>
      </w:pPr>
      <w:r>
        <w:rPr/>
        <w:t>公司根据公司经营规模、业务性质及客户结算状况等确定单项金额重大的其他应收款标准为</w:t>
      </w:r>
      <w:r>
        <w:rPr>
          <w:rFonts w:ascii="Times New Roman" w:hAnsi="Times New Roman" w:cs="Times New Roman" w:eastAsia="Times New Roman" w:hint="default"/>
        </w:rPr>
        <w:t>100</w:t>
      </w:r>
      <w:r>
        <w:rPr/>
        <w:t>万元； </w:t>
      </w:r>
      <w:r>
        <w:rPr>
          <w:spacing w:val="-1"/>
        </w:rPr>
        <w:t>单项金额重大并单项计提坏账准备的其他应收款是指期末余额在</w:t>
      </w:r>
      <w:r>
        <w:rPr>
          <w:rFonts w:ascii="Times New Roman" w:hAnsi="Times New Roman" w:cs="Times New Roman" w:eastAsia="Times New Roman" w:hint="default"/>
          <w:spacing w:val="-1"/>
        </w:rPr>
        <w:t>100</w:t>
      </w:r>
      <w:r>
        <w:rPr>
          <w:spacing w:val="-1"/>
        </w:rPr>
        <w:t>万元以上，经减值测试后如存在减值迹象，按其未</w:t>
      </w:r>
    </w:p>
    <w:p>
      <w:pPr>
        <w:pStyle w:val="BodyText"/>
        <w:spacing w:line="309" w:lineRule="auto" w:before="13"/>
        <w:ind w:left="574" w:right="0" w:hanging="420"/>
        <w:jc w:val="left"/>
      </w:pPr>
      <w:r>
        <w:rPr/>
        <w:t>来现金流量现值低于账面价值的差额，确认减值损失，计提坏账准备； 单项金额重大未出现减值迹象的其他应收款是指期末余额在</w:t>
      </w:r>
      <w:r>
        <w:rPr>
          <w:rFonts w:ascii="Times New Roman" w:hAnsi="Times New Roman" w:cs="Times New Roman" w:eastAsia="Times New Roman" w:hint="default"/>
        </w:rPr>
        <w:t>100</w:t>
      </w:r>
      <w:r>
        <w:rPr/>
        <w:t>万元以上，经减值测试后不存在减值迹象； 单项金额不重大未出现减值迹象的其他应收款是指账龄较短（一般是指三年以内），可以取得债务人确认并预计可以</w:t>
      </w:r>
    </w:p>
    <w:p>
      <w:pPr>
        <w:pStyle w:val="BodyText"/>
        <w:spacing w:line="360" w:lineRule="auto" w:before="24"/>
        <w:ind w:left="514" w:right="1122" w:hanging="360"/>
        <w:jc w:val="left"/>
      </w:pPr>
      <w:r>
        <w:rPr/>
        <w:t>收回的其他应收款； 单项金额虽不重大但单项计提坏账准备的其他应收款是指单笔金额在</w:t>
      </w:r>
      <w:r>
        <w:rPr>
          <w:rFonts w:ascii="Times New Roman" w:hAnsi="Times New Roman" w:cs="Times New Roman" w:eastAsia="Times New Roman" w:hint="default"/>
        </w:rPr>
        <w:t>100</w:t>
      </w:r>
      <w:r>
        <w:rPr/>
        <w:t>万元以下，且有明显特征表明该等款项难以收</w:t>
      </w:r>
    </w:p>
    <w:p>
      <w:pPr>
        <w:pStyle w:val="BodyText"/>
        <w:spacing w:line="199" w:lineRule="exact"/>
        <w:ind w:right="0"/>
        <w:jc w:val="left"/>
      </w:pPr>
      <w:r>
        <w:rPr/>
        <w:t>回的其他应收款。</w:t>
      </w:r>
    </w:p>
    <w:p>
      <w:pPr>
        <w:pStyle w:val="BodyText"/>
        <w:spacing w:line="240" w:lineRule="auto" w:before="116"/>
        <w:ind w:right="0"/>
        <w:jc w:val="left"/>
      </w:pPr>
      <w:r>
        <w:rPr/>
        <w:t>组合中，采用其他方法计提坏账准备的其他应收款：</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right="0"/>
        <w:jc w:val="left"/>
      </w:pPr>
      <w:r>
        <w:rPr>
          <w:rFonts w:ascii="Times New Roman" w:hAnsi="Times New Roman" w:cs="Times New Roman" w:eastAsia="Times New Roman" w:hint="default"/>
        </w:rPr>
        <w:t>2)</w:t>
      </w:r>
      <w:r>
        <w:rPr/>
        <w:t>本期计提、收回或转回的坏账准备情况</w:t>
      </w:r>
    </w:p>
    <w:p>
      <w:pPr>
        <w:pStyle w:val="BodyText"/>
        <w:spacing w:line="340" w:lineRule="auto" w:before="102"/>
        <w:ind w:right="4578"/>
        <w:jc w:val="left"/>
      </w:pPr>
      <w:r>
        <w:rPr/>
        <w:t>本期计提坏账准备金额</w:t>
      </w:r>
      <w:r>
        <w:rPr>
          <w:rFonts w:ascii="Times New Roman" w:hAnsi="Times New Roman" w:cs="Times New Roman" w:eastAsia="Times New Roman" w:hint="default"/>
        </w:rPr>
        <w:t>-729,662.66</w:t>
      </w:r>
      <w:r>
        <w:rPr>
          <w:rFonts w:ascii="Times New Roman" w:hAnsi="Times New Roman" w:cs="Times New Roman" w:eastAsia="Times New Roman" w:hint="default"/>
          <w:spacing w:val="-2"/>
        </w:rPr>
        <w:t> </w:t>
      </w:r>
      <w:r>
        <w:rPr/>
        <w:t>元；本期收回或转回坏账准备金额</w:t>
      </w:r>
      <w:r>
        <w:rPr>
          <w:spacing w:val="-47"/>
        </w:rPr>
        <w:t> </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 其中本期坏账准备转回或收回金额重要的：</w:t>
      </w:r>
    </w:p>
    <w:p>
      <w:pPr>
        <w:pStyle w:val="BodyText"/>
        <w:spacing w:line="240" w:lineRule="auto" w:before="40"/>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8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60"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pStyle w:val="BodyText"/>
        <w:spacing w:line="240" w:lineRule="auto" w:before="52"/>
        <w:ind w:right="0"/>
        <w:jc w:val="left"/>
      </w:pPr>
      <w:r>
        <w:rPr>
          <w:rFonts w:ascii="Times New Roman" w:hAnsi="Times New Roman" w:cs="Times New Roman" w:eastAsia="Times New Roman" w:hint="default"/>
        </w:rPr>
        <w:t>3)</w:t>
      </w:r>
      <w:r>
        <w:rPr/>
        <w:t>其他应收款按款项性质分类情况</w:t>
      </w:r>
    </w:p>
    <w:p>
      <w:pPr>
        <w:pStyle w:val="BodyText"/>
        <w:spacing w:line="240" w:lineRule="auto" w:before="102"/>
        <w:ind w:left="0" w:right="1130"/>
        <w:jc w:val="right"/>
      </w:pPr>
      <w:r>
        <w:rPr/>
        <w:t>单位： 元</w:t>
      </w:r>
    </w:p>
    <w:p>
      <w:pPr>
        <w:spacing w:after="0" w:line="240" w:lineRule="auto"/>
        <w:jc w:val="right"/>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5,690,511.85</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6,368,621.83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10,598,592.17</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15,325,067.51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押金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1,585,585.74</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1,461,938.56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长账龄预付款项重分类</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1,273,618.58</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13,952,188.03</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23,754,814.45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33,100,496.37</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47,910,442.35</w:t>
            </w:r>
          </w:p>
        </w:tc>
      </w:tr>
    </w:tbl>
    <w:p>
      <w:pPr>
        <w:pStyle w:val="BodyText"/>
        <w:spacing w:line="240" w:lineRule="auto" w:before="51"/>
        <w:ind w:right="0"/>
        <w:jc w:val="left"/>
      </w:pPr>
      <w:r>
        <w:rPr>
          <w:rFonts w:ascii="Times New Roman" w:hAnsi="Times New Roman" w:cs="Times New Roman" w:eastAsia="Times New Roman" w:hint="default"/>
        </w:rPr>
        <w:t>4)</w:t>
      </w:r>
      <w:r>
        <w:rPr/>
        <w:t>按欠款方归集的期末余额前五名的其他应收款情况</w:t>
      </w:r>
    </w:p>
    <w:p>
      <w:pPr>
        <w:pStyle w:val="BodyText"/>
        <w:spacing w:line="240" w:lineRule="auto" w:before="103"/>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4"/>
        <w:gridCol w:w="1595"/>
        <w:gridCol w:w="1594"/>
        <w:gridCol w:w="1594"/>
        <w:gridCol w:w="1596"/>
        <w:gridCol w:w="1595"/>
      </w:tblGrid>
      <w:tr>
        <w:trPr>
          <w:trHeight w:val="71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73" w:right="71"/>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71"/>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第一名公司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投标保证金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3,088,000.00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9.33%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154,400.00</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第二名公司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2,702,830.04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8.17%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2,702,830.04</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第三名公司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2,660,800.00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8.04%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133,040.00</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第四名公司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1,994,861.48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6.03%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99,743.07</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第五名公司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投标保证金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1,500,500.00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4.53%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75,025.00</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2"/>
              <w:ind w:right="9"/>
              <w:jc w:val="right"/>
              <w:rPr>
                <w:rFonts w:ascii="Times New Roman" w:hAnsi="Times New Roman" w:cs="Times New Roman" w:eastAsia="Times New Roman" w:hint="default"/>
                <w:sz w:val="18"/>
                <w:szCs w:val="18"/>
              </w:rPr>
            </w:pPr>
            <w:r>
              <w:rPr>
                <w:rFonts w:ascii="Times New Roman"/>
                <w:spacing w:val="-1"/>
                <w:sz w:val="18"/>
              </w:rPr>
              <w:t>11,946,991.52</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36.10%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3,165,038.11</w:t>
            </w:r>
          </w:p>
        </w:tc>
      </w:tr>
    </w:tbl>
    <w:p>
      <w:pPr>
        <w:spacing w:line="240" w:lineRule="auto" w:before="3"/>
        <w:rPr>
          <w:rFonts w:ascii="宋体" w:hAnsi="宋体" w:cs="宋体" w:eastAsia="宋体" w:hint="default"/>
          <w:sz w:val="19"/>
          <w:szCs w:val="19"/>
        </w:rPr>
      </w:pPr>
    </w:p>
    <w:p>
      <w:pPr>
        <w:pStyle w:val="Heading3"/>
        <w:spacing w:line="240" w:lineRule="auto" w:before="35"/>
        <w:ind w:right="0"/>
        <w:jc w:val="left"/>
        <w:rPr>
          <w:b w:val="0"/>
          <w:bCs w:val="0"/>
        </w:rPr>
      </w:pPr>
      <w:bookmarkStart w:name="5、存货" w:id="232"/>
      <w:bookmarkEnd w:id="232"/>
      <w:r>
        <w:rPr>
          <w:b w:val="0"/>
          <w:bCs w:val="0"/>
        </w:rPr>
      </w:r>
      <w:r>
        <w:rPr>
          <w:rFonts w:ascii="Times New Roman" w:hAnsi="Times New Roman" w:cs="Times New Roman" w:eastAsia="Times New Roman" w:hint="default"/>
        </w:rPr>
        <w:t>5</w:t>
      </w:r>
      <w:r>
        <w:rPr/>
        <w:t>、存货</w:t>
      </w:r>
      <w:r>
        <w:rPr>
          <w:b w:val="0"/>
          <w:bCs w:val="0"/>
        </w:rPr>
      </w:r>
    </w:p>
    <w:p>
      <w:pPr>
        <w:spacing w:line="240" w:lineRule="auto" w:before="8"/>
        <w:rPr>
          <w:rFonts w:ascii="宋体" w:hAnsi="宋体" w:cs="宋体" w:eastAsia="宋体" w:hint="default"/>
          <w:b/>
          <w:bCs/>
          <w:sz w:val="26"/>
          <w:szCs w:val="26"/>
        </w:rPr>
      </w:pPr>
    </w:p>
    <w:p>
      <w:pPr>
        <w:pStyle w:val="BodyText"/>
        <w:spacing w:line="357" w:lineRule="auto"/>
        <w:ind w:right="7512"/>
        <w:jc w:val="left"/>
      </w:pPr>
      <w:r>
        <w:rPr/>
        <w:t>公司是否需要遵守房地产行业的披露要求 否</w:t>
      </w:r>
    </w:p>
    <w:p>
      <w:pPr>
        <w:spacing w:line="240" w:lineRule="auto" w:before="13"/>
        <w:rPr>
          <w:rFonts w:ascii="宋体" w:hAnsi="宋体" w:cs="宋体" w:eastAsia="宋体" w:hint="default"/>
          <w:sz w:val="19"/>
          <w:szCs w:val="19"/>
        </w:rPr>
      </w:pPr>
    </w:p>
    <w:p>
      <w:pPr>
        <w:pStyle w:val="Heading3"/>
        <w:spacing w:line="240" w:lineRule="auto"/>
        <w:ind w:right="0"/>
        <w:jc w:val="left"/>
        <w:rPr>
          <w:b w:val="0"/>
          <w:bCs w:val="0"/>
        </w:rPr>
      </w:pPr>
      <w:bookmarkStart w:name="（1）存货分类" w:id="233"/>
      <w:bookmarkEnd w:id="233"/>
      <w:r>
        <w:rPr>
          <w:b w:val="0"/>
          <w:bCs w:val="0"/>
        </w:rPr>
      </w:r>
      <w:r>
        <w:rPr/>
        <w:t>（</w:t>
      </w:r>
      <w:r>
        <w:rPr>
          <w:rFonts w:ascii="Times New Roman" w:hAnsi="Times New Roman" w:cs="Times New Roman" w:eastAsia="Times New Roman" w:hint="default"/>
        </w:rPr>
        <w:t>1</w:t>
      </w:r>
      <w:r>
        <w:rPr/>
        <w:t>）存货分类</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346"/>
        <w:gridCol w:w="1379"/>
        <w:gridCol w:w="1367"/>
        <w:gridCol w:w="1367"/>
        <w:gridCol w:w="1368"/>
        <w:gridCol w:w="1367"/>
        <w:gridCol w:w="1367"/>
      </w:tblGrid>
      <w:tr>
        <w:trPr>
          <w:trHeight w:val="206" w:hRule="exact"/>
        </w:trPr>
        <w:tc>
          <w:tcPr>
            <w:tcW w:w="1346" w:type="dxa"/>
            <w:tcBorders>
              <w:top w:val="single" w:sz="4" w:space="0" w:color="000000"/>
              <w:left w:val="single" w:sz="4" w:space="0" w:color="000000"/>
              <w:bottom w:val="nil" w:sz="6" w:space="0" w:color="auto"/>
              <w:right w:val="single" w:sz="4" w:space="0" w:color="000000"/>
            </w:tcBorders>
            <w:shd w:val="clear" w:color="auto" w:fill="D2D2D2"/>
          </w:tcPr>
          <w:p>
            <w:pPr/>
          </w:p>
        </w:tc>
        <w:tc>
          <w:tcPr>
            <w:tcW w:w="411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6" w:hRule="exact"/>
        </w:trPr>
        <w:tc>
          <w:tcPr>
            <w:tcW w:w="134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113" w:type="dxa"/>
            <w:gridSpan w:val="3"/>
            <w:vMerge/>
            <w:tcBorders>
              <w:left w:val="single" w:sz="4" w:space="0" w:color="000000"/>
              <w:bottom w:val="single" w:sz="4" w:space="0" w:color="000000"/>
              <w:right w:val="single" w:sz="4" w:space="0" w:color="000000"/>
            </w:tcBorders>
            <w:shd w:val="clear" w:color="auto" w:fill="D2D2D2"/>
          </w:tcPr>
          <w:p>
            <w:pPr/>
          </w:p>
        </w:tc>
        <w:tc>
          <w:tcPr>
            <w:tcW w:w="4102" w:type="dxa"/>
            <w:gridSpan w:val="3"/>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346" w:type="dxa"/>
            <w:vMerge/>
            <w:tcBorders>
              <w:left w:val="single" w:sz="4" w:space="0" w:color="000000"/>
              <w:bottom w:val="nil" w:sz="6" w:space="0" w:color="auto"/>
              <w:right w:val="single" w:sz="4" w:space="0" w:color="000000"/>
            </w:tcBorders>
            <w:shd w:val="clear" w:color="auto" w:fill="D2D2D2"/>
          </w:tcPr>
          <w:p>
            <w:pPr/>
          </w:p>
        </w:tc>
        <w:tc>
          <w:tcPr>
            <w:tcW w:w="137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2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5" w:hRule="exact"/>
        </w:trPr>
        <w:tc>
          <w:tcPr>
            <w:tcW w:w="1346" w:type="dxa"/>
            <w:tcBorders>
              <w:top w:val="nil" w:sz="6" w:space="0" w:color="auto"/>
              <w:left w:val="single" w:sz="4" w:space="0" w:color="000000"/>
              <w:bottom w:val="single" w:sz="4" w:space="0" w:color="000000"/>
              <w:right w:val="single" w:sz="4" w:space="0" w:color="000000"/>
            </w:tcBorders>
            <w:shd w:val="clear" w:color="auto" w:fill="D2D2D2"/>
          </w:tcPr>
          <w:p>
            <w:pPr/>
          </w:p>
        </w:tc>
        <w:tc>
          <w:tcPr>
            <w:tcW w:w="1379"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123,747,664.77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5,060,778.15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118,686,886.62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120,329,753.29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6,010,975.98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114,318,777.31</w:t>
            </w: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101,397,571.09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101,397,571.09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92,191,310.31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92,191,310.31</w:t>
            </w: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60,631,167.24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6,853,933.52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53,777,233.72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78,520,247.07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7,106,817.25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71,413,429.82</w:t>
            </w: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周转材料</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983,572.83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983,572.83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988,643.26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988,643.26</w:t>
            </w: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发出商品</w:t>
            </w:r>
          </w:p>
        </w:tc>
        <w:tc>
          <w:tcPr>
            <w:tcW w:w="1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526,685,561.91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21,010,237.97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505,675,323.94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437,147,240.80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11,534,920.96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425,612,319.84</w:t>
            </w: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委托加工物资</w:t>
            </w:r>
          </w:p>
        </w:tc>
        <w:tc>
          <w:tcPr>
            <w:tcW w:w="1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1,934,311.99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1,934,311.99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7,659,210.94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7,659,210.94</w:t>
            </w:r>
          </w:p>
        </w:tc>
      </w:tr>
      <w:tr>
        <w:trPr>
          <w:trHeight w:val="403"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815,379,849.83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32,924,949.64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782,454,900.19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736,836,405.67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24,652,714.19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712,183,691.48</w:t>
            </w:r>
          </w:p>
        </w:tc>
      </w:tr>
    </w:tbl>
    <w:p>
      <w:pPr>
        <w:pStyle w:val="BodyText"/>
        <w:spacing w:line="338" w:lineRule="auto" w:before="51"/>
        <w:ind w:right="2474"/>
        <w:jc w:val="left"/>
      </w:pPr>
      <w:r>
        <w:rPr/>
        <w:t>公司是否需遵守《深圳证券交易所行业信息披露指引第</w:t>
      </w:r>
      <w:r>
        <w:rPr>
          <w:spacing w:val="-46"/>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上市公司从事种业、种植业务》的披露要求 否</w:t>
      </w:r>
    </w:p>
    <w:p>
      <w:pPr>
        <w:spacing w:after="0" w:line="338" w:lineRule="auto"/>
        <w:jc w:val="left"/>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pStyle w:val="BodyText"/>
        <w:spacing w:line="338" w:lineRule="auto" w:before="44"/>
        <w:ind w:right="2751"/>
        <w:jc w:val="left"/>
      </w:pPr>
      <w:r>
        <w:rPr/>
        <w:t>公司需遵守《深圳证券交易所行业信息披露指引第</w:t>
      </w:r>
      <w:r>
        <w:rPr>
          <w:spacing w:val="-45"/>
        </w:rPr>
        <w:t> </w:t>
      </w:r>
      <w:r>
        <w:rPr>
          <w:rFonts w:ascii="Times New Roman" w:hAnsi="Times New Roman" w:cs="Times New Roman" w:eastAsia="Times New Roman" w:hint="default"/>
          <w:spacing w:val="-4"/>
        </w:rPr>
        <w:t>11</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上市公司从事珠宝相关业务》的披露要求 否</w:t>
      </w:r>
    </w:p>
    <w:p>
      <w:pPr>
        <w:spacing w:line="240" w:lineRule="auto" w:before="2"/>
        <w:rPr>
          <w:rFonts w:ascii="宋体" w:hAnsi="宋体" w:cs="宋体" w:eastAsia="宋体" w:hint="default"/>
          <w:sz w:val="21"/>
          <w:szCs w:val="21"/>
        </w:rPr>
      </w:pPr>
    </w:p>
    <w:p>
      <w:pPr>
        <w:pStyle w:val="Heading3"/>
        <w:spacing w:line="240" w:lineRule="auto"/>
        <w:ind w:right="0"/>
        <w:jc w:val="left"/>
        <w:rPr>
          <w:b w:val="0"/>
          <w:bCs w:val="0"/>
        </w:rPr>
      </w:pPr>
      <w:bookmarkStart w:name="（2）存货跌价准备" w:id="234"/>
      <w:bookmarkEnd w:id="234"/>
      <w:r>
        <w:rPr>
          <w:b w:val="0"/>
          <w:bCs w:val="0"/>
        </w:rPr>
      </w:r>
      <w:r>
        <w:rPr/>
        <w:t>（</w:t>
      </w:r>
      <w:r>
        <w:rPr>
          <w:rFonts w:ascii="Times New Roman" w:hAnsi="Times New Roman" w:cs="Times New Roman" w:eastAsia="Times New Roman" w:hint="default"/>
        </w:rPr>
        <w:t>2</w:t>
      </w:r>
      <w:r>
        <w:rPr/>
        <w:t>）存货跌价准备</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357"/>
        <w:gridCol w:w="1368"/>
        <w:gridCol w:w="1367"/>
        <w:gridCol w:w="1367"/>
        <w:gridCol w:w="1368"/>
        <w:gridCol w:w="1367"/>
        <w:gridCol w:w="1367"/>
      </w:tblGrid>
      <w:tr>
        <w:trPr>
          <w:trHeight w:val="206"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273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822"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273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823"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1" w:hRule="exact"/>
        </w:trPr>
        <w:tc>
          <w:tcPr>
            <w:tcW w:w="135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136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vMerge/>
            <w:tcBorders>
              <w:left w:val="single" w:sz="4" w:space="0" w:color="000000"/>
              <w:bottom w:val="single" w:sz="4" w:space="0" w:color="000000"/>
              <w:right w:val="single" w:sz="4" w:space="0" w:color="000000"/>
            </w:tcBorders>
            <w:shd w:val="clear" w:color="auto" w:fill="D2D2D2"/>
          </w:tcPr>
          <w:p>
            <w:pPr/>
          </w:p>
        </w:tc>
        <w:tc>
          <w:tcPr>
            <w:tcW w:w="2735" w:type="dxa"/>
            <w:gridSpan w:val="2"/>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right w:val="single" w:sz="4" w:space="0" w:color="000000"/>
            </w:tcBorders>
            <w:shd w:val="clear" w:color="auto" w:fill="D2D2D2"/>
          </w:tcPr>
          <w:p>
            <w:pPr/>
          </w:p>
        </w:tc>
      </w:tr>
      <w:tr>
        <w:trPr>
          <w:trHeight w:val="200" w:hRule="exact"/>
        </w:trPr>
        <w:tc>
          <w:tcPr>
            <w:tcW w:w="1357" w:type="dxa"/>
            <w:vMerge/>
            <w:tcBorders>
              <w:left w:val="single" w:sz="4" w:space="0" w:color="000000"/>
              <w:bottom w:val="nil" w:sz="6" w:space="0" w:color="auto"/>
              <w:right w:val="single" w:sz="4" w:space="0" w:color="000000"/>
            </w:tcBorders>
            <w:shd w:val="clear" w:color="auto" w:fill="D2D2D2"/>
          </w:tcPr>
          <w:p>
            <w:pPr/>
          </w:p>
        </w:tc>
        <w:tc>
          <w:tcPr>
            <w:tcW w:w="1368" w:type="dxa"/>
            <w:vMerge/>
            <w:tcBorders>
              <w:left w:val="single" w:sz="4" w:space="0" w:color="000000"/>
              <w:bottom w:val="nil" w:sz="6" w:space="0" w:color="auto"/>
              <w:right w:val="single" w:sz="4" w:space="0" w:color="000000"/>
            </w:tcBorders>
            <w:shd w:val="clear" w:color="auto" w:fill="D2D2D2"/>
          </w:tcPr>
          <w:p>
            <w:pP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计提</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29" w:right="0"/>
              <w:jc w:val="left"/>
              <w:rPr>
                <w:rFonts w:ascii="宋体" w:hAnsi="宋体" w:cs="宋体" w:eastAsia="宋体" w:hint="default"/>
                <w:sz w:val="18"/>
                <w:szCs w:val="18"/>
              </w:rPr>
            </w:pPr>
            <w:r>
              <w:rPr>
                <w:rFonts w:ascii="宋体" w:hAnsi="宋体" w:cs="宋体" w:eastAsia="宋体" w:hint="default"/>
                <w:sz w:val="18"/>
                <w:szCs w:val="18"/>
              </w:rPr>
              <w:t>转回或转销</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7" w:type="dxa"/>
            <w:vMerge/>
            <w:tcBorders>
              <w:left w:val="single" w:sz="4" w:space="0" w:color="000000"/>
              <w:right w:val="single" w:sz="4" w:space="0" w:color="000000"/>
            </w:tcBorders>
            <w:shd w:val="clear" w:color="auto" w:fill="D2D2D2"/>
          </w:tcPr>
          <w:p>
            <w:pPr/>
          </w:p>
        </w:tc>
      </w:tr>
      <w:tr>
        <w:trPr>
          <w:trHeight w:val="206"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6,010,975.98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2,652,924.70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3,603,122.53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5,060,778.15</w:t>
            </w: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7,106,817.25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6,234,675.37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6,487,559.10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6,853,933.52</w:t>
            </w: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发出商品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11,534,920.96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19,249,408.66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9,774,091.65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21,010,237.97</w:t>
            </w: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24,652,714.19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28,137,008.73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19,864,773.28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32,924,949.64</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存货期末余额含有借款费用资本化金额的说明" w:id="235"/>
      <w:bookmarkEnd w:id="235"/>
      <w:r>
        <w:rPr>
          <w:b w:val="0"/>
          <w:bCs w:val="0"/>
        </w:rPr>
      </w:r>
      <w:r>
        <w:rPr/>
        <w:t>（</w:t>
      </w:r>
      <w:r>
        <w:rPr>
          <w:rFonts w:ascii="Times New Roman" w:hAnsi="Times New Roman" w:cs="Times New Roman" w:eastAsia="Times New Roman" w:hint="default"/>
        </w:rPr>
        <w:t>3</w:t>
      </w:r>
      <w:r>
        <w:rPr/>
        <w:t>）存货期末余额含有借款费用资本化金额的说明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bookmarkStart w:name="（4）期末建造合同形成的已完工未结算资产情况" w:id="236"/>
      <w:bookmarkEnd w:id="236"/>
      <w:r>
        <w:rPr>
          <w:b w:val="0"/>
          <w:bCs w:val="0"/>
        </w:rPr>
      </w:r>
      <w:r>
        <w:rPr/>
        <w:t>（</w:t>
      </w:r>
      <w:r>
        <w:rPr>
          <w:rFonts w:ascii="Times New Roman" w:hAnsi="Times New Roman" w:cs="Times New Roman" w:eastAsia="Times New Roman" w:hint="default"/>
        </w:rPr>
        <w:t>4</w:t>
      </w:r>
      <w:r>
        <w:rPr/>
        <w:t>）期末建造合同形成的已完工未结算资产情况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bookmarkStart w:name="6、其他流动资产" w:id="237"/>
      <w:bookmarkEnd w:id="237"/>
      <w:r>
        <w:rPr>
          <w:b w:val="0"/>
          <w:bCs w:val="0"/>
        </w:rPr>
      </w:r>
      <w:r>
        <w:rPr>
          <w:rFonts w:ascii="Times New Roman" w:hAnsi="Times New Roman" w:cs="Times New Roman" w:eastAsia="Times New Roman" w:hint="default"/>
        </w:rPr>
        <w:t>6</w:t>
      </w:r>
      <w:r>
        <w:rPr/>
        <w:t>、其他流动资产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待抵扣的增值税及预交的其他税费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15,010,691.73</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2,880,570.24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银行保本理财产品</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575,000,000.00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650,000,000.00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590,010,691.73</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652,880,570.24</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7、长期股权投资" w:id="238"/>
      <w:bookmarkEnd w:id="238"/>
      <w:r>
        <w:rPr>
          <w:b w:val="0"/>
          <w:bCs w:val="0"/>
        </w:rPr>
      </w:r>
      <w:r>
        <w:rPr>
          <w:rFonts w:ascii="Times New Roman" w:hAnsi="Times New Roman" w:cs="Times New Roman" w:eastAsia="Times New Roman" w:hint="default"/>
        </w:rPr>
        <w:t>7</w:t>
      </w:r>
      <w:r>
        <w:rPr/>
        <w:t>、长期股权投资</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96"/>
        <w:gridCol w:w="798"/>
        <w:gridCol w:w="797"/>
        <w:gridCol w:w="798"/>
        <w:gridCol w:w="798"/>
        <w:gridCol w:w="798"/>
        <w:gridCol w:w="798"/>
        <w:gridCol w:w="798"/>
        <w:gridCol w:w="798"/>
        <w:gridCol w:w="798"/>
        <w:gridCol w:w="798"/>
        <w:gridCol w:w="798"/>
      </w:tblGrid>
      <w:tr>
        <w:trPr>
          <w:trHeight w:val="402" w:hRule="exact"/>
        </w:trPr>
        <w:tc>
          <w:tcPr>
            <w:tcW w:w="7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9" w:lineRule="auto"/>
              <w:ind w:left="302" w:right="33" w:hanging="270"/>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384"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9" w:lineRule="auto"/>
              <w:ind w:left="33" w:right="32"/>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5" w:hRule="exact"/>
        </w:trPr>
        <w:tc>
          <w:tcPr>
            <w:tcW w:w="796"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3" w:right="33"/>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3" w:right="32"/>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13" w:right="33"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1"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715"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22" w:right="41"/>
              <w:jc w:val="left"/>
              <w:rPr>
                <w:rFonts w:ascii="宋体" w:hAnsi="宋体" w:cs="宋体" w:eastAsia="宋体" w:hint="default"/>
                <w:sz w:val="18"/>
                <w:szCs w:val="18"/>
              </w:rPr>
            </w:pPr>
            <w:r>
              <w:rPr>
                <w:rFonts w:ascii="宋体" w:hAnsi="宋体" w:cs="宋体" w:eastAsia="宋体" w:hint="default"/>
                <w:sz w:val="18"/>
                <w:szCs w:val="18"/>
              </w:rPr>
              <w:t>重庆宏劲 印务有限</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5" w:right="0"/>
              <w:jc w:val="left"/>
              <w:rPr>
                <w:rFonts w:ascii="Times New Roman" w:hAnsi="Times New Roman" w:cs="Times New Roman" w:eastAsia="Times New Roman" w:hint="default"/>
                <w:sz w:val="18"/>
                <w:szCs w:val="18"/>
              </w:rPr>
            </w:pPr>
            <w:r>
              <w:rPr>
                <w:rFonts w:ascii="Times New Roman"/>
                <w:sz w:val="18"/>
              </w:rPr>
              <w:t>179,091,9</w:t>
            </w:r>
          </w:p>
          <w:p>
            <w:pPr>
              <w:pStyle w:val="TableParagraph"/>
              <w:spacing w:line="240" w:lineRule="auto" w:before="105"/>
              <w:ind w:left="361" w:right="0"/>
              <w:jc w:val="left"/>
              <w:rPr>
                <w:rFonts w:ascii="Times New Roman" w:hAnsi="Times New Roman" w:cs="Times New Roman" w:eastAsia="Times New Roman" w:hint="default"/>
                <w:sz w:val="18"/>
                <w:szCs w:val="18"/>
              </w:rPr>
            </w:pPr>
            <w:r>
              <w:rPr>
                <w:rFonts w:ascii="Times New Roman"/>
                <w:sz w:val="18"/>
              </w:rPr>
              <w:t>45.78</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3,969,136</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.09</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183,061,0</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81.87</w:t>
            </w:r>
          </w:p>
        </w:tc>
        <w:tc>
          <w:tcPr>
            <w:tcW w:w="79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796"/>
        <w:gridCol w:w="798"/>
        <w:gridCol w:w="797"/>
        <w:gridCol w:w="798"/>
        <w:gridCol w:w="798"/>
        <w:gridCol w:w="798"/>
        <w:gridCol w:w="798"/>
        <w:gridCol w:w="798"/>
        <w:gridCol w:w="798"/>
        <w:gridCol w:w="798"/>
        <w:gridCol w:w="798"/>
        <w:gridCol w:w="798"/>
      </w:tblGrid>
      <w:tr>
        <w:trPr>
          <w:trHeight w:val="362"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责任公司</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重庆宏声 印务有限 责任公司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527,350,7</w:t>
            </w:r>
          </w:p>
          <w:p>
            <w:pPr>
              <w:pStyle w:val="TableParagraph"/>
              <w:spacing w:line="240" w:lineRule="auto" w:before="105"/>
              <w:ind w:left="361" w:right="0"/>
              <w:jc w:val="left"/>
              <w:rPr>
                <w:rFonts w:ascii="Times New Roman" w:hAnsi="Times New Roman" w:cs="Times New Roman" w:eastAsia="Times New Roman" w:hint="default"/>
                <w:sz w:val="18"/>
                <w:szCs w:val="18"/>
              </w:rPr>
            </w:pPr>
            <w:r>
              <w:rPr>
                <w:rFonts w:ascii="Times New Roman"/>
                <w:sz w:val="18"/>
              </w:rPr>
              <w:t>87.29</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23,815,99</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2.38</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551,166,7</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79.67</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深圳华大 北斗科技 有限公司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37,705,11</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3.95</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-1,883,74</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7.17</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35,821,36</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6.78</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贵州省仁 怀市申仁 包装印务 有限责任 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226,200,0</w:t>
            </w:r>
          </w:p>
          <w:p>
            <w:pPr>
              <w:pStyle w:val="TableParagraph"/>
              <w:spacing w:line="240" w:lineRule="auto" w:before="105"/>
              <w:ind w:left="361" w:right="0"/>
              <w:jc w:val="left"/>
              <w:rPr>
                <w:rFonts w:ascii="Times New Roman" w:hAnsi="Times New Roman" w:cs="Times New Roman" w:eastAsia="Times New Roman" w:hint="default"/>
                <w:sz w:val="18"/>
                <w:szCs w:val="18"/>
              </w:rPr>
            </w:pPr>
            <w:r>
              <w:rPr>
                <w:rFonts w:ascii="Times New Roman"/>
                <w:sz w:val="18"/>
              </w:rPr>
              <w:t>00.00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83,200,00</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10,940,71</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4.21</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320,340,7</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14.21</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青岛嘉泽 包装有限 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48,544,22</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1.88</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10,283,72</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9.25</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58,827,95</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1.13</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香港润伟 实业有限 公司</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96,120,00</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4,023,553</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.91</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5,136,300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95,007,25</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3.91</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上海仁彩 印务有限 公司</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50,280,62</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7.83</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2,348,748</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.23</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3,000,000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49,629,37</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6.06</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center"/>
              <w:rPr>
                <w:rFonts w:ascii="Times New Roman" w:hAnsi="Times New Roman" w:cs="Times New Roman" w:eastAsia="Times New Roman" w:hint="default"/>
                <w:sz w:val="18"/>
                <w:szCs w:val="18"/>
              </w:rPr>
            </w:pPr>
            <w:r>
              <w:rPr>
                <w:rFonts w:ascii="Times New Roman"/>
                <w:sz w:val="18"/>
              </w:rPr>
              <w:t>1,018,892</w:t>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sz w:val="18"/>
              </w:rPr>
              <w:t>,068.90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229,600,6</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27.83</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53,498,12</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6.90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8,136,300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1,293,854</w:t>
            </w:r>
          </w:p>
          <w:p>
            <w:pPr>
              <w:pStyle w:val="TableParagraph"/>
              <w:spacing w:line="240" w:lineRule="auto" w:before="105"/>
              <w:ind w:left="201" w:right="0"/>
              <w:jc w:val="center"/>
              <w:rPr>
                <w:rFonts w:ascii="Times New Roman" w:hAnsi="Times New Roman" w:cs="Times New Roman" w:eastAsia="Times New Roman" w:hint="default"/>
                <w:sz w:val="18"/>
                <w:szCs w:val="18"/>
              </w:rPr>
            </w:pPr>
            <w:r>
              <w:rPr>
                <w:rFonts w:ascii="Times New Roman"/>
                <w:sz w:val="18"/>
              </w:rPr>
              <w:t>,523.63</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center"/>
              <w:rPr>
                <w:rFonts w:ascii="Times New Roman" w:hAnsi="Times New Roman" w:cs="Times New Roman" w:eastAsia="Times New Roman" w:hint="default"/>
                <w:sz w:val="18"/>
                <w:szCs w:val="18"/>
              </w:rPr>
            </w:pPr>
            <w:r>
              <w:rPr>
                <w:rFonts w:ascii="Times New Roman"/>
                <w:sz w:val="18"/>
              </w:rPr>
              <w:t>1,018,892</w:t>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sz w:val="18"/>
              </w:rPr>
              <w:t>,068.90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229,600,6</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27.83</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53,498,12</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6.90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8,136,300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1,293,854</w:t>
            </w:r>
          </w:p>
          <w:p>
            <w:pPr>
              <w:pStyle w:val="TableParagraph"/>
              <w:spacing w:line="240" w:lineRule="auto" w:before="105"/>
              <w:ind w:left="201" w:right="0"/>
              <w:jc w:val="center"/>
              <w:rPr>
                <w:rFonts w:ascii="Times New Roman" w:hAnsi="Times New Roman" w:cs="Times New Roman" w:eastAsia="Times New Roman" w:hint="default"/>
                <w:sz w:val="18"/>
                <w:szCs w:val="18"/>
              </w:rPr>
            </w:pPr>
            <w:r>
              <w:rPr>
                <w:rFonts w:ascii="Times New Roman"/>
                <w:sz w:val="18"/>
              </w:rPr>
              <w:t>,523.63</w:t>
            </w:r>
          </w:p>
        </w:tc>
        <w:tc>
          <w:tcPr>
            <w:tcW w:w="79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6"/>
          <w:szCs w:val="26"/>
        </w:rPr>
      </w:pPr>
    </w:p>
    <w:p>
      <w:pPr>
        <w:pStyle w:val="Heading3"/>
        <w:spacing w:line="240" w:lineRule="auto" w:before="35"/>
        <w:ind w:right="0"/>
        <w:jc w:val="left"/>
        <w:rPr>
          <w:b w:val="0"/>
          <w:bCs w:val="0"/>
        </w:rPr>
      </w:pPr>
      <w:bookmarkStart w:name="8、投资性房地产" w:id="239"/>
      <w:bookmarkEnd w:id="239"/>
      <w:r>
        <w:rPr>
          <w:b w:val="0"/>
          <w:bCs w:val="0"/>
        </w:rPr>
      </w:r>
      <w:r>
        <w:rPr>
          <w:rFonts w:ascii="Times New Roman" w:hAnsi="Times New Roman" w:cs="Times New Roman" w:eastAsia="Times New Roman" w:hint="default"/>
        </w:rPr>
        <w:t>8</w:t>
      </w:r>
      <w:r>
        <w:rPr/>
        <w:t>、投资性房地产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采用成本计量模式的投资性房地产" w:id="240"/>
      <w:bookmarkEnd w:id="240"/>
      <w:r>
        <w:rPr>
          <w:b w:val="0"/>
          <w:bCs w:val="0"/>
        </w:rPr>
      </w:r>
      <w:r>
        <w:rPr/>
        <w:t>（</w:t>
      </w:r>
      <w:r>
        <w:rPr>
          <w:rFonts w:ascii="Times New Roman" w:hAnsi="Times New Roman" w:cs="Times New Roman" w:eastAsia="Times New Roman" w:hint="default"/>
        </w:rPr>
        <w:t>1</w:t>
      </w:r>
      <w:r>
        <w:rPr/>
        <w:t>）采用成本计量模式的投资性房地产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3"/>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25"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348,713,581.64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6" w:right="0"/>
              <w:jc w:val="left"/>
              <w:rPr>
                <w:rFonts w:ascii="Times New Roman" w:hAnsi="Times New Roman" w:cs="Times New Roman" w:eastAsia="Times New Roman" w:hint="default"/>
                <w:sz w:val="18"/>
                <w:szCs w:val="18"/>
              </w:rPr>
            </w:pPr>
            <w:r>
              <w:rPr>
                <w:rFonts w:ascii="Times New Roman"/>
                <w:sz w:val="18"/>
              </w:rPr>
              <w:t>4,690,474.60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353,404,056.24</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94,394,820.89</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94,394,820.89</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）外购</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29" w:right="0"/>
              <w:jc w:val="lef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）存货</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固定资产</w:t>
            </w:r>
          </w:p>
          <w:p>
            <w:pPr>
              <w:pStyle w:val="TableParagraph"/>
              <w:spacing w:line="240" w:lineRule="auto" w:before="64"/>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在建工程转入</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94,394,820.89</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94,394,820.89</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65"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）企业合并增加</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443,108,402.53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4,690,474.60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447,798,877.13</w:t>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二、累计折旧和累计摊 销</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34,005,988.19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143,002.20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34,148,990.39</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14,147,580.84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114,401.76</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14,261,982.60</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）计提或摊销</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12,059,612.40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114,401.76</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12,174,014.16</w:t>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66"/>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）存货</w:t>
            </w:r>
            <w:r>
              <w:rPr>
                <w:rFonts w:ascii="Times New Roman" w:hAnsi="Times New Roman" w:cs="Times New Roman" w:eastAsia="Times New Roman" w:hint="default"/>
                <w:sz w:val="18"/>
                <w:szCs w:val="18"/>
              </w:rPr>
              <w:t>\</w:t>
            </w:r>
            <w:r>
              <w:rPr>
                <w:rFonts w:ascii="宋体" w:hAnsi="宋体" w:cs="宋体" w:eastAsia="宋体" w:hint="default"/>
                <w:sz w:val="18"/>
                <w:szCs w:val="18"/>
              </w:rPr>
              <w:t>固定资产</w:t>
            </w:r>
            <w:r>
              <w:rPr>
                <w:rFonts w:ascii="Times New Roman" w:hAnsi="Times New Roman" w:cs="Times New Roman" w:eastAsia="Times New Roman" w:hint="default"/>
                <w:sz w:val="18"/>
                <w:szCs w:val="18"/>
              </w:rPr>
              <w:t>\</w:t>
            </w:r>
            <w:r>
              <w:rPr>
                <w:rFonts w:ascii="宋体" w:hAnsi="宋体" w:cs="宋体" w:eastAsia="宋体" w:hint="default"/>
                <w:sz w:val="18"/>
                <w:szCs w:val="18"/>
              </w:rPr>
              <w:t>在 建工程转入</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2,087,968.44</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2,087,968.44</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48,153,569.03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257,403.96</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48,410,972.99</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期末账面价值</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394,954,833.50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4,433,070.64</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399,387,904.14</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期初账面价值</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314,707,593.45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4,547,472.40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319,255,065.85</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采用公允价值计量模式的投资性房地产" w:id="241"/>
      <w:bookmarkEnd w:id="241"/>
      <w:r>
        <w:rPr>
          <w:b w:val="0"/>
          <w:bCs w:val="0"/>
        </w:rPr>
      </w:r>
      <w:r>
        <w:rPr/>
        <w:t>（</w:t>
      </w:r>
      <w:r>
        <w:rPr>
          <w:rFonts w:ascii="Times New Roman" w:hAnsi="Times New Roman" w:cs="Times New Roman" w:eastAsia="Times New Roman" w:hint="default"/>
        </w:rPr>
        <w:t>2</w:t>
      </w:r>
      <w:r>
        <w:rPr/>
        <w:t>）采用公允价值计量模式的投资性房地产</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bookmarkStart w:name="9、固定资产" w:id="242"/>
      <w:bookmarkEnd w:id="242"/>
      <w:r>
        <w:rPr>
          <w:b w:val="0"/>
          <w:bCs w:val="0"/>
        </w:rPr>
      </w:r>
      <w:r>
        <w:rPr>
          <w:rFonts w:ascii="Times New Roman" w:hAnsi="Times New Roman" w:cs="Times New Roman" w:eastAsia="Times New Roman" w:hint="default"/>
        </w:rPr>
        <w:t>9</w:t>
      </w:r>
      <w:r>
        <w:rPr/>
        <w:t>、固定资产</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71"/>
        <w:gridCol w:w="3200"/>
        <w:gridCol w:w="3188"/>
      </w:tblGrid>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2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1,602,802,154.29</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1,680,662,023.38</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2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3,205,002.27</w:t>
            </w:r>
          </w:p>
        </w:tc>
        <w:tc>
          <w:tcPr>
            <w:tcW w:w="318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1,606,007,156.56</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1,680,662,023.38</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1）固定资产情况" w:id="243"/>
      <w:bookmarkEnd w:id="243"/>
      <w:r>
        <w:rPr>
          <w:b w:val="0"/>
          <w:bCs w:val="0"/>
        </w:rPr>
      </w:r>
      <w:r>
        <w:rPr/>
        <w:t>（</w:t>
      </w:r>
      <w:r>
        <w:rPr>
          <w:rFonts w:ascii="Times New Roman" w:hAnsi="Times New Roman" w:cs="Times New Roman" w:eastAsia="Times New Roman" w:hint="default"/>
        </w:rPr>
        <w:t>1</w:t>
      </w:r>
      <w:r>
        <w:rPr/>
        <w:t>）固定资产情况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583"/>
        <w:gridCol w:w="1606"/>
        <w:gridCol w:w="1594"/>
        <w:gridCol w:w="1594"/>
        <w:gridCol w:w="1595"/>
        <w:gridCol w:w="1594"/>
      </w:tblGrid>
      <w:tr>
        <w:trPr>
          <w:trHeight w:val="402" w:hRule="exact"/>
        </w:trPr>
        <w:tc>
          <w:tcPr>
            <w:tcW w:w="1583" w:type="dxa"/>
            <w:tcBorders>
              <w:top w:val="single" w:sz="4" w:space="0" w:color="000000"/>
              <w:left w:val="single" w:sz="4" w:space="0" w:color="000000"/>
              <w:bottom w:val="single" w:sz="4" w:space="0" w:color="000000"/>
              <w:right w:val="single" w:sz="13" w:space="0" w:color="D9D9D9"/>
            </w:tcBorders>
            <w:shd w:val="clear" w:color="auto" w:fill="D2D2D2"/>
          </w:tcPr>
          <w:p>
            <w:pPr>
              <w:pStyle w:val="TableParagraph"/>
              <w:spacing w:line="240" w:lineRule="auto" w:before="51"/>
              <w:ind w:left="23"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06" w:type="dxa"/>
            <w:tcBorders>
              <w:top w:val="single" w:sz="4" w:space="0" w:color="000000"/>
              <w:left w:val="single" w:sz="9" w:space="0" w:color="D2D2D2"/>
              <w:bottom w:val="single" w:sz="4" w:space="0" w:color="000000"/>
              <w:right w:val="single" w:sz="4" w:space="0" w:color="000000"/>
            </w:tcBorders>
            <w:shd w:val="clear" w:color="auto" w:fill="D9D9D9"/>
          </w:tcPr>
          <w:p>
            <w:pPr>
              <w:pStyle w:val="TableParagraph"/>
              <w:spacing w:line="240" w:lineRule="auto" w:before="51"/>
              <w:ind w:left="258"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59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59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595" w:type="dxa"/>
            <w:tcBorders>
              <w:top w:val="single" w:sz="4" w:space="0" w:color="000000"/>
              <w:left w:val="single" w:sz="4" w:space="0" w:color="000000"/>
              <w:bottom w:val="single" w:sz="4" w:space="0" w:color="000000"/>
              <w:right w:val="single" w:sz="9" w:space="0" w:color="D2D2D2"/>
            </w:tcBorders>
            <w:shd w:val="clear" w:color="auto" w:fill="D9D9D9"/>
          </w:tcPr>
          <w:p>
            <w:pPr>
              <w:pStyle w:val="TableParagraph"/>
              <w:spacing w:line="240" w:lineRule="auto" w:before="51"/>
              <w:ind w:left="163" w:right="0"/>
              <w:jc w:val="left"/>
              <w:rPr>
                <w:rFonts w:ascii="宋体" w:hAnsi="宋体" w:cs="宋体" w:eastAsia="宋体" w:hint="default"/>
                <w:sz w:val="18"/>
                <w:szCs w:val="18"/>
              </w:rPr>
            </w:pPr>
            <w:r>
              <w:rPr>
                <w:rFonts w:ascii="宋体" w:hAnsi="宋体" w:cs="宋体" w:eastAsia="宋体" w:hint="default"/>
                <w:sz w:val="18"/>
                <w:szCs w:val="18"/>
              </w:rPr>
              <w:t>电子及其他设备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1,202,789,844.90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1,454,093,036.71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64,254,566.52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139,906,644.78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2,861,044,092.91</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3"/>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本期增加金额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5,352,032.31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182,169,788.26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4,824,849.22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14,688,589.02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207,035,258.81</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91,952,277.60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4,824,849.22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14,688,589.02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111,465,715.84</w:t>
            </w: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7" w:firstLine="36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）在建工程 转入</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5,352,032.31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90,217,510.66</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95,569,542.97</w:t>
            </w: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7" w:firstLine="36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）企业合并 增加</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9D9D9"/>
          </w:tcPr>
          <w:p>
            <w:pPr/>
          </w:p>
        </w:tc>
        <w:tc>
          <w:tcPr>
            <w:tcW w:w="1606" w:type="dxa"/>
            <w:tcBorders>
              <w:top w:val="single" w:sz="4" w:space="0" w:color="000000"/>
              <w:left w:val="single" w:sz="9" w:space="0" w:color="D9D9D9"/>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3"/>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3.</w:t>
            </w:r>
            <w:r>
              <w:rPr>
                <w:rFonts w:ascii="宋体" w:hAnsi="宋体" w:cs="宋体" w:eastAsia="宋体" w:hint="default"/>
                <w:spacing w:val="-1"/>
                <w:sz w:val="18"/>
                <w:szCs w:val="18"/>
              </w:rPr>
              <w:t>本期减少金额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129,846,648.50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125,741,457.27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3,821,399.59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2,363,463.74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261,772,969.10</w:t>
            </w: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废</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20,068,950.45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125,741,457.27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3,821,399.59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2,363,463.74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151,995,271.05</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）其他减少</w:t>
            </w:r>
          </w:p>
        </w:tc>
        <w:tc>
          <w:tcPr>
            <w:tcW w:w="1606" w:type="dxa"/>
            <w:tcBorders>
              <w:top w:val="single" w:sz="4" w:space="0" w:color="000000"/>
              <w:left w:val="single" w:sz="9" w:space="0" w:color="D9D9D9"/>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109,777,698.05</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109,777,698.05</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1,078,295,228.71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1,510,521,367.70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65,258,016.15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152,231,770.06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2,806,306,382.62</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二、累计折旧</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194,627,617.12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853,056,690.91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46,996,873.12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82,499,478.68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1,177,180,659.83</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3"/>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本期增加金额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39,487,422.28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91,883,832.86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5,182,980.30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11,724,099.36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148,278,334.80</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39,487,422.28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91,883,832.86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5,182,980.30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11,724,099.36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148,278,334.80</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9D9D9"/>
          </w:tcPr>
          <w:p>
            <w:pPr/>
          </w:p>
        </w:tc>
        <w:tc>
          <w:tcPr>
            <w:tcW w:w="1606" w:type="dxa"/>
            <w:tcBorders>
              <w:top w:val="single" w:sz="4" w:space="0" w:color="000000"/>
              <w:left w:val="single" w:sz="9" w:space="0" w:color="D9D9D9"/>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3"/>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3.</w:t>
            </w:r>
            <w:r>
              <w:rPr>
                <w:rFonts w:ascii="宋体" w:hAnsi="宋体" w:cs="宋体" w:eastAsia="宋体" w:hint="default"/>
                <w:spacing w:val="-1"/>
                <w:sz w:val="18"/>
                <w:szCs w:val="18"/>
              </w:rPr>
              <w:t>本期减少金额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12,882,066.23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103,897,407.68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3,433,627.32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1,826,792.62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122,039,893.85</w:t>
            </w: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废</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10,794,097.79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103,897,407.68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3,433,627.32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1,826,792.62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119,951,925.41</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）其他减少</w:t>
            </w:r>
          </w:p>
        </w:tc>
        <w:tc>
          <w:tcPr>
            <w:tcW w:w="1606" w:type="dxa"/>
            <w:tcBorders>
              <w:top w:val="single" w:sz="4" w:space="0" w:color="000000"/>
              <w:left w:val="single" w:sz="9" w:space="0" w:color="D9D9D9"/>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2,087,968.44</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2,087,968.44</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221,232,973.17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841,043,116.09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48,746,226.10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92,396,785.42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1,203,419,100.78</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583"/>
        <w:gridCol w:w="1606"/>
        <w:gridCol w:w="1594"/>
        <w:gridCol w:w="1594"/>
        <w:gridCol w:w="1595"/>
        <w:gridCol w:w="1594"/>
      </w:tblGrid>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3,165,013.66</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36,396.04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3,201,409.70</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3"/>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本期增加金额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9D9D9"/>
          </w:tcPr>
          <w:p>
            <w:pPr/>
          </w:p>
        </w:tc>
        <w:tc>
          <w:tcPr>
            <w:tcW w:w="1606" w:type="dxa"/>
            <w:tcBorders>
              <w:top w:val="single" w:sz="4" w:space="0" w:color="000000"/>
              <w:left w:val="single" w:sz="9" w:space="0" w:color="D9D9D9"/>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3"/>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3.</w:t>
            </w:r>
            <w:r>
              <w:rPr>
                <w:rFonts w:ascii="宋体" w:hAnsi="宋体" w:cs="宋体" w:eastAsia="宋体" w:hint="default"/>
                <w:spacing w:val="-1"/>
                <w:sz w:val="18"/>
                <w:szCs w:val="18"/>
              </w:rPr>
              <w:t>本期减少金额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3,115,258.15</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1,024.00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3,116,282.15</w:t>
            </w: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废</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3,115,258.15</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1,024.00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3,116,282.15</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9D9D9"/>
          </w:tcPr>
          <w:p>
            <w:pPr/>
          </w:p>
        </w:tc>
        <w:tc>
          <w:tcPr>
            <w:tcW w:w="1606" w:type="dxa"/>
            <w:tcBorders>
              <w:top w:val="single" w:sz="4" w:space="0" w:color="000000"/>
              <w:left w:val="single" w:sz="9" w:space="0" w:color="D9D9D9"/>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49,755.51</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35,372.04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85,127.55</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3"/>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1.</w:t>
            </w:r>
            <w:r>
              <w:rPr>
                <w:rFonts w:ascii="宋体" w:hAnsi="宋体" w:cs="宋体" w:eastAsia="宋体" w:hint="default"/>
                <w:spacing w:val="-1"/>
                <w:sz w:val="18"/>
                <w:szCs w:val="18"/>
              </w:rPr>
              <w:t>期末账面价值</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857,062,255.54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669,428,496.10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16,511,790.05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59,799,612.60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1,602,802,154.29</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3"/>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期初账面价值</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1,008,162,227.78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597,871,332.14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17,257,693.40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57,370,770.06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1,680,662,023.38</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未办妥产权证书的固定资产情况" w:id="244"/>
      <w:bookmarkEnd w:id="244"/>
      <w:r>
        <w:rPr>
          <w:b w:val="0"/>
          <w:bCs w:val="0"/>
        </w:rPr>
      </w:r>
      <w:r>
        <w:rPr/>
        <w:t>（</w:t>
      </w:r>
      <w:r>
        <w:rPr>
          <w:rFonts w:ascii="Times New Roman" w:hAnsi="Times New Roman" w:cs="Times New Roman" w:eastAsia="Times New Roman" w:hint="default"/>
        </w:rPr>
        <w:t>2</w:t>
      </w:r>
      <w:r>
        <w:rPr/>
        <w:t>）未办妥产权证书的固定资产情况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2768"/>
        <w:gridCol w:w="3615"/>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7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02"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云南办事处房产</w:t>
            </w:r>
          </w:p>
        </w:tc>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2,456,447.76</w:t>
            </w:r>
          </w:p>
        </w:tc>
        <w:tc>
          <w:tcPr>
            <w:tcW w:w="3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尚在申请办理中</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长春吉星厂房及办公楼</w:t>
            </w:r>
          </w:p>
        </w:tc>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4,702,549.12</w:t>
            </w:r>
          </w:p>
        </w:tc>
        <w:tc>
          <w:tcPr>
            <w:tcW w:w="3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在租赁土地上建设的房产，无法取得房产证</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7,158,996.88</w:t>
            </w:r>
          </w:p>
        </w:tc>
        <w:tc>
          <w:tcPr>
            <w:tcW w:w="361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固定资产清理" w:id="245"/>
      <w:bookmarkEnd w:id="245"/>
      <w:r>
        <w:rPr>
          <w:b w:val="0"/>
          <w:bCs w:val="0"/>
        </w:rPr>
      </w:r>
      <w:r>
        <w:rPr/>
        <w:t>（</w:t>
      </w:r>
      <w:r>
        <w:rPr>
          <w:rFonts w:ascii="Times New Roman" w:hAnsi="Times New Roman" w:cs="Times New Roman" w:eastAsia="Times New Roman" w:hint="default"/>
        </w:rPr>
        <w:t>3</w:t>
      </w:r>
      <w:r>
        <w:rPr/>
        <w:t>）固定资产清理</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1"/>
        <w:gridCol w:w="3190"/>
      </w:tblGrid>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待处理设备</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3,205,002.27</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3,205,002.27</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10、在建工程" w:id="246"/>
      <w:bookmarkEnd w:id="246"/>
      <w:r>
        <w:rPr>
          <w:b w:val="0"/>
          <w:bCs w:val="0"/>
        </w:rPr>
      </w:r>
      <w:r>
        <w:rPr>
          <w:rFonts w:ascii="Times New Roman" w:hAnsi="Times New Roman" w:cs="Times New Roman" w:eastAsia="Times New Roman" w:hint="default"/>
        </w:rPr>
        <w:t>10</w:t>
      </w:r>
      <w:r>
        <w:rPr/>
        <w:t>、在建工程</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884"/>
        <w:gridCol w:w="3827"/>
        <w:gridCol w:w="3858"/>
      </w:tblGrid>
      <w:tr>
        <w:trPr>
          <w:trHeight w:val="401" w:hRule="exact"/>
        </w:trPr>
        <w:tc>
          <w:tcPr>
            <w:tcW w:w="18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8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82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266,703,315.99</w:t>
            </w:r>
          </w:p>
        </w:tc>
        <w:tc>
          <w:tcPr>
            <w:tcW w:w="3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133,973,716.36</w:t>
            </w:r>
          </w:p>
        </w:tc>
      </w:tr>
      <w:tr>
        <w:trPr>
          <w:trHeight w:val="404" w:hRule="exact"/>
        </w:trPr>
        <w:tc>
          <w:tcPr>
            <w:tcW w:w="18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82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266,703,315.99</w:t>
            </w:r>
          </w:p>
        </w:tc>
        <w:tc>
          <w:tcPr>
            <w:tcW w:w="3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133,973,716.36</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1）在建工程情况" w:id="247"/>
      <w:bookmarkEnd w:id="247"/>
      <w:r>
        <w:rPr>
          <w:b w:val="0"/>
          <w:bCs w:val="0"/>
        </w:rPr>
      </w:r>
      <w:r>
        <w:rPr/>
        <w:t>（</w:t>
      </w:r>
      <w:r>
        <w:rPr>
          <w:rFonts w:ascii="Times New Roman" w:hAnsi="Times New Roman" w:cs="Times New Roman" w:eastAsia="Times New Roman" w:hint="default"/>
        </w:rPr>
        <w:t>1</w:t>
      </w:r>
      <w:r>
        <w:rPr/>
        <w:t>）在建工程情况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after="0" w:line="240" w:lineRule="auto"/>
        <w:jc w:val="right"/>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85"/>
        <w:gridCol w:w="1134"/>
        <w:gridCol w:w="984"/>
        <w:gridCol w:w="1367"/>
        <w:gridCol w:w="1368"/>
        <w:gridCol w:w="1367"/>
        <w:gridCol w:w="1367"/>
      </w:tblGrid>
      <w:tr>
        <w:trPr>
          <w:trHeight w:val="402" w:hRule="exact"/>
        </w:trPr>
        <w:tc>
          <w:tcPr>
            <w:tcW w:w="198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485"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985" w:type="dxa"/>
            <w:vMerge/>
            <w:tcBorders>
              <w:left w:val="single" w:sz="4" w:space="0" w:color="000000"/>
              <w:bottom w:val="single" w:sz="4" w:space="0" w:color="000000"/>
              <w:right w:val="single" w:sz="4" w:space="0" w:color="000000"/>
            </w:tcBorders>
            <w:shd w:val="clear" w:color="auto" w:fill="D2D2D2"/>
          </w:tcPr>
          <w:p>
            <w:pP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6"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14"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0"/>
              <w:jc w:val="left"/>
              <w:rPr>
                <w:rFonts w:ascii="宋体" w:hAnsi="宋体" w:cs="宋体" w:eastAsia="宋体" w:hint="default"/>
                <w:sz w:val="18"/>
                <w:szCs w:val="18"/>
              </w:rPr>
            </w:pPr>
            <w:r>
              <w:rPr>
                <w:rFonts w:ascii="宋体" w:hAnsi="宋体" w:cs="宋体" w:eastAsia="宋体" w:hint="default"/>
                <w:sz w:val="18"/>
                <w:szCs w:val="18"/>
              </w:rPr>
              <w:t>劲嘉集团包装印刷工业 园</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1,034,727.17</w:t>
            </w:r>
          </w:p>
        </w:tc>
        <w:tc>
          <w:tcPr>
            <w:tcW w:w="984"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1,034,727.17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720,720.72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720,720.72</w:t>
            </w:r>
          </w:p>
        </w:tc>
      </w:tr>
      <w:tr>
        <w:trPr>
          <w:trHeight w:val="402"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青岛嘉颐泽工业园</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2,472,482.00</w:t>
            </w:r>
          </w:p>
        </w:tc>
        <w:tc>
          <w:tcPr>
            <w:tcW w:w="984"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2,472,482.00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2,645,246.91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2,645,246.91</w:t>
            </w:r>
          </w:p>
        </w:tc>
      </w:tr>
      <w:tr>
        <w:trPr>
          <w:trHeight w:val="402"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劲嘉集团工业园三期</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10,846,120.90</w:t>
            </w:r>
          </w:p>
        </w:tc>
        <w:tc>
          <w:tcPr>
            <w:tcW w:w="984"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10,846,120.90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劲嘉集团工业园综合体</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6,399,302.20</w:t>
            </w:r>
          </w:p>
        </w:tc>
        <w:tc>
          <w:tcPr>
            <w:tcW w:w="984"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6,399,302.20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5,639,302.20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5,639,302.20</w:t>
            </w:r>
          </w:p>
        </w:tc>
      </w:tr>
      <w:tr>
        <w:trPr>
          <w:trHeight w:val="402"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劲嘉集团工业园四期</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44,229,170.68</w:t>
            </w:r>
          </w:p>
        </w:tc>
        <w:tc>
          <w:tcPr>
            <w:tcW w:w="984"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44,229,170.68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12,402,946.99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12,402,946.99</w:t>
            </w:r>
          </w:p>
        </w:tc>
      </w:tr>
      <w:tr>
        <w:trPr>
          <w:trHeight w:val="402"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贵州劲嘉厂房</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22,494,863.39</w:t>
            </w:r>
          </w:p>
        </w:tc>
        <w:tc>
          <w:tcPr>
            <w:tcW w:w="984"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22,494,863.39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3,387,974.06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3,387,974.06</w:t>
            </w:r>
          </w:p>
        </w:tc>
      </w:tr>
      <w:tr>
        <w:trPr>
          <w:trHeight w:val="402"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贵州瑞源科技园项目</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56,000.00</w:t>
            </w:r>
          </w:p>
        </w:tc>
        <w:tc>
          <w:tcPr>
            <w:tcW w:w="984"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56,000.00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56,000.00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56,000.00</w:t>
            </w:r>
          </w:p>
        </w:tc>
      </w:tr>
      <w:tr>
        <w:trPr>
          <w:trHeight w:val="402"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贵州劲瑞厂房装修项目</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6,640,597.62</w:t>
            </w:r>
          </w:p>
        </w:tc>
        <w:tc>
          <w:tcPr>
            <w:tcW w:w="984"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6,640,597.62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5,018,508.35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5,018,508.35</w:t>
            </w:r>
          </w:p>
        </w:tc>
      </w:tr>
      <w:tr>
        <w:trPr>
          <w:trHeight w:val="402"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长春吉星新厂区</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17,531,769.11</w:t>
            </w:r>
          </w:p>
        </w:tc>
        <w:tc>
          <w:tcPr>
            <w:tcW w:w="984"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17,531,769.11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16,811,685.68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16,811,685.68</w:t>
            </w:r>
          </w:p>
        </w:tc>
      </w:tr>
      <w:tr>
        <w:trPr>
          <w:trHeight w:val="402"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中丰田办公楼</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5,660,010.47</w:t>
            </w:r>
          </w:p>
        </w:tc>
        <w:tc>
          <w:tcPr>
            <w:tcW w:w="984"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5,660,010.47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686,612.35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686,612.35</w:t>
            </w:r>
          </w:p>
        </w:tc>
      </w:tr>
      <w:tr>
        <w:trPr>
          <w:trHeight w:val="402"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中丰田</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号厂房</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26,392,074.65</w:t>
            </w:r>
          </w:p>
        </w:tc>
        <w:tc>
          <w:tcPr>
            <w:tcW w:w="984"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26,392,074.65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1,093,301.78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1,093,301.78</w:t>
            </w:r>
          </w:p>
        </w:tc>
      </w:tr>
      <w:tr>
        <w:trPr>
          <w:trHeight w:val="402"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中丰田</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号厂房</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6,872,472.60</w:t>
            </w:r>
          </w:p>
        </w:tc>
        <w:tc>
          <w:tcPr>
            <w:tcW w:w="984"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6,872,472.60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中丰田</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号厂房</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6,393,814.34</w:t>
            </w:r>
          </w:p>
        </w:tc>
        <w:tc>
          <w:tcPr>
            <w:tcW w:w="984"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6,393,814.34</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20"/>
              <w:jc w:val="left"/>
              <w:rPr>
                <w:rFonts w:ascii="宋体" w:hAnsi="宋体" w:cs="宋体" w:eastAsia="宋体" w:hint="default"/>
                <w:sz w:val="18"/>
                <w:szCs w:val="18"/>
              </w:rPr>
            </w:pPr>
            <w:r>
              <w:rPr>
                <w:rFonts w:ascii="宋体" w:hAnsi="宋体" w:cs="宋体" w:eastAsia="宋体" w:hint="default"/>
                <w:sz w:val="18"/>
                <w:szCs w:val="18"/>
              </w:rPr>
              <w:t>中丰田</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MN</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栋</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号综合 楼外墙工程</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11,281,874.34</w:t>
            </w:r>
          </w:p>
        </w:tc>
        <w:tc>
          <w:tcPr>
            <w:tcW w:w="984"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11,281,874.34</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68,367,123.89</w:t>
            </w:r>
          </w:p>
        </w:tc>
        <w:tc>
          <w:tcPr>
            <w:tcW w:w="984"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68,367,123.89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81,294,337.32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81,294,337.32</w:t>
            </w:r>
          </w:p>
        </w:tc>
      </w:tr>
      <w:tr>
        <w:trPr>
          <w:trHeight w:val="402"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30,030,912.63</w:t>
            </w:r>
          </w:p>
        </w:tc>
        <w:tc>
          <w:tcPr>
            <w:tcW w:w="984"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30,030,912.63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4,217,080.00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4,217,080.00</w:t>
            </w:r>
          </w:p>
        </w:tc>
      </w:tr>
      <w:tr>
        <w:trPr>
          <w:trHeight w:val="714"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266,703,315.9</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9</w:t>
            </w:r>
          </w:p>
        </w:tc>
        <w:tc>
          <w:tcPr>
            <w:tcW w:w="984"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266,703,315.99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133,973,716.36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133,973,716.36</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重要在建工程项目本期变动情况" w:id="248"/>
      <w:bookmarkEnd w:id="248"/>
      <w:r>
        <w:rPr>
          <w:b w:val="0"/>
          <w:bCs w:val="0"/>
        </w:rPr>
      </w:r>
      <w:r>
        <w:rPr/>
        <w:t>（</w:t>
      </w:r>
      <w:r>
        <w:rPr>
          <w:rFonts w:ascii="Times New Roman" w:hAnsi="Times New Roman" w:cs="Times New Roman" w:eastAsia="Times New Roman" w:hint="default"/>
        </w:rPr>
        <w:t>2</w:t>
      </w:r>
      <w:r>
        <w:rPr/>
        <w:t>）重要在建工程项目本期变动情况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32"/>
        <w:gridCol w:w="736"/>
        <w:gridCol w:w="737"/>
        <w:gridCol w:w="736"/>
        <w:gridCol w:w="736"/>
        <w:gridCol w:w="737"/>
        <w:gridCol w:w="736"/>
        <w:gridCol w:w="736"/>
        <w:gridCol w:w="737"/>
        <w:gridCol w:w="736"/>
        <w:gridCol w:w="736"/>
        <w:gridCol w:w="737"/>
        <w:gridCol w:w="736"/>
      </w:tblGrid>
      <w:tr>
        <w:trPr>
          <w:trHeight w:val="1338" w:hRule="exact"/>
        </w:trPr>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70" w:right="90" w:hanging="180"/>
              <w:jc w:val="left"/>
              <w:rPr>
                <w:rFonts w:ascii="宋体" w:hAnsi="宋体" w:cs="宋体" w:eastAsia="宋体" w:hint="default"/>
                <w:sz w:val="18"/>
                <w:szCs w:val="18"/>
              </w:rPr>
            </w:pPr>
            <w:r>
              <w:rPr>
                <w:rFonts w:ascii="宋体" w:hAnsi="宋体" w:cs="宋体" w:eastAsia="宋体" w:hint="default"/>
                <w:sz w:val="18"/>
                <w:szCs w:val="18"/>
              </w:rPr>
              <w:t>项目名 称</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92" w:right="0"/>
              <w:jc w:val="left"/>
              <w:rPr>
                <w:rFonts w:ascii="宋体" w:hAnsi="宋体" w:cs="宋体" w:eastAsia="宋体" w:hint="default"/>
                <w:sz w:val="18"/>
                <w:szCs w:val="18"/>
              </w:rPr>
            </w:pPr>
            <w:r>
              <w:rPr>
                <w:rFonts w:ascii="宋体" w:hAnsi="宋体" w:cs="宋体" w:eastAsia="宋体" w:hint="default"/>
                <w:sz w:val="18"/>
                <w:szCs w:val="18"/>
              </w:rPr>
              <w:t>预算数</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73" w:right="91" w:hanging="180"/>
              <w:jc w:val="left"/>
              <w:rPr>
                <w:rFonts w:ascii="宋体" w:hAnsi="宋体" w:cs="宋体" w:eastAsia="宋体" w:hint="default"/>
                <w:sz w:val="18"/>
                <w:szCs w:val="18"/>
              </w:rPr>
            </w:pPr>
            <w:r>
              <w:rPr>
                <w:rFonts w:ascii="宋体" w:hAnsi="宋体" w:cs="宋体" w:eastAsia="宋体" w:hint="default"/>
                <w:sz w:val="18"/>
                <w:szCs w:val="18"/>
              </w:rPr>
              <w:t>期初余 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92" w:right="91"/>
              <w:jc w:val="left"/>
              <w:rPr>
                <w:rFonts w:ascii="宋体" w:hAnsi="宋体" w:cs="宋体" w:eastAsia="宋体" w:hint="default"/>
                <w:sz w:val="18"/>
                <w:szCs w:val="18"/>
              </w:rPr>
            </w:pPr>
            <w:r>
              <w:rPr>
                <w:rFonts w:ascii="宋体" w:hAnsi="宋体" w:cs="宋体" w:eastAsia="宋体" w:hint="default"/>
                <w:sz w:val="18"/>
                <w:szCs w:val="18"/>
              </w:rPr>
              <w:t>本期增 加金额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92" w:right="91"/>
              <w:jc w:val="center"/>
              <w:rPr>
                <w:rFonts w:ascii="宋体" w:hAnsi="宋体" w:cs="宋体" w:eastAsia="宋体" w:hint="default"/>
                <w:sz w:val="18"/>
                <w:szCs w:val="18"/>
              </w:rPr>
            </w:pPr>
            <w:r>
              <w:rPr>
                <w:rFonts w:ascii="宋体" w:hAnsi="宋体" w:cs="宋体" w:eastAsia="宋体" w:hint="default"/>
                <w:sz w:val="18"/>
                <w:szCs w:val="18"/>
              </w:rPr>
              <w:t>本期转 入固定 资产金 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93" w:right="91"/>
              <w:jc w:val="both"/>
              <w:rPr>
                <w:rFonts w:ascii="宋体" w:hAnsi="宋体" w:cs="宋体" w:eastAsia="宋体" w:hint="default"/>
                <w:sz w:val="18"/>
                <w:szCs w:val="18"/>
              </w:rPr>
            </w:pPr>
            <w:r>
              <w:rPr>
                <w:rFonts w:ascii="宋体" w:hAnsi="宋体" w:cs="宋体" w:eastAsia="宋体" w:hint="default"/>
                <w:sz w:val="18"/>
                <w:szCs w:val="18"/>
              </w:rPr>
              <w:t>本期其 他减少 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72" w:right="91" w:hanging="180"/>
              <w:jc w:val="left"/>
              <w:rPr>
                <w:rFonts w:ascii="宋体" w:hAnsi="宋体" w:cs="宋体" w:eastAsia="宋体" w:hint="default"/>
                <w:sz w:val="18"/>
                <w:szCs w:val="18"/>
              </w:rPr>
            </w:pPr>
            <w:r>
              <w:rPr>
                <w:rFonts w:ascii="宋体" w:hAnsi="宋体" w:cs="宋体" w:eastAsia="宋体" w:hint="default"/>
                <w:sz w:val="18"/>
                <w:szCs w:val="18"/>
              </w:rPr>
              <w:t>期末余 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92" w:right="91"/>
              <w:jc w:val="both"/>
              <w:rPr>
                <w:rFonts w:ascii="宋体" w:hAnsi="宋体" w:cs="宋体" w:eastAsia="宋体" w:hint="default"/>
                <w:sz w:val="18"/>
                <w:szCs w:val="18"/>
              </w:rPr>
            </w:pPr>
            <w:r>
              <w:rPr>
                <w:rFonts w:ascii="宋体" w:hAnsi="宋体" w:cs="宋体" w:eastAsia="宋体" w:hint="default"/>
                <w:sz w:val="18"/>
                <w:szCs w:val="18"/>
              </w:rPr>
              <w:t>工程累 计投入 占预算 比例</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73" w:right="91" w:hanging="180"/>
              <w:jc w:val="left"/>
              <w:rPr>
                <w:rFonts w:ascii="宋体" w:hAnsi="宋体" w:cs="宋体" w:eastAsia="宋体" w:hint="default"/>
                <w:sz w:val="18"/>
                <w:szCs w:val="18"/>
              </w:rPr>
            </w:pPr>
            <w:r>
              <w:rPr>
                <w:rFonts w:ascii="宋体" w:hAnsi="宋体" w:cs="宋体" w:eastAsia="宋体" w:hint="default"/>
                <w:sz w:val="18"/>
                <w:szCs w:val="18"/>
              </w:rPr>
              <w:t>工程进 度</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92" w:right="93"/>
              <w:jc w:val="both"/>
              <w:rPr>
                <w:rFonts w:ascii="宋体" w:hAnsi="宋体" w:cs="宋体" w:eastAsia="宋体" w:hint="default"/>
                <w:sz w:val="18"/>
                <w:szCs w:val="18"/>
              </w:rPr>
            </w:pPr>
            <w:r>
              <w:rPr>
                <w:rFonts w:ascii="宋体" w:hAnsi="宋体" w:cs="宋体" w:eastAsia="宋体" w:hint="default"/>
                <w:sz w:val="18"/>
                <w:szCs w:val="18"/>
              </w:rPr>
              <w:t>利息资 本化累 计金额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0"/>
              <w:jc w:val="center"/>
              <w:rPr>
                <w:rFonts w:ascii="宋体" w:hAnsi="宋体" w:cs="宋体" w:eastAsia="宋体" w:hint="default"/>
                <w:sz w:val="18"/>
                <w:szCs w:val="18"/>
              </w:rPr>
            </w:pPr>
            <w:r>
              <w:rPr>
                <w:rFonts w:ascii="宋体" w:hAnsi="宋体" w:cs="宋体" w:eastAsia="宋体" w:hint="default"/>
                <w:spacing w:val="-10"/>
                <w:sz w:val="18"/>
                <w:szCs w:val="18"/>
              </w:rPr>
              <w:t>其中：本</w:t>
            </w:r>
            <w:r>
              <w:rPr>
                <w:rFonts w:ascii="宋体" w:hAnsi="宋体" w:cs="宋体" w:eastAsia="宋体" w:hint="default"/>
                <w:sz w:val="18"/>
                <w:szCs w:val="18"/>
              </w:rPr>
              <w:t> 期利息 资本化 金额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93" w:right="91"/>
              <w:jc w:val="both"/>
              <w:rPr>
                <w:rFonts w:ascii="宋体" w:hAnsi="宋体" w:cs="宋体" w:eastAsia="宋体" w:hint="default"/>
                <w:sz w:val="18"/>
                <w:szCs w:val="18"/>
              </w:rPr>
            </w:pPr>
            <w:r>
              <w:rPr>
                <w:rFonts w:ascii="宋体" w:hAnsi="宋体" w:cs="宋体" w:eastAsia="宋体" w:hint="default"/>
                <w:sz w:val="18"/>
                <w:szCs w:val="18"/>
              </w:rPr>
              <w:t>本期利 息资本 化率</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72" w:right="91" w:hanging="180"/>
              <w:jc w:val="left"/>
              <w:rPr>
                <w:rFonts w:ascii="宋体" w:hAnsi="宋体" w:cs="宋体" w:eastAsia="宋体" w:hint="default"/>
                <w:sz w:val="18"/>
                <w:szCs w:val="18"/>
              </w:rPr>
            </w:pPr>
            <w:r>
              <w:rPr>
                <w:rFonts w:ascii="宋体" w:hAnsi="宋体" w:cs="宋体" w:eastAsia="宋体" w:hint="default"/>
                <w:sz w:val="18"/>
                <w:szCs w:val="18"/>
              </w:rPr>
              <w:t>资金来 源</w:t>
            </w:r>
          </w:p>
        </w:tc>
      </w:tr>
      <w:tr>
        <w:trPr>
          <w:trHeight w:val="1026"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9"/>
              <w:jc w:val="both"/>
              <w:rPr>
                <w:rFonts w:ascii="宋体" w:hAnsi="宋体" w:cs="宋体" w:eastAsia="宋体" w:hint="default"/>
                <w:sz w:val="18"/>
                <w:szCs w:val="18"/>
              </w:rPr>
            </w:pPr>
            <w:r>
              <w:rPr>
                <w:rFonts w:ascii="宋体" w:hAnsi="宋体" w:cs="宋体" w:eastAsia="宋体" w:hint="default"/>
                <w:sz w:val="18"/>
                <w:szCs w:val="18"/>
              </w:rPr>
              <w:t>劲嘉工 业园四 期</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180,180,</w:t>
            </w:r>
          </w:p>
          <w:p>
            <w:pPr>
              <w:pStyle w:val="TableParagraph"/>
              <w:spacing w:line="240" w:lineRule="auto" w:before="105"/>
              <w:ind w:left="186" w:right="0"/>
              <w:jc w:val="center"/>
              <w:rPr>
                <w:rFonts w:ascii="Times New Roman" w:hAnsi="Times New Roman" w:cs="Times New Roman" w:eastAsia="Times New Roman" w:hint="default"/>
                <w:sz w:val="18"/>
                <w:szCs w:val="18"/>
              </w:rPr>
            </w:pPr>
            <w:r>
              <w:rPr>
                <w:rFonts w:ascii="Times New Roman"/>
                <w:sz w:val="18"/>
              </w:rPr>
              <w:t>180.18</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12,402,9</w:t>
            </w:r>
          </w:p>
          <w:p>
            <w:pPr>
              <w:pStyle w:val="TableParagraph"/>
              <w:spacing w:line="240" w:lineRule="auto" w:before="105"/>
              <w:ind w:left="299" w:right="0"/>
              <w:jc w:val="left"/>
              <w:rPr>
                <w:rFonts w:ascii="Times New Roman" w:hAnsi="Times New Roman" w:cs="Times New Roman" w:eastAsia="Times New Roman" w:hint="default"/>
                <w:sz w:val="18"/>
                <w:szCs w:val="18"/>
              </w:rPr>
            </w:pPr>
            <w:r>
              <w:rPr>
                <w:rFonts w:ascii="Times New Roman"/>
                <w:sz w:val="18"/>
              </w:rPr>
              <w:t>46.99</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31,826,2</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23.69</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44,229,1</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70.68</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26" w:right="0"/>
              <w:jc w:val="center"/>
              <w:rPr>
                <w:rFonts w:ascii="Times New Roman" w:hAnsi="Times New Roman" w:cs="Times New Roman" w:eastAsia="Times New Roman" w:hint="default"/>
                <w:sz w:val="18"/>
                <w:szCs w:val="18"/>
              </w:rPr>
            </w:pPr>
            <w:r>
              <w:rPr>
                <w:rFonts w:ascii="Times New Roman"/>
                <w:sz w:val="18"/>
              </w:rPr>
              <w:t>24.55%</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24.55%</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161"/>
              <w:jc w:val="left"/>
              <w:rPr>
                <w:rFonts w:ascii="宋体" w:hAnsi="宋体" w:cs="宋体" w:eastAsia="宋体" w:hint="default"/>
                <w:sz w:val="18"/>
                <w:szCs w:val="18"/>
              </w:rPr>
            </w:pPr>
            <w:r>
              <w:rPr>
                <w:rFonts w:ascii="宋体" w:hAnsi="宋体" w:cs="宋体" w:eastAsia="宋体" w:hint="default"/>
                <w:sz w:val="18"/>
                <w:szCs w:val="18"/>
              </w:rPr>
              <w:t>募股资 金</w:t>
            </w:r>
          </w:p>
        </w:tc>
      </w:tr>
      <w:tr>
        <w:trPr>
          <w:trHeight w:val="1338"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9"/>
              <w:jc w:val="both"/>
              <w:rPr>
                <w:rFonts w:ascii="宋体" w:hAnsi="宋体" w:cs="宋体" w:eastAsia="宋体" w:hint="default"/>
                <w:sz w:val="18"/>
                <w:szCs w:val="18"/>
              </w:rPr>
            </w:pPr>
            <w:r>
              <w:rPr>
                <w:rFonts w:ascii="宋体" w:hAnsi="宋体" w:cs="宋体" w:eastAsia="宋体" w:hint="default"/>
                <w:sz w:val="18"/>
                <w:szCs w:val="18"/>
              </w:rPr>
              <w:t>中丰田 厂房升 级改造 项目</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67,219,8</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00.00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1,968,59</w:t>
            </w:r>
          </w:p>
          <w:p>
            <w:pPr>
              <w:pStyle w:val="TableParagraph"/>
              <w:spacing w:line="240" w:lineRule="auto" w:before="105"/>
              <w:ind w:left="389" w:right="0"/>
              <w:jc w:val="left"/>
              <w:rPr>
                <w:rFonts w:ascii="Times New Roman" w:hAnsi="Times New Roman" w:cs="Times New Roman" w:eastAsia="Times New Roman" w:hint="default"/>
                <w:sz w:val="18"/>
                <w:szCs w:val="18"/>
              </w:rPr>
            </w:pPr>
            <w:r>
              <w:rPr>
                <w:rFonts w:ascii="Times New Roman"/>
                <w:sz w:val="18"/>
              </w:rPr>
              <w:t>3.38</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63,610,0</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53.36</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65,578,6</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46.74</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26" w:right="0"/>
              <w:jc w:val="center"/>
              <w:rPr>
                <w:rFonts w:ascii="Times New Roman" w:hAnsi="Times New Roman" w:cs="Times New Roman" w:eastAsia="Times New Roman" w:hint="default"/>
                <w:sz w:val="18"/>
                <w:szCs w:val="18"/>
              </w:rPr>
            </w:pPr>
            <w:r>
              <w:rPr>
                <w:rFonts w:ascii="Times New Roman"/>
                <w:sz w:val="18"/>
              </w:rPr>
              <w:t>97.56%</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97.56%</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 w:right="161"/>
              <w:jc w:val="left"/>
              <w:rPr>
                <w:rFonts w:ascii="宋体" w:hAnsi="宋体" w:cs="宋体" w:eastAsia="宋体" w:hint="default"/>
                <w:sz w:val="18"/>
                <w:szCs w:val="18"/>
              </w:rPr>
            </w:pPr>
            <w:r>
              <w:rPr>
                <w:rFonts w:ascii="宋体" w:hAnsi="宋体" w:cs="宋体" w:eastAsia="宋体" w:hint="default"/>
                <w:sz w:val="18"/>
                <w:szCs w:val="18"/>
              </w:rPr>
              <w:t>募股资 金</w:t>
            </w:r>
          </w:p>
        </w:tc>
      </w:tr>
    </w:tbl>
    <w:p>
      <w:pPr>
        <w:spacing w:after="0" w:line="316"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732"/>
        <w:gridCol w:w="736"/>
        <w:gridCol w:w="737"/>
        <w:gridCol w:w="736"/>
        <w:gridCol w:w="736"/>
        <w:gridCol w:w="737"/>
        <w:gridCol w:w="736"/>
        <w:gridCol w:w="736"/>
        <w:gridCol w:w="736"/>
        <w:gridCol w:w="737"/>
        <w:gridCol w:w="736"/>
        <w:gridCol w:w="737"/>
        <w:gridCol w:w="736"/>
      </w:tblGrid>
      <w:tr>
        <w:trPr>
          <w:trHeight w:val="714" w:hRule="exact"/>
        </w:trPr>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center"/>
              <w:rPr>
                <w:rFonts w:ascii="Times New Roman" w:hAnsi="Times New Roman" w:cs="Times New Roman" w:eastAsia="Times New Roman" w:hint="default"/>
                <w:sz w:val="18"/>
                <w:szCs w:val="18"/>
              </w:rPr>
            </w:pPr>
            <w:r>
              <w:rPr>
                <w:rFonts w:ascii="Times New Roman"/>
                <w:sz w:val="18"/>
              </w:rPr>
              <w:t>247,399,</w:t>
            </w:r>
          </w:p>
          <w:p>
            <w:pPr>
              <w:pStyle w:val="TableParagraph"/>
              <w:spacing w:line="240" w:lineRule="auto" w:before="106"/>
              <w:ind w:left="186" w:right="0"/>
              <w:jc w:val="center"/>
              <w:rPr>
                <w:rFonts w:ascii="Times New Roman" w:hAnsi="Times New Roman" w:cs="Times New Roman" w:eastAsia="Times New Roman" w:hint="default"/>
                <w:sz w:val="18"/>
                <w:szCs w:val="18"/>
              </w:rPr>
            </w:pPr>
            <w:r>
              <w:rPr>
                <w:rFonts w:ascii="Times New Roman"/>
                <w:sz w:val="18"/>
              </w:rPr>
              <w:t>980.18</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14,371,5</w:t>
            </w:r>
          </w:p>
          <w:p>
            <w:pPr>
              <w:pStyle w:val="TableParagraph"/>
              <w:spacing w:line="240" w:lineRule="auto" w:before="106"/>
              <w:ind w:left="299" w:right="0"/>
              <w:jc w:val="left"/>
              <w:rPr>
                <w:rFonts w:ascii="Times New Roman" w:hAnsi="Times New Roman" w:cs="Times New Roman" w:eastAsia="Times New Roman" w:hint="default"/>
                <w:sz w:val="18"/>
                <w:szCs w:val="18"/>
              </w:rPr>
            </w:pPr>
            <w:r>
              <w:rPr>
                <w:rFonts w:ascii="Times New Roman"/>
                <w:sz w:val="18"/>
              </w:rPr>
              <w:t>40.37</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95,436,2</w:t>
            </w:r>
          </w:p>
          <w:p>
            <w:pPr>
              <w:pStyle w:val="TableParagraph"/>
              <w:spacing w:line="240" w:lineRule="auto" w:before="106"/>
              <w:ind w:left="298" w:right="0"/>
              <w:jc w:val="left"/>
              <w:rPr>
                <w:rFonts w:ascii="Times New Roman" w:hAnsi="Times New Roman" w:cs="Times New Roman" w:eastAsia="Times New Roman" w:hint="default"/>
                <w:sz w:val="18"/>
                <w:szCs w:val="18"/>
              </w:rPr>
            </w:pPr>
            <w:r>
              <w:rPr>
                <w:rFonts w:ascii="Times New Roman"/>
                <w:sz w:val="18"/>
              </w:rPr>
              <w:t>77.05</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center"/>
              <w:rPr>
                <w:rFonts w:ascii="Times New Roman" w:hAnsi="Times New Roman" w:cs="Times New Roman" w:eastAsia="Times New Roman" w:hint="default"/>
                <w:sz w:val="18"/>
                <w:szCs w:val="18"/>
              </w:rPr>
            </w:pPr>
            <w:r>
              <w:rPr>
                <w:rFonts w:ascii="Times New Roman"/>
                <w:sz w:val="18"/>
              </w:rPr>
              <w:t>109,807,</w:t>
            </w:r>
          </w:p>
          <w:p>
            <w:pPr>
              <w:pStyle w:val="TableParagraph"/>
              <w:spacing w:line="240" w:lineRule="auto" w:before="106"/>
              <w:ind w:left="186" w:right="0"/>
              <w:jc w:val="center"/>
              <w:rPr>
                <w:rFonts w:ascii="Times New Roman" w:hAnsi="Times New Roman" w:cs="Times New Roman" w:eastAsia="Times New Roman" w:hint="default"/>
                <w:sz w:val="18"/>
                <w:szCs w:val="18"/>
              </w:rPr>
            </w:pPr>
            <w:r>
              <w:rPr>
                <w:rFonts w:ascii="Times New Roman"/>
                <w:sz w:val="18"/>
              </w:rPr>
              <w:t>817.42</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11、无形资产" w:id="249"/>
      <w:bookmarkEnd w:id="249"/>
      <w:r>
        <w:rPr>
          <w:b w:val="0"/>
          <w:bCs w:val="0"/>
        </w:rPr>
      </w:r>
      <w:r>
        <w:rPr>
          <w:rFonts w:ascii="Times New Roman" w:hAnsi="Times New Roman" w:cs="Times New Roman" w:eastAsia="Times New Roman" w:hint="default"/>
        </w:rPr>
        <w:t>11</w:t>
      </w:r>
      <w:r>
        <w:rPr/>
        <w:t>、无形资产</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无形资产情况" w:id="250"/>
      <w:bookmarkEnd w:id="250"/>
      <w:r>
        <w:rPr>
          <w:b w:val="0"/>
          <w:bCs w:val="0"/>
        </w:rPr>
      </w:r>
      <w:r>
        <w:rPr/>
        <w:t>（</w:t>
      </w:r>
      <w:r>
        <w:rPr>
          <w:rFonts w:ascii="Times New Roman" w:hAnsi="Times New Roman" w:cs="Times New Roman" w:eastAsia="Times New Roman" w:hint="default"/>
        </w:rPr>
        <w:t>1</w:t>
      </w:r>
      <w:r>
        <w:rPr/>
        <w:t>）无形资产情况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56"/>
        <w:gridCol w:w="1378"/>
        <w:gridCol w:w="1368"/>
        <w:gridCol w:w="1367"/>
        <w:gridCol w:w="1367"/>
        <w:gridCol w:w="1367"/>
        <w:gridCol w:w="1367"/>
      </w:tblGrid>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9"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09"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1367" w:type="dxa"/>
            <w:tcBorders>
              <w:top w:val="single" w:sz="4" w:space="0" w:color="000000"/>
              <w:left w:val="single" w:sz="4" w:space="0" w:color="000000"/>
              <w:bottom w:val="single" w:sz="4" w:space="0" w:color="000000"/>
              <w:right w:val="single" w:sz="9" w:space="0" w:color="D9D9D9"/>
            </w:tcBorders>
            <w:shd w:val="clear" w:color="auto" w:fill="D2D2D2"/>
          </w:tcPr>
          <w:p>
            <w:pPr>
              <w:pStyle w:val="TableParagraph"/>
              <w:spacing w:line="240" w:lineRule="auto" w:before="51"/>
              <w:ind w:left="227"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367" w:type="dxa"/>
            <w:tcBorders>
              <w:top w:val="single" w:sz="4" w:space="0" w:color="000000"/>
              <w:left w:val="single" w:sz="10" w:space="0" w:color="D2D2D2"/>
              <w:bottom w:val="single" w:sz="4" w:space="0" w:color="000000"/>
              <w:right w:val="single" w:sz="4" w:space="0" w:color="000000"/>
            </w:tcBorders>
            <w:shd w:val="clear" w:color="auto" w:fill="D9D9D9"/>
          </w:tcPr>
          <w:p>
            <w:pPr>
              <w:pStyle w:val="TableParagraph"/>
              <w:spacing w:line="240" w:lineRule="auto" w:before="51"/>
              <w:ind w:left="356" w:right="0"/>
              <w:jc w:val="left"/>
              <w:rPr>
                <w:rFonts w:ascii="宋体" w:hAnsi="宋体" w:cs="宋体" w:eastAsia="宋体" w:hint="default"/>
                <w:sz w:val="18"/>
                <w:szCs w:val="18"/>
              </w:rPr>
            </w:pPr>
            <w:r>
              <w:rPr>
                <w:rFonts w:ascii="宋体" w:hAnsi="宋体" w:cs="宋体" w:eastAsia="宋体" w:hint="default"/>
                <w:sz w:val="18"/>
                <w:szCs w:val="18"/>
              </w:rPr>
              <w:t>管理软件</w:t>
            </w:r>
          </w:p>
        </w:tc>
        <w:tc>
          <w:tcPr>
            <w:tcW w:w="13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5"/>
              <w:jc w:val="righ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355,042,971.53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2,710,676.44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5,333,989.23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1,130,000.00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364,217,637.20</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105"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 金额</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17,162,220.99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1,803,557.50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18,965,778.49</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
              <w:jc w:val="righ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）购置</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2,641,509.75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1,803,557.50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4,445,067.25</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44" w:right="0"/>
              <w:jc w:val="lef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）内部</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研发</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10" w:firstLine="521"/>
              <w:jc w:val="lef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3</w:t>
            </w:r>
            <w:r>
              <w:rPr>
                <w:rFonts w:ascii="宋体" w:hAnsi="宋体" w:cs="宋体" w:eastAsia="宋体" w:hint="default"/>
                <w:spacing w:val="-5"/>
                <w:sz w:val="18"/>
                <w:szCs w:val="18"/>
              </w:rPr>
              <w:t>）企业</w:t>
            </w:r>
            <w:r>
              <w:rPr>
                <w:rFonts w:ascii="宋体" w:hAnsi="宋体" w:cs="宋体" w:eastAsia="宋体" w:hint="default"/>
                <w:sz w:val="18"/>
                <w:szCs w:val="18"/>
              </w:rPr>
              <w:t> 合并增加</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right="61"/>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）委外开发</w:t>
            </w:r>
          </w:p>
        </w:tc>
        <w:tc>
          <w:tcPr>
            <w:tcW w:w="1378" w:type="dxa"/>
            <w:tcBorders>
              <w:top w:val="single" w:sz="4" w:space="0" w:color="000000"/>
              <w:left w:val="single" w:sz="13" w:space="0" w:color="D9D9D9"/>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14,520,711.24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14,520,711.24</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105"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 额</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
              <w:jc w:val="righ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）处置</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9D9D9"/>
          </w:tcPr>
          <w:p>
            <w:pPr/>
          </w:p>
        </w:tc>
        <w:tc>
          <w:tcPr>
            <w:tcW w:w="1378" w:type="dxa"/>
            <w:tcBorders>
              <w:top w:val="single" w:sz="4" w:space="0" w:color="000000"/>
              <w:left w:val="single" w:sz="13" w:space="0" w:color="D9D9D9"/>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5"/>
              <w:jc w:val="righ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355,042,971.53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2,710,676.44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22,496,210.22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2,933,557.50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383,183,415.69</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二、累计摊销</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5"/>
              <w:jc w:val="righ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66,516,403.44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2,241,987.66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2,197,590.26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196,992.25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71,152,973.61</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105"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 金额</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7,524,668.40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242,300.68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1,562,423.13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119,265.12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9,448,657.33</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
              <w:jc w:val="righ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）计提</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7,524,668.40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242,300.68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1,562,423.13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119,265.12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9,448,657.33</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9D9D9"/>
          </w:tcPr>
          <w:p>
            <w:pPr/>
          </w:p>
        </w:tc>
        <w:tc>
          <w:tcPr>
            <w:tcW w:w="1378" w:type="dxa"/>
            <w:tcBorders>
              <w:top w:val="single" w:sz="4" w:space="0" w:color="000000"/>
              <w:left w:val="single" w:sz="13" w:space="0" w:color="D9D9D9"/>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105"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 金额</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
              <w:jc w:val="righ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）处置</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9D9D9"/>
          </w:tcPr>
          <w:p>
            <w:pPr/>
          </w:p>
        </w:tc>
        <w:tc>
          <w:tcPr>
            <w:tcW w:w="1378" w:type="dxa"/>
            <w:tcBorders>
              <w:top w:val="single" w:sz="4" w:space="0" w:color="000000"/>
              <w:left w:val="single" w:sz="13" w:space="0" w:color="D9D9D9"/>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5"/>
              <w:jc w:val="righ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74,041,071.84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2,484,288.34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3,760,013.39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316,257.37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80,601,630.94</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5"/>
              <w:jc w:val="righ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r>
        <w:rPr/>
        <w:pict>
          <v:group style="position:absolute;margin-left:125.300003pt;margin-top:637.539978pt;width:67.9pt;height:28pt;mso-position-horizontal-relative:page;mso-position-vertical-relative:page;z-index:-1231240" coordorigin="2506,12751" coordsize="1358,560">
            <v:group style="position:absolute;left:2506;top:12751;width:1358;height:156" coordorigin="2506,12751" coordsize="1358,156">
              <v:shape style="position:absolute;left:2506;top:12751;width:1358;height:156" coordorigin="2506,12751" coordsize="1358,156" path="m2506,12907l3863,12907,3863,12751,2506,12751,2506,12907xe" filled="true" fillcolor="#ffffff" stroked="false">
                <v:path arrowok="t"/>
                <v:fill type="solid"/>
              </v:shape>
            </v:group>
            <v:group style="position:absolute;left:2517;top:12907;width:2;height:393" coordorigin="2517,12907" coordsize="2,393">
              <v:shape style="position:absolute;left:2517;top:12907;width:2;height:393" coordorigin="2517,12907" coordsize="0,393" path="m2517,12907l2517,13299e" filled="false" stroked="true" strokeweight="1.140pt" strokecolor="#ffffff">
                <v:path arrowok="t"/>
              </v:shape>
            </v:group>
            <v:group style="position:absolute;left:2529;top:12907;width:1312;height:393" coordorigin="2529,12907" coordsize="1312,393">
              <v:shape style="position:absolute;left:2529;top:12907;width:1312;height:393" coordorigin="2529,12907" coordsize="1312,393" path="m2529,13299l3840,13299,3840,12907,2529,12907,2529,13299xe" filled="true" fillcolor="#ffffff" stroked="false">
                <v:path arrowok="t"/>
                <v:fill type="solid"/>
              </v:shape>
            </v:group>
            <w10:wrap type="none"/>
          </v:group>
        </w:pict>
      </w:r>
    </w:p>
    <w:tbl>
      <w:tblPr>
        <w:tblW w:w="0" w:type="auto"/>
        <w:jc w:val="left"/>
        <w:tblInd w:w="149" w:type="dxa"/>
        <w:tblLayout w:type="fixed"/>
        <w:tblCellMar>
          <w:top w:w="0" w:type="dxa"/>
          <w:left w:w="0" w:type="dxa"/>
          <w:bottom w:w="0" w:type="dxa"/>
          <w:right w:w="0" w:type="dxa"/>
        </w:tblCellMar>
        <w:tblLook w:val="01E0"/>
      </w:tblPr>
      <w:tblGrid>
        <w:gridCol w:w="1356"/>
        <w:gridCol w:w="1378"/>
        <w:gridCol w:w="1368"/>
        <w:gridCol w:w="1367"/>
        <w:gridCol w:w="1367"/>
        <w:gridCol w:w="1367"/>
        <w:gridCol w:w="1367"/>
      </w:tblGrid>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05"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 金额</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44" w:right="0"/>
              <w:jc w:val="lef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）计提</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9D9D9"/>
          </w:tcPr>
          <w:p>
            <w:pPr/>
          </w:p>
        </w:tc>
        <w:tc>
          <w:tcPr>
            <w:tcW w:w="1378" w:type="dxa"/>
            <w:tcBorders>
              <w:top w:val="single" w:sz="4" w:space="0" w:color="000000"/>
              <w:left w:val="single" w:sz="13" w:space="0" w:color="D9D9D9"/>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05"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 金额</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9D9D9"/>
          </w:tcPr>
          <w:p>
            <w:pPr/>
          </w:p>
        </w:tc>
        <w:tc>
          <w:tcPr>
            <w:tcW w:w="1378" w:type="dxa"/>
            <w:tcBorders>
              <w:top w:val="single" w:sz="4" w:space="0" w:color="000000"/>
              <w:left w:val="single" w:sz="13" w:space="0" w:color="D9D9D9"/>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05"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 价值</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281,001,899.69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226,388.10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18,736,196.83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2,617,300.13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302,581,784.75</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05"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 价值</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288,526,568.09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468,688.78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3,136,398.97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933,007.75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293,064,663.59</w:t>
            </w:r>
          </w:p>
        </w:tc>
      </w:tr>
    </w:tbl>
    <w:p>
      <w:pPr>
        <w:pStyle w:val="BodyText"/>
        <w:spacing w:line="240" w:lineRule="auto" w:before="51"/>
        <w:ind w:right="0"/>
        <w:jc w:val="left"/>
      </w:pPr>
      <w:r>
        <w:rPr/>
        <w:t>本期末通过公司内部研发形成的无形资产占无形资产余额的比例为</w:t>
      </w:r>
      <w:r>
        <w:rPr>
          <w:spacing w:val="-46"/>
        </w:rPr>
        <w:t> </w:t>
      </w:r>
      <w:r>
        <w:rPr>
          <w:rFonts w:ascii="Times New Roman" w:hAnsi="Times New Roman" w:cs="Times New Roman" w:eastAsia="Times New Roman" w:hint="default"/>
        </w:rPr>
        <w:t>0%</w:t>
      </w:r>
      <w:r>
        <w:rPr/>
        <w:t>。</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bookmarkStart w:name="12、商誉" w:id="251"/>
      <w:bookmarkEnd w:id="251"/>
      <w:r>
        <w:rPr>
          <w:b w:val="0"/>
          <w:bCs w:val="0"/>
        </w:rPr>
      </w:r>
      <w:r>
        <w:rPr>
          <w:rFonts w:ascii="Times New Roman" w:hAnsi="Times New Roman" w:cs="Times New Roman" w:eastAsia="Times New Roman" w:hint="default"/>
        </w:rPr>
        <w:t>12</w:t>
      </w:r>
      <w:r>
        <w:rPr/>
        <w:t>、商誉</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商誉账面原值" w:id="252"/>
      <w:bookmarkEnd w:id="252"/>
      <w:r>
        <w:rPr>
          <w:b w:val="0"/>
          <w:bCs w:val="0"/>
        </w:rPr>
      </w:r>
      <w:r>
        <w:rPr/>
        <w:t>（</w:t>
      </w:r>
      <w:r>
        <w:rPr>
          <w:rFonts w:ascii="Times New Roman" w:hAnsi="Times New Roman" w:cs="Times New Roman" w:eastAsia="Times New Roman" w:hint="default"/>
        </w:rPr>
        <w:t>1</w:t>
      </w:r>
      <w:r>
        <w:rPr/>
        <w:t>）商誉账面原值</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67"/>
        <w:gridCol w:w="183"/>
        <w:gridCol w:w="1184"/>
        <w:gridCol w:w="1368"/>
        <w:gridCol w:w="1367"/>
        <w:gridCol w:w="1367"/>
        <w:gridCol w:w="1367"/>
        <w:gridCol w:w="1367"/>
      </w:tblGrid>
      <w:tr>
        <w:trPr>
          <w:trHeight w:val="1026"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8" w:right="47"/>
              <w:jc w:val="center"/>
              <w:rPr>
                <w:rFonts w:ascii="宋体" w:hAnsi="宋体" w:cs="宋体" w:eastAsia="宋体" w:hint="default"/>
                <w:sz w:val="18"/>
                <w:szCs w:val="18"/>
              </w:rPr>
            </w:pPr>
            <w:r>
              <w:rPr>
                <w:rFonts w:ascii="宋体" w:hAnsi="宋体" w:cs="宋体" w:eastAsia="宋体" w:hint="default"/>
                <w:sz w:val="18"/>
                <w:szCs w:val="18"/>
              </w:rPr>
              <w:t>被投资单位名称 或形成商誉的事 项</w:t>
            </w:r>
          </w:p>
        </w:tc>
        <w:tc>
          <w:tcPr>
            <w:tcW w:w="136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8"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合并深圳市劲嘉 科技有限公司</w:t>
            </w:r>
          </w:p>
        </w:tc>
        <w:tc>
          <w:tcPr>
            <w:tcW w:w="13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24" w:right="0"/>
              <w:jc w:val="left"/>
              <w:rPr>
                <w:rFonts w:ascii="Times New Roman" w:hAnsi="Times New Roman" w:cs="Times New Roman" w:eastAsia="Times New Roman" w:hint="default"/>
                <w:sz w:val="18"/>
                <w:szCs w:val="18"/>
              </w:rPr>
            </w:pPr>
            <w:r>
              <w:rPr>
                <w:rFonts w:ascii="Times New Roman"/>
                <w:sz w:val="18"/>
              </w:rPr>
              <w:t>641,549.76</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641,549.76</w:t>
            </w:r>
          </w:p>
        </w:tc>
      </w:tr>
      <w:tr>
        <w:trPr>
          <w:trHeight w:val="1026"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both"/>
              <w:rPr>
                <w:rFonts w:ascii="宋体" w:hAnsi="宋体" w:cs="宋体" w:eastAsia="宋体" w:hint="default"/>
                <w:sz w:val="18"/>
                <w:szCs w:val="18"/>
              </w:rPr>
            </w:pPr>
            <w:r>
              <w:rPr>
                <w:rFonts w:ascii="宋体" w:hAnsi="宋体" w:cs="宋体" w:eastAsia="宋体" w:hint="default"/>
                <w:sz w:val="18"/>
                <w:szCs w:val="18"/>
              </w:rPr>
              <w:t>合并中丰田光电 科技（珠海）有 限公司</w:t>
            </w:r>
          </w:p>
        </w:tc>
        <w:tc>
          <w:tcPr>
            <w:tcW w:w="13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00" w:right="0"/>
              <w:jc w:val="left"/>
              <w:rPr>
                <w:rFonts w:ascii="Times New Roman" w:hAnsi="Times New Roman" w:cs="Times New Roman" w:eastAsia="Times New Roman" w:hint="default"/>
                <w:sz w:val="18"/>
                <w:szCs w:val="18"/>
              </w:rPr>
            </w:pPr>
            <w:r>
              <w:rPr>
                <w:rFonts w:ascii="Times New Roman"/>
                <w:sz w:val="18"/>
              </w:rPr>
              <w:t>79,712,372.22</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79,712,372.22</w:t>
            </w:r>
          </w:p>
        </w:tc>
      </w:tr>
      <w:tr>
        <w:trPr>
          <w:trHeight w:val="1026"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both"/>
              <w:rPr>
                <w:rFonts w:ascii="宋体" w:hAnsi="宋体" w:cs="宋体" w:eastAsia="宋体" w:hint="default"/>
                <w:sz w:val="18"/>
                <w:szCs w:val="18"/>
              </w:rPr>
            </w:pPr>
            <w:r>
              <w:rPr>
                <w:rFonts w:ascii="宋体" w:hAnsi="宋体" w:cs="宋体" w:eastAsia="宋体" w:hint="default"/>
                <w:sz w:val="18"/>
                <w:szCs w:val="18"/>
              </w:rPr>
              <w:t>合并江西丰彩丽 印刷包装有限公 司</w:t>
            </w:r>
          </w:p>
        </w:tc>
        <w:tc>
          <w:tcPr>
            <w:tcW w:w="13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00" w:right="0"/>
              <w:jc w:val="left"/>
              <w:rPr>
                <w:rFonts w:ascii="Times New Roman" w:hAnsi="Times New Roman" w:cs="Times New Roman" w:eastAsia="Times New Roman" w:hint="default"/>
                <w:sz w:val="18"/>
                <w:szCs w:val="18"/>
              </w:rPr>
            </w:pPr>
            <w:r>
              <w:rPr>
                <w:rFonts w:ascii="Times New Roman"/>
                <w:sz w:val="18"/>
              </w:rPr>
              <w:t>86,507,261.23</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86,507,261.23</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1"/>
              <w:jc w:val="left"/>
              <w:rPr>
                <w:rFonts w:ascii="宋体" w:hAnsi="宋体" w:cs="宋体" w:eastAsia="宋体" w:hint="default"/>
                <w:sz w:val="18"/>
                <w:szCs w:val="18"/>
              </w:rPr>
            </w:pPr>
            <w:r>
              <w:rPr>
                <w:rFonts w:ascii="宋体" w:hAnsi="宋体" w:cs="宋体" w:eastAsia="宋体" w:hint="default"/>
                <w:spacing w:val="-6"/>
                <w:sz w:val="18"/>
                <w:szCs w:val="18"/>
              </w:rPr>
              <w:t>合并佳信（香港</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有限公司</w:t>
            </w:r>
          </w:p>
        </w:tc>
        <w:tc>
          <w:tcPr>
            <w:tcW w:w="1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left="-124" w:right="0"/>
              <w:jc w:val="left"/>
              <w:rPr>
                <w:rFonts w:ascii="宋体" w:hAnsi="宋体" w:cs="宋体" w:eastAsia="宋体" w:hint="default"/>
                <w:sz w:val="18"/>
                <w:szCs w:val="18"/>
              </w:rPr>
            </w:pPr>
            <w:r>
              <w:rPr>
                <w:rFonts w:ascii="宋体" w:hAnsi="宋体" w:cs="宋体" w:eastAsia="宋体" w:hint="default"/>
                <w:sz w:val="18"/>
                <w:szCs w:val="18"/>
              </w:rPr>
              <w:t>）</w:t>
            </w:r>
          </w:p>
        </w:tc>
        <w:tc>
          <w:tcPr>
            <w:tcW w:w="118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1" w:right="0"/>
              <w:jc w:val="left"/>
              <w:rPr>
                <w:rFonts w:ascii="Times New Roman" w:hAnsi="Times New Roman" w:cs="Times New Roman" w:eastAsia="Times New Roman" w:hint="default"/>
                <w:sz w:val="18"/>
                <w:szCs w:val="18"/>
              </w:rPr>
            </w:pPr>
            <w:r>
              <w:rPr>
                <w:rFonts w:ascii="Times New Roman"/>
                <w:sz w:val="18"/>
              </w:rPr>
              <w:t>40,509,904.33</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40,509,904.33</w:t>
            </w:r>
          </w:p>
        </w:tc>
      </w:tr>
      <w:tr>
        <w:trPr>
          <w:trHeight w:val="1026"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both"/>
              <w:rPr>
                <w:rFonts w:ascii="宋体" w:hAnsi="宋体" w:cs="宋体" w:eastAsia="宋体" w:hint="default"/>
                <w:sz w:val="18"/>
                <w:szCs w:val="18"/>
              </w:rPr>
            </w:pPr>
            <w:r>
              <w:rPr>
                <w:rFonts w:ascii="宋体" w:hAnsi="宋体" w:cs="宋体" w:eastAsia="宋体" w:hint="default"/>
                <w:sz w:val="18"/>
                <w:szCs w:val="18"/>
              </w:rPr>
              <w:t>合并江苏顺泰印 刷包装科技有限 公司</w:t>
            </w:r>
          </w:p>
        </w:tc>
        <w:tc>
          <w:tcPr>
            <w:tcW w:w="13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10" w:right="0"/>
              <w:jc w:val="left"/>
              <w:rPr>
                <w:rFonts w:ascii="Times New Roman" w:hAnsi="Times New Roman" w:cs="Times New Roman" w:eastAsia="Times New Roman" w:hint="default"/>
                <w:sz w:val="18"/>
                <w:szCs w:val="18"/>
              </w:rPr>
            </w:pPr>
            <w:r>
              <w:rPr>
                <w:rFonts w:ascii="Times New Roman"/>
                <w:sz w:val="18"/>
              </w:rPr>
              <w:t>630,230,371.10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630,230,371.10</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合并贵州瑞源包 装有限责任公司</w:t>
            </w:r>
          </w:p>
        </w:tc>
        <w:tc>
          <w:tcPr>
            <w:tcW w:w="13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24" w:right="0"/>
              <w:jc w:val="left"/>
              <w:rPr>
                <w:rFonts w:ascii="Times New Roman" w:hAnsi="Times New Roman" w:cs="Times New Roman" w:eastAsia="Times New Roman" w:hint="default"/>
                <w:sz w:val="18"/>
                <w:szCs w:val="18"/>
              </w:rPr>
            </w:pPr>
            <w:r>
              <w:rPr>
                <w:rFonts w:ascii="Times New Roman"/>
                <w:sz w:val="18"/>
              </w:rPr>
              <w:t>897,339.80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897,339.80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67"/>
        <w:gridCol w:w="1367"/>
        <w:gridCol w:w="1368"/>
        <w:gridCol w:w="1367"/>
        <w:gridCol w:w="1367"/>
        <w:gridCol w:w="1367"/>
        <w:gridCol w:w="1367"/>
      </w:tblGrid>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合并长春吉星印 务有限责任公司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181,099,158.22</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87" w:right="0"/>
              <w:jc w:val="center"/>
              <w:rPr>
                <w:rFonts w:ascii="Times New Roman" w:hAnsi="Times New Roman" w:cs="Times New Roman" w:eastAsia="Times New Roman" w:hint="default"/>
                <w:sz w:val="18"/>
                <w:szCs w:val="18"/>
              </w:rPr>
            </w:pPr>
            <w:r>
              <w:rPr>
                <w:rFonts w:ascii="Times New Roman"/>
                <w:sz w:val="18"/>
              </w:rPr>
              <w:t>181,099,158.22</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1,019,597,956.66</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center"/>
              <w:rPr>
                <w:rFonts w:ascii="Times New Roman" w:hAnsi="Times New Roman" w:cs="Times New Roman" w:eastAsia="Times New Roman" w:hint="default"/>
                <w:sz w:val="18"/>
                <w:szCs w:val="18"/>
              </w:rPr>
            </w:pPr>
            <w:r>
              <w:rPr>
                <w:rFonts w:ascii="Times New Roman"/>
                <w:sz w:val="18"/>
              </w:rPr>
              <w:t>1,019,597,956.66</w:t>
            </w:r>
          </w:p>
        </w:tc>
      </w:tr>
    </w:tbl>
    <w:p>
      <w:pPr>
        <w:spacing w:line="240" w:lineRule="auto" w:before="3"/>
        <w:rPr>
          <w:rFonts w:ascii="宋体" w:hAnsi="宋体" w:cs="宋体" w:eastAsia="宋体" w:hint="default"/>
          <w:sz w:val="19"/>
          <w:szCs w:val="19"/>
        </w:rPr>
      </w:pPr>
    </w:p>
    <w:p>
      <w:pPr>
        <w:pStyle w:val="Heading3"/>
        <w:spacing w:line="240" w:lineRule="auto" w:before="35"/>
        <w:ind w:right="0"/>
        <w:jc w:val="left"/>
        <w:rPr>
          <w:b w:val="0"/>
          <w:bCs w:val="0"/>
        </w:rPr>
      </w:pPr>
      <w:bookmarkStart w:name="（2）商誉减值准备" w:id="253"/>
      <w:bookmarkEnd w:id="253"/>
      <w:r>
        <w:rPr>
          <w:b w:val="0"/>
          <w:bCs w:val="0"/>
        </w:rPr>
      </w:r>
      <w:r>
        <w:rPr/>
        <w:t>（</w:t>
      </w:r>
      <w:r>
        <w:rPr>
          <w:rFonts w:ascii="Times New Roman" w:hAnsi="Times New Roman" w:cs="Times New Roman" w:eastAsia="Times New Roman" w:hint="default"/>
        </w:rPr>
        <w:t>2</w:t>
      </w:r>
      <w:r>
        <w:rPr/>
        <w:t>）商誉减值准备</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7"/>
        <w:gridCol w:w="1368"/>
        <w:gridCol w:w="1367"/>
        <w:gridCol w:w="1367"/>
        <w:gridCol w:w="1367"/>
        <w:gridCol w:w="1367"/>
      </w:tblGrid>
      <w:tr>
        <w:trPr>
          <w:trHeight w:val="1026"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8" w:right="47"/>
              <w:jc w:val="center"/>
              <w:rPr>
                <w:rFonts w:ascii="宋体" w:hAnsi="宋体" w:cs="宋体" w:eastAsia="宋体" w:hint="default"/>
                <w:sz w:val="18"/>
                <w:szCs w:val="18"/>
              </w:rPr>
            </w:pPr>
            <w:r>
              <w:rPr>
                <w:rFonts w:ascii="宋体" w:hAnsi="宋体" w:cs="宋体" w:eastAsia="宋体" w:hint="default"/>
                <w:sz w:val="18"/>
                <w:szCs w:val="18"/>
              </w:rPr>
              <w:t>被投资单位名称 或形成商誉的事 项</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8"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026"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both"/>
              <w:rPr>
                <w:rFonts w:ascii="宋体" w:hAnsi="宋体" w:cs="宋体" w:eastAsia="宋体" w:hint="default"/>
                <w:sz w:val="18"/>
                <w:szCs w:val="18"/>
              </w:rPr>
            </w:pPr>
            <w:r>
              <w:rPr>
                <w:rFonts w:ascii="宋体" w:hAnsi="宋体" w:cs="宋体" w:eastAsia="宋体" w:hint="default"/>
                <w:sz w:val="18"/>
                <w:szCs w:val="18"/>
              </w:rPr>
              <w:t>合并中丰田光电 科技（珠海）有 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05" w:right="0"/>
              <w:jc w:val="left"/>
              <w:rPr>
                <w:rFonts w:ascii="Times New Roman" w:hAnsi="Times New Roman" w:cs="Times New Roman" w:eastAsia="Times New Roman" w:hint="default"/>
                <w:sz w:val="18"/>
                <w:szCs w:val="18"/>
              </w:rPr>
            </w:pPr>
            <w:r>
              <w:rPr>
                <w:rFonts w:ascii="Times New Roman"/>
                <w:sz w:val="18"/>
              </w:rPr>
              <w:t>30,839,115.86</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06" w:right="0"/>
              <w:jc w:val="left"/>
              <w:rPr>
                <w:rFonts w:ascii="Times New Roman" w:hAnsi="Times New Roman" w:cs="Times New Roman" w:eastAsia="Times New Roman" w:hint="default"/>
                <w:sz w:val="18"/>
                <w:szCs w:val="18"/>
              </w:rPr>
            </w:pPr>
            <w:r>
              <w:rPr>
                <w:rFonts w:ascii="Times New Roman"/>
                <w:sz w:val="18"/>
              </w:rPr>
              <w:t>30,839,115.86</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94" w:right="0"/>
              <w:jc w:val="left"/>
              <w:rPr>
                <w:rFonts w:ascii="Times New Roman" w:hAnsi="Times New Roman" w:cs="Times New Roman" w:eastAsia="Times New Roman" w:hint="default"/>
                <w:sz w:val="18"/>
                <w:szCs w:val="18"/>
              </w:rPr>
            </w:pPr>
            <w:r>
              <w:rPr>
                <w:rFonts w:ascii="Times New Roman"/>
                <w:sz w:val="18"/>
              </w:rPr>
              <w:t>30,839,115.86</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6" w:right="0"/>
              <w:jc w:val="left"/>
              <w:rPr>
                <w:rFonts w:ascii="Times New Roman" w:hAnsi="Times New Roman" w:cs="Times New Roman" w:eastAsia="Times New Roman" w:hint="default"/>
                <w:sz w:val="18"/>
                <w:szCs w:val="18"/>
              </w:rPr>
            </w:pPr>
            <w:r>
              <w:rPr>
                <w:rFonts w:ascii="Times New Roman"/>
                <w:sz w:val="18"/>
              </w:rPr>
              <w:t>30,839,115.86</w:t>
            </w:r>
          </w:p>
        </w:tc>
      </w:tr>
    </w:tbl>
    <w:p>
      <w:pPr>
        <w:pStyle w:val="BodyText"/>
        <w:spacing w:line="240" w:lineRule="auto" w:before="51"/>
        <w:ind w:right="0"/>
        <w:jc w:val="left"/>
      </w:pPr>
      <w:r>
        <w:rPr/>
        <w:t>商誉所在资产组或资产组组合的相关信息</w:t>
      </w:r>
    </w:p>
    <w:p>
      <w:pPr>
        <w:pStyle w:val="BodyText"/>
        <w:spacing w:line="240" w:lineRule="auto" w:before="117"/>
        <w:ind w:right="0"/>
        <w:jc w:val="left"/>
      </w:pPr>
      <w:r>
        <w:rPr>
          <w:rFonts w:ascii="Times New Roman" w:hAnsi="Times New Roman" w:cs="Times New Roman" w:eastAsia="Times New Roman" w:hint="default"/>
        </w:rPr>
        <w:t>1</w:t>
      </w:r>
      <w:r>
        <w:rPr/>
        <w:t>）包括该资产组或资产组组合的构成：</w:t>
      </w:r>
    </w:p>
    <w:p>
      <w:pPr>
        <w:pStyle w:val="BodyText"/>
        <w:spacing w:line="240" w:lineRule="auto" w:before="101"/>
        <w:ind w:right="0"/>
        <w:jc w:val="left"/>
      </w:pPr>
      <w:r>
        <w:rPr/>
        <w:t>①资产组江苏顺泰：于</w:t>
      </w:r>
      <w:r>
        <w:rPr>
          <w:spacing w:val="-4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8"/>
        </w:rPr>
        <w:t> </w:t>
      </w:r>
      <w:r>
        <w:rPr/>
        <w:t>年</w:t>
      </w:r>
      <w:r>
        <w:rPr>
          <w:spacing w:val="-46"/>
        </w:rPr>
        <w:t> </w:t>
      </w:r>
      <w:r>
        <w:rPr>
          <w:rFonts w:ascii="Times New Roman" w:hAnsi="Times New Roman" w:cs="Times New Roman" w:eastAsia="Times New Roman" w:hint="default"/>
        </w:rPr>
        <w:t>12</w:t>
      </w:r>
      <w:r>
        <w:rPr>
          <w:rFonts w:ascii="Times New Roman" w:hAnsi="Times New Roman" w:cs="Times New Roman" w:eastAsia="Times New Roman" w:hint="default"/>
          <w:spacing w:val="-9"/>
        </w:rPr>
        <w:t> </w:t>
      </w:r>
      <w:r>
        <w:rPr/>
        <w:t>月</w:t>
      </w:r>
      <w:r>
        <w:rPr>
          <w:spacing w:val="-46"/>
        </w:rPr>
        <w:t> </w:t>
      </w:r>
      <w:r>
        <w:rPr>
          <w:rFonts w:ascii="Times New Roman" w:hAnsi="Times New Roman" w:cs="Times New Roman" w:eastAsia="Times New Roman" w:hint="default"/>
        </w:rPr>
        <w:t>31</w:t>
      </w:r>
      <w:r>
        <w:rPr>
          <w:rFonts w:ascii="Times New Roman" w:hAnsi="Times New Roman" w:cs="Times New Roman" w:eastAsia="Times New Roman" w:hint="default"/>
          <w:spacing w:val="-9"/>
        </w:rPr>
        <w:t> </w:t>
      </w:r>
      <w:r>
        <w:rPr/>
        <w:t>日的资产负债表所反映的全部主营业务经营性有形资产和可确认的无形性资产组成</w:t>
      </w:r>
    </w:p>
    <w:p>
      <w:pPr>
        <w:pStyle w:val="BodyText"/>
        <w:spacing w:line="240" w:lineRule="auto" w:before="63"/>
        <w:ind w:right="0"/>
        <w:jc w:val="left"/>
      </w:pPr>
      <w:r>
        <w:rPr/>
        <w:t>的资产组（不包含营运资本及非经营性资产）为与商誉相关的资产组。资产组具体包括固定资产</w:t>
      </w:r>
      <w:r>
        <w:rPr>
          <w:spacing w:val="-47"/>
        </w:rPr>
        <w:t> </w:t>
      </w:r>
      <w:r>
        <w:rPr>
          <w:rFonts w:ascii="Times New Roman" w:hAnsi="Times New Roman" w:cs="Times New Roman" w:eastAsia="Times New Roman" w:hint="default"/>
        </w:rPr>
        <w:t>78,345,359.45</w:t>
      </w:r>
      <w:r>
        <w:rPr>
          <w:rFonts w:ascii="Times New Roman" w:hAnsi="Times New Roman" w:cs="Times New Roman" w:eastAsia="Times New Roman" w:hint="default"/>
          <w:spacing w:val="-10"/>
        </w:rPr>
        <w:t> </w:t>
      </w:r>
      <w:r>
        <w:rPr/>
        <w:t>元，无形资</w:t>
      </w:r>
    </w:p>
    <w:p>
      <w:pPr>
        <w:pStyle w:val="BodyText"/>
        <w:spacing w:line="302" w:lineRule="auto" w:before="63"/>
        <w:ind w:right="1124"/>
        <w:jc w:val="left"/>
      </w:pPr>
      <w:r>
        <w:rPr/>
        <w:t>产</w:t>
      </w:r>
      <w:r>
        <w:rPr>
          <w:spacing w:val="-50"/>
        </w:rPr>
        <w:t> </w:t>
      </w:r>
      <w:r>
        <w:rPr>
          <w:rFonts w:ascii="Times New Roman" w:hAnsi="Times New Roman" w:cs="Times New Roman" w:eastAsia="Times New Roman" w:hint="default"/>
        </w:rPr>
        <w:t>16,948,695.28</w:t>
      </w:r>
      <w:r>
        <w:rPr>
          <w:rFonts w:ascii="Times New Roman" w:hAnsi="Times New Roman" w:cs="Times New Roman" w:eastAsia="Times New Roman" w:hint="default"/>
          <w:spacing w:val="-12"/>
        </w:rPr>
        <w:t> </w:t>
      </w:r>
      <w:r>
        <w:rPr>
          <w:spacing w:val="-3"/>
        </w:rPr>
        <w:t>元，在建工程</w:t>
      </w:r>
      <w:r>
        <w:rPr>
          <w:spacing w:val="-50"/>
        </w:rPr>
        <w:t> </w:t>
      </w:r>
      <w:r>
        <w:rPr>
          <w:rFonts w:ascii="Times New Roman" w:hAnsi="Times New Roman" w:cs="Times New Roman" w:eastAsia="Times New Roman" w:hint="default"/>
        </w:rPr>
        <w:t>49,636.64</w:t>
      </w:r>
      <w:r>
        <w:rPr>
          <w:rFonts w:ascii="Times New Roman" w:hAnsi="Times New Roman" w:cs="Times New Roman" w:eastAsia="Times New Roman" w:hint="default"/>
          <w:spacing w:val="-13"/>
        </w:rPr>
        <w:t> </w:t>
      </w:r>
      <w:r>
        <w:rPr>
          <w:spacing w:val="-3"/>
        </w:rPr>
        <w:t>元，资产组总计</w:t>
      </w:r>
      <w:r>
        <w:rPr>
          <w:spacing w:val="-50"/>
        </w:rPr>
        <w:t> </w:t>
      </w:r>
      <w:r>
        <w:rPr>
          <w:rFonts w:ascii="Times New Roman" w:hAnsi="Times New Roman" w:cs="Times New Roman" w:eastAsia="Times New Roman" w:hint="default"/>
        </w:rPr>
        <w:t>95,343,691.37</w:t>
      </w:r>
      <w:r>
        <w:rPr>
          <w:rFonts w:ascii="Times New Roman" w:hAnsi="Times New Roman" w:cs="Times New Roman" w:eastAsia="Times New Roman" w:hint="default"/>
          <w:spacing w:val="-13"/>
        </w:rPr>
        <w:t> </w:t>
      </w:r>
      <w:r>
        <w:rPr/>
        <w:t>元。该资产组与购买日、以前年度商誉减值测试时所 确定的资产组或资产组组合一致。</w:t>
      </w:r>
    </w:p>
    <w:p>
      <w:pPr>
        <w:pStyle w:val="BodyText"/>
        <w:spacing w:line="240" w:lineRule="auto" w:before="68"/>
        <w:ind w:right="0"/>
        <w:jc w:val="left"/>
      </w:pPr>
      <w:r>
        <w:rPr/>
        <w:t>②资产组长春吉星：于</w:t>
      </w:r>
      <w:r>
        <w:rPr>
          <w:spacing w:val="-4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8"/>
        </w:rPr>
        <w:t> </w:t>
      </w:r>
      <w:r>
        <w:rPr/>
        <w:t>年</w:t>
      </w:r>
      <w:r>
        <w:rPr>
          <w:spacing w:val="-46"/>
        </w:rPr>
        <w:t> </w:t>
      </w:r>
      <w:r>
        <w:rPr>
          <w:rFonts w:ascii="Times New Roman" w:hAnsi="Times New Roman" w:cs="Times New Roman" w:eastAsia="Times New Roman" w:hint="default"/>
        </w:rPr>
        <w:t>12</w:t>
      </w:r>
      <w:r>
        <w:rPr>
          <w:rFonts w:ascii="Times New Roman" w:hAnsi="Times New Roman" w:cs="Times New Roman" w:eastAsia="Times New Roman" w:hint="default"/>
          <w:spacing w:val="-9"/>
        </w:rPr>
        <w:t> </w:t>
      </w:r>
      <w:r>
        <w:rPr/>
        <w:t>月</w:t>
      </w:r>
      <w:r>
        <w:rPr>
          <w:spacing w:val="-46"/>
        </w:rPr>
        <w:t> </w:t>
      </w:r>
      <w:r>
        <w:rPr>
          <w:rFonts w:ascii="Times New Roman" w:hAnsi="Times New Roman" w:cs="Times New Roman" w:eastAsia="Times New Roman" w:hint="default"/>
        </w:rPr>
        <w:t>31</w:t>
      </w:r>
      <w:r>
        <w:rPr>
          <w:rFonts w:ascii="Times New Roman" w:hAnsi="Times New Roman" w:cs="Times New Roman" w:eastAsia="Times New Roman" w:hint="default"/>
          <w:spacing w:val="-9"/>
        </w:rPr>
        <w:t> </w:t>
      </w:r>
      <w:r>
        <w:rPr/>
        <w:t>日的资产负债表所反映的全部主营业务经营性有形资产和可确认的无形性资产组成</w:t>
      </w:r>
    </w:p>
    <w:p>
      <w:pPr>
        <w:pStyle w:val="BodyText"/>
        <w:spacing w:line="240" w:lineRule="auto" w:before="63"/>
        <w:ind w:right="0"/>
        <w:jc w:val="left"/>
      </w:pPr>
      <w:r>
        <w:rPr/>
        <w:t>的资产组（不包含营运资本及非经营性资产）与商誉相关的资产组。资产组具体包括固定资产</w:t>
      </w:r>
      <w:r>
        <w:rPr>
          <w:spacing w:val="-47"/>
        </w:rPr>
        <w:t> </w:t>
      </w:r>
      <w:r>
        <w:rPr>
          <w:rFonts w:ascii="Times New Roman" w:hAnsi="Times New Roman" w:cs="Times New Roman" w:eastAsia="Times New Roman" w:hint="default"/>
        </w:rPr>
        <w:t>12,418,957.13</w:t>
      </w:r>
      <w:r>
        <w:rPr>
          <w:rFonts w:ascii="Times New Roman" w:hAnsi="Times New Roman" w:cs="Times New Roman" w:eastAsia="Times New Roman" w:hint="default"/>
          <w:spacing w:val="-10"/>
        </w:rPr>
        <w:t> </w:t>
      </w:r>
      <w:r>
        <w:rPr/>
        <w:t>元，长期待摊</w:t>
      </w:r>
    </w:p>
    <w:p>
      <w:pPr>
        <w:pStyle w:val="BodyText"/>
        <w:spacing w:line="302" w:lineRule="auto" w:before="63"/>
        <w:ind w:right="1191"/>
        <w:jc w:val="left"/>
      </w:pPr>
      <w:r>
        <w:rPr/>
        <w:t>费用</w:t>
      </w:r>
      <w:r>
        <w:rPr>
          <w:spacing w:val="-47"/>
        </w:rPr>
        <w:t> </w:t>
      </w:r>
      <w:r>
        <w:rPr>
          <w:rFonts w:ascii="Times New Roman" w:hAnsi="Times New Roman" w:cs="Times New Roman" w:eastAsia="Times New Roman" w:hint="default"/>
        </w:rPr>
        <w:t>683,170.09</w:t>
      </w:r>
      <w:r>
        <w:rPr>
          <w:rFonts w:ascii="Times New Roman" w:hAnsi="Times New Roman" w:cs="Times New Roman" w:eastAsia="Times New Roman" w:hint="default"/>
          <w:spacing w:val="-10"/>
        </w:rPr>
        <w:t> </w:t>
      </w:r>
      <w:r>
        <w:rPr/>
        <w:t>元，资产组总计</w:t>
      </w:r>
      <w:r>
        <w:rPr>
          <w:spacing w:val="-47"/>
        </w:rPr>
        <w:t> </w:t>
      </w:r>
      <w:r>
        <w:rPr>
          <w:rFonts w:ascii="Times New Roman" w:hAnsi="Times New Roman" w:cs="Times New Roman" w:eastAsia="Times New Roman" w:hint="default"/>
        </w:rPr>
        <w:t>13,102,127.22</w:t>
      </w:r>
      <w:r>
        <w:rPr>
          <w:rFonts w:ascii="Times New Roman" w:hAnsi="Times New Roman" w:cs="Times New Roman" w:eastAsia="Times New Roman" w:hint="default"/>
          <w:spacing w:val="-10"/>
        </w:rPr>
        <w:t> </w:t>
      </w:r>
      <w:r>
        <w:rPr/>
        <w:t>元。该资产组与购买日、以前年度商誉减值测试时所确定的资产组或资产组 组合一致。</w:t>
      </w:r>
    </w:p>
    <w:p>
      <w:pPr>
        <w:pStyle w:val="BodyText"/>
        <w:spacing w:line="240" w:lineRule="auto" w:before="69"/>
        <w:ind w:right="0"/>
        <w:jc w:val="left"/>
      </w:pPr>
      <w:r>
        <w:rPr/>
        <w:t>③资产组江西丰彩丽：于</w:t>
      </w:r>
      <w:r>
        <w:rPr>
          <w:spacing w:val="-4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9"/>
        </w:rPr>
        <w:t> </w:t>
      </w:r>
      <w:r>
        <w:rPr/>
        <w:t>年</w:t>
      </w:r>
      <w:r>
        <w:rPr>
          <w:spacing w:val="-46"/>
        </w:rPr>
        <w:t> </w:t>
      </w:r>
      <w:r>
        <w:rPr>
          <w:rFonts w:ascii="Times New Roman" w:hAnsi="Times New Roman" w:cs="Times New Roman" w:eastAsia="Times New Roman" w:hint="default"/>
        </w:rPr>
        <w:t>12</w:t>
      </w:r>
      <w:r>
        <w:rPr>
          <w:rFonts w:ascii="Times New Roman" w:hAnsi="Times New Roman" w:cs="Times New Roman" w:eastAsia="Times New Roman" w:hint="default"/>
          <w:spacing w:val="-9"/>
        </w:rPr>
        <w:t> </w:t>
      </w:r>
      <w:r>
        <w:rPr/>
        <w:t>月</w:t>
      </w:r>
      <w:r>
        <w:rPr>
          <w:spacing w:val="-46"/>
        </w:rPr>
        <w:t> </w:t>
      </w:r>
      <w:r>
        <w:rPr>
          <w:rFonts w:ascii="Times New Roman" w:hAnsi="Times New Roman" w:cs="Times New Roman" w:eastAsia="Times New Roman" w:hint="default"/>
        </w:rPr>
        <w:t>31</w:t>
      </w:r>
      <w:r>
        <w:rPr>
          <w:rFonts w:ascii="Times New Roman" w:hAnsi="Times New Roman" w:cs="Times New Roman" w:eastAsia="Times New Roman" w:hint="default"/>
          <w:spacing w:val="-9"/>
        </w:rPr>
        <w:t> </w:t>
      </w:r>
      <w:r>
        <w:rPr/>
        <w:t>日的资产负债表所反映的全部主营业务经营性有形资产和可确认的无形性资产组</w:t>
      </w:r>
    </w:p>
    <w:p>
      <w:pPr>
        <w:pStyle w:val="BodyText"/>
        <w:spacing w:line="240" w:lineRule="auto" w:before="63"/>
        <w:ind w:right="0"/>
        <w:jc w:val="left"/>
      </w:pPr>
      <w:r>
        <w:rPr/>
        <w:t>成的资产组（不包含营运资本及非经营性资产）与商誉相关的资产组。资产组具体包括固定资产</w:t>
      </w:r>
      <w:r>
        <w:rPr>
          <w:spacing w:val="-47"/>
        </w:rPr>
        <w:t> </w:t>
      </w:r>
      <w:r>
        <w:rPr>
          <w:rFonts w:ascii="Times New Roman" w:hAnsi="Times New Roman" w:cs="Times New Roman" w:eastAsia="Times New Roman" w:hint="default"/>
        </w:rPr>
        <w:t>32,128,074.30</w:t>
      </w:r>
      <w:r>
        <w:rPr>
          <w:rFonts w:ascii="Times New Roman" w:hAnsi="Times New Roman" w:cs="Times New Roman" w:eastAsia="Times New Roman" w:hint="default"/>
          <w:spacing w:val="-10"/>
        </w:rPr>
        <w:t> </w:t>
      </w:r>
      <w:r>
        <w:rPr/>
        <w:t>元，无形资</w:t>
      </w:r>
    </w:p>
    <w:p>
      <w:pPr>
        <w:pStyle w:val="BodyText"/>
        <w:spacing w:line="302" w:lineRule="auto" w:before="63"/>
        <w:ind w:right="1154"/>
        <w:jc w:val="left"/>
      </w:pPr>
      <w:r>
        <w:rPr/>
        <w:t>产</w:t>
      </w:r>
      <w:r>
        <w:rPr>
          <w:spacing w:val="-49"/>
        </w:rPr>
        <w:t> </w:t>
      </w:r>
      <w:r>
        <w:rPr>
          <w:rFonts w:ascii="Times New Roman" w:hAnsi="Times New Roman" w:cs="Times New Roman" w:eastAsia="Times New Roman" w:hint="default"/>
        </w:rPr>
        <w:t>14,611,079.12</w:t>
      </w:r>
      <w:r>
        <w:rPr>
          <w:rFonts w:ascii="Times New Roman" w:hAnsi="Times New Roman" w:cs="Times New Roman" w:eastAsia="Times New Roman" w:hint="default"/>
          <w:spacing w:val="-12"/>
        </w:rPr>
        <w:t> </w:t>
      </w:r>
      <w:r>
        <w:rPr/>
        <w:t>元，资产组总计</w:t>
      </w:r>
      <w:r>
        <w:rPr>
          <w:spacing w:val="-49"/>
        </w:rPr>
        <w:t> </w:t>
      </w:r>
      <w:r>
        <w:rPr>
          <w:rFonts w:ascii="Times New Roman" w:hAnsi="Times New Roman" w:cs="Times New Roman" w:eastAsia="Times New Roman" w:hint="default"/>
        </w:rPr>
        <w:t>46,739,153.42</w:t>
      </w:r>
      <w:r>
        <w:rPr>
          <w:rFonts w:ascii="Times New Roman" w:hAnsi="Times New Roman" w:cs="Times New Roman" w:eastAsia="Times New Roman" w:hint="default"/>
          <w:spacing w:val="-12"/>
        </w:rPr>
        <w:t> </w:t>
      </w:r>
      <w:r>
        <w:rPr/>
        <w:t>元。该资产组与购买日、以前年度商誉减值测试时所确定的资产组或资产组 组合一致。</w:t>
      </w:r>
    </w:p>
    <w:p>
      <w:pPr>
        <w:pStyle w:val="BodyText"/>
        <w:spacing w:line="240" w:lineRule="auto" w:before="68"/>
        <w:ind w:right="0"/>
        <w:jc w:val="left"/>
      </w:pPr>
      <w:r>
        <w:rPr/>
        <w:t>④资产组香港佳信：于</w:t>
      </w:r>
      <w:r>
        <w:rPr>
          <w:spacing w:val="-4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8"/>
        </w:rPr>
        <w:t> </w:t>
      </w:r>
      <w:r>
        <w:rPr/>
        <w:t>年</w:t>
      </w:r>
      <w:r>
        <w:rPr>
          <w:spacing w:val="-46"/>
        </w:rPr>
        <w:t> </w:t>
      </w:r>
      <w:r>
        <w:rPr>
          <w:rFonts w:ascii="Times New Roman" w:hAnsi="Times New Roman" w:cs="Times New Roman" w:eastAsia="Times New Roman" w:hint="default"/>
        </w:rPr>
        <w:t>12</w:t>
      </w:r>
      <w:r>
        <w:rPr>
          <w:rFonts w:ascii="Times New Roman" w:hAnsi="Times New Roman" w:cs="Times New Roman" w:eastAsia="Times New Roman" w:hint="default"/>
          <w:spacing w:val="-9"/>
        </w:rPr>
        <w:t> </w:t>
      </w:r>
      <w:r>
        <w:rPr/>
        <w:t>月</w:t>
      </w:r>
      <w:r>
        <w:rPr>
          <w:spacing w:val="-46"/>
        </w:rPr>
        <w:t> </w:t>
      </w:r>
      <w:r>
        <w:rPr>
          <w:rFonts w:ascii="Times New Roman" w:hAnsi="Times New Roman" w:cs="Times New Roman" w:eastAsia="Times New Roman" w:hint="default"/>
        </w:rPr>
        <w:t>31</w:t>
      </w:r>
      <w:r>
        <w:rPr>
          <w:rFonts w:ascii="Times New Roman" w:hAnsi="Times New Roman" w:cs="Times New Roman" w:eastAsia="Times New Roman" w:hint="default"/>
          <w:spacing w:val="-9"/>
        </w:rPr>
        <w:t> </w:t>
      </w:r>
      <w:r>
        <w:rPr/>
        <w:t>日的资产负债表所反映的全部主营业务经营性有形资产和可确认的无形性资产组成</w:t>
      </w:r>
    </w:p>
    <w:p>
      <w:pPr>
        <w:pStyle w:val="BodyText"/>
        <w:spacing w:line="240" w:lineRule="auto" w:before="63"/>
        <w:ind w:right="0"/>
        <w:jc w:val="left"/>
      </w:pPr>
      <w:r>
        <w:rPr/>
        <w:t>的资产组（不包含营运资本及非经营性资产）与商誉相关的资产组。资产组具体包括长期股权投资</w:t>
      </w:r>
      <w:r>
        <w:rPr>
          <w:spacing w:val="-47"/>
        </w:rPr>
        <w:t> </w:t>
      </w:r>
      <w:r>
        <w:rPr>
          <w:rFonts w:ascii="Times New Roman" w:hAnsi="Times New Roman" w:cs="Times New Roman" w:eastAsia="Times New Roman" w:hint="default"/>
        </w:rPr>
        <w:t>58,827,951.13</w:t>
      </w:r>
      <w:r>
        <w:rPr>
          <w:rFonts w:ascii="Times New Roman" w:hAnsi="Times New Roman" w:cs="Times New Roman" w:eastAsia="Times New Roman" w:hint="default"/>
          <w:spacing w:val="-10"/>
        </w:rPr>
        <w:t> </w:t>
      </w:r>
      <w:r>
        <w:rPr/>
        <w:t>元，资产</w:t>
      </w:r>
    </w:p>
    <w:p>
      <w:pPr>
        <w:pStyle w:val="BodyText"/>
        <w:spacing w:line="240" w:lineRule="auto" w:before="64"/>
        <w:ind w:right="0"/>
        <w:jc w:val="left"/>
      </w:pPr>
      <w:r>
        <w:rPr/>
        <w:t>组总计</w:t>
      </w:r>
      <w:r>
        <w:rPr>
          <w:spacing w:val="-48"/>
        </w:rPr>
        <w:t> </w:t>
      </w:r>
      <w:r>
        <w:rPr>
          <w:rFonts w:ascii="Times New Roman" w:hAnsi="Times New Roman" w:cs="Times New Roman" w:eastAsia="Times New Roman" w:hint="default"/>
        </w:rPr>
        <w:t>58,827,951.13</w:t>
      </w:r>
      <w:r>
        <w:rPr>
          <w:rFonts w:ascii="Times New Roman" w:hAnsi="Times New Roman" w:cs="Times New Roman" w:eastAsia="Times New Roman" w:hint="default"/>
          <w:spacing w:val="-10"/>
        </w:rPr>
        <w:t> </w:t>
      </w:r>
      <w:r>
        <w:rPr/>
        <w:t>元。该资产组与购买日、以前年度商誉减值测试时所确定的资产组或资产组组合一致。</w:t>
      </w:r>
    </w:p>
    <w:p>
      <w:pPr>
        <w:pStyle w:val="BodyText"/>
        <w:spacing w:line="240" w:lineRule="auto" w:before="101"/>
        <w:ind w:right="0"/>
        <w:jc w:val="left"/>
      </w:pPr>
      <w:r>
        <w:rPr/>
        <w:t>⑤资产组珠海中丰田：于</w:t>
      </w:r>
      <w:r>
        <w:rPr>
          <w:spacing w:val="-4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9"/>
        </w:rPr>
        <w:t> </w:t>
      </w:r>
      <w:r>
        <w:rPr/>
        <w:t>年</w:t>
      </w:r>
      <w:r>
        <w:rPr>
          <w:spacing w:val="-46"/>
        </w:rPr>
        <w:t> </w:t>
      </w:r>
      <w:r>
        <w:rPr>
          <w:rFonts w:ascii="Times New Roman" w:hAnsi="Times New Roman" w:cs="Times New Roman" w:eastAsia="Times New Roman" w:hint="default"/>
        </w:rPr>
        <w:t>12</w:t>
      </w:r>
      <w:r>
        <w:rPr>
          <w:rFonts w:ascii="Times New Roman" w:hAnsi="Times New Roman" w:cs="Times New Roman" w:eastAsia="Times New Roman" w:hint="default"/>
          <w:spacing w:val="-9"/>
        </w:rPr>
        <w:t> </w:t>
      </w:r>
      <w:r>
        <w:rPr/>
        <w:t>月</w:t>
      </w:r>
      <w:r>
        <w:rPr>
          <w:spacing w:val="-46"/>
        </w:rPr>
        <w:t> </w:t>
      </w:r>
      <w:r>
        <w:rPr>
          <w:rFonts w:ascii="Times New Roman" w:hAnsi="Times New Roman" w:cs="Times New Roman" w:eastAsia="Times New Roman" w:hint="default"/>
        </w:rPr>
        <w:t>31</w:t>
      </w:r>
      <w:r>
        <w:rPr>
          <w:rFonts w:ascii="Times New Roman" w:hAnsi="Times New Roman" w:cs="Times New Roman" w:eastAsia="Times New Roman" w:hint="default"/>
          <w:spacing w:val="-9"/>
        </w:rPr>
        <w:t> </w:t>
      </w:r>
      <w:r>
        <w:rPr/>
        <w:t>日的资产负债表所反映的全部主营业务经营性有形资产和可确认的无形性资产组</w:t>
      </w:r>
    </w:p>
    <w:p>
      <w:pPr>
        <w:pStyle w:val="BodyText"/>
        <w:spacing w:line="240" w:lineRule="auto" w:before="63"/>
        <w:ind w:right="0"/>
        <w:jc w:val="left"/>
      </w:pPr>
      <w:r>
        <w:rPr/>
        <w:t>成的资产组（不包含营运资本及非经营性资产）与商誉相关的资产组。资产组具体包括固定资产</w:t>
      </w:r>
      <w:r>
        <w:rPr>
          <w:spacing w:val="-47"/>
        </w:rPr>
        <w:t> </w:t>
      </w:r>
      <w:r>
        <w:rPr>
          <w:rFonts w:ascii="Times New Roman" w:hAnsi="Times New Roman" w:cs="Times New Roman" w:eastAsia="Times New Roman" w:hint="default"/>
        </w:rPr>
        <w:t>70,836,581.21</w:t>
      </w:r>
      <w:r>
        <w:rPr>
          <w:rFonts w:ascii="Times New Roman" w:hAnsi="Times New Roman" w:cs="Times New Roman" w:eastAsia="Times New Roman" w:hint="default"/>
          <w:spacing w:val="-10"/>
        </w:rPr>
        <w:t> </w:t>
      </w:r>
      <w:r>
        <w:rPr/>
        <w:t>元，无形资</w:t>
      </w:r>
    </w:p>
    <w:p>
      <w:pPr>
        <w:pStyle w:val="BodyText"/>
        <w:spacing w:line="302" w:lineRule="auto" w:before="63"/>
        <w:ind w:right="1202"/>
        <w:jc w:val="left"/>
      </w:pPr>
      <w:r>
        <w:rPr/>
        <w:t>产</w:t>
      </w:r>
      <w:r>
        <w:rPr>
          <w:spacing w:val="-47"/>
        </w:rPr>
        <w:t> </w:t>
      </w:r>
      <w:r>
        <w:rPr>
          <w:rFonts w:ascii="Times New Roman" w:hAnsi="Times New Roman" w:cs="Times New Roman" w:eastAsia="Times New Roman" w:hint="default"/>
        </w:rPr>
        <w:t>33,715,488.83</w:t>
      </w:r>
      <w:r>
        <w:rPr>
          <w:rFonts w:ascii="Times New Roman" w:hAnsi="Times New Roman" w:cs="Times New Roman" w:eastAsia="Times New Roman" w:hint="default"/>
          <w:spacing w:val="-9"/>
        </w:rPr>
        <w:t> </w:t>
      </w:r>
      <w:r>
        <w:rPr/>
        <w:t>元，在建工程</w:t>
      </w:r>
      <w:r>
        <w:rPr>
          <w:spacing w:val="-47"/>
        </w:rPr>
        <w:t> </w:t>
      </w:r>
      <w:r>
        <w:rPr>
          <w:rFonts w:ascii="Times New Roman" w:hAnsi="Times New Roman" w:cs="Times New Roman" w:eastAsia="Times New Roman" w:hint="default"/>
        </w:rPr>
        <w:t>88,924,971.97</w:t>
      </w:r>
      <w:r>
        <w:rPr>
          <w:rFonts w:ascii="Times New Roman" w:hAnsi="Times New Roman" w:cs="Times New Roman" w:eastAsia="Times New Roman" w:hint="default"/>
          <w:spacing w:val="-10"/>
        </w:rPr>
        <w:t> </w:t>
      </w:r>
      <w:r>
        <w:rPr/>
        <w:t>元，资产组总计</w:t>
      </w:r>
      <w:r>
        <w:rPr>
          <w:spacing w:val="-47"/>
        </w:rPr>
        <w:t> </w:t>
      </w:r>
      <w:r>
        <w:rPr>
          <w:rFonts w:ascii="Times New Roman" w:hAnsi="Times New Roman" w:cs="Times New Roman" w:eastAsia="Times New Roman" w:hint="default"/>
        </w:rPr>
        <w:t>195,065,718.99</w:t>
      </w:r>
      <w:r>
        <w:rPr>
          <w:rFonts w:ascii="Times New Roman" w:hAnsi="Times New Roman" w:cs="Times New Roman" w:eastAsia="Times New Roman" w:hint="default"/>
          <w:spacing w:val="-10"/>
        </w:rPr>
        <w:t> </w:t>
      </w:r>
      <w:r>
        <w:rPr/>
        <w:t>元。该资产组与购买日、以前年度商誉减值测 试时所确定的资产组或资产组组合一致。</w:t>
      </w:r>
    </w:p>
    <w:p>
      <w:pPr>
        <w:pStyle w:val="BodyText"/>
        <w:spacing w:line="240" w:lineRule="auto" w:before="69"/>
        <w:ind w:right="0"/>
        <w:jc w:val="left"/>
      </w:pPr>
      <w:r>
        <w:rPr/>
        <w:t>⑥资产组劲嘉科技：于</w:t>
      </w:r>
      <w:r>
        <w:rPr>
          <w:spacing w:val="-4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8"/>
        </w:rPr>
        <w:t> </w:t>
      </w:r>
      <w:r>
        <w:rPr/>
        <w:t>年</w:t>
      </w:r>
      <w:r>
        <w:rPr>
          <w:spacing w:val="-46"/>
        </w:rPr>
        <w:t> </w:t>
      </w:r>
      <w:r>
        <w:rPr>
          <w:rFonts w:ascii="Times New Roman" w:hAnsi="Times New Roman" w:cs="Times New Roman" w:eastAsia="Times New Roman" w:hint="default"/>
        </w:rPr>
        <w:t>12</w:t>
      </w:r>
      <w:r>
        <w:rPr>
          <w:rFonts w:ascii="Times New Roman" w:hAnsi="Times New Roman" w:cs="Times New Roman" w:eastAsia="Times New Roman" w:hint="default"/>
          <w:spacing w:val="-9"/>
        </w:rPr>
        <w:t> </w:t>
      </w:r>
      <w:r>
        <w:rPr/>
        <w:t>月</w:t>
      </w:r>
      <w:r>
        <w:rPr>
          <w:spacing w:val="-46"/>
        </w:rPr>
        <w:t> </w:t>
      </w:r>
      <w:r>
        <w:rPr>
          <w:rFonts w:ascii="Times New Roman" w:hAnsi="Times New Roman" w:cs="Times New Roman" w:eastAsia="Times New Roman" w:hint="default"/>
        </w:rPr>
        <w:t>31</w:t>
      </w:r>
      <w:r>
        <w:rPr>
          <w:rFonts w:ascii="Times New Roman" w:hAnsi="Times New Roman" w:cs="Times New Roman" w:eastAsia="Times New Roman" w:hint="default"/>
          <w:spacing w:val="-9"/>
        </w:rPr>
        <w:t> </w:t>
      </w:r>
      <w:r>
        <w:rPr/>
        <w:t>日的资产负债表所反映的全部主营业务经营性有形资产和可确认的无形性资产组成</w:t>
      </w:r>
    </w:p>
    <w:p>
      <w:pPr>
        <w:pStyle w:val="BodyText"/>
        <w:spacing w:line="240" w:lineRule="auto" w:before="63"/>
        <w:ind w:right="0"/>
        <w:jc w:val="left"/>
      </w:pPr>
      <w:r>
        <w:rPr/>
        <w:t>的资产组（不包含营运资本及非经营性资产）与商誉相关的资产组。资产组具体包括固定资产</w:t>
      </w:r>
      <w:r>
        <w:rPr>
          <w:spacing w:val="-64"/>
        </w:rPr>
        <w:t> </w:t>
      </w:r>
      <w:r>
        <w:rPr>
          <w:rFonts w:ascii="Times New Roman" w:hAnsi="Times New Roman" w:cs="Times New Roman" w:eastAsia="Times New Roman" w:hint="default"/>
        </w:rPr>
        <w:t>2,095,185.17</w:t>
      </w:r>
      <w:r>
        <w:rPr>
          <w:rFonts w:ascii="Times New Roman" w:hAnsi="Times New Roman" w:cs="Times New Roman" w:eastAsia="Times New Roman" w:hint="default"/>
          <w:spacing w:val="-24"/>
        </w:rPr>
        <w:t> </w:t>
      </w:r>
      <w:r>
        <w:rPr/>
        <w:t>元，长期待摊费</w:t>
      </w:r>
    </w:p>
    <w:p>
      <w:pPr>
        <w:pStyle w:val="BodyText"/>
        <w:spacing w:line="302" w:lineRule="auto" w:before="63"/>
        <w:ind w:right="1121"/>
        <w:jc w:val="left"/>
      </w:pPr>
      <w:r>
        <w:rPr/>
        <w:t>用</w:t>
      </w:r>
      <w:r>
        <w:rPr>
          <w:spacing w:val="-59"/>
        </w:rPr>
        <w:t> </w:t>
      </w:r>
      <w:r>
        <w:rPr>
          <w:rFonts w:ascii="Times New Roman" w:hAnsi="Times New Roman" w:cs="Times New Roman" w:eastAsia="Times New Roman" w:hint="default"/>
        </w:rPr>
        <w:t>9,834,743.24</w:t>
      </w:r>
      <w:r>
        <w:rPr>
          <w:rFonts w:ascii="Times New Roman" w:hAnsi="Times New Roman" w:cs="Times New Roman" w:eastAsia="Times New Roman" w:hint="default"/>
          <w:spacing w:val="-20"/>
        </w:rPr>
        <w:t> </w:t>
      </w:r>
      <w:r>
        <w:rPr>
          <w:spacing w:val="-3"/>
        </w:rPr>
        <w:t>元，资产组总计</w:t>
      </w:r>
      <w:r>
        <w:rPr>
          <w:spacing w:val="-59"/>
        </w:rPr>
        <w:t> </w:t>
      </w:r>
      <w:r>
        <w:rPr>
          <w:rFonts w:ascii="Times New Roman" w:hAnsi="Times New Roman" w:cs="Times New Roman" w:eastAsia="Times New Roman" w:hint="default"/>
        </w:rPr>
        <w:t>11,929,928.41</w:t>
      </w:r>
      <w:r>
        <w:rPr>
          <w:rFonts w:ascii="Times New Roman" w:hAnsi="Times New Roman" w:cs="Times New Roman" w:eastAsia="Times New Roman" w:hint="default"/>
          <w:spacing w:val="-20"/>
        </w:rPr>
        <w:t> </w:t>
      </w:r>
      <w:r>
        <w:rPr/>
        <w:t>元。该资产组与购买日、以前年度商誉减值测试时所确定的资产组或资产组组 合一致。</w:t>
      </w:r>
    </w:p>
    <w:p>
      <w:pPr>
        <w:pStyle w:val="BodyText"/>
        <w:spacing w:line="240" w:lineRule="auto" w:before="68"/>
        <w:ind w:right="0"/>
        <w:jc w:val="left"/>
      </w:pPr>
      <w:r>
        <w:rPr/>
        <w:t>⑦资产组贵州瑞源：于</w:t>
      </w:r>
      <w:r>
        <w:rPr>
          <w:spacing w:val="-4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8"/>
        </w:rPr>
        <w:t> </w:t>
      </w:r>
      <w:r>
        <w:rPr/>
        <w:t>年</w:t>
      </w:r>
      <w:r>
        <w:rPr>
          <w:spacing w:val="-46"/>
        </w:rPr>
        <w:t> </w:t>
      </w:r>
      <w:r>
        <w:rPr>
          <w:rFonts w:ascii="Times New Roman" w:hAnsi="Times New Roman" w:cs="Times New Roman" w:eastAsia="Times New Roman" w:hint="default"/>
        </w:rPr>
        <w:t>12</w:t>
      </w:r>
      <w:r>
        <w:rPr>
          <w:rFonts w:ascii="Times New Roman" w:hAnsi="Times New Roman" w:cs="Times New Roman" w:eastAsia="Times New Roman" w:hint="default"/>
          <w:spacing w:val="-9"/>
        </w:rPr>
        <w:t> </w:t>
      </w:r>
      <w:r>
        <w:rPr/>
        <w:t>月</w:t>
      </w:r>
      <w:r>
        <w:rPr>
          <w:spacing w:val="-46"/>
        </w:rPr>
        <w:t> </w:t>
      </w:r>
      <w:r>
        <w:rPr>
          <w:rFonts w:ascii="Times New Roman" w:hAnsi="Times New Roman" w:cs="Times New Roman" w:eastAsia="Times New Roman" w:hint="default"/>
        </w:rPr>
        <w:t>31</w:t>
      </w:r>
      <w:r>
        <w:rPr>
          <w:rFonts w:ascii="Times New Roman" w:hAnsi="Times New Roman" w:cs="Times New Roman" w:eastAsia="Times New Roman" w:hint="default"/>
          <w:spacing w:val="-9"/>
        </w:rPr>
        <w:t> </w:t>
      </w:r>
      <w:r>
        <w:rPr/>
        <w:t>日的资产负债表所反映的全部主营业务经营性有形资产和可确认的无形性资产组成</w:t>
      </w:r>
    </w:p>
    <w:p>
      <w:pPr>
        <w:pStyle w:val="BodyText"/>
        <w:spacing w:line="240" w:lineRule="auto" w:before="63"/>
        <w:ind w:right="0"/>
        <w:jc w:val="left"/>
      </w:pPr>
      <w:r>
        <w:rPr/>
        <w:t>的资产组（不包含营运资本及非经营性资产）与商誉相关的资产组。资产组具体包括固定资产</w:t>
      </w:r>
      <w:r>
        <w:rPr>
          <w:spacing w:val="-47"/>
        </w:rPr>
        <w:t> </w:t>
      </w:r>
      <w:r>
        <w:rPr>
          <w:rFonts w:ascii="Times New Roman" w:hAnsi="Times New Roman" w:cs="Times New Roman" w:eastAsia="Times New Roman" w:hint="default"/>
        </w:rPr>
        <w:t>135,634.02</w:t>
      </w:r>
      <w:r>
        <w:rPr>
          <w:rFonts w:ascii="Times New Roman" w:hAnsi="Times New Roman" w:cs="Times New Roman" w:eastAsia="Times New Roman" w:hint="default"/>
          <w:spacing w:val="-10"/>
        </w:rPr>
        <w:t> </w:t>
      </w:r>
      <w:r>
        <w:rPr/>
        <w:t>元，无形资产</w:t>
      </w:r>
    </w:p>
    <w:p>
      <w:pPr>
        <w:pStyle w:val="BodyText"/>
        <w:spacing w:line="240" w:lineRule="auto" w:before="63"/>
        <w:ind w:right="0"/>
        <w:jc w:val="left"/>
      </w:pPr>
      <w:r>
        <w:rPr>
          <w:rFonts w:ascii="Times New Roman" w:hAnsi="Times New Roman" w:cs="Times New Roman" w:eastAsia="Times New Roman" w:hint="default"/>
        </w:rPr>
        <w:t>25,350,661.25</w:t>
      </w:r>
      <w:r>
        <w:rPr>
          <w:rFonts w:ascii="Times New Roman" w:hAnsi="Times New Roman" w:cs="Times New Roman" w:eastAsia="Times New Roman" w:hint="default"/>
          <w:spacing w:val="-13"/>
        </w:rPr>
        <w:t> </w:t>
      </w:r>
      <w:r>
        <w:rPr>
          <w:spacing w:val="-3"/>
        </w:rPr>
        <w:t>元，在建工程</w:t>
      </w:r>
      <w:r>
        <w:rPr>
          <w:spacing w:val="-52"/>
        </w:rPr>
        <w:t> </w:t>
      </w:r>
      <w:r>
        <w:rPr>
          <w:rFonts w:ascii="Times New Roman" w:hAnsi="Times New Roman" w:cs="Times New Roman" w:eastAsia="Times New Roman" w:hint="default"/>
        </w:rPr>
        <w:t>1,899,104.80</w:t>
      </w:r>
      <w:r>
        <w:rPr>
          <w:rFonts w:ascii="Times New Roman" w:hAnsi="Times New Roman" w:cs="Times New Roman" w:eastAsia="Times New Roman" w:hint="default"/>
          <w:spacing w:val="-14"/>
        </w:rPr>
        <w:t> </w:t>
      </w:r>
      <w:r>
        <w:rPr>
          <w:spacing w:val="-3"/>
        </w:rPr>
        <w:t>元，资产组总计</w:t>
      </w:r>
      <w:r>
        <w:rPr>
          <w:spacing w:val="-52"/>
        </w:rPr>
        <w:t> </w:t>
      </w:r>
      <w:r>
        <w:rPr>
          <w:rFonts w:ascii="Times New Roman" w:hAnsi="Times New Roman" w:cs="Times New Roman" w:eastAsia="Times New Roman" w:hint="default"/>
        </w:rPr>
        <w:t>27,385,400.07</w:t>
      </w:r>
      <w:r>
        <w:rPr>
          <w:rFonts w:ascii="Times New Roman" w:hAnsi="Times New Roman" w:cs="Times New Roman" w:eastAsia="Times New Roman" w:hint="default"/>
          <w:spacing w:val="-14"/>
        </w:rPr>
        <w:t> </w:t>
      </w:r>
      <w:r>
        <w:rPr/>
        <w:t>元。该资产组与购买日、以前年度商誉减值测试时所</w:t>
      </w:r>
    </w:p>
    <w:p>
      <w:pPr>
        <w:spacing w:after="0" w:line="240" w:lineRule="auto"/>
        <w:jc w:val="left"/>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pStyle w:val="BodyText"/>
        <w:spacing w:line="240" w:lineRule="auto" w:before="44"/>
        <w:ind w:left="214" w:right="1032"/>
        <w:jc w:val="left"/>
      </w:pPr>
      <w:r>
        <w:rPr/>
        <w:t>确定的资产组或资产组组合一致。</w:t>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7"/>
          <w:szCs w:val="17"/>
        </w:rPr>
      </w:pPr>
    </w:p>
    <w:p>
      <w:pPr>
        <w:pStyle w:val="BodyText"/>
        <w:spacing w:line="338" w:lineRule="auto"/>
        <w:ind w:left="214" w:right="1167"/>
        <w:jc w:val="left"/>
        <w:rPr>
          <w:rFonts w:ascii="Times New Roman" w:hAnsi="Times New Roman" w:cs="Times New Roman" w:eastAsia="Times New Roman" w:hint="default"/>
        </w:rPr>
      </w:pPr>
      <w:r>
        <w:rPr>
          <w:rFonts w:ascii="Times New Roman" w:hAnsi="Times New Roman" w:cs="Times New Roman" w:eastAsia="Times New Roman" w:hint="default"/>
        </w:rPr>
        <w:t>2</w:t>
      </w:r>
      <w:r>
        <w:rPr/>
        <w:t>）报告分部确认的资产组或资产组组合的减值损失 本公司以是以不同行业为基础作为确定报告分部的依据。为减值测试的目的，本公司将商誉分摊至下列资产组，截止</w:t>
      </w:r>
      <w:r>
        <w:rPr>
          <w:spacing w:val="-45"/>
        </w:rPr>
        <w:t> </w:t>
      </w:r>
      <w:r>
        <w:rPr>
          <w:rFonts w:ascii="Times New Roman" w:hAnsi="Times New Roman" w:cs="Times New Roman" w:eastAsia="Times New Roman" w:hint="default"/>
        </w:rPr>
        <w:t>2018</w:t>
      </w:r>
    </w:p>
    <w:p>
      <w:pPr>
        <w:pStyle w:val="BodyText"/>
        <w:spacing w:line="232" w:lineRule="exact"/>
        <w:ind w:left="214" w:right="1032"/>
        <w:jc w:val="left"/>
      </w:pPr>
      <w:r>
        <w:rPr/>
        <w:t>年</w:t>
      </w:r>
      <w:r>
        <w:rPr>
          <w:spacing w:val="-46"/>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46"/>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日，分配到该等资产组的商誉的账面价值及相关减值准备如下：</w:t>
      </w:r>
    </w:p>
    <w:p>
      <w:pPr>
        <w:spacing w:line="240" w:lineRule="auto" w:before="2"/>
        <w:rPr>
          <w:rFonts w:ascii="宋体" w:hAnsi="宋体" w:cs="宋体" w:eastAsia="宋体" w:hint="default"/>
          <w:sz w:val="8"/>
          <w:szCs w:val="8"/>
        </w:rPr>
      </w:pPr>
    </w:p>
    <w:tbl>
      <w:tblPr>
        <w:tblW w:w="0" w:type="auto"/>
        <w:jc w:val="left"/>
        <w:tblInd w:w="209" w:type="dxa"/>
        <w:tblLayout w:type="fixed"/>
        <w:tblCellMar>
          <w:top w:w="0" w:type="dxa"/>
          <w:left w:w="0" w:type="dxa"/>
          <w:bottom w:w="0" w:type="dxa"/>
          <w:right w:w="0" w:type="dxa"/>
        </w:tblCellMar>
        <w:tblLook w:val="01E0"/>
      </w:tblPr>
      <w:tblGrid>
        <w:gridCol w:w="3244"/>
        <w:gridCol w:w="2124"/>
        <w:gridCol w:w="2046"/>
        <w:gridCol w:w="2086"/>
      </w:tblGrid>
      <w:tr>
        <w:trPr>
          <w:trHeight w:val="326" w:hRule="exact"/>
        </w:trPr>
        <w:tc>
          <w:tcPr>
            <w:tcW w:w="324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
              <w:ind w:right="0"/>
              <w:jc w:val="center"/>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55"/>
                <w:sz w:val="18"/>
                <w:szCs w:val="18"/>
              </w:rPr>
              <w:t> </w:t>
            </w:r>
            <w:r>
              <w:rPr>
                <w:rFonts w:ascii="宋体" w:hAnsi="宋体" w:cs="宋体" w:eastAsia="宋体" w:hint="default"/>
                <w:sz w:val="18"/>
                <w:szCs w:val="18"/>
              </w:rPr>
              <w:t>目</w:t>
            </w:r>
          </w:p>
        </w:tc>
        <w:tc>
          <w:tcPr>
            <w:tcW w:w="212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
              <w:ind w:left="1" w:right="0"/>
              <w:jc w:val="center"/>
              <w:rPr>
                <w:rFonts w:ascii="宋体" w:hAnsi="宋体" w:cs="宋体" w:eastAsia="宋体" w:hint="default"/>
                <w:sz w:val="18"/>
                <w:szCs w:val="18"/>
              </w:rPr>
            </w:pPr>
            <w:r>
              <w:rPr>
                <w:rFonts w:ascii="宋体" w:hAnsi="宋体" w:cs="宋体" w:eastAsia="宋体" w:hint="default"/>
                <w:sz w:val="18"/>
                <w:szCs w:val="18"/>
              </w:rPr>
              <w:t>成</w:t>
            </w:r>
            <w:r>
              <w:rPr>
                <w:rFonts w:ascii="宋体" w:hAnsi="宋体" w:cs="宋体" w:eastAsia="宋体" w:hint="default"/>
                <w:spacing w:val="55"/>
                <w:sz w:val="18"/>
                <w:szCs w:val="18"/>
              </w:rPr>
              <w:t> </w:t>
            </w:r>
            <w:r>
              <w:rPr>
                <w:rFonts w:ascii="宋体" w:hAnsi="宋体" w:cs="宋体" w:eastAsia="宋体" w:hint="default"/>
                <w:sz w:val="18"/>
                <w:szCs w:val="18"/>
              </w:rPr>
              <w:t>本</w:t>
            </w:r>
          </w:p>
        </w:tc>
        <w:tc>
          <w:tcPr>
            <w:tcW w:w="204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
              <w:ind w:left="65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208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
              <w:ind w:left="1" w:right="0"/>
              <w:jc w:val="center"/>
              <w:rPr>
                <w:rFonts w:ascii="宋体" w:hAnsi="宋体" w:cs="宋体" w:eastAsia="宋体" w:hint="default"/>
                <w:sz w:val="18"/>
                <w:szCs w:val="18"/>
              </w:rPr>
            </w:pPr>
            <w:r>
              <w:rPr>
                <w:rFonts w:ascii="宋体" w:hAnsi="宋体" w:cs="宋体" w:eastAsia="宋体" w:hint="default"/>
                <w:sz w:val="18"/>
                <w:szCs w:val="18"/>
              </w:rPr>
              <w:t>净</w:t>
            </w:r>
            <w:r>
              <w:rPr>
                <w:rFonts w:ascii="宋体" w:hAnsi="宋体" w:cs="宋体" w:eastAsia="宋体" w:hint="default"/>
                <w:spacing w:val="55"/>
                <w:sz w:val="18"/>
                <w:szCs w:val="18"/>
              </w:rPr>
              <w:t> </w:t>
            </w:r>
            <w:r>
              <w:rPr>
                <w:rFonts w:ascii="宋体" w:hAnsi="宋体" w:cs="宋体" w:eastAsia="宋体" w:hint="default"/>
                <w:sz w:val="18"/>
                <w:szCs w:val="18"/>
              </w:rPr>
              <w:t>额</w:t>
            </w:r>
          </w:p>
        </w:tc>
      </w:tr>
      <w:tr>
        <w:trPr>
          <w:trHeight w:val="342" w:hRule="exact"/>
        </w:trPr>
        <w:tc>
          <w:tcPr>
            <w:tcW w:w="3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、包装印刷分部</w:t>
            </w:r>
          </w:p>
        </w:tc>
        <w:tc>
          <w:tcPr>
            <w:tcW w:w="2124" w:type="dxa"/>
            <w:tcBorders>
              <w:top w:val="single" w:sz="4" w:space="0" w:color="000000"/>
              <w:left w:val="single" w:sz="4" w:space="0" w:color="000000"/>
              <w:bottom w:val="single" w:sz="4" w:space="0" w:color="000000"/>
              <w:right w:val="single" w:sz="4" w:space="0" w:color="000000"/>
            </w:tcBorders>
          </w:tcPr>
          <w:p>
            <w:pPr/>
          </w:p>
        </w:tc>
        <w:tc>
          <w:tcPr>
            <w:tcW w:w="2046"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8" w:space="0" w:color="000000"/>
              <w:left w:val="single" w:sz="4" w:space="0" w:color="000000"/>
              <w:bottom w:val="single" w:sz="4" w:space="0" w:color="000000"/>
              <w:right w:val="single" w:sz="4" w:space="0" w:color="000000"/>
            </w:tcBorders>
          </w:tcPr>
          <w:p>
            <w:pPr/>
          </w:p>
        </w:tc>
      </w:tr>
      <w:tr>
        <w:trPr>
          <w:trHeight w:val="342" w:hRule="exact"/>
        </w:trPr>
        <w:tc>
          <w:tcPr>
            <w:tcW w:w="3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包装印刷分部－江苏顺泰</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630,230,371.10</w:t>
            </w:r>
          </w:p>
        </w:tc>
        <w:tc>
          <w:tcPr>
            <w:tcW w:w="2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630,230,371.10</w:t>
            </w:r>
          </w:p>
        </w:tc>
      </w:tr>
      <w:tr>
        <w:trPr>
          <w:trHeight w:val="342" w:hRule="exact"/>
        </w:trPr>
        <w:tc>
          <w:tcPr>
            <w:tcW w:w="3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包装印刷分部－长春吉星</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181,099,158.22</w:t>
            </w:r>
          </w:p>
        </w:tc>
        <w:tc>
          <w:tcPr>
            <w:tcW w:w="2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181,099,158.22</w:t>
            </w:r>
          </w:p>
        </w:tc>
      </w:tr>
      <w:tr>
        <w:trPr>
          <w:trHeight w:val="342" w:hRule="exact"/>
        </w:trPr>
        <w:tc>
          <w:tcPr>
            <w:tcW w:w="3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包装印刷分部－江西丰彩丽</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86,507,261.23</w:t>
            </w:r>
          </w:p>
        </w:tc>
        <w:tc>
          <w:tcPr>
            <w:tcW w:w="2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86,507,261.23</w:t>
            </w:r>
          </w:p>
        </w:tc>
      </w:tr>
      <w:tr>
        <w:trPr>
          <w:trHeight w:val="342" w:hRule="exact"/>
        </w:trPr>
        <w:tc>
          <w:tcPr>
            <w:tcW w:w="3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包装印刷分部－珠海中丰田</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79,712,372.22</w:t>
            </w:r>
          </w:p>
        </w:tc>
        <w:tc>
          <w:tcPr>
            <w:tcW w:w="2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30,839,115.86</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48,873,256.36</w:t>
            </w:r>
          </w:p>
        </w:tc>
      </w:tr>
      <w:tr>
        <w:trPr>
          <w:trHeight w:val="342" w:hRule="exact"/>
        </w:trPr>
        <w:tc>
          <w:tcPr>
            <w:tcW w:w="3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包装印刷分部－劲嘉科技</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641,549.76</w:t>
            </w:r>
          </w:p>
        </w:tc>
        <w:tc>
          <w:tcPr>
            <w:tcW w:w="2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641,549.76</w:t>
            </w:r>
          </w:p>
        </w:tc>
      </w:tr>
      <w:tr>
        <w:trPr>
          <w:trHeight w:val="342" w:hRule="exact"/>
        </w:trPr>
        <w:tc>
          <w:tcPr>
            <w:tcW w:w="3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包装印刷分部－贵州瑞源</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897,339.80</w:t>
            </w:r>
          </w:p>
        </w:tc>
        <w:tc>
          <w:tcPr>
            <w:tcW w:w="2046"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897,339.80</w:t>
            </w:r>
          </w:p>
        </w:tc>
      </w:tr>
      <w:tr>
        <w:trPr>
          <w:trHeight w:val="342" w:hRule="exact"/>
        </w:trPr>
        <w:tc>
          <w:tcPr>
            <w:tcW w:w="3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979,088,052.33</w:t>
            </w:r>
          </w:p>
        </w:tc>
        <w:tc>
          <w:tcPr>
            <w:tcW w:w="2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30,839,115.86</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948,248,936.47</w:t>
            </w:r>
          </w:p>
        </w:tc>
      </w:tr>
      <w:tr>
        <w:trPr>
          <w:trHeight w:val="342" w:hRule="exact"/>
        </w:trPr>
        <w:tc>
          <w:tcPr>
            <w:tcW w:w="3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、其他分部</w:t>
            </w:r>
          </w:p>
        </w:tc>
        <w:tc>
          <w:tcPr>
            <w:tcW w:w="2124" w:type="dxa"/>
            <w:tcBorders>
              <w:top w:val="single" w:sz="4" w:space="0" w:color="000000"/>
              <w:left w:val="single" w:sz="4" w:space="0" w:color="000000"/>
              <w:bottom w:val="single" w:sz="4" w:space="0" w:color="000000"/>
              <w:right w:val="single" w:sz="4" w:space="0" w:color="000000"/>
            </w:tcBorders>
          </w:tcPr>
          <w:p>
            <w:pPr/>
          </w:p>
        </w:tc>
        <w:tc>
          <w:tcPr>
            <w:tcW w:w="2046"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3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其他分部－香港佳信</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40,509,904.33</w:t>
            </w:r>
          </w:p>
        </w:tc>
        <w:tc>
          <w:tcPr>
            <w:tcW w:w="2046"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40,509,904.33</w:t>
            </w:r>
          </w:p>
        </w:tc>
      </w:tr>
      <w:tr>
        <w:trPr>
          <w:trHeight w:val="342" w:hRule="exact"/>
        </w:trPr>
        <w:tc>
          <w:tcPr>
            <w:tcW w:w="3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40,509,904.33</w:t>
            </w:r>
          </w:p>
        </w:tc>
        <w:tc>
          <w:tcPr>
            <w:tcW w:w="2046"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40,509,904.33</w:t>
            </w:r>
          </w:p>
        </w:tc>
      </w:tr>
      <w:tr>
        <w:trPr>
          <w:trHeight w:val="343" w:hRule="exact"/>
        </w:trPr>
        <w:tc>
          <w:tcPr>
            <w:tcW w:w="3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1,019,597,956.66</w:t>
            </w:r>
          </w:p>
        </w:tc>
        <w:tc>
          <w:tcPr>
            <w:tcW w:w="2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30,839,115.86</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988,758,840.80</w:t>
            </w:r>
          </w:p>
        </w:tc>
      </w:tr>
    </w:tbl>
    <w:p>
      <w:pPr>
        <w:pStyle w:val="BodyText"/>
        <w:spacing w:line="316" w:lineRule="auto" w:before="51"/>
        <w:ind w:left="214" w:right="1032"/>
        <w:jc w:val="left"/>
      </w:pPr>
      <w:r>
        <w:rPr>
          <w:spacing w:val="-2"/>
        </w:rPr>
        <w:t>说明商誉减值测试过程、关键参数（如预计未来现金流量现值时的预测期增长率、稳定期增长率、利润率、折现率、预测期</w:t>
      </w:r>
      <w:r>
        <w:rPr>
          <w:spacing w:val="-68"/>
        </w:rPr>
        <w:t> </w:t>
      </w:r>
      <w:r>
        <w:rPr>
          <w:spacing w:val="-68"/>
        </w:rPr>
      </w:r>
      <w:r>
        <w:rPr/>
        <w:t>等）及商誉减值损失的确认方法：</w:t>
      </w:r>
    </w:p>
    <w:p>
      <w:pPr>
        <w:pStyle w:val="BodyText"/>
        <w:spacing w:line="240" w:lineRule="auto" w:before="57"/>
        <w:ind w:left="694" w:right="1032"/>
        <w:jc w:val="left"/>
      </w:pPr>
      <w:r>
        <w:rPr/>
        <w:t>①商誉减值测试的过程：</w:t>
      </w:r>
    </w:p>
    <w:p>
      <w:pPr>
        <w:spacing w:line="240" w:lineRule="auto" w:before="1"/>
        <w:rPr>
          <w:rFonts w:ascii="宋体" w:hAnsi="宋体" w:cs="宋体" w:eastAsia="宋体" w:hint="default"/>
          <w:sz w:val="5"/>
          <w:szCs w:val="5"/>
        </w:rPr>
      </w:pPr>
    </w:p>
    <w:tbl>
      <w:tblPr>
        <w:tblW w:w="0" w:type="auto"/>
        <w:jc w:val="left"/>
        <w:tblInd w:w="101" w:type="dxa"/>
        <w:tblLayout w:type="fixed"/>
        <w:tblCellMar>
          <w:top w:w="0" w:type="dxa"/>
          <w:left w:w="0" w:type="dxa"/>
          <w:bottom w:w="0" w:type="dxa"/>
          <w:right w:w="0" w:type="dxa"/>
        </w:tblCellMar>
        <w:tblLook w:val="01E0"/>
      </w:tblPr>
      <w:tblGrid>
        <w:gridCol w:w="1739"/>
        <w:gridCol w:w="1354"/>
        <w:gridCol w:w="1353"/>
        <w:gridCol w:w="1354"/>
        <w:gridCol w:w="1352"/>
        <w:gridCol w:w="1352"/>
        <w:gridCol w:w="1352"/>
      </w:tblGrid>
      <w:tr>
        <w:trPr>
          <w:trHeight w:val="1258" w:hRule="exact"/>
        </w:trPr>
        <w:tc>
          <w:tcPr>
            <w:tcW w:w="173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11"/>
              <w:ind w:left="774" w:right="143" w:hanging="631"/>
              <w:jc w:val="left"/>
              <w:rPr>
                <w:rFonts w:ascii="宋体" w:hAnsi="宋体" w:cs="宋体" w:eastAsia="宋体" w:hint="default"/>
                <w:sz w:val="18"/>
                <w:szCs w:val="18"/>
              </w:rPr>
            </w:pPr>
            <w:r>
              <w:rPr>
                <w:rFonts w:ascii="宋体" w:hAnsi="宋体" w:cs="宋体" w:eastAsia="宋体" w:hint="default"/>
                <w:sz w:val="18"/>
                <w:szCs w:val="18"/>
              </w:rPr>
              <w:t>资产组或资产组组 合</w:t>
            </w:r>
          </w:p>
        </w:tc>
        <w:tc>
          <w:tcPr>
            <w:tcW w:w="135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11"/>
              <w:ind w:left="491" w:right="131" w:hanging="360"/>
              <w:jc w:val="left"/>
              <w:rPr>
                <w:rFonts w:ascii="宋体" w:hAnsi="宋体" w:cs="宋体" w:eastAsia="宋体" w:hint="default"/>
                <w:sz w:val="18"/>
                <w:szCs w:val="18"/>
              </w:rPr>
            </w:pPr>
            <w:r>
              <w:rPr>
                <w:rFonts w:ascii="宋体" w:hAnsi="宋体" w:cs="宋体" w:eastAsia="宋体" w:hint="default"/>
                <w:sz w:val="18"/>
                <w:szCs w:val="18"/>
              </w:rPr>
              <w:t>商誉分配的金 额①</w:t>
            </w:r>
          </w:p>
        </w:tc>
        <w:tc>
          <w:tcPr>
            <w:tcW w:w="135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11"/>
              <w:ind w:left="131" w:right="129"/>
              <w:jc w:val="center"/>
              <w:rPr>
                <w:rFonts w:ascii="宋体" w:hAnsi="宋体" w:cs="宋体" w:eastAsia="宋体" w:hint="default"/>
                <w:sz w:val="18"/>
                <w:szCs w:val="18"/>
              </w:rPr>
            </w:pPr>
            <w:r>
              <w:rPr>
                <w:rFonts w:ascii="宋体" w:hAnsi="宋体" w:cs="宋体" w:eastAsia="宋体" w:hint="default"/>
                <w:sz w:val="18"/>
                <w:szCs w:val="18"/>
              </w:rPr>
              <w:t>参与分配商誉 的资产组或资 产组组合期末 的价值②</w:t>
            </w:r>
          </w:p>
        </w:tc>
        <w:tc>
          <w:tcPr>
            <w:tcW w:w="135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11"/>
              <w:ind w:left="131" w:right="131"/>
              <w:jc w:val="center"/>
              <w:rPr>
                <w:rFonts w:ascii="宋体" w:hAnsi="宋体" w:cs="宋体" w:eastAsia="宋体" w:hint="default"/>
                <w:sz w:val="18"/>
                <w:szCs w:val="18"/>
              </w:rPr>
            </w:pPr>
            <w:r>
              <w:rPr>
                <w:rFonts w:ascii="宋体" w:hAnsi="宋体" w:cs="宋体" w:eastAsia="宋体" w:hint="default"/>
                <w:sz w:val="18"/>
                <w:szCs w:val="18"/>
              </w:rPr>
              <w:t>归属于资产组 或资产组组合 的少数股东的 商誉③</w:t>
            </w:r>
          </w:p>
        </w:tc>
        <w:tc>
          <w:tcPr>
            <w:tcW w:w="135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11"/>
              <w:ind w:left="130" w:right="129"/>
              <w:jc w:val="center"/>
              <w:rPr>
                <w:rFonts w:ascii="宋体" w:hAnsi="宋体" w:cs="宋体" w:eastAsia="宋体" w:hint="default"/>
                <w:sz w:val="18"/>
                <w:szCs w:val="18"/>
              </w:rPr>
            </w:pPr>
            <w:r>
              <w:rPr>
                <w:rFonts w:ascii="宋体" w:hAnsi="宋体" w:cs="宋体" w:eastAsia="宋体" w:hint="default"/>
                <w:sz w:val="18"/>
                <w:szCs w:val="18"/>
              </w:rPr>
              <w:t>资产或资产组 期末预计可收 回金额④</w:t>
            </w:r>
          </w:p>
        </w:tc>
        <w:tc>
          <w:tcPr>
            <w:tcW w:w="135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left="130" w:right="0"/>
              <w:jc w:val="left"/>
              <w:rPr>
                <w:rFonts w:ascii="宋体" w:hAnsi="宋体" w:cs="宋体" w:eastAsia="宋体" w:hint="default"/>
                <w:sz w:val="18"/>
                <w:szCs w:val="18"/>
              </w:rPr>
            </w:pPr>
            <w:r>
              <w:rPr>
                <w:rFonts w:ascii="宋体" w:hAnsi="宋体" w:cs="宋体" w:eastAsia="宋体" w:hint="default"/>
                <w:sz w:val="18"/>
                <w:szCs w:val="18"/>
              </w:rPr>
              <w:t>商誉减值金额</w:t>
            </w:r>
          </w:p>
          <w:p>
            <w:pPr>
              <w:pStyle w:val="TableParagraph"/>
              <w:spacing w:line="240" w:lineRule="auto" w:before="76"/>
              <w:ind w:left="130" w:right="0"/>
              <w:jc w:val="left"/>
              <w:rPr>
                <w:rFonts w:ascii="宋体" w:hAnsi="宋体" w:cs="宋体" w:eastAsia="宋体" w:hint="default"/>
                <w:sz w:val="18"/>
                <w:szCs w:val="18"/>
              </w:rPr>
            </w:pPr>
            <w:r>
              <w:rPr>
                <w:rFonts w:ascii="宋体" w:hAnsi="宋体" w:cs="宋体" w:eastAsia="宋体" w:hint="default"/>
                <w:sz w:val="18"/>
                <w:szCs w:val="18"/>
              </w:rPr>
              <w:t>（大于</w:t>
            </w:r>
            <w:r>
              <w:rPr>
                <w:rFonts w:ascii="宋体" w:hAnsi="宋体" w:cs="宋体" w:eastAsia="宋体" w:hint="default"/>
                <w:sz w:val="18"/>
                <w:szCs w:val="18"/>
              </w:rPr>
              <w:t>0</w:t>
            </w:r>
            <w:r>
              <w:rPr>
                <w:rFonts w:ascii="宋体" w:hAnsi="宋体" w:cs="宋体" w:eastAsia="宋体" w:hint="default"/>
                <w:sz w:val="18"/>
                <w:szCs w:val="18"/>
              </w:rPr>
              <w:t>时）</w:t>
            </w:r>
            <w:r>
              <w:rPr>
                <w:rFonts w:ascii="宋体" w:hAnsi="宋体" w:cs="宋体" w:eastAsia="宋体" w:hint="default"/>
                <w:sz w:val="18"/>
                <w:szCs w:val="18"/>
              </w:rPr>
              <w:t>=</w:t>
            </w:r>
          </w:p>
          <w:p>
            <w:pPr>
              <w:pStyle w:val="TableParagraph"/>
              <w:spacing w:line="240" w:lineRule="auto" w:before="76"/>
              <w:ind w:left="176" w:right="0"/>
              <w:jc w:val="left"/>
              <w:rPr>
                <w:rFonts w:ascii="宋体" w:hAnsi="宋体" w:cs="宋体" w:eastAsia="宋体" w:hint="default"/>
                <w:sz w:val="18"/>
                <w:szCs w:val="18"/>
              </w:rPr>
            </w:pPr>
            <w:r>
              <w:rPr>
                <w:rFonts w:ascii="宋体" w:hAnsi="宋体" w:cs="宋体" w:eastAsia="宋体" w:hint="default"/>
                <w:sz w:val="18"/>
                <w:szCs w:val="18"/>
              </w:rPr>
              <w:t>①</w:t>
            </w:r>
            <w:r>
              <w:rPr>
                <w:rFonts w:ascii="宋体" w:hAnsi="宋体" w:cs="宋体" w:eastAsia="宋体" w:hint="default"/>
                <w:sz w:val="18"/>
                <w:szCs w:val="18"/>
              </w:rPr>
              <w:t>+</w:t>
            </w:r>
            <w:r>
              <w:rPr>
                <w:rFonts w:ascii="宋体" w:hAnsi="宋体" w:cs="宋体" w:eastAsia="宋体" w:hint="default"/>
                <w:sz w:val="18"/>
                <w:szCs w:val="18"/>
              </w:rPr>
              <w:t>②</w:t>
            </w:r>
            <w:r>
              <w:rPr>
                <w:rFonts w:ascii="宋体" w:hAnsi="宋体" w:cs="宋体" w:eastAsia="宋体" w:hint="default"/>
                <w:sz w:val="18"/>
                <w:szCs w:val="18"/>
              </w:rPr>
              <w:t>+</w:t>
            </w:r>
            <w:r>
              <w:rPr>
                <w:rFonts w:ascii="宋体" w:hAnsi="宋体" w:cs="宋体" w:eastAsia="宋体" w:hint="default"/>
                <w:sz w:val="18"/>
                <w:szCs w:val="18"/>
              </w:rPr>
              <w:t>③</w:t>
            </w:r>
            <w:r>
              <w:rPr>
                <w:rFonts w:ascii="宋体" w:hAnsi="宋体" w:cs="宋体" w:eastAsia="宋体" w:hint="default"/>
                <w:sz w:val="18"/>
                <w:szCs w:val="18"/>
              </w:rPr>
              <w:t>-</w:t>
            </w:r>
            <w:r>
              <w:rPr>
                <w:rFonts w:ascii="宋体" w:hAnsi="宋体" w:cs="宋体" w:eastAsia="宋体" w:hint="default"/>
                <w:sz w:val="18"/>
                <w:szCs w:val="18"/>
              </w:rPr>
              <w:t>④</w:t>
            </w:r>
          </w:p>
        </w:tc>
        <w:tc>
          <w:tcPr>
            <w:tcW w:w="135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11"/>
              <w:ind w:left="490" w:right="131" w:hanging="360"/>
              <w:jc w:val="left"/>
              <w:rPr>
                <w:rFonts w:ascii="宋体" w:hAnsi="宋体" w:cs="宋体" w:eastAsia="宋体" w:hint="default"/>
                <w:sz w:val="18"/>
                <w:szCs w:val="18"/>
              </w:rPr>
            </w:pPr>
            <w:r>
              <w:rPr>
                <w:rFonts w:ascii="宋体" w:hAnsi="宋体" w:cs="宋体" w:eastAsia="宋体" w:hint="default"/>
                <w:sz w:val="18"/>
                <w:szCs w:val="18"/>
              </w:rPr>
              <w:t>商誉减值准备 余额</w:t>
            </w:r>
          </w:p>
        </w:tc>
      </w:tr>
      <w:tr>
        <w:trPr>
          <w:trHeight w:val="322" w:hRule="exact"/>
        </w:trPr>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资产组江苏顺泰</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630,230,371.10</w:t>
            </w:r>
          </w:p>
        </w:tc>
        <w:tc>
          <w:tcPr>
            <w:tcW w:w="13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right"/>
              <w:rPr>
                <w:rFonts w:ascii="Times New Roman" w:hAnsi="Times New Roman" w:cs="Times New Roman" w:eastAsia="Times New Roman" w:hint="default"/>
                <w:sz w:val="18"/>
                <w:szCs w:val="18"/>
              </w:rPr>
            </w:pPr>
            <w:r>
              <w:rPr>
                <w:rFonts w:ascii="Times New Roman"/>
                <w:spacing w:val="-1"/>
                <w:sz w:val="18"/>
              </w:rPr>
              <w:t>95,343,691.37</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right"/>
              <w:rPr>
                <w:rFonts w:ascii="Times New Roman" w:hAnsi="Times New Roman" w:cs="Times New Roman" w:eastAsia="Times New Roman" w:hint="default"/>
                <w:sz w:val="18"/>
                <w:szCs w:val="18"/>
              </w:rPr>
            </w:pPr>
            <w:r>
              <w:rPr>
                <w:rFonts w:ascii="Times New Roman"/>
                <w:spacing w:val="-1"/>
                <w:sz w:val="18"/>
              </w:rPr>
              <w:t>753,357,900.00</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22" w:hRule="exact"/>
        </w:trPr>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资产组长春吉星</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181,099,158.22</w:t>
            </w:r>
          </w:p>
        </w:tc>
        <w:tc>
          <w:tcPr>
            <w:tcW w:w="13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right"/>
              <w:rPr>
                <w:rFonts w:ascii="Times New Roman" w:hAnsi="Times New Roman" w:cs="Times New Roman" w:eastAsia="Times New Roman" w:hint="default"/>
                <w:sz w:val="18"/>
                <w:szCs w:val="18"/>
              </w:rPr>
            </w:pPr>
            <w:r>
              <w:rPr>
                <w:rFonts w:ascii="Times New Roman"/>
                <w:spacing w:val="-1"/>
                <w:sz w:val="18"/>
              </w:rPr>
              <w:t>13,102,127.22</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77,613,924.95</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right"/>
              <w:rPr>
                <w:rFonts w:ascii="Times New Roman" w:hAnsi="Times New Roman" w:cs="Times New Roman" w:eastAsia="Times New Roman" w:hint="default"/>
                <w:sz w:val="18"/>
                <w:szCs w:val="18"/>
              </w:rPr>
            </w:pPr>
            <w:r>
              <w:rPr>
                <w:rFonts w:ascii="Times New Roman"/>
                <w:spacing w:val="-1"/>
                <w:sz w:val="18"/>
              </w:rPr>
              <w:t>413,597,400.00</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23" w:hRule="exact"/>
        </w:trPr>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资产组江西丰彩丽</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pacing w:val="-1"/>
                <w:sz w:val="18"/>
              </w:rPr>
              <w:t>86,507,261.23</w:t>
            </w:r>
          </w:p>
        </w:tc>
        <w:tc>
          <w:tcPr>
            <w:tcW w:w="13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pacing w:val="-1"/>
                <w:sz w:val="18"/>
              </w:rPr>
              <w:t>46,739,153.42</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pacing w:val="-1"/>
                <w:sz w:val="18"/>
              </w:rPr>
              <w:t>79,852,856.52</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pacing w:val="-1"/>
                <w:sz w:val="18"/>
              </w:rPr>
              <w:t>245,277,800.00</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22" w:hRule="exact"/>
        </w:trPr>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资产组香港佳信</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40,509,904.33</w:t>
            </w:r>
          </w:p>
        </w:tc>
        <w:tc>
          <w:tcPr>
            <w:tcW w:w="13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right"/>
              <w:rPr>
                <w:rFonts w:ascii="Times New Roman" w:hAnsi="Times New Roman" w:cs="Times New Roman" w:eastAsia="Times New Roman" w:hint="default"/>
                <w:sz w:val="18"/>
                <w:szCs w:val="18"/>
              </w:rPr>
            </w:pPr>
            <w:r>
              <w:rPr>
                <w:rFonts w:ascii="Times New Roman"/>
                <w:spacing w:val="-1"/>
                <w:sz w:val="18"/>
              </w:rPr>
              <w:t>58,827,951.13</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right"/>
              <w:rPr>
                <w:rFonts w:ascii="Times New Roman" w:hAnsi="Times New Roman" w:cs="Times New Roman" w:eastAsia="Times New Roman" w:hint="default"/>
                <w:sz w:val="18"/>
                <w:szCs w:val="18"/>
              </w:rPr>
            </w:pPr>
            <w:r>
              <w:rPr>
                <w:rFonts w:ascii="Times New Roman"/>
                <w:spacing w:val="-1"/>
                <w:sz w:val="18"/>
              </w:rPr>
              <w:t>109,903,400.00</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22" w:hRule="exact"/>
        </w:trPr>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资产组珠海中丰田</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79,712,372.22</w:t>
            </w:r>
          </w:p>
        </w:tc>
        <w:tc>
          <w:tcPr>
            <w:tcW w:w="13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right"/>
              <w:rPr>
                <w:rFonts w:ascii="Times New Roman" w:hAnsi="Times New Roman" w:cs="Times New Roman" w:eastAsia="Times New Roman" w:hint="default"/>
                <w:sz w:val="18"/>
                <w:szCs w:val="18"/>
              </w:rPr>
            </w:pPr>
            <w:r>
              <w:rPr>
                <w:rFonts w:ascii="Times New Roman"/>
                <w:spacing w:val="-1"/>
                <w:sz w:val="18"/>
              </w:rPr>
              <w:t>195,065,718.99</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right"/>
              <w:rPr>
                <w:rFonts w:ascii="Times New Roman" w:hAnsi="Times New Roman" w:cs="Times New Roman" w:eastAsia="Times New Roman" w:hint="default"/>
                <w:sz w:val="18"/>
                <w:szCs w:val="18"/>
              </w:rPr>
            </w:pPr>
            <w:r>
              <w:rPr>
                <w:rFonts w:ascii="Times New Roman"/>
                <w:spacing w:val="-1"/>
                <w:sz w:val="18"/>
              </w:rPr>
              <w:t>984,667,529.81</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30,839,115.86</w:t>
            </w:r>
          </w:p>
        </w:tc>
      </w:tr>
      <w:tr>
        <w:trPr>
          <w:trHeight w:val="323" w:hRule="exact"/>
        </w:trPr>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资产组劲嘉科技</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641,549.76</w:t>
            </w:r>
          </w:p>
        </w:tc>
        <w:tc>
          <w:tcPr>
            <w:tcW w:w="13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pacing w:val="-1"/>
                <w:sz w:val="18"/>
              </w:rPr>
              <w:t>11,929,928.41</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pacing w:val="-1"/>
                <w:sz w:val="18"/>
              </w:rPr>
              <w:t>66,640,972.32</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22" w:hRule="exact"/>
        </w:trPr>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资产组贵州瑞源</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z w:val="18"/>
              </w:rPr>
              <w:t>897,339.80</w:t>
            </w:r>
          </w:p>
        </w:tc>
        <w:tc>
          <w:tcPr>
            <w:tcW w:w="13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right"/>
              <w:rPr>
                <w:rFonts w:ascii="Times New Roman" w:hAnsi="Times New Roman" w:cs="Times New Roman" w:eastAsia="Times New Roman" w:hint="default"/>
                <w:sz w:val="18"/>
                <w:szCs w:val="18"/>
              </w:rPr>
            </w:pPr>
            <w:r>
              <w:rPr>
                <w:rFonts w:ascii="Times New Roman"/>
                <w:spacing w:val="-1"/>
                <w:sz w:val="18"/>
              </w:rPr>
              <w:t>27,385,400.07</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z w:val="18"/>
              </w:rPr>
              <w:t>598,226.53</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right"/>
              <w:rPr>
                <w:rFonts w:ascii="Times New Roman" w:hAnsi="Times New Roman" w:cs="Times New Roman" w:eastAsia="Times New Roman" w:hint="default"/>
                <w:sz w:val="18"/>
                <w:szCs w:val="18"/>
              </w:rPr>
            </w:pPr>
            <w:r>
              <w:rPr>
                <w:rFonts w:ascii="Times New Roman"/>
                <w:spacing w:val="-1"/>
                <w:sz w:val="18"/>
              </w:rPr>
              <w:t>76,883,753.22</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spacing w:line="240" w:lineRule="auto" w:before="3"/>
        <w:rPr>
          <w:rFonts w:ascii="宋体" w:hAnsi="宋体" w:cs="宋体" w:eastAsia="宋体" w:hint="default"/>
          <w:sz w:val="16"/>
          <w:szCs w:val="16"/>
        </w:rPr>
      </w:pPr>
    </w:p>
    <w:p>
      <w:pPr>
        <w:spacing w:line="319" w:lineRule="auto" w:before="44"/>
        <w:ind w:left="694" w:right="8307" w:firstLine="2"/>
        <w:jc w:val="both"/>
        <w:rPr>
          <w:rFonts w:ascii="宋体" w:hAnsi="宋体" w:cs="宋体" w:eastAsia="宋体" w:hint="default"/>
          <w:sz w:val="18"/>
          <w:szCs w:val="18"/>
        </w:rPr>
      </w:pPr>
      <w:r>
        <w:rPr>
          <w:rFonts w:ascii="宋体" w:hAnsi="宋体" w:cs="宋体" w:eastAsia="宋体" w:hint="default"/>
          <w:sz w:val="18"/>
          <w:szCs w:val="18"/>
        </w:rPr>
        <w:t>②商誉减值测试的方法： 可收回金额的确定方法： </w:t>
      </w:r>
      <w:r>
        <w:rPr>
          <w:rFonts w:ascii="宋体" w:hAnsi="宋体" w:cs="宋体" w:eastAsia="宋体" w:hint="default"/>
          <w:b/>
          <w:bCs/>
          <w:sz w:val="18"/>
          <w:szCs w:val="18"/>
        </w:rPr>
        <w:t>资产组江苏顺泰</w:t>
      </w:r>
      <w:r>
        <w:rPr>
          <w:rFonts w:ascii="宋体" w:hAnsi="宋体" w:cs="宋体" w:eastAsia="宋体" w:hint="default"/>
          <w:sz w:val="18"/>
          <w:szCs w:val="18"/>
        </w:rPr>
      </w:r>
    </w:p>
    <w:p>
      <w:pPr>
        <w:pStyle w:val="BodyText"/>
        <w:spacing w:line="319" w:lineRule="auto" w:before="17"/>
        <w:ind w:left="214" w:right="1129" w:firstLine="480"/>
        <w:jc w:val="both"/>
      </w:pPr>
      <w:r>
        <w:rPr>
          <w:spacing w:val="-1"/>
        </w:rPr>
        <w:t>资产组江苏顺泰的可收回金额按照资产组公允价值减去处置费用后的净额，即首先采用收益法对确定的经营性资产形</w:t>
      </w:r>
      <w:r>
        <w:rPr/>
        <w:t> </w:t>
      </w:r>
      <w:r>
        <w:rPr>
          <w:spacing w:val="-2"/>
        </w:rPr>
        <w:t>成的资产组未来预计产生的现金流量现值进行估算，然后，测试组成资产组的公允价值扣除处置税费后的净额来确认可收回</w:t>
      </w:r>
      <w:r>
        <w:rPr>
          <w:spacing w:val="-64"/>
        </w:rPr>
        <w:t> </w:t>
      </w:r>
      <w:r>
        <w:rPr>
          <w:spacing w:val="-64"/>
        </w:rPr>
      </w:r>
      <w:r>
        <w:rPr/>
        <w:t>金额。未来收益与现金流量基于管理层批准的</w:t>
      </w:r>
      <w:r>
        <w:rPr>
          <w:rFonts w:ascii="宋体" w:hAnsi="宋体" w:cs="宋体" w:eastAsia="宋体" w:hint="default"/>
        </w:rPr>
        <w:t>2019</w:t>
      </w:r>
      <w:r>
        <w:rPr/>
        <w:t>年至</w:t>
      </w:r>
      <w:r>
        <w:rPr>
          <w:rFonts w:ascii="宋体" w:hAnsi="宋体" w:cs="宋体" w:eastAsia="宋体" w:hint="default"/>
        </w:rPr>
        <w:t>2023</w:t>
      </w:r>
      <w:r>
        <w:rPr/>
        <w:t>年的财务预算确定，并采用</w:t>
      </w:r>
      <w:r>
        <w:rPr>
          <w:rFonts w:ascii="宋体" w:hAnsi="宋体" w:cs="宋体" w:eastAsia="宋体" w:hint="default"/>
        </w:rPr>
        <w:t>12.44</w:t>
      </w:r>
      <w:r>
        <w:rPr/>
        <w:t>％的折现率。资产组江苏顺泰</w:t>
      </w:r>
      <w:r>
        <w:rPr>
          <w:spacing w:val="-83"/>
        </w:rPr>
        <w:t> </w:t>
      </w:r>
      <w:r>
        <w:rPr>
          <w:spacing w:val="-83"/>
        </w:rPr>
      </w:r>
      <w:r>
        <w:rPr/>
        <w:t>超过</w:t>
      </w:r>
      <w:r>
        <w:rPr>
          <w:rFonts w:ascii="宋体" w:hAnsi="宋体" w:cs="宋体" w:eastAsia="宋体" w:hint="default"/>
        </w:rPr>
        <w:t>5</w:t>
      </w:r>
      <w:r>
        <w:rPr/>
        <w:t>年的现金流量按照稳定的数值为基础计算。</w:t>
      </w:r>
    </w:p>
    <w:p>
      <w:pPr>
        <w:pStyle w:val="BodyText"/>
        <w:spacing w:line="316" w:lineRule="auto" w:before="17"/>
        <w:ind w:left="214" w:right="1133" w:firstLine="480"/>
        <w:jc w:val="both"/>
      </w:pPr>
      <w:r>
        <w:rPr>
          <w:spacing w:val="-1"/>
        </w:rPr>
        <w:t>使用的其他关键假设还有：基于该资产组过去的业绩和管理层对市场发展的预期估计预计销售和毛利。管理层认为上</w:t>
      </w:r>
      <w:r>
        <w:rPr/>
        <w:t> 述假设发生的任何合理变化均不会导致资产组江苏顺泰的账面价值合计超过其可收回金额。</w:t>
      </w:r>
    </w:p>
    <w:p>
      <w:pPr>
        <w:spacing w:after="0" w:line="316" w:lineRule="auto"/>
        <w:jc w:val="both"/>
        <w:sectPr>
          <w:pgSz w:w="11910" w:h="16840"/>
          <w:pgMar w:header="747" w:footer="979" w:top="1060" w:bottom="1160" w:left="920" w:right="0"/>
        </w:sectPr>
      </w:pPr>
    </w:p>
    <w:p>
      <w:pPr>
        <w:spacing w:line="240" w:lineRule="auto" w:before="12"/>
        <w:rPr>
          <w:rFonts w:ascii="宋体" w:hAnsi="宋体" w:cs="宋体" w:eastAsia="宋体" w:hint="default"/>
          <w:sz w:val="25"/>
          <w:szCs w:val="25"/>
        </w:rPr>
      </w:pPr>
    </w:p>
    <w:p>
      <w:pPr>
        <w:pStyle w:val="BodyText"/>
        <w:spacing w:line="316" w:lineRule="auto" w:before="44"/>
        <w:ind w:left="634" w:right="0"/>
        <w:jc w:val="left"/>
      </w:pPr>
      <w:r>
        <w:rPr>
          <w:rFonts w:ascii="宋体" w:hAnsi="宋体" w:cs="宋体" w:eastAsia="宋体" w:hint="default"/>
          <w:b/>
          <w:bCs/>
        </w:rPr>
        <w:t>资产组长春吉星</w:t>
      </w:r>
      <w:r>
        <w:rPr>
          <w:rFonts w:ascii="宋体" w:hAnsi="宋体" w:cs="宋体" w:eastAsia="宋体" w:hint="default"/>
          <w:b/>
          <w:bCs/>
          <w:w w:val="99"/>
        </w:rPr>
        <w:t> </w:t>
      </w:r>
      <w:r>
        <w:rPr>
          <w:spacing w:val="-1"/>
        </w:rPr>
        <w:t>资产组长春吉星的可收回金额按照资产组公允价值减去处置费用后的净额，即首先采用收益法对确定的经营性资产形</w:t>
      </w:r>
    </w:p>
    <w:p>
      <w:pPr>
        <w:pStyle w:val="BodyText"/>
        <w:spacing w:line="319" w:lineRule="auto" w:before="19"/>
        <w:ind w:right="1129"/>
        <w:jc w:val="both"/>
      </w:pPr>
      <w:r>
        <w:rPr>
          <w:spacing w:val="-2"/>
        </w:rPr>
        <w:t>成的资产组未来预计产生的现金流量现值进行估算，然后测试组成资产组的公允价值扣除处置税费后的净额来确认可收回金</w:t>
      </w:r>
      <w:r>
        <w:rPr>
          <w:spacing w:val="-64"/>
        </w:rPr>
        <w:t> </w:t>
      </w:r>
      <w:r>
        <w:rPr>
          <w:spacing w:val="-64"/>
        </w:rPr>
      </w:r>
      <w:r>
        <w:rPr/>
        <w:t>额。未来收益与现金流量基于管理层批准的</w:t>
      </w:r>
      <w:r>
        <w:rPr>
          <w:rFonts w:ascii="宋体" w:hAnsi="宋体" w:cs="宋体" w:eastAsia="宋体" w:hint="default"/>
        </w:rPr>
        <w:t>2019</w:t>
      </w:r>
      <w:r>
        <w:rPr/>
        <w:t>年至</w:t>
      </w:r>
      <w:r>
        <w:rPr>
          <w:rFonts w:ascii="宋体" w:hAnsi="宋体" w:cs="宋体" w:eastAsia="宋体" w:hint="default"/>
        </w:rPr>
        <w:t>2023</w:t>
      </w:r>
      <w:r>
        <w:rPr/>
        <w:t>年的财务预算确定，并采用</w:t>
      </w:r>
      <w:r>
        <w:rPr>
          <w:rFonts w:ascii="宋体" w:hAnsi="宋体" w:cs="宋体" w:eastAsia="宋体" w:hint="default"/>
        </w:rPr>
        <w:t>12.44</w:t>
      </w:r>
      <w:r>
        <w:rPr/>
        <w:t>％的折现率。资产组长春吉星超</w:t>
      </w:r>
      <w:r>
        <w:rPr>
          <w:spacing w:val="-83"/>
        </w:rPr>
        <w:t> </w:t>
      </w:r>
      <w:r>
        <w:rPr>
          <w:spacing w:val="-83"/>
        </w:rPr>
      </w:r>
      <w:r>
        <w:rPr/>
        <w:t>过</w:t>
      </w:r>
      <w:r>
        <w:rPr>
          <w:rFonts w:ascii="宋体" w:hAnsi="宋体" w:cs="宋体" w:eastAsia="宋体" w:hint="default"/>
        </w:rPr>
        <w:t>5</w:t>
      </w:r>
      <w:r>
        <w:rPr/>
        <w:t>年的现金流量按照稳定的数值为基础计算。</w:t>
      </w:r>
    </w:p>
    <w:p>
      <w:pPr>
        <w:pStyle w:val="BodyText"/>
        <w:spacing w:line="316" w:lineRule="auto" w:before="17"/>
        <w:ind w:right="0" w:firstLine="480"/>
        <w:jc w:val="left"/>
      </w:pPr>
      <w:r>
        <w:rPr>
          <w:spacing w:val="-1"/>
        </w:rPr>
        <w:t>使用的其他关键假设还有：基于该资产组过去的业绩和管理层对市场发展的预期估计预计销售和毛利。管理层认为上</w:t>
      </w:r>
      <w:r>
        <w:rPr/>
        <w:t> 述假设发生的任何合理变化均不会导致资产组长春吉星的账面价值合计超过其可收回金额。</w:t>
      </w:r>
    </w:p>
    <w:p>
      <w:pPr>
        <w:pStyle w:val="BodyText"/>
        <w:spacing w:line="316" w:lineRule="auto" w:before="19"/>
        <w:ind w:left="634" w:right="0"/>
        <w:jc w:val="left"/>
      </w:pPr>
      <w:r>
        <w:rPr>
          <w:rFonts w:ascii="宋体" w:hAnsi="宋体" w:cs="宋体" w:eastAsia="宋体" w:hint="default"/>
          <w:b/>
          <w:bCs/>
        </w:rPr>
        <w:t>资产组江西丰彩丽</w:t>
      </w:r>
      <w:r>
        <w:rPr>
          <w:rFonts w:ascii="宋体" w:hAnsi="宋体" w:cs="宋体" w:eastAsia="宋体" w:hint="default"/>
          <w:b/>
          <w:bCs/>
          <w:w w:val="99"/>
        </w:rPr>
        <w:t> </w:t>
      </w:r>
      <w:r>
        <w:rPr>
          <w:spacing w:val="2"/>
        </w:rPr>
        <w:t>资产组江西丰彩丽的可收回金额按照资产的寿命期内可以预计的未来经营净现金流量的现值和被评估资产公允价值</w:t>
      </w:r>
    </w:p>
    <w:p>
      <w:pPr>
        <w:pStyle w:val="BodyText"/>
        <w:spacing w:line="316" w:lineRule="auto" w:before="19"/>
        <w:ind w:right="1131"/>
        <w:jc w:val="both"/>
      </w:pPr>
      <w:r>
        <w:rPr>
          <w:spacing w:val="-2"/>
        </w:rPr>
        <w:t>减去处置费用和相关税费后净额两者之间较高者确定，最终结果为资产组的公允价值扣除处置税费后的净额测算的可收回金</w:t>
      </w:r>
      <w:r>
        <w:rPr>
          <w:spacing w:val="-64"/>
        </w:rPr>
        <w:t> </w:t>
      </w:r>
      <w:r>
        <w:rPr>
          <w:spacing w:val="-64"/>
        </w:rPr>
      </w:r>
      <w:r>
        <w:rPr/>
        <w:t>额较高。未来收益与现金流量基于管理层批准的</w:t>
      </w:r>
      <w:r>
        <w:rPr>
          <w:rFonts w:ascii="宋体" w:hAnsi="宋体" w:cs="宋体" w:eastAsia="宋体" w:hint="default"/>
        </w:rPr>
        <w:t>2019</w:t>
      </w:r>
      <w:r>
        <w:rPr/>
        <w:t>年至</w:t>
      </w:r>
      <w:r>
        <w:rPr>
          <w:rFonts w:ascii="宋体" w:hAnsi="宋体" w:cs="宋体" w:eastAsia="宋体" w:hint="default"/>
        </w:rPr>
        <w:t>2023</w:t>
      </w:r>
      <w:r>
        <w:rPr/>
        <w:t>年的财务预算确定，并采用</w:t>
      </w:r>
      <w:r>
        <w:rPr>
          <w:rFonts w:ascii="宋体" w:hAnsi="宋体" w:cs="宋体" w:eastAsia="宋体" w:hint="default"/>
        </w:rPr>
        <w:t>12.33</w:t>
      </w:r>
      <w:r>
        <w:rPr/>
        <w:t>％的折现率。资产组江西丰</w:t>
      </w:r>
      <w:r>
        <w:rPr>
          <w:spacing w:val="-85"/>
        </w:rPr>
        <w:t> </w:t>
      </w:r>
      <w:r>
        <w:rPr>
          <w:spacing w:val="-85"/>
        </w:rPr>
      </w:r>
      <w:r>
        <w:rPr/>
        <w:t>彩丽超过</w:t>
      </w:r>
      <w:r>
        <w:rPr>
          <w:rFonts w:ascii="宋体" w:hAnsi="宋体" w:cs="宋体" w:eastAsia="宋体" w:hint="default"/>
        </w:rPr>
        <w:t>5</w:t>
      </w:r>
      <w:r>
        <w:rPr/>
        <w:t>年的现金流量稳定的数值为基础计算。</w:t>
      </w:r>
    </w:p>
    <w:p>
      <w:pPr>
        <w:pStyle w:val="BodyText"/>
        <w:spacing w:line="316" w:lineRule="auto" w:before="19"/>
        <w:ind w:right="0" w:firstLine="480"/>
        <w:jc w:val="left"/>
      </w:pPr>
      <w:r>
        <w:rPr>
          <w:spacing w:val="-1"/>
        </w:rPr>
        <w:t>使用的其他关键假设还有：基于该资产组过去的业绩和管理层对市场发展的预期估计预计销售和毛利。管理层认为上</w:t>
      </w:r>
      <w:r>
        <w:rPr/>
        <w:t> 述假设发生的任何合理变化均不会导致资产组江西丰彩丽的账面价值合计超过其可收回金额。</w:t>
      </w:r>
    </w:p>
    <w:p>
      <w:pPr>
        <w:pStyle w:val="BodyText"/>
        <w:spacing w:line="316" w:lineRule="auto" w:before="19"/>
        <w:ind w:left="634" w:right="0"/>
        <w:jc w:val="left"/>
      </w:pPr>
      <w:r>
        <w:rPr>
          <w:rFonts w:ascii="宋体" w:hAnsi="宋体" w:cs="宋体" w:eastAsia="宋体" w:hint="default"/>
          <w:b/>
          <w:bCs/>
        </w:rPr>
        <w:t>资产组香港佳信</w:t>
      </w:r>
      <w:r>
        <w:rPr>
          <w:rFonts w:ascii="宋体" w:hAnsi="宋体" w:cs="宋体" w:eastAsia="宋体" w:hint="default"/>
          <w:b/>
          <w:bCs/>
          <w:w w:val="99"/>
        </w:rPr>
        <w:t> </w:t>
      </w:r>
      <w:r>
        <w:rPr>
          <w:spacing w:val="-1"/>
        </w:rPr>
        <w:t>资产组香港佳信的可收回金额按照资产组公允价值减去处置费用后的净额，即首先采用收益法对确定的经营性资产形</w:t>
      </w:r>
    </w:p>
    <w:p>
      <w:pPr>
        <w:pStyle w:val="BodyText"/>
        <w:spacing w:line="316" w:lineRule="auto" w:before="19"/>
        <w:ind w:right="1129"/>
        <w:jc w:val="both"/>
      </w:pPr>
      <w:r>
        <w:rPr>
          <w:spacing w:val="-2"/>
        </w:rPr>
        <w:t>成的资产组未来预计产生的现金流量现值进行估算，然后测试组成资产组的公允价值扣除处置税费后的净额来确认可收回金</w:t>
      </w:r>
      <w:r>
        <w:rPr>
          <w:spacing w:val="-64"/>
        </w:rPr>
        <w:t> </w:t>
      </w:r>
      <w:r>
        <w:rPr>
          <w:spacing w:val="-64"/>
        </w:rPr>
      </w:r>
      <w:r>
        <w:rPr/>
        <w:t>额。未来收益与现金流量基于管理层批准的</w:t>
      </w:r>
      <w:r>
        <w:rPr>
          <w:rFonts w:ascii="宋体" w:hAnsi="宋体" w:cs="宋体" w:eastAsia="宋体" w:hint="default"/>
        </w:rPr>
        <w:t>2019</w:t>
      </w:r>
      <w:r>
        <w:rPr/>
        <w:t>年至</w:t>
      </w:r>
      <w:r>
        <w:rPr>
          <w:rFonts w:ascii="宋体" w:hAnsi="宋体" w:cs="宋体" w:eastAsia="宋体" w:hint="default"/>
        </w:rPr>
        <w:t>2023</w:t>
      </w:r>
      <w:r>
        <w:rPr/>
        <w:t>年的财务预算确定，并采用</w:t>
      </w:r>
      <w:r>
        <w:rPr>
          <w:rFonts w:ascii="宋体" w:hAnsi="宋体" w:cs="宋体" w:eastAsia="宋体" w:hint="default"/>
        </w:rPr>
        <w:t>12.33</w:t>
      </w:r>
      <w:r>
        <w:rPr/>
        <w:t>％的折现率。资产组香港佳信超</w:t>
      </w:r>
      <w:r>
        <w:rPr>
          <w:spacing w:val="-83"/>
        </w:rPr>
        <w:t> </w:t>
      </w:r>
      <w:r>
        <w:rPr>
          <w:spacing w:val="-83"/>
        </w:rPr>
      </w:r>
      <w:r>
        <w:rPr/>
        <w:t>过</w:t>
      </w:r>
      <w:r>
        <w:rPr>
          <w:rFonts w:ascii="宋体" w:hAnsi="宋体" w:cs="宋体" w:eastAsia="宋体" w:hint="default"/>
        </w:rPr>
        <w:t>5</w:t>
      </w:r>
      <w:r>
        <w:rPr/>
        <w:t>年的现金流量按照稳定的数值为基础计算。</w:t>
      </w:r>
    </w:p>
    <w:p>
      <w:pPr>
        <w:pStyle w:val="BodyText"/>
        <w:spacing w:line="316" w:lineRule="auto" w:before="19"/>
        <w:ind w:right="0" w:firstLine="480"/>
        <w:jc w:val="left"/>
      </w:pPr>
      <w:r>
        <w:rPr>
          <w:spacing w:val="-1"/>
        </w:rPr>
        <w:t>使用的其他关键假设还有：基于该资产组过去的业绩和管理层对市场发展的预期估计预计销售和毛利。管理层认为上</w:t>
      </w:r>
      <w:r>
        <w:rPr/>
        <w:t> 述假设发生的任何合理变化均不会导致资产组香港佳信的账面价值合计超过其可收回金额。</w:t>
      </w:r>
    </w:p>
    <w:p>
      <w:pPr>
        <w:pStyle w:val="BodyText"/>
        <w:spacing w:line="319" w:lineRule="auto" w:before="19"/>
        <w:ind w:left="634" w:right="0"/>
        <w:jc w:val="left"/>
      </w:pPr>
      <w:r>
        <w:rPr>
          <w:rFonts w:ascii="宋体" w:hAnsi="宋体" w:cs="宋体" w:eastAsia="宋体" w:hint="default"/>
          <w:b/>
          <w:bCs/>
        </w:rPr>
        <w:t>资产组珠海中丰田</w:t>
      </w:r>
      <w:r>
        <w:rPr>
          <w:rFonts w:ascii="宋体" w:hAnsi="宋体" w:cs="宋体" w:eastAsia="宋体" w:hint="default"/>
          <w:b/>
          <w:bCs/>
          <w:w w:val="99"/>
        </w:rPr>
        <w:t> </w:t>
      </w:r>
      <w:r>
        <w:rPr>
          <w:spacing w:val="-1"/>
        </w:rPr>
        <w:t>资产组珠海中丰田的可收回金额按照预计未来现金流量的现值确定。未来现金流量基于管理层批准的</w:t>
      </w:r>
      <w:r>
        <w:rPr>
          <w:rFonts w:ascii="宋体" w:hAnsi="宋体" w:cs="宋体" w:eastAsia="宋体" w:hint="default"/>
          <w:spacing w:val="-1"/>
        </w:rPr>
        <w:t>2019</w:t>
      </w:r>
      <w:r>
        <w:rPr>
          <w:spacing w:val="-1"/>
        </w:rPr>
        <w:t>年至</w:t>
      </w:r>
      <w:r>
        <w:rPr>
          <w:rFonts w:ascii="宋体" w:hAnsi="宋体" w:cs="宋体" w:eastAsia="宋体" w:hint="default"/>
          <w:spacing w:val="-1"/>
        </w:rPr>
        <w:t>2023</w:t>
      </w:r>
      <w:r>
        <w:rPr>
          <w:spacing w:val="-1"/>
        </w:rPr>
        <w:t>年</w:t>
      </w:r>
    </w:p>
    <w:p>
      <w:pPr>
        <w:pStyle w:val="BodyText"/>
        <w:spacing w:line="316" w:lineRule="auto" w:before="17"/>
        <w:ind w:left="634" w:right="0" w:hanging="480"/>
        <w:jc w:val="left"/>
      </w:pPr>
      <w:r>
        <w:rPr/>
        <w:t>的财务预算确定，并采用</w:t>
      </w:r>
      <w:r>
        <w:rPr>
          <w:rFonts w:ascii="宋体" w:hAnsi="宋体" w:cs="宋体" w:eastAsia="宋体" w:hint="default"/>
        </w:rPr>
        <w:t>14.64</w:t>
      </w:r>
      <w:r>
        <w:rPr/>
        <w:t>％的折现率。资产组珠海中丰田超过</w:t>
      </w:r>
      <w:r>
        <w:rPr>
          <w:rFonts w:ascii="宋体" w:hAnsi="宋体" w:cs="宋体" w:eastAsia="宋体" w:hint="default"/>
        </w:rPr>
        <w:t>5</w:t>
      </w:r>
      <w:r>
        <w:rPr/>
        <w:t>年的现金流量按照稳定的数值为基础计算。 </w:t>
      </w:r>
      <w:r>
        <w:rPr>
          <w:spacing w:val="-1"/>
        </w:rPr>
        <w:t>使用的其他关键假设还有：基于该资产组过去的业绩和管理层对市场发展的预期估计预计销售和毛利。管理层认为上</w:t>
      </w:r>
    </w:p>
    <w:p>
      <w:pPr>
        <w:pStyle w:val="BodyText"/>
        <w:spacing w:line="316" w:lineRule="auto" w:before="19"/>
        <w:ind w:left="634" w:right="3372" w:hanging="480"/>
        <w:jc w:val="left"/>
        <w:rPr>
          <w:rFonts w:ascii="宋体" w:hAnsi="宋体" w:cs="宋体" w:eastAsia="宋体" w:hint="default"/>
        </w:rPr>
      </w:pPr>
      <w:r>
        <w:rPr/>
        <w:t>述假设发生的任何合理变化均不会导致资产组珠海中丰田的账面价值合计超过其可收回金额。 </w:t>
      </w:r>
      <w:r>
        <w:rPr>
          <w:rFonts w:ascii="宋体" w:hAnsi="宋体" w:cs="宋体" w:eastAsia="宋体" w:hint="default"/>
          <w:b/>
          <w:bCs/>
        </w:rPr>
        <w:t>资产组劲嘉科技</w:t>
      </w:r>
      <w:r>
        <w:rPr>
          <w:rFonts w:ascii="宋体" w:hAnsi="宋体" w:cs="宋体" w:eastAsia="宋体" w:hint="default"/>
        </w:rPr>
      </w:r>
    </w:p>
    <w:p>
      <w:pPr>
        <w:pStyle w:val="BodyText"/>
        <w:spacing w:line="316" w:lineRule="auto" w:before="19"/>
        <w:ind w:right="0" w:firstLine="480"/>
        <w:jc w:val="left"/>
      </w:pPr>
      <w:r>
        <w:rPr>
          <w:spacing w:val="-1"/>
        </w:rPr>
        <w:t>资产组劲嘉科技的可收回金额按照预计未来现金流量的现值确定。未来现金流量基于管理层批准的</w:t>
      </w:r>
      <w:r>
        <w:rPr>
          <w:rFonts w:ascii="宋体" w:hAnsi="宋体" w:cs="宋体" w:eastAsia="宋体" w:hint="default"/>
          <w:spacing w:val="-1"/>
        </w:rPr>
        <w:t>2019</w:t>
      </w:r>
      <w:r>
        <w:rPr>
          <w:spacing w:val="-1"/>
        </w:rPr>
        <w:t>年至</w:t>
      </w:r>
      <w:r>
        <w:rPr>
          <w:rFonts w:ascii="宋体" w:hAnsi="宋体" w:cs="宋体" w:eastAsia="宋体" w:hint="default"/>
          <w:spacing w:val="-1"/>
        </w:rPr>
        <w:t>2023</w:t>
      </w:r>
      <w:r>
        <w:rPr>
          <w:spacing w:val="-1"/>
        </w:rPr>
        <w:t>年的</w:t>
      </w:r>
      <w:r>
        <w:rPr/>
        <w:t> 财务预算确定，并采用</w:t>
      </w:r>
      <w:r>
        <w:rPr>
          <w:rFonts w:ascii="宋体" w:hAnsi="宋体" w:cs="宋体" w:eastAsia="宋体" w:hint="default"/>
        </w:rPr>
        <w:t>16.59</w:t>
      </w:r>
      <w:r>
        <w:rPr/>
        <w:t>％的折现率。资产组劲嘉科技超过</w:t>
      </w:r>
      <w:r>
        <w:rPr>
          <w:rFonts w:ascii="宋体" w:hAnsi="宋体" w:cs="宋体" w:eastAsia="宋体" w:hint="default"/>
        </w:rPr>
        <w:t>5</w:t>
      </w:r>
      <w:r>
        <w:rPr/>
        <w:t>年的现金流量按照稳定的数值为基础计算。</w:t>
      </w:r>
    </w:p>
    <w:p>
      <w:pPr>
        <w:pStyle w:val="BodyText"/>
        <w:spacing w:line="316" w:lineRule="auto" w:before="19"/>
        <w:ind w:right="0" w:firstLine="480"/>
        <w:jc w:val="left"/>
      </w:pPr>
      <w:r>
        <w:rPr>
          <w:spacing w:val="-1"/>
        </w:rPr>
        <w:t>使用的其他关键假设还有：基于该资产组过去的业绩和管理层对市场发展的预期估计预计销售和毛利。管理层认为上</w:t>
      </w:r>
      <w:r>
        <w:rPr/>
        <w:t> 述假设发生的任何合理变化均不会导致资产组劲嘉科技的账面价值合计超过其可收回金额。</w:t>
      </w:r>
    </w:p>
    <w:p>
      <w:pPr>
        <w:pStyle w:val="BodyText"/>
        <w:spacing w:line="316" w:lineRule="auto" w:before="19"/>
        <w:ind w:left="634" w:right="0"/>
        <w:jc w:val="left"/>
      </w:pPr>
      <w:r>
        <w:rPr>
          <w:rFonts w:ascii="宋体" w:hAnsi="宋体" w:cs="宋体" w:eastAsia="宋体" w:hint="default"/>
          <w:b/>
          <w:bCs/>
        </w:rPr>
        <w:t>资产组贵州瑞源</w:t>
      </w:r>
      <w:r>
        <w:rPr>
          <w:rFonts w:ascii="宋体" w:hAnsi="宋体" w:cs="宋体" w:eastAsia="宋体" w:hint="default"/>
          <w:b/>
          <w:bCs/>
          <w:w w:val="99"/>
        </w:rPr>
        <w:t> </w:t>
      </w:r>
      <w:r>
        <w:rPr>
          <w:spacing w:val="-1"/>
        </w:rPr>
        <w:t>资产组贵州瑞源的可收回金额按照预计未来现金流量的现值确定。未来现金流量基于管理层批准的</w:t>
      </w:r>
      <w:r>
        <w:rPr>
          <w:rFonts w:ascii="宋体" w:hAnsi="宋体" w:cs="宋体" w:eastAsia="宋体" w:hint="default"/>
          <w:spacing w:val="-1"/>
        </w:rPr>
        <w:t>2019</w:t>
      </w:r>
      <w:r>
        <w:rPr>
          <w:spacing w:val="-1"/>
        </w:rPr>
        <w:t>年至</w:t>
      </w:r>
      <w:r>
        <w:rPr>
          <w:rFonts w:ascii="宋体" w:hAnsi="宋体" w:cs="宋体" w:eastAsia="宋体" w:hint="default"/>
          <w:spacing w:val="-1"/>
        </w:rPr>
        <w:t>2023</w:t>
      </w:r>
      <w:r>
        <w:rPr>
          <w:spacing w:val="-1"/>
        </w:rPr>
        <w:t>年的</w:t>
      </w:r>
    </w:p>
    <w:p>
      <w:pPr>
        <w:pStyle w:val="BodyText"/>
        <w:spacing w:line="316" w:lineRule="auto" w:before="19"/>
        <w:ind w:left="634" w:right="0" w:hanging="480"/>
        <w:jc w:val="left"/>
      </w:pPr>
      <w:r>
        <w:rPr/>
        <w:t>财务预算确定，并采用</w:t>
      </w:r>
      <w:r>
        <w:rPr>
          <w:rFonts w:ascii="宋体" w:hAnsi="宋体" w:cs="宋体" w:eastAsia="宋体" w:hint="default"/>
        </w:rPr>
        <w:t>16.59</w:t>
      </w:r>
      <w:r>
        <w:rPr/>
        <w:t>％的折现率。资产组贵州瑞源超过</w:t>
      </w:r>
      <w:r>
        <w:rPr>
          <w:rFonts w:ascii="宋体" w:hAnsi="宋体" w:cs="宋体" w:eastAsia="宋体" w:hint="default"/>
        </w:rPr>
        <w:t>5</w:t>
      </w:r>
      <w:r>
        <w:rPr/>
        <w:t>年的现金流量按照稳定的数值为基础计算。 </w:t>
      </w:r>
      <w:r>
        <w:rPr>
          <w:spacing w:val="-1"/>
        </w:rPr>
        <w:t>使用的其他关键假设还有：基于该资产组过去的业绩和管理层对市场发展的预期估计预计销售和毛利。管理层认为上</w:t>
      </w:r>
    </w:p>
    <w:p>
      <w:pPr>
        <w:pStyle w:val="BodyText"/>
        <w:spacing w:line="240" w:lineRule="auto" w:before="19"/>
        <w:ind w:right="0"/>
        <w:jc w:val="both"/>
      </w:pPr>
      <w:r>
        <w:rPr/>
        <w:t>述假设发生的任何合理变化均不会导致资产组贵州瑞源的账面价值合计超过其可收回金额。</w:t>
      </w:r>
    </w:p>
    <w:p>
      <w:pPr>
        <w:spacing w:line="240" w:lineRule="auto" w:before="0"/>
        <w:rPr>
          <w:rFonts w:ascii="宋体" w:hAnsi="宋体" w:cs="宋体" w:eastAsia="宋体" w:hint="default"/>
          <w:sz w:val="18"/>
          <w:szCs w:val="18"/>
        </w:rPr>
      </w:pPr>
    </w:p>
    <w:p>
      <w:pPr>
        <w:pStyle w:val="BodyText"/>
        <w:spacing w:line="240" w:lineRule="auto" w:before="153"/>
        <w:ind w:left="634" w:right="0"/>
        <w:jc w:val="left"/>
      </w:pPr>
      <w:r>
        <w:rPr/>
        <w:t>重要假设及其合理理由：</w:t>
      </w:r>
    </w:p>
    <w:p>
      <w:pPr>
        <w:pStyle w:val="BodyText"/>
        <w:spacing w:line="300" w:lineRule="auto" w:before="76"/>
        <w:ind w:right="0" w:firstLine="480"/>
        <w:jc w:val="left"/>
      </w:pPr>
      <w:r>
        <w:rPr/>
        <w:t>（</w:t>
      </w:r>
      <w:r>
        <w:rPr>
          <w:rFonts w:ascii="Times New Roman" w:hAnsi="Times New Roman" w:cs="Times New Roman" w:eastAsia="Times New Roman" w:hint="default"/>
        </w:rPr>
        <w:t>1</w:t>
      </w:r>
      <w:r>
        <w:rPr/>
        <w:t>）假设国家宏观经济形势及现行的有关法律、法规、政策（包含但不限于税收政策）无重大变化，无其他人力不 可抗拒因素及不可预见因素，造成对企业重大不利影响。</w:t>
      </w:r>
    </w:p>
    <w:p>
      <w:pPr>
        <w:pStyle w:val="BodyText"/>
        <w:spacing w:line="240" w:lineRule="auto" w:before="32"/>
        <w:ind w:left="634" w:right="0"/>
        <w:jc w:val="left"/>
      </w:pPr>
      <w:r>
        <w:rPr/>
        <w:t>（</w:t>
      </w:r>
      <w:r>
        <w:rPr>
          <w:rFonts w:ascii="Times New Roman" w:hAnsi="Times New Roman" w:cs="Times New Roman" w:eastAsia="Times New Roman" w:hint="default"/>
        </w:rPr>
        <w:t>2</w:t>
      </w:r>
      <w:r>
        <w:rPr/>
        <w:t>）假设被评估单位所在的行业保持稳定发展态势，行业政策、管理制度及相关规定无重大变化。</w:t>
      </w:r>
    </w:p>
    <w:p>
      <w:pPr>
        <w:pStyle w:val="BodyText"/>
        <w:spacing w:line="300" w:lineRule="auto" w:before="63"/>
        <w:ind w:right="0" w:firstLine="480"/>
        <w:jc w:val="left"/>
      </w:pPr>
      <w:r>
        <w:rPr/>
        <w:t>（</w:t>
      </w:r>
      <w:r>
        <w:rPr>
          <w:rFonts w:ascii="Times New Roman" w:hAnsi="Times New Roman" w:cs="Times New Roman" w:eastAsia="Times New Roman" w:hint="default"/>
        </w:rPr>
        <w:t>3</w:t>
      </w:r>
      <w:r>
        <w:rPr/>
        <w:t>）假设本次评估测算的各项参数取值是按照现时价格体系确定的，未考虑基准日后通货膨胀因素的影响，现金流 入（或现金流出）均为均匀流入（出）。</w:t>
      </w:r>
    </w:p>
    <w:p>
      <w:pPr>
        <w:pStyle w:val="BodyText"/>
        <w:spacing w:line="240" w:lineRule="auto" w:before="31"/>
        <w:ind w:left="634" w:right="0"/>
        <w:jc w:val="left"/>
      </w:pPr>
      <w:r>
        <w:rPr/>
        <w:t>（</w:t>
      </w:r>
      <w:r>
        <w:rPr>
          <w:rFonts w:ascii="Times New Roman" w:hAnsi="Times New Roman" w:cs="Times New Roman" w:eastAsia="Times New Roman" w:hint="default"/>
        </w:rPr>
        <w:t>4</w:t>
      </w:r>
      <w:r>
        <w:rPr/>
        <w:t>）假设企业是持续经营的，未来的经营策略以及成本控制与目前经营情况不发生较大变化，预测期资产组所采用</w:t>
      </w:r>
    </w:p>
    <w:p>
      <w:pPr>
        <w:spacing w:after="0" w:line="24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spacing w:line="636" w:lineRule="auto" w:before="44"/>
        <w:ind w:left="694" w:right="1032" w:hanging="480"/>
        <w:jc w:val="left"/>
        <w:rPr>
          <w:rFonts w:ascii="宋体" w:hAnsi="宋体" w:cs="宋体" w:eastAsia="宋体" w:hint="default"/>
          <w:sz w:val="18"/>
          <w:szCs w:val="18"/>
        </w:rPr>
      </w:pPr>
      <w:r>
        <w:rPr/>
        <w:pict>
          <v:shape style="position:absolute;margin-left:51.060001pt;margin-top:48.471725pt;width:493.5pt;height:363.85pt;mso-position-horizontal-relative:page;mso-position-vertical-relative:paragraph;z-index:174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265"/>
                    <w:gridCol w:w="1463"/>
                    <w:gridCol w:w="772"/>
                    <w:gridCol w:w="771"/>
                    <w:gridCol w:w="772"/>
                    <w:gridCol w:w="770"/>
                    <w:gridCol w:w="772"/>
                    <w:gridCol w:w="872"/>
                    <w:gridCol w:w="1628"/>
                    <w:gridCol w:w="772"/>
                  </w:tblGrid>
                  <w:tr>
                    <w:trPr>
                      <w:trHeight w:val="322" w:hRule="exact"/>
                    </w:trPr>
                    <w:tc>
                      <w:tcPr>
                        <w:tcW w:w="1265" w:type="dxa"/>
                        <w:vMerge w:val="restart"/>
                        <w:tcBorders>
                          <w:top w:val="single" w:sz="4" w:space="0" w:color="000000"/>
                          <w:left w:val="single" w:sz="4" w:space="0" w:color="000000"/>
                          <w:right w:val="single" w:sz="4" w:space="0" w:color="000000"/>
                        </w:tcBorders>
                        <w:shd w:val="clear" w:color="auto" w:fill="D9D9D9"/>
                      </w:tcPr>
                      <w:p>
                        <w:pPr>
                          <w:pStyle w:val="TableParagraph"/>
                          <w:spacing w:line="319" w:lineRule="auto" w:before="10"/>
                          <w:ind w:left="267" w:right="177" w:hanging="90"/>
                          <w:jc w:val="left"/>
                          <w:rPr>
                            <w:rFonts w:ascii="宋体" w:hAnsi="宋体" w:cs="宋体" w:eastAsia="宋体" w:hint="default"/>
                            <w:sz w:val="18"/>
                            <w:szCs w:val="18"/>
                          </w:rPr>
                        </w:pPr>
                        <w:r>
                          <w:rPr>
                            <w:rFonts w:ascii="宋体" w:hAnsi="宋体" w:cs="宋体" w:eastAsia="宋体" w:hint="default"/>
                            <w:sz w:val="18"/>
                            <w:szCs w:val="18"/>
                          </w:rPr>
                          <w:t>资产组或资 产组组合</w:t>
                        </w:r>
                      </w:p>
                    </w:tc>
                    <w:tc>
                      <w:tcPr>
                        <w:tcW w:w="1463"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10"/>
                          <w:ind w:left="455" w:right="0"/>
                          <w:jc w:val="left"/>
                          <w:rPr>
                            <w:rFonts w:ascii="宋体" w:hAnsi="宋体" w:cs="宋体" w:eastAsia="宋体" w:hint="default"/>
                            <w:sz w:val="18"/>
                            <w:szCs w:val="18"/>
                          </w:rPr>
                        </w:pPr>
                        <w:r>
                          <w:rPr>
                            <w:rFonts w:ascii="宋体" w:hAnsi="宋体" w:cs="宋体" w:eastAsia="宋体" w:hint="default"/>
                            <w:sz w:val="18"/>
                            <w:szCs w:val="18"/>
                          </w:rPr>
                          <w:t>预测期</w:t>
                        </w:r>
                      </w:p>
                    </w:tc>
                    <w:tc>
                      <w:tcPr>
                        <w:tcW w:w="3856" w:type="dxa"/>
                        <w:gridSpan w:val="5"/>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left="1622" w:right="0"/>
                          <w:jc w:val="left"/>
                          <w:rPr>
                            <w:rFonts w:ascii="宋体" w:hAnsi="宋体" w:cs="宋体" w:eastAsia="宋体" w:hint="default"/>
                            <w:sz w:val="18"/>
                            <w:szCs w:val="18"/>
                          </w:rPr>
                        </w:pPr>
                        <w:r>
                          <w:rPr>
                            <w:rFonts w:ascii="宋体" w:hAnsi="宋体" w:cs="宋体" w:eastAsia="宋体" w:hint="default"/>
                            <w:sz w:val="18"/>
                            <w:szCs w:val="18"/>
                          </w:rPr>
                          <w:t>预测期增长率</w:t>
                        </w:r>
                      </w:p>
                    </w:tc>
                    <w:tc>
                      <w:tcPr>
                        <w:tcW w:w="872" w:type="dxa"/>
                        <w:vMerge w:val="restart"/>
                        <w:tcBorders>
                          <w:top w:val="single" w:sz="4" w:space="0" w:color="000000"/>
                          <w:left w:val="single" w:sz="4" w:space="0" w:color="000000"/>
                          <w:right w:val="single" w:sz="4" w:space="0" w:color="000000"/>
                        </w:tcBorders>
                        <w:shd w:val="clear" w:color="auto" w:fill="D9D9D9"/>
                      </w:tcPr>
                      <w:p>
                        <w:pPr>
                          <w:pStyle w:val="TableParagraph"/>
                          <w:spacing w:line="319" w:lineRule="auto" w:before="10"/>
                          <w:ind w:left="160" w:right="159"/>
                          <w:jc w:val="left"/>
                          <w:rPr>
                            <w:rFonts w:ascii="宋体" w:hAnsi="宋体" w:cs="宋体" w:eastAsia="宋体" w:hint="default"/>
                            <w:sz w:val="18"/>
                            <w:szCs w:val="18"/>
                          </w:rPr>
                        </w:pPr>
                        <w:r>
                          <w:rPr>
                            <w:rFonts w:ascii="宋体" w:hAnsi="宋体" w:cs="宋体" w:eastAsia="宋体" w:hint="default"/>
                            <w:sz w:val="18"/>
                            <w:szCs w:val="18"/>
                          </w:rPr>
                          <w:t>稳定期 增长率</w:t>
                        </w:r>
                      </w:p>
                    </w:tc>
                    <w:tc>
                      <w:tcPr>
                        <w:tcW w:w="1628"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10"/>
                          <w:ind w:left="538" w:right="0"/>
                          <w:jc w:val="left"/>
                          <w:rPr>
                            <w:rFonts w:ascii="宋体" w:hAnsi="宋体" w:cs="宋体" w:eastAsia="宋体" w:hint="default"/>
                            <w:sz w:val="18"/>
                            <w:szCs w:val="18"/>
                          </w:rPr>
                        </w:pPr>
                        <w:r>
                          <w:rPr>
                            <w:rFonts w:ascii="宋体" w:hAnsi="宋体" w:cs="宋体" w:eastAsia="宋体" w:hint="default"/>
                            <w:sz w:val="18"/>
                            <w:szCs w:val="18"/>
                          </w:rPr>
                          <w:t>利润率</w:t>
                        </w:r>
                      </w:p>
                    </w:tc>
                    <w:tc>
                      <w:tcPr>
                        <w:tcW w:w="772"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10"/>
                          <w:ind w:left="110" w:right="0"/>
                          <w:jc w:val="left"/>
                          <w:rPr>
                            <w:rFonts w:ascii="宋体" w:hAnsi="宋体" w:cs="宋体" w:eastAsia="宋体" w:hint="default"/>
                            <w:sz w:val="18"/>
                            <w:szCs w:val="18"/>
                          </w:rPr>
                        </w:pPr>
                        <w:r>
                          <w:rPr>
                            <w:rFonts w:ascii="宋体" w:hAnsi="宋体" w:cs="宋体" w:eastAsia="宋体" w:hint="default"/>
                            <w:sz w:val="18"/>
                            <w:szCs w:val="18"/>
                          </w:rPr>
                          <w:t>折现率</w:t>
                        </w:r>
                      </w:p>
                    </w:tc>
                  </w:tr>
                  <w:tr>
                    <w:trPr>
                      <w:trHeight w:val="323" w:hRule="exact"/>
                    </w:trPr>
                    <w:tc>
                      <w:tcPr>
                        <w:tcW w:w="1265" w:type="dxa"/>
                        <w:vMerge/>
                        <w:tcBorders>
                          <w:left w:val="single" w:sz="4" w:space="0" w:color="000000"/>
                          <w:bottom w:val="single" w:sz="4" w:space="0" w:color="000000"/>
                          <w:right w:val="single" w:sz="4" w:space="0" w:color="000000"/>
                        </w:tcBorders>
                        <w:shd w:val="clear" w:color="auto" w:fill="D9D9D9"/>
                      </w:tcPr>
                      <w:p>
                        <w:pPr/>
                      </w:p>
                    </w:tc>
                    <w:tc>
                      <w:tcPr>
                        <w:tcW w:w="1463" w:type="dxa"/>
                        <w:vMerge/>
                        <w:tcBorders>
                          <w:left w:val="single" w:sz="4" w:space="0" w:color="000000"/>
                          <w:bottom w:val="single" w:sz="4" w:space="0" w:color="000000"/>
                          <w:right w:val="single" w:sz="4" w:space="0" w:color="000000"/>
                        </w:tcBorders>
                        <w:shd w:val="clear" w:color="auto" w:fill="D9D9D9"/>
                      </w:tcPr>
                      <w:p>
                        <w:pPr/>
                      </w:p>
                    </w:tc>
                    <w:tc>
                      <w:tcPr>
                        <w:tcW w:w="77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2"/>
                          <w:ind w:right="116"/>
                          <w:jc w:val="righ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p>
                    </w:tc>
                    <w:tc>
                      <w:tcPr>
                        <w:tcW w:w="77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2"/>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宋体" w:hAnsi="宋体" w:cs="宋体" w:eastAsia="宋体" w:hint="default"/>
                            <w:sz w:val="18"/>
                            <w:szCs w:val="18"/>
                          </w:rPr>
                          <w:t>年</w:t>
                        </w:r>
                      </w:p>
                    </w:tc>
                    <w:tc>
                      <w:tcPr>
                        <w:tcW w:w="77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2"/>
                          <w:ind w:right="13"/>
                          <w:jc w:val="center"/>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宋体" w:hAnsi="宋体" w:cs="宋体" w:eastAsia="宋体" w:hint="default"/>
                            <w:sz w:val="18"/>
                            <w:szCs w:val="18"/>
                          </w:rPr>
                          <w:t>年</w:t>
                        </w:r>
                      </w:p>
                    </w:tc>
                    <w:tc>
                      <w:tcPr>
                        <w:tcW w:w="77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2"/>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宋体" w:hAnsi="宋体" w:cs="宋体" w:eastAsia="宋体" w:hint="default"/>
                            <w:sz w:val="18"/>
                            <w:szCs w:val="18"/>
                          </w:rPr>
                          <w:t>年</w:t>
                        </w:r>
                      </w:p>
                    </w:tc>
                    <w:tc>
                      <w:tcPr>
                        <w:tcW w:w="77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2"/>
                          <w:ind w:right="109"/>
                          <w:jc w:val="right"/>
                          <w:rPr>
                            <w:rFonts w:ascii="宋体" w:hAnsi="宋体" w:cs="宋体" w:eastAsia="宋体" w:hint="default"/>
                            <w:sz w:val="18"/>
                            <w:szCs w:val="18"/>
                          </w:rPr>
                        </w:pPr>
                        <w:r>
                          <w:rPr>
                            <w:rFonts w:ascii="Times New Roman" w:hAnsi="Times New Roman" w:cs="Times New Roman" w:eastAsia="Times New Roman" w:hint="default"/>
                            <w:sz w:val="18"/>
                            <w:szCs w:val="18"/>
                          </w:rPr>
                          <w:t>2023</w:t>
                        </w:r>
                        <w:r>
                          <w:rPr>
                            <w:rFonts w:ascii="宋体" w:hAnsi="宋体" w:cs="宋体" w:eastAsia="宋体" w:hint="default"/>
                            <w:sz w:val="18"/>
                            <w:szCs w:val="18"/>
                          </w:rPr>
                          <w:t>年</w:t>
                        </w:r>
                      </w:p>
                    </w:tc>
                    <w:tc>
                      <w:tcPr>
                        <w:tcW w:w="872" w:type="dxa"/>
                        <w:vMerge/>
                        <w:tcBorders>
                          <w:left w:val="single" w:sz="4" w:space="0" w:color="000000"/>
                          <w:bottom w:val="single" w:sz="4" w:space="0" w:color="000000"/>
                          <w:right w:val="single" w:sz="4" w:space="0" w:color="000000"/>
                        </w:tcBorders>
                        <w:shd w:val="clear" w:color="auto" w:fill="D9D9D9"/>
                      </w:tcPr>
                      <w:p>
                        <w:pPr/>
                      </w:p>
                    </w:tc>
                    <w:tc>
                      <w:tcPr>
                        <w:tcW w:w="1628" w:type="dxa"/>
                        <w:vMerge/>
                        <w:tcBorders>
                          <w:left w:val="single" w:sz="4" w:space="0" w:color="000000"/>
                          <w:bottom w:val="single" w:sz="4" w:space="0" w:color="000000"/>
                          <w:right w:val="single" w:sz="4" w:space="0" w:color="000000"/>
                        </w:tcBorders>
                        <w:shd w:val="clear" w:color="auto" w:fill="D9D9D9"/>
                      </w:tcPr>
                      <w:p>
                        <w:pPr/>
                      </w:p>
                    </w:tc>
                    <w:tc>
                      <w:tcPr>
                        <w:tcW w:w="772" w:type="dxa"/>
                        <w:vMerge/>
                        <w:tcBorders>
                          <w:left w:val="single" w:sz="4" w:space="0" w:color="000000"/>
                          <w:bottom w:val="single" w:sz="4" w:space="0" w:color="000000"/>
                          <w:right w:val="single" w:sz="4" w:space="0" w:color="000000"/>
                        </w:tcBorders>
                        <w:shd w:val="clear" w:color="auto" w:fill="D9D9D9"/>
                      </w:tcPr>
                      <w:p>
                        <w:pPr/>
                      </w:p>
                    </w:tc>
                  </w:tr>
                  <w:tr>
                    <w:trPr>
                      <w:trHeight w:val="946" w:hRule="exact"/>
                    </w:trPr>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64"/>
                          <w:jc w:val="left"/>
                          <w:rPr>
                            <w:rFonts w:ascii="宋体" w:hAnsi="宋体" w:cs="宋体" w:eastAsia="宋体" w:hint="default"/>
                            <w:sz w:val="18"/>
                            <w:szCs w:val="18"/>
                          </w:rPr>
                        </w:pPr>
                        <w:r>
                          <w:rPr>
                            <w:rFonts w:ascii="宋体" w:hAnsi="宋体" w:cs="宋体" w:eastAsia="宋体" w:hint="default"/>
                            <w:spacing w:val="29"/>
                            <w:sz w:val="18"/>
                            <w:szCs w:val="18"/>
                          </w:rPr>
                          <w:t>资产组江苏</w:t>
                        </w:r>
                        <w:r>
                          <w:rPr>
                            <w:rFonts w:ascii="宋体" w:hAnsi="宋体" w:cs="宋体" w:eastAsia="宋体" w:hint="default"/>
                            <w:spacing w:val="-88"/>
                            <w:sz w:val="18"/>
                            <w:szCs w:val="18"/>
                          </w:rPr>
                          <w:t> </w:t>
                        </w:r>
                        <w:r>
                          <w:rPr>
                            <w:rFonts w:ascii="宋体" w:hAnsi="宋体" w:cs="宋体" w:eastAsia="宋体" w:hint="default"/>
                            <w:sz w:val="18"/>
                            <w:szCs w:val="18"/>
                          </w:rPr>
                          <w:t>顺泰</w:t>
                        </w:r>
                      </w:p>
                    </w:tc>
                    <w:tc>
                      <w:tcPr>
                        <w:tcW w:w="1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2019-2023</w:t>
                        </w:r>
                        <w:r>
                          <w:rPr>
                            <w:rFonts w:ascii="宋体" w:hAnsi="宋体" w:cs="宋体" w:eastAsia="宋体" w:hint="default"/>
                            <w:spacing w:val="-74"/>
                            <w:sz w:val="18"/>
                            <w:szCs w:val="18"/>
                          </w:rPr>
                          <w:t>年</w:t>
                        </w:r>
                        <w:r>
                          <w:rPr>
                            <w:rFonts w:ascii="宋体" w:hAnsi="宋体" w:cs="宋体" w:eastAsia="宋体" w:hint="default"/>
                            <w:sz w:val="18"/>
                            <w:szCs w:val="18"/>
                          </w:rPr>
                          <w:t>（后</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续为稳定期）</w:t>
                        </w:r>
                      </w:p>
                    </w:tc>
                    <w:tc>
                      <w:tcPr>
                        <w:tcW w:w="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z w:val="18"/>
                          </w:rPr>
                          <w:t>14.53%</w:t>
                        </w:r>
                      </w:p>
                    </w:tc>
                    <w:tc>
                      <w:tcPr>
                        <w:tcW w:w="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 w:right="0"/>
                          <w:jc w:val="center"/>
                          <w:rPr>
                            <w:rFonts w:ascii="Times New Roman" w:hAnsi="Times New Roman" w:cs="Times New Roman" w:eastAsia="Times New Roman" w:hint="default"/>
                            <w:sz w:val="18"/>
                            <w:szCs w:val="18"/>
                          </w:rPr>
                        </w:pPr>
                        <w:r>
                          <w:rPr>
                            <w:rFonts w:ascii="Times New Roman"/>
                            <w:sz w:val="18"/>
                          </w:rPr>
                          <w:t>13.61%</w:t>
                        </w:r>
                      </w:p>
                    </w:tc>
                    <w:tc>
                      <w:tcPr>
                        <w:tcW w:w="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92" w:right="0"/>
                          <w:jc w:val="center"/>
                          <w:rPr>
                            <w:rFonts w:ascii="Times New Roman" w:hAnsi="Times New Roman" w:cs="Times New Roman" w:eastAsia="Times New Roman" w:hint="default"/>
                            <w:sz w:val="18"/>
                            <w:szCs w:val="18"/>
                          </w:rPr>
                        </w:pPr>
                        <w:r>
                          <w:rPr>
                            <w:rFonts w:ascii="Times New Roman"/>
                            <w:sz w:val="18"/>
                          </w:rPr>
                          <w:t>9.76%</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93" w:right="0"/>
                          <w:jc w:val="center"/>
                          <w:rPr>
                            <w:rFonts w:ascii="Times New Roman" w:hAnsi="Times New Roman" w:cs="Times New Roman" w:eastAsia="Times New Roman" w:hint="default"/>
                            <w:sz w:val="18"/>
                            <w:szCs w:val="18"/>
                          </w:rPr>
                        </w:pPr>
                        <w:r>
                          <w:rPr>
                            <w:rFonts w:ascii="Times New Roman"/>
                            <w:sz w:val="18"/>
                          </w:rPr>
                          <w:t>8.00%</w:t>
                        </w:r>
                      </w:p>
                    </w:tc>
                    <w:tc>
                      <w:tcPr>
                        <w:tcW w:w="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z w:val="18"/>
                          </w:rPr>
                          <w:t>1.92%</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持平</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73"/>
                          <w:jc w:val="both"/>
                          <w:rPr>
                            <w:rFonts w:ascii="宋体" w:hAnsi="宋体" w:cs="宋体" w:eastAsia="宋体" w:hint="default"/>
                            <w:sz w:val="18"/>
                            <w:szCs w:val="18"/>
                          </w:rPr>
                        </w:pPr>
                        <w:r>
                          <w:rPr>
                            <w:rFonts w:ascii="宋体" w:hAnsi="宋体" w:cs="宋体" w:eastAsia="宋体" w:hint="default"/>
                            <w:sz w:val="18"/>
                            <w:szCs w:val="18"/>
                          </w:rPr>
                          <w:t>根据预测的收入、 成</w:t>
                        </w:r>
                        <w:r>
                          <w:rPr>
                            <w:rFonts w:ascii="宋体" w:hAnsi="宋体" w:cs="宋体" w:eastAsia="宋体" w:hint="default"/>
                            <w:spacing w:val="-65"/>
                            <w:sz w:val="18"/>
                            <w:szCs w:val="18"/>
                          </w:rPr>
                          <w:t> </w:t>
                        </w:r>
                        <w:r>
                          <w:rPr>
                            <w:rFonts w:ascii="宋体" w:hAnsi="宋体" w:cs="宋体" w:eastAsia="宋体" w:hint="default"/>
                            <w:sz w:val="18"/>
                            <w:szCs w:val="18"/>
                          </w:rPr>
                          <w:t>本</w:t>
                        </w:r>
                        <w:r>
                          <w:rPr>
                            <w:rFonts w:ascii="宋体" w:hAnsi="宋体" w:cs="宋体" w:eastAsia="宋体" w:hint="default"/>
                            <w:spacing w:val="-65"/>
                            <w:sz w:val="18"/>
                            <w:szCs w:val="18"/>
                          </w:rPr>
                          <w:t> </w:t>
                        </w:r>
                        <w:r>
                          <w:rPr>
                            <w:rFonts w:ascii="宋体" w:hAnsi="宋体" w:cs="宋体" w:eastAsia="宋体" w:hint="default"/>
                            <w:sz w:val="18"/>
                            <w:szCs w:val="18"/>
                          </w:rPr>
                          <w:t>费</w:t>
                        </w:r>
                        <w:r>
                          <w:rPr>
                            <w:rFonts w:ascii="宋体" w:hAnsi="宋体" w:cs="宋体" w:eastAsia="宋体" w:hint="default"/>
                            <w:spacing w:val="-65"/>
                            <w:sz w:val="18"/>
                            <w:szCs w:val="18"/>
                          </w:rPr>
                          <w:t> </w:t>
                        </w:r>
                        <w:r>
                          <w:rPr>
                            <w:rFonts w:ascii="宋体" w:hAnsi="宋体" w:cs="宋体" w:eastAsia="宋体" w:hint="default"/>
                            <w:sz w:val="18"/>
                            <w:szCs w:val="18"/>
                          </w:rPr>
                          <w:t>用</w:t>
                        </w:r>
                        <w:r>
                          <w:rPr>
                            <w:rFonts w:ascii="宋体" w:hAnsi="宋体" w:cs="宋体" w:eastAsia="宋体" w:hint="default"/>
                            <w:spacing w:val="-65"/>
                            <w:sz w:val="18"/>
                            <w:szCs w:val="18"/>
                          </w:rPr>
                          <w:t> </w:t>
                        </w:r>
                        <w:r>
                          <w:rPr>
                            <w:rFonts w:ascii="宋体" w:hAnsi="宋体" w:cs="宋体" w:eastAsia="宋体" w:hint="default"/>
                            <w:sz w:val="18"/>
                            <w:szCs w:val="18"/>
                          </w:rPr>
                          <w:t>进</w:t>
                        </w:r>
                        <w:r>
                          <w:rPr>
                            <w:rFonts w:ascii="宋体" w:hAnsi="宋体" w:cs="宋体" w:eastAsia="宋体" w:hint="default"/>
                            <w:spacing w:val="-64"/>
                            <w:sz w:val="18"/>
                            <w:szCs w:val="18"/>
                          </w:rPr>
                          <w:t> </w:t>
                        </w:r>
                        <w:r>
                          <w:rPr>
                            <w:rFonts w:ascii="宋体" w:hAnsi="宋体" w:cs="宋体" w:eastAsia="宋体" w:hint="default"/>
                            <w:sz w:val="18"/>
                            <w:szCs w:val="18"/>
                          </w:rPr>
                          <w:t>行</w:t>
                        </w:r>
                        <w:r>
                          <w:rPr>
                            <w:rFonts w:ascii="宋体" w:hAnsi="宋体" w:cs="宋体" w:eastAsia="宋体" w:hint="default"/>
                            <w:spacing w:val="-65"/>
                            <w:sz w:val="18"/>
                            <w:szCs w:val="18"/>
                          </w:rPr>
                          <w:t> </w:t>
                        </w:r>
                        <w:r>
                          <w:rPr>
                            <w:rFonts w:ascii="宋体" w:hAnsi="宋体" w:cs="宋体" w:eastAsia="宋体" w:hint="default"/>
                            <w:sz w:val="18"/>
                            <w:szCs w:val="18"/>
                          </w:rPr>
                          <w:t>预</w:t>
                        </w:r>
                        <w:r>
                          <w:rPr>
                            <w:rFonts w:ascii="宋体" w:hAnsi="宋体" w:cs="宋体" w:eastAsia="宋体" w:hint="default"/>
                            <w:sz w:val="18"/>
                            <w:szCs w:val="18"/>
                          </w:rPr>
                          <w:t> 测</w:t>
                        </w:r>
                      </w:p>
                    </w:tc>
                    <w:tc>
                      <w:tcPr>
                        <w:tcW w:w="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z w:val="18"/>
                          </w:rPr>
                          <w:t>12.44%</w:t>
                        </w:r>
                      </w:p>
                    </w:tc>
                  </w:tr>
                  <w:tr>
                    <w:trPr>
                      <w:trHeight w:val="946" w:hRule="exact"/>
                    </w:trPr>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64"/>
                          <w:jc w:val="left"/>
                          <w:rPr>
                            <w:rFonts w:ascii="宋体" w:hAnsi="宋体" w:cs="宋体" w:eastAsia="宋体" w:hint="default"/>
                            <w:sz w:val="18"/>
                            <w:szCs w:val="18"/>
                          </w:rPr>
                        </w:pPr>
                        <w:r>
                          <w:rPr>
                            <w:rFonts w:ascii="宋体" w:hAnsi="宋体" w:cs="宋体" w:eastAsia="宋体" w:hint="default"/>
                            <w:spacing w:val="29"/>
                            <w:sz w:val="18"/>
                            <w:szCs w:val="18"/>
                          </w:rPr>
                          <w:t>资产组长春</w:t>
                        </w:r>
                        <w:r>
                          <w:rPr>
                            <w:rFonts w:ascii="宋体" w:hAnsi="宋体" w:cs="宋体" w:eastAsia="宋体" w:hint="default"/>
                            <w:spacing w:val="-88"/>
                            <w:sz w:val="18"/>
                            <w:szCs w:val="18"/>
                          </w:rPr>
                          <w:t> </w:t>
                        </w:r>
                        <w:r>
                          <w:rPr>
                            <w:rFonts w:ascii="宋体" w:hAnsi="宋体" w:cs="宋体" w:eastAsia="宋体" w:hint="default"/>
                            <w:sz w:val="18"/>
                            <w:szCs w:val="18"/>
                          </w:rPr>
                          <w:t>吉星</w:t>
                        </w:r>
                      </w:p>
                    </w:tc>
                    <w:tc>
                      <w:tcPr>
                        <w:tcW w:w="1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2019-2022</w:t>
                        </w:r>
                        <w:r>
                          <w:rPr>
                            <w:rFonts w:ascii="宋体" w:hAnsi="宋体" w:cs="宋体" w:eastAsia="宋体" w:hint="default"/>
                            <w:spacing w:val="-74"/>
                            <w:sz w:val="18"/>
                            <w:szCs w:val="18"/>
                          </w:rPr>
                          <w:t>年</w:t>
                        </w:r>
                        <w:r>
                          <w:rPr>
                            <w:rFonts w:ascii="宋体" w:hAnsi="宋体" w:cs="宋体" w:eastAsia="宋体" w:hint="default"/>
                            <w:sz w:val="18"/>
                            <w:szCs w:val="18"/>
                          </w:rPr>
                          <w:t>（后</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续为稳定期）</w:t>
                        </w:r>
                      </w:p>
                    </w:tc>
                    <w:tc>
                      <w:tcPr>
                        <w:tcW w:w="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z w:val="18"/>
                          </w:rPr>
                          <w:t>28.13%</w:t>
                        </w:r>
                      </w:p>
                    </w:tc>
                    <w:tc>
                      <w:tcPr>
                        <w:tcW w:w="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92" w:right="0"/>
                          <w:jc w:val="center"/>
                          <w:rPr>
                            <w:rFonts w:ascii="Times New Roman" w:hAnsi="Times New Roman" w:cs="Times New Roman" w:eastAsia="Times New Roman" w:hint="default"/>
                            <w:sz w:val="18"/>
                            <w:szCs w:val="18"/>
                          </w:rPr>
                        </w:pPr>
                        <w:r>
                          <w:rPr>
                            <w:rFonts w:ascii="Times New Roman"/>
                            <w:sz w:val="18"/>
                          </w:rPr>
                          <w:t>5.00%</w:t>
                        </w:r>
                      </w:p>
                    </w:tc>
                    <w:tc>
                      <w:tcPr>
                        <w:tcW w:w="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92" w:right="0"/>
                          <w:jc w:val="center"/>
                          <w:rPr>
                            <w:rFonts w:ascii="Times New Roman" w:hAnsi="Times New Roman" w:cs="Times New Roman" w:eastAsia="Times New Roman" w:hint="default"/>
                            <w:sz w:val="18"/>
                            <w:szCs w:val="18"/>
                          </w:rPr>
                        </w:pPr>
                        <w:r>
                          <w:rPr>
                            <w:rFonts w:ascii="Times New Roman"/>
                            <w:sz w:val="18"/>
                          </w:rPr>
                          <w:t>8.88%</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93" w:right="0"/>
                          <w:jc w:val="center"/>
                          <w:rPr>
                            <w:rFonts w:ascii="Times New Roman" w:hAnsi="Times New Roman" w:cs="Times New Roman" w:eastAsia="Times New Roman" w:hint="default"/>
                            <w:sz w:val="18"/>
                            <w:szCs w:val="18"/>
                          </w:rPr>
                        </w:pPr>
                        <w:r>
                          <w:rPr>
                            <w:rFonts w:ascii="Times New Roman"/>
                            <w:sz w:val="18"/>
                          </w:rPr>
                          <w:t>2.00%</w:t>
                        </w:r>
                      </w:p>
                    </w:tc>
                    <w:tc>
                      <w:tcPr>
                        <w:tcW w:w="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z w:val="18"/>
                          </w:rPr>
                          <w:t>0.00%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持平</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73"/>
                          <w:jc w:val="both"/>
                          <w:rPr>
                            <w:rFonts w:ascii="宋体" w:hAnsi="宋体" w:cs="宋体" w:eastAsia="宋体" w:hint="default"/>
                            <w:sz w:val="18"/>
                            <w:szCs w:val="18"/>
                          </w:rPr>
                        </w:pPr>
                        <w:r>
                          <w:rPr>
                            <w:rFonts w:ascii="宋体" w:hAnsi="宋体" w:cs="宋体" w:eastAsia="宋体" w:hint="default"/>
                            <w:sz w:val="18"/>
                            <w:szCs w:val="18"/>
                          </w:rPr>
                          <w:t>根据预测的收入、 成</w:t>
                        </w:r>
                        <w:r>
                          <w:rPr>
                            <w:rFonts w:ascii="宋体" w:hAnsi="宋体" w:cs="宋体" w:eastAsia="宋体" w:hint="default"/>
                            <w:spacing w:val="-65"/>
                            <w:sz w:val="18"/>
                            <w:szCs w:val="18"/>
                          </w:rPr>
                          <w:t> </w:t>
                        </w:r>
                        <w:r>
                          <w:rPr>
                            <w:rFonts w:ascii="宋体" w:hAnsi="宋体" w:cs="宋体" w:eastAsia="宋体" w:hint="default"/>
                            <w:sz w:val="18"/>
                            <w:szCs w:val="18"/>
                          </w:rPr>
                          <w:t>本</w:t>
                        </w:r>
                        <w:r>
                          <w:rPr>
                            <w:rFonts w:ascii="宋体" w:hAnsi="宋体" w:cs="宋体" w:eastAsia="宋体" w:hint="default"/>
                            <w:spacing w:val="-65"/>
                            <w:sz w:val="18"/>
                            <w:szCs w:val="18"/>
                          </w:rPr>
                          <w:t> </w:t>
                        </w:r>
                        <w:r>
                          <w:rPr>
                            <w:rFonts w:ascii="宋体" w:hAnsi="宋体" w:cs="宋体" w:eastAsia="宋体" w:hint="default"/>
                            <w:sz w:val="18"/>
                            <w:szCs w:val="18"/>
                          </w:rPr>
                          <w:t>费</w:t>
                        </w:r>
                        <w:r>
                          <w:rPr>
                            <w:rFonts w:ascii="宋体" w:hAnsi="宋体" w:cs="宋体" w:eastAsia="宋体" w:hint="default"/>
                            <w:spacing w:val="-65"/>
                            <w:sz w:val="18"/>
                            <w:szCs w:val="18"/>
                          </w:rPr>
                          <w:t> </w:t>
                        </w:r>
                        <w:r>
                          <w:rPr>
                            <w:rFonts w:ascii="宋体" w:hAnsi="宋体" w:cs="宋体" w:eastAsia="宋体" w:hint="default"/>
                            <w:sz w:val="18"/>
                            <w:szCs w:val="18"/>
                          </w:rPr>
                          <w:t>用</w:t>
                        </w:r>
                        <w:r>
                          <w:rPr>
                            <w:rFonts w:ascii="宋体" w:hAnsi="宋体" w:cs="宋体" w:eastAsia="宋体" w:hint="default"/>
                            <w:spacing w:val="-65"/>
                            <w:sz w:val="18"/>
                            <w:szCs w:val="18"/>
                          </w:rPr>
                          <w:t> </w:t>
                        </w:r>
                        <w:r>
                          <w:rPr>
                            <w:rFonts w:ascii="宋体" w:hAnsi="宋体" w:cs="宋体" w:eastAsia="宋体" w:hint="default"/>
                            <w:sz w:val="18"/>
                            <w:szCs w:val="18"/>
                          </w:rPr>
                          <w:t>进</w:t>
                        </w:r>
                        <w:r>
                          <w:rPr>
                            <w:rFonts w:ascii="宋体" w:hAnsi="宋体" w:cs="宋体" w:eastAsia="宋体" w:hint="default"/>
                            <w:spacing w:val="-64"/>
                            <w:sz w:val="18"/>
                            <w:szCs w:val="18"/>
                          </w:rPr>
                          <w:t> </w:t>
                        </w:r>
                        <w:r>
                          <w:rPr>
                            <w:rFonts w:ascii="宋体" w:hAnsi="宋体" w:cs="宋体" w:eastAsia="宋体" w:hint="default"/>
                            <w:sz w:val="18"/>
                            <w:szCs w:val="18"/>
                          </w:rPr>
                          <w:t>行</w:t>
                        </w:r>
                        <w:r>
                          <w:rPr>
                            <w:rFonts w:ascii="宋体" w:hAnsi="宋体" w:cs="宋体" w:eastAsia="宋体" w:hint="default"/>
                            <w:spacing w:val="-65"/>
                            <w:sz w:val="18"/>
                            <w:szCs w:val="18"/>
                          </w:rPr>
                          <w:t> </w:t>
                        </w:r>
                        <w:r>
                          <w:rPr>
                            <w:rFonts w:ascii="宋体" w:hAnsi="宋体" w:cs="宋体" w:eastAsia="宋体" w:hint="default"/>
                            <w:sz w:val="18"/>
                            <w:szCs w:val="18"/>
                          </w:rPr>
                          <w:t>预</w:t>
                        </w:r>
                        <w:r>
                          <w:rPr>
                            <w:rFonts w:ascii="宋体" w:hAnsi="宋体" w:cs="宋体" w:eastAsia="宋体" w:hint="default"/>
                            <w:sz w:val="18"/>
                            <w:szCs w:val="18"/>
                          </w:rPr>
                          <w:t> 测</w:t>
                        </w:r>
                      </w:p>
                    </w:tc>
                    <w:tc>
                      <w:tcPr>
                        <w:tcW w:w="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z w:val="18"/>
                          </w:rPr>
                          <w:t>12.44%</w:t>
                        </w:r>
                      </w:p>
                    </w:tc>
                  </w:tr>
                  <w:tr>
                    <w:trPr>
                      <w:trHeight w:val="947" w:hRule="exact"/>
                    </w:trPr>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103" w:right="64"/>
                          <w:jc w:val="left"/>
                          <w:rPr>
                            <w:rFonts w:ascii="宋体" w:hAnsi="宋体" w:cs="宋体" w:eastAsia="宋体" w:hint="default"/>
                            <w:sz w:val="18"/>
                            <w:szCs w:val="18"/>
                          </w:rPr>
                        </w:pPr>
                        <w:r>
                          <w:rPr>
                            <w:rFonts w:ascii="宋体" w:hAnsi="宋体" w:cs="宋体" w:eastAsia="宋体" w:hint="default"/>
                            <w:spacing w:val="29"/>
                            <w:sz w:val="18"/>
                            <w:szCs w:val="18"/>
                          </w:rPr>
                          <w:t>资产组江西</w:t>
                        </w:r>
                        <w:r>
                          <w:rPr>
                            <w:rFonts w:ascii="宋体" w:hAnsi="宋体" w:cs="宋体" w:eastAsia="宋体" w:hint="default"/>
                            <w:spacing w:val="-88"/>
                            <w:sz w:val="18"/>
                            <w:szCs w:val="18"/>
                          </w:rPr>
                          <w:t> </w:t>
                        </w:r>
                        <w:r>
                          <w:rPr>
                            <w:rFonts w:ascii="宋体" w:hAnsi="宋体" w:cs="宋体" w:eastAsia="宋体" w:hint="default"/>
                            <w:sz w:val="18"/>
                            <w:szCs w:val="18"/>
                          </w:rPr>
                          <w:t>丰彩丽</w:t>
                        </w:r>
                      </w:p>
                    </w:tc>
                    <w:tc>
                      <w:tcPr>
                        <w:tcW w:w="1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2019-2023</w:t>
                        </w:r>
                        <w:r>
                          <w:rPr>
                            <w:rFonts w:ascii="宋体" w:hAnsi="宋体" w:cs="宋体" w:eastAsia="宋体" w:hint="default"/>
                            <w:spacing w:val="-74"/>
                            <w:sz w:val="18"/>
                            <w:szCs w:val="18"/>
                          </w:rPr>
                          <w:t>年</w:t>
                        </w:r>
                        <w:r>
                          <w:rPr>
                            <w:rFonts w:ascii="宋体" w:hAnsi="宋体" w:cs="宋体" w:eastAsia="宋体" w:hint="default"/>
                            <w:sz w:val="18"/>
                            <w:szCs w:val="18"/>
                          </w:rPr>
                          <w:t>（后</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续为稳定期）</w:t>
                        </w:r>
                      </w:p>
                    </w:tc>
                    <w:tc>
                      <w:tcPr>
                        <w:tcW w:w="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61.76%</w:t>
                        </w:r>
                      </w:p>
                    </w:tc>
                    <w:tc>
                      <w:tcPr>
                        <w:tcW w:w="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Times New Roman" w:hAnsi="Times New Roman" w:cs="Times New Roman" w:eastAsia="Times New Roman" w:hint="default"/>
                            <w:sz w:val="18"/>
                            <w:szCs w:val="18"/>
                          </w:rPr>
                        </w:pPr>
                        <w:r>
                          <w:rPr>
                            <w:rFonts w:ascii="Times New Roman"/>
                            <w:sz w:val="18"/>
                          </w:rPr>
                          <w:t>12.17%</w:t>
                        </w:r>
                      </w:p>
                    </w:tc>
                    <w:tc>
                      <w:tcPr>
                        <w:tcW w:w="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Times New Roman" w:hAnsi="Times New Roman" w:cs="Times New Roman" w:eastAsia="Times New Roman" w:hint="default"/>
                            <w:sz w:val="18"/>
                            <w:szCs w:val="18"/>
                          </w:rPr>
                        </w:pPr>
                        <w:r>
                          <w:rPr>
                            <w:rFonts w:ascii="Times New Roman"/>
                            <w:sz w:val="18"/>
                          </w:rPr>
                          <w:t>18.95%</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 w:right="0"/>
                          <w:jc w:val="center"/>
                          <w:rPr>
                            <w:rFonts w:ascii="Times New Roman" w:hAnsi="Times New Roman" w:cs="Times New Roman" w:eastAsia="Times New Roman" w:hint="default"/>
                            <w:sz w:val="18"/>
                            <w:szCs w:val="18"/>
                          </w:rPr>
                        </w:pPr>
                        <w:r>
                          <w:rPr>
                            <w:rFonts w:ascii="Times New Roman"/>
                            <w:sz w:val="18"/>
                          </w:rPr>
                          <w:t>10.74%</w:t>
                        </w:r>
                      </w:p>
                    </w:tc>
                    <w:tc>
                      <w:tcPr>
                        <w:tcW w:w="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10.07%</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持平</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103" w:right="73"/>
                          <w:jc w:val="both"/>
                          <w:rPr>
                            <w:rFonts w:ascii="宋体" w:hAnsi="宋体" w:cs="宋体" w:eastAsia="宋体" w:hint="default"/>
                            <w:sz w:val="18"/>
                            <w:szCs w:val="18"/>
                          </w:rPr>
                        </w:pPr>
                        <w:r>
                          <w:rPr>
                            <w:rFonts w:ascii="宋体" w:hAnsi="宋体" w:cs="宋体" w:eastAsia="宋体" w:hint="default"/>
                            <w:sz w:val="18"/>
                            <w:szCs w:val="18"/>
                          </w:rPr>
                          <w:t>根据预测的收入、 成</w:t>
                        </w:r>
                        <w:r>
                          <w:rPr>
                            <w:rFonts w:ascii="宋体" w:hAnsi="宋体" w:cs="宋体" w:eastAsia="宋体" w:hint="default"/>
                            <w:spacing w:val="-65"/>
                            <w:sz w:val="18"/>
                            <w:szCs w:val="18"/>
                          </w:rPr>
                          <w:t> </w:t>
                        </w:r>
                        <w:r>
                          <w:rPr>
                            <w:rFonts w:ascii="宋体" w:hAnsi="宋体" w:cs="宋体" w:eastAsia="宋体" w:hint="default"/>
                            <w:sz w:val="18"/>
                            <w:szCs w:val="18"/>
                          </w:rPr>
                          <w:t>本</w:t>
                        </w:r>
                        <w:r>
                          <w:rPr>
                            <w:rFonts w:ascii="宋体" w:hAnsi="宋体" w:cs="宋体" w:eastAsia="宋体" w:hint="default"/>
                            <w:spacing w:val="-65"/>
                            <w:sz w:val="18"/>
                            <w:szCs w:val="18"/>
                          </w:rPr>
                          <w:t> </w:t>
                        </w:r>
                        <w:r>
                          <w:rPr>
                            <w:rFonts w:ascii="宋体" w:hAnsi="宋体" w:cs="宋体" w:eastAsia="宋体" w:hint="default"/>
                            <w:sz w:val="18"/>
                            <w:szCs w:val="18"/>
                          </w:rPr>
                          <w:t>费</w:t>
                        </w:r>
                        <w:r>
                          <w:rPr>
                            <w:rFonts w:ascii="宋体" w:hAnsi="宋体" w:cs="宋体" w:eastAsia="宋体" w:hint="default"/>
                            <w:spacing w:val="-65"/>
                            <w:sz w:val="18"/>
                            <w:szCs w:val="18"/>
                          </w:rPr>
                          <w:t> </w:t>
                        </w:r>
                        <w:r>
                          <w:rPr>
                            <w:rFonts w:ascii="宋体" w:hAnsi="宋体" w:cs="宋体" w:eastAsia="宋体" w:hint="default"/>
                            <w:sz w:val="18"/>
                            <w:szCs w:val="18"/>
                          </w:rPr>
                          <w:t>用</w:t>
                        </w:r>
                        <w:r>
                          <w:rPr>
                            <w:rFonts w:ascii="宋体" w:hAnsi="宋体" w:cs="宋体" w:eastAsia="宋体" w:hint="default"/>
                            <w:spacing w:val="-65"/>
                            <w:sz w:val="18"/>
                            <w:szCs w:val="18"/>
                          </w:rPr>
                          <w:t> </w:t>
                        </w:r>
                        <w:r>
                          <w:rPr>
                            <w:rFonts w:ascii="宋体" w:hAnsi="宋体" w:cs="宋体" w:eastAsia="宋体" w:hint="default"/>
                            <w:sz w:val="18"/>
                            <w:szCs w:val="18"/>
                          </w:rPr>
                          <w:t>进</w:t>
                        </w:r>
                        <w:r>
                          <w:rPr>
                            <w:rFonts w:ascii="宋体" w:hAnsi="宋体" w:cs="宋体" w:eastAsia="宋体" w:hint="default"/>
                            <w:spacing w:val="-64"/>
                            <w:sz w:val="18"/>
                            <w:szCs w:val="18"/>
                          </w:rPr>
                          <w:t> </w:t>
                        </w:r>
                        <w:r>
                          <w:rPr>
                            <w:rFonts w:ascii="宋体" w:hAnsi="宋体" w:cs="宋体" w:eastAsia="宋体" w:hint="default"/>
                            <w:sz w:val="18"/>
                            <w:szCs w:val="18"/>
                          </w:rPr>
                          <w:t>行</w:t>
                        </w:r>
                        <w:r>
                          <w:rPr>
                            <w:rFonts w:ascii="宋体" w:hAnsi="宋体" w:cs="宋体" w:eastAsia="宋体" w:hint="default"/>
                            <w:spacing w:val="-65"/>
                            <w:sz w:val="18"/>
                            <w:szCs w:val="18"/>
                          </w:rPr>
                          <w:t> </w:t>
                        </w:r>
                        <w:r>
                          <w:rPr>
                            <w:rFonts w:ascii="宋体" w:hAnsi="宋体" w:cs="宋体" w:eastAsia="宋体" w:hint="default"/>
                            <w:sz w:val="18"/>
                            <w:szCs w:val="18"/>
                          </w:rPr>
                          <w:t>预</w:t>
                        </w:r>
                        <w:r>
                          <w:rPr>
                            <w:rFonts w:ascii="宋体" w:hAnsi="宋体" w:cs="宋体" w:eastAsia="宋体" w:hint="default"/>
                            <w:sz w:val="18"/>
                            <w:szCs w:val="18"/>
                          </w:rPr>
                          <w:t> 测</w:t>
                        </w:r>
                      </w:p>
                    </w:tc>
                    <w:tc>
                      <w:tcPr>
                        <w:tcW w:w="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12.44%</w:t>
                        </w:r>
                      </w:p>
                    </w:tc>
                  </w:tr>
                  <w:tr>
                    <w:trPr>
                      <w:trHeight w:val="946" w:hRule="exact"/>
                    </w:trPr>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64"/>
                          <w:jc w:val="left"/>
                          <w:rPr>
                            <w:rFonts w:ascii="宋体" w:hAnsi="宋体" w:cs="宋体" w:eastAsia="宋体" w:hint="default"/>
                            <w:sz w:val="18"/>
                            <w:szCs w:val="18"/>
                          </w:rPr>
                        </w:pPr>
                        <w:r>
                          <w:rPr>
                            <w:rFonts w:ascii="宋体" w:hAnsi="宋体" w:cs="宋体" w:eastAsia="宋体" w:hint="default"/>
                            <w:spacing w:val="29"/>
                            <w:sz w:val="18"/>
                            <w:szCs w:val="18"/>
                          </w:rPr>
                          <w:t>资产组香港</w:t>
                        </w:r>
                        <w:r>
                          <w:rPr>
                            <w:rFonts w:ascii="宋体" w:hAnsi="宋体" w:cs="宋体" w:eastAsia="宋体" w:hint="default"/>
                            <w:spacing w:val="-88"/>
                            <w:sz w:val="18"/>
                            <w:szCs w:val="18"/>
                          </w:rPr>
                          <w:t> </w:t>
                        </w:r>
                        <w:r>
                          <w:rPr>
                            <w:rFonts w:ascii="宋体" w:hAnsi="宋体" w:cs="宋体" w:eastAsia="宋体" w:hint="default"/>
                            <w:sz w:val="18"/>
                            <w:szCs w:val="18"/>
                          </w:rPr>
                          <w:t>佳信</w:t>
                        </w:r>
                      </w:p>
                    </w:tc>
                    <w:tc>
                      <w:tcPr>
                        <w:tcW w:w="1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2019-2022</w:t>
                        </w:r>
                        <w:r>
                          <w:rPr>
                            <w:rFonts w:ascii="宋体" w:hAnsi="宋体" w:cs="宋体" w:eastAsia="宋体" w:hint="default"/>
                            <w:spacing w:val="-74"/>
                            <w:sz w:val="18"/>
                            <w:szCs w:val="18"/>
                          </w:rPr>
                          <w:t>年</w:t>
                        </w:r>
                        <w:r>
                          <w:rPr>
                            <w:rFonts w:ascii="宋体" w:hAnsi="宋体" w:cs="宋体" w:eastAsia="宋体" w:hint="default"/>
                            <w:sz w:val="18"/>
                            <w:szCs w:val="18"/>
                          </w:rPr>
                          <w:t>（后</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续为稳定期）</w:t>
                        </w:r>
                      </w:p>
                    </w:tc>
                    <w:tc>
                      <w:tcPr>
                        <w:tcW w:w="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z w:val="18"/>
                          </w:rPr>
                          <w:t>2.63%</w:t>
                        </w:r>
                      </w:p>
                    </w:tc>
                    <w:tc>
                      <w:tcPr>
                        <w:tcW w:w="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92" w:right="0"/>
                          <w:jc w:val="center"/>
                          <w:rPr>
                            <w:rFonts w:ascii="Times New Roman" w:hAnsi="Times New Roman" w:cs="Times New Roman" w:eastAsia="Times New Roman" w:hint="default"/>
                            <w:sz w:val="18"/>
                            <w:szCs w:val="18"/>
                          </w:rPr>
                        </w:pPr>
                        <w:r>
                          <w:rPr>
                            <w:rFonts w:ascii="Times New Roman"/>
                            <w:sz w:val="18"/>
                          </w:rPr>
                          <w:t>3.00%</w:t>
                        </w:r>
                      </w:p>
                    </w:tc>
                    <w:tc>
                      <w:tcPr>
                        <w:tcW w:w="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92" w:right="0"/>
                          <w:jc w:val="center"/>
                          <w:rPr>
                            <w:rFonts w:ascii="Times New Roman" w:hAnsi="Times New Roman" w:cs="Times New Roman" w:eastAsia="Times New Roman" w:hint="default"/>
                            <w:sz w:val="18"/>
                            <w:szCs w:val="18"/>
                          </w:rPr>
                        </w:pPr>
                        <w:r>
                          <w:rPr>
                            <w:rFonts w:ascii="Times New Roman"/>
                            <w:sz w:val="18"/>
                          </w:rPr>
                          <w:t>2.96%</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93" w:right="0"/>
                          <w:jc w:val="center"/>
                          <w:rPr>
                            <w:rFonts w:ascii="Times New Roman" w:hAnsi="Times New Roman" w:cs="Times New Roman" w:eastAsia="Times New Roman" w:hint="default"/>
                            <w:sz w:val="18"/>
                            <w:szCs w:val="18"/>
                          </w:rPr>
                        </w:pPr>
                        <w:r>
                          <w:rPr>
                            <w:rFonts w:ascii="Times New Roman"/>
                            <w:sz w:val="18"/>
                          </w:rPr>
                          <w:t>2.00%</w:t>
                        </w:r>
                      </w:p>
                    </w:tc>
                    <w:tc>
                      <w:tcPr>
                        <w:tcW w:w="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z w:val="18"/>
                          </w:rPr>
                          <w:t>0.00%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持平</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73"/>
                          <w:jc w:val="both"/>
                          <w:rPr>
                            <w:rFonts w:ascii="宋体" w:hAnsi="宋体" w:cs="宋体" w:eastAsia="宋体" w:hint="default"/>
                            <w:sz w:val="18"/>
                            <w:szCs w:val="18"/>
                          </w:rPr>
                        </w:pPr>
                        <w:r>
                          <w:rPr>
                            <w:rFonts w:ascii="宋体" w:hAnsi="宋体" w:cs="宋体" w:eastAsia="宋体" w:hint="default"/>
                            <w:sz w:val="18"/>
                            <w:szCs w:val="18"/>
                          </w:rPr>
                          <w:t>根据预测的收入、 成</w:t>
                        </w:r>
                        <w:r>
                          <w:rPr>
                            <w:rFonts w:ascii="宋体" w:hAnsi="宋体" w:cs="宋体" w:eastAsia="宋体" w:hint="default"/>
                            <w:spacing w:val="-65"/>
                            <w:sz w:val="18"/>
                            <w:szCs w:val="18"/>
                          </w:rPr>
                          <w:t> </w:t>
                        </w:r>
                        <w:r>
                          <w:rPr>
                            <w:rFonts w:ascii="宋体" w:hAnsi="宋体" w:cs="宋体" w:eastAsia="宋体" w:hint="default"/>
                            <w:sz w:val="18"/>
                            <w:szCs w:val="18"/>
                          </w:rPr>
                          <w:t>本</w:t>
                        </w:r>
                        <w:r>
                          <w:rPr>
                            <w:rFonts w:ascii="宋体" w:hAnsi="宋体" w:cs="宋体" w:eastAsia="宋体" w:hint="default"/>
                            <w:spacing w:val="-65"/>
                            <w:sz w:val="18"/>
                            <w:szCs w:val="18"/>
                          </w:rPr>
                          <w:t> </w:t>
                        </w:r>
                        <w:r>
                          <w:rPr>
                            <w:rFonts w:ascii="宋体" w:hAnsi="宋体" w:cs="宋体" w:eastAsia="宋体" w:hint="default"/>
                            <w:sz w:val="18"/>
                            <w:szCs w:val="18"/>
                          </w:rPr>
                          <w:t>费</w:t>
                        </w:r>
                        <w:r>
                          <w:rPr>
                            <w:rFonts w:ascii="宋体" w:hAnsi="宋体" w:cs="宋体" w:eastAsia="宋体" w:hint="default"/>
                            <w:spacing w:val="-65"/>
                            <w:sz w:val="18"/>
                            <w:szCs w:val="18"/>
                          </w:rPr>
                          <w:t> </w:t>
                        </w:r>
                        <w:r>
                          <w:rPr>
                            <w:rFonts w:ascii="宋体" w:hAnsi="宋体" w:cs="宋体" w:eastAsia="宋体" w:hint="default"/>
                            <w:sz w:val="18"/>
                            <w:szCs w:val="18"/>
                          </w:rPr>
                          <w:t>用</w:t>
                        </w:r>
                        <w:r>
                          <w:rPr>
                            <w:rFonts w:ascii="宋体" w:hAnsi="宋体" w:cs="宋体" w:eastAsia="宋体" w:hint="default"/>
                            <w:spacing w:val="-65"/>
                            <w:sz w:val="18"/>
                            <w:szCs w:val="18"/>
                          </w:rPr>
                          <w:t> </w:t>
                        </w:r>
                        <w:r>
                          <w:rPr>
                            <w:rFonts w:ascii="宋体" w:hAnsi="宋体" w:cs="宋体" w:eastAsia="宋体" w:hint="default"/>
                            <w:sz w:val="18"/>
                            <w:szCs w:val="18"/>
                          </w:rPr>
                          <w:t>进</w:t>
                        </w:r>
                        <w:r>
                          <w:rPr>
                            <w:rFonts w:ascii="宋体" w:hAnsi="宋体" w:cs="宋体" w:eastAsia="宋体" w:hint="default"/>
                            <w:spacing w:val="-64"/>
                            <w:sz w:val="18"/>
                            <w:szCs w:val="18"/>
                          </w:rPr>
                          <w:t> </w:t>
                        </w:r>
                        <w:r>
                          <w:rPr>
                            <w:rFonts w:ascii="宋体" w:hAnsi="宋体" w:cs="宋体" w:eastAsia="宋体" w:hint="default"/>
                            <w:sz w:val="18"/>
                            <w:szCs w:val="18"/>
                          </w:rPr>
                          <w:t>行</w:t>
                        </w:r>
                        <w:r>
                          <w:rPr>
                            <w:rFonts w:ascii="宋体" w:hAnsi="宋体" w:cs="宋体" w:eastAsia="宋体" w:hint="default"/>
                            <w:spacing w:val="-65"/>
                            <w:sz w:val="18"/>
                            <w:szCs w:val="18"/>
                          </w:rPr>
                          <w:t> </w:t>
                        </w:r>
                        <w:r>
                          <w:rPr>
                            <w:rFonts w:ascii="宋体" w:hAnsi="宋体" w:cs="宋体" w:eastAsia="宋体" w:hint="default"/>
                            <w:sz w:val="18"/>
                            <w:szCs w:val="18"/>
                          </w:rPr>
                          <w:t>预</w:t>
                        </w:r>
                        <w:r>
                          <w:rPr>
                            <w:rFonts w:ascii="宋体" w:hAnsi="宋体" w:cs="宋体" w:eastAsia="宋体" w:hint="default"/>
                            <w:sz w:val="18"/>
                            <w:szCs w:val="18"/>
                          </w:rPr>
                          <w:t> 测</w:t>
                        </w:r>
                      </w:p>
                    </w:tc>
                    <w:tc>
                      <w:tcPr>
                        <w:tcW w:w="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z w:val="18"/>
                          </w:rPr>
                          <w:t>12.33%</w:t>
                        </w:r>
                      </w:p>
                    </w:tc>
                  </w:tr>
                  <w:tr>
                    <w:trPr>
                      <w:trHeight w:val="946" w:hRule="exact"/>
                    </w:trPr>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64"/>
                          <w:jc w:val="left"/>
                          <w:rPr>
                            <w:rFonts w:ascii="宋体" w:hAnsi="宋体" w:cs="宋体" w:eastAsia="宋体" w:hint="default"/>
                            <w:sz w:val="18"/>
                            <w:szCs w:val="18"/>
                          </w:rPr>
                        </w:pPr>
                        <w:r>
                          <w:rPr>
                            <w:rFonts w:ascii="宋体" w:hAnsi="宋体" w:cs="宋体" w:eastAsia="宋体" w:hint="default"/>
                            <w:spacing w:val="29"/>
                            <w:sz w:val="18"/>
                            <w:szCs w:val="18"/>
                          </w:rPr>
                          <w:t>资产组珠海</w:t>
                        </w:r>
                        <w:r>
                          <w:rPr>
                            <w:rFonts w:ascii="宋体" w:hAnsi="宋体" w:cs="宋体" w:eastAsia="宋体" w:hint="default"/>
                            <w:spacing w:val="-88"/>
                            <w:sz w:val="18"/>
                            <w:szCs w:val="18"/>
                          </w:rPr>
                          <w:t> </w:t>
                        </w:r>
                        <w:r>
                          <w:rPr>
                            <w:rFonts w:ascii="宋体" w:hAnsi="宋体" w:cs="宋体" w:eastAsia="宋体" w:hint="default"/>
                            <w:sz w:val="18"/>
                            <w:szCs w:val="18"/>
                          </w:rPr>
                          <w:t>中丰田</w:t>
                        </w:r>
                      </w:p>
                    </w:tc>
                    <w:tc>
                      <w:tcPr>
                        <w:tcW w:w="1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2019-2023</w:t>
                        </w:r>
                        <w:r>
                          <w:rPr>
                            <w:rFonts w:ascii="宋体" w:hAnsi="宋体" w:cs="宋体" w:eastAsia="宋体" w:hint="default"/>
                            <w:spacing w:val="-74"/>
                            <w:sz w:val="18"/>
                            <w:szCs w:val="18"/>
                          </w:rPr>
                          <w:t>年</w:t>
                        </w:r>
                        <w:r>
                          <w:rPr>
                            <w:rFonts w:ascii="宋体" w:hAnsi="宋体" w:cs="宋体" w:eastAsia="宋体" w:hint="default"/>
                            <w:sz w:val="18"/>
                            <w:szCs w:val="18"/>
                          </w:rPr>
                          <w:t>（后</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续为稳定期）</w:t>
                        </w:r>
                      </w:p>
                    </w:tc>
                    <w:tc>
                      <w:tcPr>
                        <w:tcW w:w="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z w:val="18"/>
                          </w:rPr>
                          <w:t>14.95%</w:t>
                        </w:r>
                      </w:p>
                    </w:tc>
                    <w:tc>
                      <w:tcPr>
                        <w:tcW w:w="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 w:right="0"/>
                          <w:jc w:val="center"/>
                          <w:rPr>
                            <w:rFonts w:ascii="Times New Roman" w:hAnsi="Times New Roman" w:cs="Times New Roman" w:eastAsia="Times New Roman" w:hint="default"/>
                            <w:sz w:val="18"/>
                            <w:szCs w:val="18"/>
                          </w:rPr>
                        </w:pPr>
                        <w:r>
                          <w:rPr>
                            <w:rFonts w:ascii="Times New Roman"/>
                            <w:sz w:val="18"/>
                          </w:rPr>
                          <w:t>16.71%</w:t>
                        </w:r>
                      </w:p>
                    </w:tc>
                    <w:tc>
                      <w:tcPr>
                        <w:tcW w:w="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 w:right="0"/>
                          <w:jc w:val="center"/>
                          <w:rPr>
                            <w:rFonts w:ascii="Times New Roman" w:hAnsi="Times New Roman" w:cs="Times New Roman" w:eastAsia="Times New Roman" w:hint="default"/>
                            <w:sz w:val="18"/>
                            <w:szCs w:val="18"/>
                          </w:rPr>
                        </w:pPr>
                        <w:r>
                          <w:rPr>
                            <w:rFonts w:ascii="Times New Roman"/>
                            <w:sz w:val="18"/>
                          </w:rPr>
                          <w:t>16.03%</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3" w:right="0"/>
                          <w:jc w:val="center"/>
                          <w:rPr>
                            <w:rFonts w:ascii="Times New Roman" w:hAnsi="Times New Roman" w:cs="Times New Roman" w:eastAsia="Times New Roman" w:hint="default"/>
                            <w:sz w:val="18"/>
                            <w:szCs w:val="18"/>
                          </w:rPr>
                        </w:pPr>
                        <w:r>
                          <w:rPr>
                            <w:rFonts w:ascii="Times New Roman"/>
                            <w:sz w:val="18"/>
                          </w:rPr>
                          <w:t>12.86%</w:t>
                        </w:r>
                      </w:p>
                    </w:tc>
                    <w:tc>
                      <w:tcPr>
                        <w:tcW w:w="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z w:val="18"/>
                          </w:rPr>
                          <w:t>13.21%</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持平</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73"/>
                          <w:jc w:val="both"/>
                          <w:rPr>
                            <w:rFonts w:ascii="宋体" w:hAnsi="宋体" w:cs="宋体" w:eastAsia="宋体" w:hint="default"/>
                            <w:sz w:val="18"/>
                            <w:szCs w:val="18"/>
                          </w:rPr>
                        </w:pPr>
                        <w:r>
                          <w:rPr>
                            <w:rFonts w:ascii="宋体" w:hAnsi="宋体" w:cs="宋体" w:eastAsia="宋体" w:hint="default"/>
                            <w:sz w:val="18"/>
                            <w:szCs w:val="18"/>
                          </w:rPr>
                          <w:t>根据预测的收入、 成</w:t>
                        </w:r>
                        <w:r>
                          <w:rPr>
                            <w:rFonts w:ascii="宋体" w:hAnsi="宋体" w:cs="宋体" w:eastAsia="宋体" w:hint="default"/>
                            <w:spacing w:val="-65"/>
                            <w:sz w:val="18"/>
                            <w:szCs w:val="18"/>
                          </w:rPr>
                          <w:t> </w:t>
                        </w:r>
                        <w:r>
                          <w:rPr>
                            <w:rFonts w:ascii="宋体" w:hAnsi="宋体" w:cs="宋体" w:eastAsia="宋体" w:hint="default"/>
                            <w:sz w:val="18"/>
                            <w:szCs w:val="18"/>
                          </w:rPr>
                          <w:t>本</w:t>
                        </w:r>
                        <w:r>
                          <w:rPr>
                            <w:rFonts w:ascii="宋体" w:hAnsi="宋体" w:cs="宋体" w:eastAsia="宋体" w:hint="default"/>
                            <w:spacing w:val="-65"/>
                            <w:sz w:val="18"/>
                            <w:szCs w:val="18"/>
                          </w:rPr>
                          <w:t> </w:t>
                        </w:r>
                        <w:r>
                          <w:rPr>
                            <w:rFonts w:ascii="宋体" w:hAnsi="宋体" w:cs="宋体" w:eastAsia="宋体" w:hint="default"/>
                            <w:sz w:val="18"/>
                            <w:szCs w:val="18"/>
                          </w:rPr>
                          <w:t>费</w:t>
                        </w:r>
                        <w:r>
                          <w:rPr>
                            <w:rFonts w:ascii="宋体" w:hAnsi="宋体" w:cs="宋体" w:eastAsia="宋体" w:hint="default"/>
                            <w:spacing w:val="-65"/>
                            <w:sz w:val="18"/>
                            <w:szCs w:val="18"/>
                          </w:rPr>
                          <w:t> </w:t>
                        </w:r>
                        <w:r>
                          <w:rPr>
                            <w:rFonts w:ascii="宋体" w:hAnsi="宋体" w:cs="宋体" w:eastAsia="宋体" w:hint="default"/>
                            <w:sz w:val="18"/>
                            <w:szCs w:val="18"/>
                          </w:rPr>
                          <w:t>用</w:t>
                        </w:r>
                        <w:r>
                          <w:rPr>
                            <w:rFonts w:ascii="宋体" w:hAnsi="宋体" w:cs="宋体" w:eastAsia="宋体" w:hint="default"/>
                            <w:spacing w:val="-65"/>
                            <w:sz w:val="18"/>
                            <w:szCs w:val="18"/>
                          </w:rPr>
                          <w:t> </w:t>
                        </w:r>
                        <w:r>
                          <w:rPr>
                            <w:rFonts w:ascii="宋体" w:hAnsi="宋体" w:cs="宋体" w:eastAsia="宋体" w:hint="default"/>
                            <w:sz w:val="18"/>
                            <w:szCs w:val="18"/>
                          </w:rPr>
                          <w:t>进</w:t>
                        </w:r>
                        <w:r>
                          <w:rPr>
                            <w:rFonts w:ascii="宋体" w:hAnsi="宋体" w:cs="宋体" w:eastAsia="宋体" w:hint="default"/>
                            <w:spacing w:val="-64"/>
                            <w:sz w:val="18"/>
                            <w:szCs w:val="18"/>
                          </w:rPr>
                          <w:t> </w:t>
                        </w:r>
                        <w:r>
                          <w:rPr>
                            <w:rFonts w:ascii="宋体" w:hAnsi="宋体" w:cs="宋体" w:eastAsia="宋体" w:hint="default"/>
                            <w:sz w:val="18"/>
                            <w:szCs w:val="18"/>
                          </w:rPr>
                          <w:t>行</w:t>
                        </w:r>
                        <w:r>
                          <w:rPr>
                            <w:rFonts w:ascii="宋体" w:hAnsi="宋体" w:cs="宋体" w:eastAsia="宋体" w:hint="default"/>
                            <w:spacing w:val="-65"/>
                            <w:sz w:val="18"/>
                            <w:szCs w:val="18"/>
                          </w:rPr>
                          <w:t> </w:t>
                        </w:r>
                        <w:r>
                          <w:rPr>
                            <w:rFonts w:ascii="宋体" w:hAnsi="宋体" w:cs="宋体" w:eastAsia="宋体" w:hint="default"/>
                            <w:sz w:val="18"/>
                            <w:szCs w:val="18"/>
                          </w:rPr>
                          <w:t>预</w:t>
                        </w:r>
                        <w:r>
                          <w:rPr>
                            <w:rFonts w:ascii="宋体" w:hAnsi="宋体" w:cs="宋体" w:eastAsia="宋体" w:hint="default"/>
                            <w:sz w:val="18"/>
                            <w:szCs w:val="18"/>
                          </w:rPr>
                          <w:t> 测</w:t>
                        </w:r>
                      </w:p>
                    </w:tc>
                    <w:tc>
                      <w:tcPr>
                        <w:tcW w:w="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z w:val="18"/>
                          </w:rPr>
                          <w:t>14.64%</w:t>
                        </w:r>
                      </w:p>
                    </w:tc>
                  </w:tr>
                  <w:tr>
                    <w:trPr>
                      <w:trHeight w:val="947" w:hRule="exact"/>
                    </w:trPr>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103" w:right="64"/>
                          <w:jc w:val="left"/>
                          <w:rPr>
                            <w:rFonts w:ascii="宋体" w:hAnsi="宋体" w:cs="宋体" w:eastAsia="宋体" w:hint="default"/>
                            <w:sz w:val="18"/>
                            <w:szCs w:val="18"/>
                          </w:rPr>
                        </w:pPr>
                        <w:r>
                          <w:rPr>
                            <w:rFonts w:ascii="宋体" w:hAnsi="宋体" w:cs="宋体" w:eastAsia="宋体" w:hint="default"/>
                            <w:spacing w:val="29"/>
                            <w:sz w:val="18"/>
                            <w:szCs w:val="18"/>
                          </w:rPr>
                          <w:t>资产组劲嘉</w:t>
                        </w:r>
                        <w:r>
                          <w:rPr>
                            <w:rFonts w:ascii="宋体" w:hAnsi="宋体" w:cs="宋体" w:eastAsia="宋体" w:hint="default"/>
                            <w:spacing w:val="-88"/>
                            <w:sz w:val="18"/>
                            <w:szCs w:val="18"/>
                          </w:rPr>
                          <w:t> </w:t>
                        </w:r>
                        <w:r>
                          <w:rPr>
                            <w:rFonts w:ascii="宋体" w:hAnsi="宋体" w:cs="宋体" w:eastAsia="宋体" w:hint="default"/>
                            <w:sz w:val="18"/>
                            <w:szCs w:val="18"/>
                          </w:rPr>
                          <w:t>科技</w:t>
                        </w:r>
                      </w:p>
                    </w:tc>
                    <w:tc>
                      <w:tcPr>
                        <w:tcW w:w="1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2019-2021</w:t>
                        </w:r>
                        <w:r>
                          <w:rPr>
                            <w:rFonts w:ascii="宋体" w:hAnsi="宋体" w:cs="宋体" w:eastAsia="宋体" w:hint="default"/>
                            <w:spacing w:val="-74"/>
                            <w:sz w:val="18"/>
                            <w:szCs w:val="18"/>
                          </w:rPr>
                          <w:t>年</w:t>
                        </w:r>
                        <w:r>
                          <w:rPr>
                            <w:rFonts w:ascii="宋体" w:hAnsi="宋体" w:cs="宋体" w:eastAsia="宋体" w:hint="default"/>
                            <w:sz w:val="18"/>
                            <w:szCs w:val="18"/>
                          </w:rPr>
                          <w:t>（后</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续为稳定期）</w:t>
                        </w:r>
                      </w:p>
                    </w:tc>
                    <w:tc>
                      <w:tcPr>
                        <w:tcW w:w="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40.88%</w:t>
                        </w:r>
                      </w:p>
                    </w:tc>
                    <w:tc>
                      <w:tcPr>
                        <w:tcW w:w="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Times New Roman" w:hAnsi="Times New Roman" w:cs="Times New Roman" w:eastAsia="Times New Roman" w:hint="default"/>
                            <w:sz w:val="18"/>
                            <w:szCs w:val="18"/>
                          </w:rPr>
                        </w:pPr>
                        <w:r>
                          <w:rPr>
                            <w:rFonts w:ascii="Times New Roman"/>
                            <w:sz w:val="18"/>
                          </w:rPr>
                          <w:t>42.86%</w:t>
                        </w:r>
                      </w:p>
                    </w:tc>
                    <w:tc>
                      <w:tcPr>
                        <w:tcW w:w="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Times New Roman" w:hAnsi="Times New Roman" w:cs="Times New Roman" w:eastAsia="Times New Roman" w:hint="default"/>
                            <w:sz w:val="18"/>
                            <w:szCs w:val="18"/>
                          </w:rPr>
                        </w:pPr>
                        <w:r>
                          <w:rPr>
                            <w:rFonts w:ascii="Times New Roman"/>
                            <w:sz w:val="18"/>
                          </w:rPr>
                          <w:t>20.00%</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93" w:right="0"/>
                          <w:jc w:val="center"/>
                          <w:rPr>
                            <w:rFonts w:ascii="Times New Roman" w:hAnsi="Times New Roman" w:cs="Times New Roman" w:eastAsia="Times New Roman" w:hint="default"/>
                            <w:sz w:val="18"/>
                            <w:szCs w:val="18"/>
                          </w:rPr>
                        </w:pPr>
                        <w:r>
                          <w:rPr>
                            <w:rFonts w:ascii="Times New Roman"/>
                            <w:sz w:val="18"/>
                          </w:rPr>
                          <w:t>0.00%</w:t>
                        </w:r>
                      </w:p>
                    </w:tc>
                    <w:tc>
                      <w:tcPr>
                        <w:tcW w:w="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0.00%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持平</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1"/>
                          <w:ind w:left="103" w:right="73"/>
                          <w:jc w:val="both"/>
                          <w:rPr>
                            <w:rFonts w:ascii="宋体" w:hAnsi="宋体" w:cs="宋体" w:eastAsia="宋体" w:hint="default"/>
                            <w:sz w:val="18"/>
                            <w:szCs w:val="18"/>
                          </w:rPr>
                        </w:pPr>
                        <w:r>
                          <w:rPr>
                            <w:rFonts w:ascii="宋体" w:hAnsi="宋体" w:cs="宋体" w:eastAsia="宋体" w:hint="default"/>
                            <w:sz w:val="18"/>
                            <w:szCs w:val="18"/>
                          </w:rPr>
                          <w:t>根据预测的收入、 成</w:t>
                        </w:r>
                        <w:r>
                          <w:rPr>
                            <w:rFonts w:ascii="宋体" w:hAnsi="宋体" w:cs="宋体" w:eastAsia="宋体" w:hint="default"/>
                            <w:spacing w:val="-65"/>
                            <w:sz w:val="18"/>
                            <w:szCs w:val="18"/>
                          </w:rPr>
                          <w:t> </w:t>
                        </w:r>
                        <w:r>
                          <w:rPr>
                            <w:rFonts w:ascii="宋体" w:hAnsi="宋体" w:cs="宋体" w:eastAsia="宋体" w:hint="default"/>
                            <w:sz w:val="18"/>
                            <w:szCs w:val="18"/>
                          </w:rPr>
                          <w:t>本</w:t>
                        </w:r>
                        <w:r>
                          <w:rPr>
                            <w:rFonts w:ascii="宋体" w:hAnsi="宋体" w:cs="宋体" w:eastAsia="宋体" w:hint="default"/>
                            <w:spacing w:val="-65"/>
                            <w:sz w:val="18"/>
                            <w:szCs w:val="18"/>
                          </w:rPr>
                          <w:t> </w:t>
                        </w:r>
                        <w:r>
                          <w:rPr>
                            <w:rFonts w:ascii="宋体" w:hAnsi="宋体" w:cs="宋体" w:eastAsia="宋体" w:hint="default"/>
                            <w:sz w:val="18"/>
                            <w:szCs w:val="18"/>
                          </w:rPr>
                          <w:t>费</w:t>
                        </w:r>
                        <w:r>
                          <w:rPr>
                            <w:rFonts w:ascii="宋体" w:hAnsi="宋体" w:cs="宋体" w:eastAsia="宋体" w:hint="default"/>
                            <w:spacing w:val="-65"/>
                            <w:sz w:val="18"/>
                            <w:szCs w:val="18"/>
                          </w:rPr>
                          <w:t> </w:t>
                        </w:r>
                        <w:r>
                          <w:rPr>
                            <w:rFonts w:ascii="宋体" w:hAnsi="宋体" w:cs="宋体" w:eastAsia="宋体" w:hint="default"/>
                            <w:sz w:val="18"/>
                            <w:szCs w:val="18"/>
                          </w:rPr>
                          <w:t>用</w:t>
                        </w:r>
                        <w:r>
                          <w:rPr>
                            <w:rFonts w:ascii="宋体" w:hAnsi="宋体" w:cs="宋体" w:eastAsia="宋体" w:hint="default"/>
                            <w:spacing w:val="-65"/>
                            <w:sz w:val="18"/>
                            <w:szCs w:val="18"/>
                          </w:rPr>
                          <w:t> </w:t>
                        </w:r>
                        <w:r>
                          <w:rPr>
                            <w:rFonts w:ascii="宋体" w:hAnsi="宋体" w:cs="宋体" w:eastAsia="宋体" w:hint="default"/>
                            <w:sz w:val="18"/>
                            <w:szCs w:val="18"/>
                          </w:rPr>
                          <w:t>进</w:t>
                        </w:r>
                        <w:r>
                          <w:rPr>
                            <w:rFonts w:ascii="宋体" w:hAnsi="宋体" w:cs="宋体" w:eastAsia="宋体" w:hint="default"/>
                            <w:spacing w:val="-64"/>
                            <w:sz w:val="18"/>
                            <w:szCs w:val="18"/>
                          </w:rPr>
                          <w:t> </w:t>
                        </w:r>
                        <w:r>
                          <w:rPr>
                            <w:rFonts w:ascii="宋体" w:hAnsi="宋体" w:cs="宋体" w:eastAsia="宋体" w:hint="default"/>
                            <w:sz w:val="18"/>
                            <w:szCs w:val="18"/>
                          </w:rPr>
                          <w:t>行</w:t>
                        </w:r>
                        <w:r>
                          <w:rPr>
                            <w:rFonts w:ascii="宋体" w:hAnsi="宋体" w:cs="宋体" w:eastAsia="宋体" w:hint="default"/>
                            <w:spacing w:val="-65"/>
                            <w:sz w:val="18"/>
                            <w:szCs w:val="18"/>
                          </w:rPr>
                          <w:t> </w:t>
                        </w:r>
                        <w:r>
                          <w:rPr>
                            <w:rFonts w:ascii="宋体" w:hAnsi="宋体" w:cs="宋体" w:eastAsia="宋体" w:hint="default"/>
                            <w:sz w:val="18"/>
                            <w:szCs w:val="18"/>
                          </w:rPr>
                          <w:t>预</w:t>
                        </w:r>
                        <w:r>
                          <w:rPr>
                            <w:rFonts w:ascii="宋体" w:hAnsi="宋体" w:cs="宋体" w:eastAsia="宋体" w:hint="default"/>
                            <w:sz w:val="18"/>
                            <w:szCs w:val="18"/>
                          </w:rPr>
                          <w:t> 测</w:t>
                        </w:r>
                      </w:p>
                    </w:tc>
                    <w:tc>
                      <w:tcPr>
                        <w:tcW w:w="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16.59%</w:t>
                        </w:r>
                      </w:p>
                    </w:tc>
                  </w:tr>
                  <w:tr>
                    <w:trPr>
                      <w:trHeight w:val="946" w:hRule="exact"/>
                    </w:trPr>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64"/>
                          <w:jc w:val="left"/>
                          <w:rPr>
                            <w:rFonts w:ascii="宋体" w:hAnsi="宋体" w:cs="宋体" w:eastAsia="宋体" w:hint="default"/>
                            <w:sz w:val="18"/>
                            <w:szCs w:val="18"/>
                          </w:rPr>
                        </w:pPr>
                        <w:r>
                          <w:rPr>
                            <w:rFonts w:ascii="宋体" w:hAnsi="宋体" w:cs="宋体" w:eastAsia="宋体" w:hint="default"/>
                            <w:spacing w:val="29"/>
                            <w:sz w:val="18"/>
                            <w:szCs w:val="18"/>
                          </w:rPr>
                          <w:t>资产组贵州</w:t>
                        </w:r>
                        <w:r>
                          <w:rPr>
                            <w:rFonts w:ascii="宋体" w:hAnsi="宋体" w:cs="宋体" w:eastAsia="宋体" w:hint="default"/>
                            <w:spacing w:val="-88"/>
                            <w:sz w:val="18"/>
                            <w:szCs w:val="18"/>
                          </w:rPr>
                          <w:t> </w:t>
                        </w:r>
                        <w:r>
                          <w:rPr>
                            <w:rFonts w:ascii="宋体" w:hAnsi="宋体" w:cs="宋体" w:eastAsia="宋体" w:hint="default"/>
                            <w:sz w:val="18"/>
                            <w:szCs w:val="18"/>
                          </w:rPr>
                          <w:t>瑞源</w:t>
                        </w:r>
                      </w:p>
                    </w:tc>
                    <w:tc>
                      <w:tcPr>
                        <w:tcW w:w="1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2019-2022</w:t>
                        </w:r>
                        <w:r>
                          <w:rPr>
                            <w:rFonts w:ascii="宋体" w:hAnsi="宋体" w:cs="宋体" w:eastAsia="宋体" w:hint="default"/>
                            <w:spacing w:val="-74"/>
                            <w:sz w:val="18"/>
                            <w:szCs w:val="18"/>
                          </w:rPr>
                          <w:t>年</w:t>
                        </w:r>
                        <w:r>
                          <w:rPr>
                            <w:rFonts w:ascii="宋体" w:hAnsi="宋体" w:cs="宋体" w:eastAsia="宋体" w:hint="default"/>
                            <w:sz w:val="18"/>
                            <w:szCs w:val="18"/>
                          </w:rPr>
                          <w:t>（后</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续为稳定期）</w:t>
                        </w:r>
                      </w:p>
                    </w:tc>
                    <w:tc>
                      <w:tcPr>
                        <w:tcW w:w="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z w:val="18"/>
                          </w:rPr>
                          <w:t>19.34%</w:t>
                        </w:r>
                      </w:p>
                    </w:tc>
                    <w:tc>
                      <w:tcPr>
                        <w:tcW w:w="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92" w:right="0"/>
                          <w:jc w:val="center"/>
                          <w:rPr>
                            <w:rFonts w:ascii="Times New Roman" w:hAnsi="Times New Roman" w:cs="Times New Roman" w:eastAsia="Times New Roman" w:hint="default"/>
                            <w:sz w:val="18"/>
                            <w:szCs w:val="18"/>
                          </w:rPr>
                        </w:pPr>
                        <w:r>
                          <w:rPr>
                            <w:rFonts w:ascii="Times New Roman"/>
                            <w:sz w:val="18"/>
                          </w:rPr>
                          <w:t>5.00%</w:t>
                        </w:r>
                      </w:p>
                    </w:tc>
                    <w:tc>
                      <w:tcPr>
                        <w:tcW w:w="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92" w:right="0"/>
                          <w:jc w:val="center"/>
                          <w:rPr>
                            <w:rFonts w:ascii="Times New Roman" w:hAnsi="Times New Roman" w:cs="Times New Roman" w:eastAsia="Times New Roman" w:hint="default"/>
                            <w:sz w:val="18"/>
                            <w:szCs w:val="18"/>
                          </w:rPr>
                        </w:pPr>
                        <w:r>
                          <w:rPr>
                            <w:rFonts w:ascii="Times New Roman"/>
                            <w:sz w:val="18"/>
                          </w:rPr>
                          <w:t>5.00%</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93" w:right="0"/>
                          <w:jc w:val="center"/>
                          <w:rPr>
                            <w:rFonts w:ascii="Times New Roman" w:hAnsi="Times New Roman" w:cs="Times New Roman" w:eastAsia="Times New Roman" w:hint="default"/>
                            <w:sz w:val="18"/>
                            <w:szCs w:val="18"/>
                          </w:rPr>
                        </w:pPr>
                        <w:r>
                          <w:rPr>
                            <w:rFonts w:ascii="Times New Roman"/>
                            <w:sz w:val="18"/>
                          </w:rPr>
                          <w:t>5.00%</w:t>
                        </w:r>
                      </w:p>
                    </w:tc>
                    <w:tc>
                      <w:tcPr>
                        <w:tcW w:w="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z w:val="18"/>
                          </w:rPr>
                          <w:t>0.00%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持平</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73"/>
                          <w:jc w:val="both"/>
                          <w:rPr>
                            <w:rFonts w:ascii="宋体" w:hAnsi="宋体" w:cs="宋体" w:eastAsia="宋体" w:hint="default"/>
                            <w:sz w:val="18"/>
                            <w:szCs w:val="18"/>
                          </w:rPr>
                        </w:pPr>
                        <w:r>
                          <w:rPr>
                            <w:rFonts w:ascii="宋体" w:hAnsi="宋体" w:cs="宋体" w:eastAsia="宋体" w:hint="default"/>
                            <w:sz w:val="18"/>
                            <w:szCs w:val="18"/>
                          </w:rPr>
                          <w:t>根据预测的收入、 成</w:t>
                        </w:r>
                        <w:r>
                          <w:rPr>
                            <w:rFonts w:ascii="宋体" w:hAnsi="宋体" w:cs="宋体" w:eastAsia="宋体" w:hint="default"/>
                            <w:spacing w:val="-65"/>
                            <w:sz w:val="18"/>
                            <w:szCs w:val="18"/>
                          </w:rPr>
                          <w:t> </w:t>
                        </w:r>
                        <w:r>
                          <w:rPr>
                            <w:rFonts w:ascii="宋体" w:hAnsi="宋体" w:cs="宋体" w:eastAsia="宋体" w:hint="default"/>
                            <w:sz w:val="18"/>
                            <w:szCs w:val="18"/>
                          </w:rPr>
                          <w:t>本</w:t>
                        </w:r>
                        <w:r>
                          <w:rPr>
                            <w:rFonts w:ascii="宋体" w:hAnsi="宋体" w:cs="宋体" w:eastAsia="宋体" w:hint="default"/>
                            <w:spacing w:val="-65"/>
                            <w:sz w:val="18"/>
                            <w:szCs w:val="18"/>
                          </w:rPr>
                          <w:t> </w:t>
                        </w:r>
                        <w:r>
                          <w:rPr>
                            <w:rFonts w:ascii="宋体" w:hAnsi="宋体" w:cs="宋体" w:eastAsia="宋体" w:hint="default"/>
                            <w:sz w:val="18"/>
                            <w:szCs w:val="18"/>
                          </w:rPr>
                          <w:t>费</w:t>
                        </w:r>
                        <w:r>
                          <w:rPr>
                            <w:rFonts w:ascii="宋体" w:hAnsi="宋体" w:cs="宋体" w:eastAsia="宋体" w:hint="default"/>
                            <w:spacing w:val="-65"/>
                            <w:sz w:val="18"/>
                            <w:szCs w:val="18"/>
                          </w:rPr>
                          <w:t> </w:t>
                        </w:r>
                        <w:r>
                          <w:rPr>
                            <w:rFonts w:ascii="宋体" w:hAnsi="宋体" w:cs="宋体" w:eastAsia="宋体" w:hint="default"/>
                            <w:sz w:val="18"/>
                            <w:szCs w:val="18"/>
                          </w:rPr>
                          <w:t>用</w:t>
                        </w:r>
                        <w:r>
                          <w:rPr>
                            <w:rFonts w:ascii="宋体" w:hAnsi="宋体" w:cs="宋体" w:eastAsia="宋体" w:hint="default"/>
                            <w:spacing w:val="-65"/>
                            <w:sz w:val="18"/>
                            <w:szCs w:val="18"/>
                          </w:rPr>
                          <w:t> </w:t>
                        </w:r>
                        <w:r>
                          <w:rPr>
                            <w:rFonts w:ascii="宋体" w:hAnsi="宋体" w:cs="宋体" w:eastAsia="宋体" w:hint="default"/>
                            <w:sz w:val="18"/>
                            <w:szCs w:val="18"/>
                          </w:rPr>
                          <w:t>进</w:t>
                        </w:r>
                        <w:r>
                          <w:rPr>
                            <w:rFonts w:ascii="宋体" w:hAnsi="宋体" w:cs="宋体" w:eastAsia="宋体" w:hint="default"/>
                            <w:spacing w:val="-64"/>
                            <w:sz w:val="18"/>
                            <w:szCs w:val="18"/>
                          </w:rPr>
                          <w:t> </w:t>
                        </w:r>
                        <w:r>
                          <w:rPr>
                            <w:rFonts w:ascii="宋体" w:hAnsi="宋体" w:cs="宋体" w:eastAsia="宋体" w:hint="default"/>
                            <w:sz w:val="18"/>
                            <w:szCs w:val="18"/>
                          </w:rPr>
                          <w:t>行</w:t>
                        </w:r>
                        <w:r>
                          <w:rPr>
                            <w:rFonts w:ascii="宋体" w:hAnsi="宋体" w:cs="宋体" w:eastAsia="宋体" w:hint="default"/>
                            <w:spacing w:val="-65"/>
                            <w:sz w:val="18"/>
                            <w:szCs w:val="18"/>
                          </w:rPr>
                          <w:t> </w:t>
                        </w:r>
                        <w:r>
                          <w:rPr>
                            <w:rFonts w:ascii="宋体" w:hAnsi="宋体" w:cs="宋体" w:eastAsia="宋体" w:hint="default"/>
                            <w:sz w:val="18"/>
                            <w:szCs w:val="18"/>
                          </w:rPr>
                          <w:t>预</w:t>
                        </w:r>
                        <w:r>
                          <w:rPr>
                            <w:rFonts w:ascii="宋体" w:hAnsi="宋体" w:cs="宋体" w:eastAsia="宋体" w:hint="default"/>
                            <w:sz w:val="18"/>
                            <w:szCs w:val="18"/>
                          </w:rPr>
                          <w:t> 测</w:t>
                        </w:r>
                      </w:p>
                    </w:tc>
                    <w:tc>
                      <w:tcPr>
                        <w:tcW w:w="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z w:val="18"/>
                          </w:rPr>
                          <w:t>16.59%</w:t>
                        </w:r>
                      </w:p>
                    </w:tc>
                  </w:tr>
                </w:tbl>
                <w:p>
                  <w:pPr/>
                </w:p>
              </w:txbxContent>
            </v:textbox>
            <w10:wrap type="none"/>
          </v:shape>
        </w:pict>
      </w:r>
      <w:r>
        <w:rPr>
          <w:rFonts w:ascii="宋体" w:hAnsi="宋体" w:cs="宋体" w:eastAsia="宋体" w:hint="default"/>
          <w:sz w:val="18"/>
          <w:szCs w:val="18"/>
        </w:rPr>
        <w:t>的会计政策不存在重大差异。 </w:t>
      </w:r>
      <w:r>
        <w:rPr>
          <w:rFonts w:ascii="宋体" w:hAnsi="宋体" w:cs="宋体" w:eastAsia="宋体" w:hint="default"/>
          <w:b/>
          <w:bCs/>
          <w:w w:val="95"/>
          <w:sz w:val="18"/>
          <w:szCs w:val="18"/>
        </w:rPr>
        <w:t>关键参数（如预计未来现金流量现值时的预测期增长率、稳定期增长率、利润率、折现率、预测期等）的信息：</w:t>
      </w:r>
      <w:r>
        <w:rPr>
          <w:rFonts w:ascii="宋体" w:hAnsi="宋体" w:cs="宋体" w:eastAsia="宋体" w:hint="default"/>
          <w:sz w:val="18"/>
          <w:szCs w:val="18"/>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15"/>
          <w:szCs w:val="15"/>
        </w:rPr>
      </w:pPr>
    </w:p>
    <w:p>
      <w:pPr>
        <w:spacing w:line="316" w:lineRule="auto" w:before="44"/>
        <w:ind w:left="694" w:right="3612" w:firstLine="0"/>
        <w:jc w:val="left"/>
        <w:rPr>
          <w:rFonts w:ascii="宋体" w:hAnsi="宋体" w:cs="宋体" w:eastAsia="宋体" w:hint="default"/>
          <w:sz w:val="18"/>
          <w:szCs w:val="18"/>
        </w:rPr>
      </w:pPr>
      <w:r>
        <w:rPr>
          <w:rFonts w:ascii="宋体" w:hAnsi="宋体" w:cs="宋体" w:eastAsia="宋体" w:hint="default"/>
          <w:b/>
          <w:bCs/>
          <w:sz w:val="18"/>
          <w:szCs w:val="18"/>
        </w:rPr>
        <w:t>披露业绩承诺的完成情况及其对商誉减值测试的影响</w:t>
      </w:r>
      <w:r>
        <w:rPr>
          <w:rFonts w:ascii="宋体" w:hAnsi="宋体" w:cs="宋体" w:eastAsia="宋体" w:hint="default"/>
          <w:b/>
          <w:bCs/>
          <w:w w:val="99"/>
          <w:sz w:val="18"/>
          <w:szCs w:val="18"/>
        </w:rPr>
        <w:t> </w:t>
      </w:r>
      <w:r>
        <w:rPr>
          <w:rFonts w:ascii="宋体" w:hAnsi="宋体" w:cs="宋体" w:eastAsia="宋体" w:hint="default"/>
          <w:sz w:val="18"/>
          <w:szCs w:val="18"/>
        </w:rPr>
        <w:t>公司内下属子公司长春吉星尚处于业绩承诺对赌期，本年度业绩承诺对赌情况如下：</w:t>
      </w:r>
    </w:p>
    <w:tbl>
      <w:tblPr>
        <w:tblW w:w="0" w:type="auto"/>
        <w:jc w:val="left"/>
        <w:tblInd w:w="197" w:type="dxa"/>
        <w:tblLayout w:type="fixed"/>
        <w:tblCellMar>
          <w:top w:w="0" w:type="dxa"/>
          <w:left w:w="0" w:type="dxa"/>
          <w:bottom w:w="0" w:type="dxa"/>
          <w:right w:w="0" w:type="dxa"/>
        </w:tblCellMar>
        <w:tblLook w:val="01E0"/>
      </w:tblPr>
      <w:tblGrid>
        <w:gridCol w:w="2952"/>
        <w:gridCol w:w="3353"/>
        <w:gridCol w:w="3353"/>
      </w:tblGrid>
      <w:tr>
        <w:trPr>
          <w:trHeight w:val="427" w:hRule="exact"/>
        </w:trPr>
        <w:tc>
          <w:tcPr>
            <w:tcW w:w="295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2"/>
              <w:ind w:left="72" w:right="0"/>
              <w:jc w:val="center"/>
              <w:rPr>
                <w:rFonts w:ascii="宋体" w:hAnsi="宋体" w:cs="宋体" w:eastAsia="宋体" w:hint="default"/>
                <w:sz w:val="18"/>
                <w:szCs w:val="18"/>
              </w:rPr>
            </w:pPr>
            <w:r>
              <w:rPr>
                <w:rFonts w:ascii="宋体" w:hAnsi="宋体" w:cs="宋体" w:eastAsia="宋体" w:hint="default"/>
                <w:sz w:val="18"/>
                <w:szCs w:val="18"/>
              </w:rPr>
              <w:t>业绩承诺期</w:t>
            </w:r>
          </w:p>
        </w:tc>
        <w:tc>
          <w:tcPr>
            <w:tcW w:w="3353"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2"/>
              <w:ind w:left="72" w:right="0"/>
              <w:jc w:val="center"/>
              <w:rPr>
                <w:rFonts w:ascii="宋体" w:hAnsi="宋体" w:cs="宋体" w:eastAsia="宋体" w:hint="default"/>
                <w:sz w:val="18"/>
                <w:szCs w:val="18"/>
              </w:rPr>
            </w:pPr>
            <w:r>
              <w:rPr>
                <w:rFonts w:ascii="宋体" w:hAnsi="宋体" w:cs="宋体" w:eastAsia="宋体" w:hint="default"/>
                <w:sz w:val="18"/>
                <w:szCs w:val="18"/>
              </w:rPr>
              <w:t>承诺金额</w:t>
            </w:r>
          </w:p>
        </w:tc>
        <w:tc>
          <w:tcPr>
            <w:tcW w:w="3353"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2"/>
              <w:ind w:left="72" w:right="0"/>
              <w:jc w:val="center"/>
              <w:rPr>
                <w:rFonts w:ascii="宋体" w:hAnsi="宋体" w:cs="宋体" w:eastAsia="宋体" w:hint="default"/>
                <w:sz w:val="18"/>
                <w:szCs w:val="18"/>
              </w:rPr>
            </w:pPr>
            <w:r>
              <w:rPr>
                <w:rFonts w:ascii="宋体" w:hAnsi="宋体" w:cs="宋体" w:eastAsia="宋体" w:hint="default"/>
                <w:sz w:val="18"/>
                <w:szCs w:val="18"/>
              </w:rPr>
              <w:t>实现金额</w:t>
            </w:r>
          </w:p>
        </w:tc>
      </w:tr>
      <w:tr>
        <w:trPr>
          <w:trHeight w:val="427" w:hRule="exact"/>
        </w:trPr>
        <w:tc>
          <w:tcPr>
            <w:tcW w:w="29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7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宋体" w:hAnsi="宋体" w:cs="宋体" w:eastAsia="宋体" w:hint="default"/>
                <w:sz w:val="18"/>
                <w:szCs w:val="18"/>
              </w:rPr>
              <w:t>年度</w:t>
            </w:r>
          </w:p>
        </w:tc>
        <w:tc>
          <w:tcPr>
            <w:tcW w:w="33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pacing w:val="-1"/>
                <w:sz w:val="18"/>
              </w:rPr>
              <w:t>40,000,000.00</w:t>
            </w:r>
          </w:p>
        </w:tc>
        <w:tc>
          <w:tcPr>
            <w:tcW w:w="33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pacing w:val="-1"/>
                <w:sz w:val="18"/>
              </w:rPr>
              <w:t>39,978,835.83</w:t>
            </w:r>
          </w:p>
        </w:tc>
      </w:tr>
      <w:tr>
        <w:trPr>
          <w:trHeight w:val="427" w:hRule="exact"/>
        </w:trPr>
        <w:tc>
          <w:tcPr>
            <w:tcW w:w="29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7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年度</w:t>
            </w:r>
          </w:p>
        </w:tc>
        <w:tc>
          <w:tcPr>
            <w:tcW w:w="33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pacing w:val="-1"/>
                <w:sz w:val="18"/>
              </w:rPr>
              <w:t>46,000,000.00</w:t>
            </w:r>
          </w:p>
        </w:tc>
        <w:tc>
          <w:tcPr>
            <w:tcW w:w="33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pacing w:val="-1"/>
                <w:sz w:val="18"/>
              </w:rPr>
              <w:t>39,879,102.53</w:t>
            </w:r>
          </w:p>
        </w:tc>
      </w:tr>
      <w:tr>
        <w:trPr>
          <w:trHeight w:val="427" w:hRule="exact"/>
        </w:trPr>
        <w:tc>
          <w:tcPr>
            <w:tcW w:w="29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7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年度</w:t>
            </w:r>
          </w:p>
        </w:tc>
        <w:tc>
          <w:tcPr>
            <w:tcW w:w="33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pacing w:val="-1"/>
                <w:sz w:val="18"/>
              </w:rPr>
              <w:t>52,900,000.00</w:t>
            </w:r>
          </w:p>
        </w:tc>
        <w:tc>
          <w:tcPr>
            <w:tcW w:w="33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r>
    </w:tbl>
    <w:p>
      <w:pPr>
        <w:pStyle w:val="BodyText"/>
        <w:spacing w:line="240" w:lineRule="auto" w:before="19"/>
        <w:ind w:left="214" w:right="1032"/>
        <w:jc w:val="left"/>
      </w:pPr>
      <w:r>
        <w:rPr/>
        <w:t>注：业绩对赌完成条件为吉星印务业绩累计完成率大于累计承诺业绩的</w:t>
      </w:r>
      <w:r>
        <w:rPr>
          <w:rFonts w:ascii="Times New Roman" w:hAnsi="Times New Roman" w:cs="Times New Roman" w:eastAsia="Times New Roman" w:hint="default"/>
        </w:rPr>
        <w:t>90%</w:t>
      </w:r>
      <w:r>
        <w:rPr/>
        <w:t>。</w:t>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3"/>
          <w:szCs w:val="13"/>
        </w:rPr>
      </w:pPr>
    </w:p>
    <w:p>
      <w:pPr>
        <w:pStyle w:val="BodyText"/>
        <w:spacing w:line="357" w:lineRule="auto"/>
        <w:ind w:left="214" w:right="6072"/>
        <w:jc w:val="left"/>
      </w:pPr>
      <w:r>
        <w:rPr/>
        <w:t>商誉减值测试的影响 测试结论：经商誉减值测试，该资产组相关的商誉未减值。</w:t>
      </w:r>
    </w:p>
    <w:p>
      <w:pPr>
        <w:spacing w:line="240" w:lineRule="auto" w:before="2"/>
        <w:rPr>
          <w:rFonts w:ascii="宋体" w:hAnsi="宋体" w:cs="宋体" w:eastAsia="宋体" w:hint="default"/>
          <w:sz w:val="20"/>
          <w:szCs w:val="20"/>
        </w:rPr>
      </w:pPr>
    </w:p>
    <w:p>
      <w:pPr>
        <w:pStyle w:val="Heading3"/>
        <w:spacing w:line="240" w:lineRule="auto"/>
        <w:ind w:left="214" w:right="1032"/>
        <w:jc w:val="left"/>
        <w:rPr>
          <w:b w:val="0"/>
          <w:bCs w:val="0"/>
        </w:rPr>
      </w:pPr>
      <w:bookmarkStart w:name="13、长期待摊费用" w:id="254"/>
      <w:bookmarkEnd w:id="254"/>
      <w:r>
        <w:rPr>
          <w:b w:val="0"/>
          <w:bCs w:val="0"/>
        </w:rPr>
      </w:r>
      <w:r>
        <w:rPr>
          <w:rFonts w:ascii="Times New Roman" w:hAnsi="Times New Roman" w:cs="Times New Roman" w:eastAsia="Times New Roman" w:hint="default"/>
        </w:rPr>
        <w:t>13</w:t>
      </w:r>
      <w:r>
        <w:rPr/>
        <w:t>、长期待摊费用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209" w:type="dxa"/>
        <w:tblLayout w:type="fixed"/>
        <w:tblCellMar>
          <w:top w:w="0" w:type="dxa"/>
          <w:left w:w="0" w:type="dxa"/>
          <w:bottom w:w="0" w:type="dxa"/>
          <w:right w:w="0" w:type="dxa"/>
        </w:tblCellMar>
        <w:tblLook w:val="01E0"/>
      </w:tblPr>
      <w:tblGrid>
        <w:gridCol w:w="1595"/>
        <w:gridCol w:w="1595"/>
        <w:gridCol w:w="1595"/>
        <w:gridCol w:w="1594"/>
        <w:gridCol w:w="1594"/>
        <w:gridCol w:w="1595"/>
      </w:tblGrid>
      <w:tr>
        <w:trPr>
          <w:trHeight w:val="402"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3"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2" w:right="0"/>
              <w:jc w:val="left"/>
              <w:rPr>
                <w:rFonts w:ascii="宋体" w:hAnsi="宋体" w:cs="宋体" w:eastAsia="宋体" w:hint="default"/>
                <w:sz w:val="18"/>
                <w:szCs w:val="18"/>
              </w:rPr>
            </w:pPr>
            <w:r>
              <w:rPr>
                <w:rFonts w:ascii="宋体" w:hAnsi="宋体" w:cs="宋体" w:eastAsia="宋体" w:hint="default"/>
                <w:sz w:val="18"/>
                <w:szCs w:val="18"/>
              </w:rPr>
              <w:t>本期摊销金额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1" w:right="0"/>
              <w:jc w:val="left"/>
              <w:rPr>
                <w:rFonts w:ascii="宋体" w:hAnsi="宋体" w:cs="宋体" w:eastAsia="宋体" w:hint="default"/>
                <w:sz w:val="18"/>
                <w:szCs w:val="18"/>
              </w:rPr>
            </w:pPr>
            <w:r>
              <w:rPr>
                <w:rFonts w:ascii="宋体" w:hAnsi="宋体" w:cs="宋体" w:eastAsia="宋体" w:hint="default"/>
                <w:sz w:val="18"/>
                <w:szCs w:val="18"/>
              </w:rPr>
              <w:t>其他减少金额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spacing w:after="0" w:line="240" w:lineRule="auto"/>
        <w:jc w:val="left"/>
        <w:rPr>
          <w:rFonts w:ascii="宋体" w:hAnsi="宋体" w:cs="宋体" w:eastAsia="宋体" w:hint="default"/>
          <w:sz w:val="18"/>
          <w:szCs w:val="18"/>
        </w:rPr>
        <w:sectPr>
          <w:pgSz w:w="11910" w:h="16840"/>
          <w:pgMar w:header="747" w:footer="979" w:top="1060" w:bottom="1160" w:left="92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594"/>
        <w:gridCol w:w="1596"/>
        <w:gridCol w:w="1595"/>
        <w:gridCol w:w="1594"/>
        <w:gridCol w:w="1594"/>
        <w:gridCol w:w="1595"/>
      </w:tblGrid>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景观绿化费</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716,618.23</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179,154.60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537,463.63</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房屋修缮费</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23,550,445.12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1,390,605.02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3,562,024.26</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21,379,025.88</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搬迁费用</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3,975,410.79</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830,341.38</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3,145,069.41</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216,489.98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433,070.78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463,850.44</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185,710.32</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28,458,964.12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1,823,675.80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5,035,370.68</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25,247,269.24</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14、递延所得税资产/递延所得税负债" w:id="255"/>
      <w:bookmarkEnd w:id="255"/>
      <w:r>
        <w:rPr>
          <w:b w:val="0"/>
          <w:bCs w:val="0"/>
        </w:rPr>
      </w:r>
      <w:r>
        <w:rPr>
          <w:rFonts w:ascii="Times New Roman" w:hAnsi="Times New Roman" w:cs="Times New Roman" w:eastAsia="Times New Roman" w:hint="default"/>
        </w:rPr>
        <w:t>14</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未经抵销的递延所得税资产" w:id="256"/>
      <w:bookmarkEnd w:id="256"/>
      <w:r>
        <w:rPr>
          <w:b w:val="0"/>
          <w:bCs w:val="0"/>
        </w:rPr>
      </w:r>
      <w:r>
        <w:rPr/>
        <w:t>（</w:t>
      </w:r>
      <w:r>
        <w:rPr>
          <w:rFonts w:ascii="Times New Roman" w:hAnsi="Times New Roman" w:cs="Times New Roman" w:eastAsia="Times New Roman" w:hint="default"/>
        </w:rPr>
        <w:t>1</w:t>
      </w:r>
      <w:r>
        <w:rPr/>
        <w:t>）未经抵销的递延所得税资产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01"/>
        <w:gridCol w:w="1928"/>
        <w:gridCol w:w="1914"/>
        <w:gridCol w:w="1914"/>
        <w:gridCol w:w="1914"/>
      </w:tblGrid>
      <w:tr>
        <w:trPr>
          <w:trHeight w:val="206" w:hRule="exact"/>
        </w:trPr>
        <w:tc>
          <w:tcPr>
            <w:tcW w:w="1901" w:type="dxa"/>
            <w:tcBorders>
              <w:top w:val="single" w:sz="4" w:space="0" w:color="000000"/>
              <w:left w:val="single" w:sz="4" w:space="0" w:color="000000"/>
              <w:bottom w:val="nil" w:sz="6" w:space="0" w:color="auto"/>
              <w:right w:val="single" w:sz="4" w:space="0" w:color="000000"/>
            </w:tcBorders>
            <w:shd w:val="clear" w:color="auto" w:fill="D2D2D2"/>
          </w:tcPr>
          <w:p>
            <w:pPr/>
          </w:p>
        </w:tc>
        <w:tc>
          <w:tcPr>
            <w:tcW w:w="384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1" w:hRule="exact"/>
        </w:trPr>
        <w:tc>
          <w:tcPr>
            <w:tcW w:w="190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42" w:type="dxa"/>
            <w:gridSpan w:val="2"/>
            <w:vMerge/>
            <w:tcBorders>
              <w:left w:val="single" w:sz="4" w:space="0" w:color="000000"/>
              <w:bottom w:val="single" w:sz="4" w:space="0" w:color="000000"/>
              <w:right w:val="single" w:sz="4" w:space="0" w:color="000000"/>
            </w:tcBorders>
            <w:shd w:val="clear" w:color="auto" w:fill="D2D2D2"/>
          </w:tcPr>
          <w:p>
            <w:pPr/>
          </w:p>
        </w:tc>
        <w:tc>
          <w:tcPr>
            <w:tcW w:w="3828"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901" w:type="dxa"/>
            <w:vMerge/>
            <w:tcBorders>
              <w:left w:val="single" w:sz="4" w:space="0" w:color="000000"/>
              <w:bottom w:val="nil" w:sz="6" w:space="0" w:color="auto"/>
              <w:right w:val="single" w:sz="4" w:space="0" w:color="000000"/>
            </w:tcBorders>
            <w:shd w:val="clear" w:color="auto" w:fill="D2D2D2"/>
          </w:tcPr>
          <w:p>
            <w:pPr/>
          </w:p>
        </w:tc>
        <w:tc>
          <w:tcPr>
            <w:tcW w:w="192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45"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31"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206" w:hRule="exact"/>
        </w:trPr>
        <w:tc>
          <w:tcPr>
            <w:tcW w:w="19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28"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98,006,438.54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16,698,346.09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87,381,878.27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14,834,420.92</w:t>
            </w:r>
          </w:p>
        </w:tc>
      </w:tr>
      <w:tr>
        <w:trPr>
          <w:trHeight w:val="402"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内部交易未实现利润</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57,370,074.80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8,605,511.22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32,754,033.87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4,913,105.08</w:t>
            </w:r>
          </w:p>
        </w:tc>
      </w:tr>
      <w:tr>
        <w:trPr>
          <w:trHeight w:val="402"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41,209,474.39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10,302,368.60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65,168,445.04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16,292,111.26</w:t>
            </w:r>
          </w:p>
        </w:tc>
      </w:tr>
      <w:tr>
        <w:trPr>
          <w:trHeight w:val="402" w:hRule="exact"/>
        </w:trPr>
        <w:tc>
          <w:tcPr>
            <w:tcW w:w="190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18,783,661.50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2,860,299.23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10,300,000.00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1,545,000.00</w:t>
            </w:r>
          </w:p>
        </w:tc>
      </w:tr>
      <w:tr>
        <w:trPr>
          <w:trHeight w:val="402" w:hRule="exact"/>
        </w:trPr>
        <w:tc>
          <w:tcPr>
            <w:tcW w:w="190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未发放工资及奖金</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7,944,187.52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1,191,628.13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8,546,171.49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1,281,925.72</w:t>
            </w:r>
          </w:p>
        </w:tc>
      </w:tr>
      <w:tr>
        <w:trPr>
          <w:trHeight w:val="402"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223,313,836.75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39,658,153.27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204,150,528.67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38,866,562.98</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未经抵销的递延所得税负债" w:id="257"/>
      <w:bookmarkEnd w:id="257"/>
      <w:r>
        <w:rPr>
          <w:b w:val="0"/>
          <w:bCs w:val="0"/>
        </w:rPr>
      </w:r>
      <w:r>
        <w:rPr/>
        <w:t>（</w:t>
      </w:r>
      <w:r>
        <w:rPr>
          <w:rFonts w:ascii="Times New Roman" w:hAnsi="Times New Roman" w:cs="Times New Roman" w:eastAsia="Times New Roman" w:hint="default"/>
        </w:rPr>
        <w:t>2</w:t>
      </w:r>
      <w:r>
        <w:rPr/>
        <w:t>）未经抵销的递延所得税负债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901"/>
        <w:gridCol w:w="1917"/>
        <w:gridCol w:w="1914"/>
        <w:gridCol w:w="1914"/>
        <w:gridCol w:w="1914"/>
      </w:tblGrid>
      <w:tr>
        <w:trPr>
          <w:trHeight w:val="205" w:hRule="exact"/>
        </w:trPr>
        <w:tc>
          <w:tcPr>
            <w:tcW w:w="1901"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2" w:hRule="exact"/>
        </w:trPr>
        <w:tc>
          <w:tcPr>
            <w:tcW w:w="190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vMerge/>
            <w:tcBorders>
              <w:left w:val="single" w:sz="4" w:space="0" w:color="000000"/>
              <w:bottom w:val="single" w:sz="4" w:space="0" w:color="000000"/>
              <w:right w:val="single" w:sz="4" w:space="0" w:color="000000"/>
            </w:tcBorders>
            <w:shd w:val="clear" w:color="auto" w:fill="D2D2D2"/>
          </w:tcPr>
          <w:p>
            <w:pPr/>
          </w:p>
        </w:tc>
        <w:tc>
          <w:tcPr>
            <w:tcW w:w="3828"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901" w:type="dxa"/>
            <w:vMerge/>
            <w:tcBorders>
              <w:left w:val="single" w:sz="4" w:space="0" w:color="000000"/>
              <w:bottom w:val="nil" w:sz="6" w:space="0" w:color="auto"/>
              <w:right w:val="single" w:sz="4" w:space="0" w:color="000000"/>
            </w:tcBorders>
            <w:shd w:val="clear" w:color="auto" w:fill="D2D2D2"/>
          </w:tcPr>
          <w:p>
            <w:pPr/>
          </w:p>
        </w:tc>
        <w:tc>
          <w:tcPr>
            <w:tcW w:w="191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33"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31"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r>
      <w:tr>
        <w:trPr>
          <w:trHeight w:val="206" w:hRule="exact"/>
        </w:trPr>
        <w:tc>
          <w:tcPr>
            <w:tcW w:w="19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77"/>
              <w:jc w:val="left"/>
              <w:rPr>
                <w:rFonts w:ascii="宋体" w:hAnsi="宋体" w:cs="宋体" w:eastAsia="宋体" w:hint="default"/>
                <w:sz w:val="18"/>
                <w:szCs w:val="18"/>
              </w:rPr>
            </w:pPr>
            <w:r>
              <w:rPr>
                <w:rFonts w:ascii="宋体" w:hAnsi="宋体" w:cs="宋体" w:eastAsia="宋体" w:hint="default"/>
                <w:sz w:val="18"/>
                <w:szCs w:val="18"/>
              </w:rPr>
              <w:t>非同一控制企业合并资 产评估增值</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72,082,397.93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12,233,065.36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77,252,449.89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12,994,117.64</w:t>
            </w:r>
          </w:p>
        </w:tc>
      </w:tr>
      <w:tr>
        <w:trPr>
          <w:trHeight w:val="402"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72,082,397.93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12,233,065.36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77,252,449.89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12,994,117.64</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以抵销后净额列示的递延所得税资产或负债" w:id="258"/>
      <w:bookmarkEnd w:id="258"/>
      <w:r>
        <w:rPr>
          <w:b w:val="0"/>
          <w:bCs w:val="0"/>
        </w:rPr>
      </w:r>
      <w:r>
        <w:rPr/>
        <w:t>（</w:t>
      </w:r>
      <w:r>
        <w:rPr>
          <w:rFonts w:ascii="Times New Roman" w:hAnsi="Times New Roman" w:cs="Times New Roman" w:eastAsia="Times New Roman" w:hint="default"/>
        </w:rPr>
        <w:t>3</w:t>
      </w:r>
      <w:r>
        <w:rPr/>
        <w:t>）以抵销后净额列示的递延所得税资产或负债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913"/>
        <w:gridCol w:w="1905"/>
        <w:gridCol w:w="1914"/>
        <w:gridCol w:w="1914"/>
        <w:gridCol w:w="1914"/>
      </w:tblGrid>
      <w:tr>
        <w:trPr>
          <w:trHeight w:val="162" w:hRule="exact"/>
        </w:trPr>
        <w:tc>
          <w:tcPr>
            <w:tcW w:w="1913" w:type="dxa"/>
            <w:tcBorders>
              <w:top w:val="single" w:sz="4" w:space="0" w:color="000000"/>
              <w:left w:val="single" w:sz="4" w:space="0" w:color="000000"/>
              <w:bottom w:val="nil" w:sz="6" w:space="0" w:color="auto"/>
              <w:right w:val="single" w:sz="4" w:space="0" w:color="000000"/>
            </w:tcBorders>
            <w:shd w:val="clear" w:color="auto" w:fill="D2D2D2"/>
          </w:tcPr>
          <w:p>
            <w:pPr/>
          </w:p>
        </w:tc>
        <w:tc>
          <w:tcPr>
            <w:tcW w:w="190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401" w:right="51"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期末互抵金额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321" w:right="50" w:hanging="270"/>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或负债期末余额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411" w:right="51"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期初互抵金额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321" w:right="50" w:hanging="270"/>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或负债期初余额</w:t>
            </w:r>
          </w:p>
        </w:tc>
      </w:tr>
      <w:tr>
        <w:trPr>
          <w:trHeight w:val="391" w:hRule="exact"/>
        </w:trPr>
        <w:tc>
          <w:tcPr>
            <w:tcW w:w="191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22"/>
              <w:jc w:val="center"/>
              <w:rPr>
                <w:rFonts w:ascii="宋体" w:hAnsi="宋体" w:cs="宋体" w:eastAsia="宋体" w:hint="default"/>
                <w:sz w:val="18"/>
                <w:szCs w:val="18"/>
              </w:rPr>
            </w:pPr>
            <w:r>
              <w:rPr>
                <w:rFonts w:ascii="宋体" w:hAnsi="宋体" w:cs="宋体" w:eastAsia="宋体" w:hint="default"/>
                <w:sz w:val="18"/>
                <w:szCs w:val="18"/>
              </w:rPr>
              <w:t>项目</w:t>
            </w:r>
          </w:p>
        </w:tc>
        <w:tc>
          <w:tcPr>
            <w:tcW w:w="1905" w:type="dxa"/>
            <w:vMerge/>
            <w:tcBorders>
              <w:left w:val="single" w:sz="4" w:space="0" w:color="000000"/>
              <w:right w:val="single" w:sz="4" w:space="0" w:color="000000"/>
            </w:tcBorders>
            <w:shd w:val="clear" w:color="auto" w:fill="D2D2D2"/>
          </w:tcPr>
          <w:p>
            <w:pPr/>
          </w:p>
        </w:tc>
        <w:tc>
          <w:tcPr>
            <w:tcW w:w="1914" w:type="dxa"/>
            <w:vMerge/>
            <w:tcBorders>
              <w:left w:val="single" w:sz="4" w:space="0" w:color="000000"/>
              <w:right w:val="single" w:sz="4" w:space="0" w:color="000000"/>
            </w:tcBorders>
            <w:shd w:val="clear" w:color="auto" w:fill="D2D2D2"/>
          </w:tcPr>
          <w:p>
            <w:pPr/>
          </w:p>
        </w:tc>
        <w:tc>
          <w:tcPr>
            <w:tcW w:w="1914" w:type="dxa"/>
            <w:vMerge/>
            <w:tcBorders>
              <w:left w:val="single" w:sz="4" w:space="0" w:color="000000"/>
              <w:right w:val="single" w:sz="4" w:space="0" w:color="000000"/>
            </w:tcBorders>
            <w:shd w:val="clear" w:color="auto" w:fill="D2D2D2"/>
          </w:tcPr>
          <w:p>
            <w:pPr/>
          </w:p>
        </w:tc>
        <w:tc>
          <w:tcPr>
            <w:tcW w:w="1914" w:type="dxa"/>
            <w:vMerge/>
            <w:tcBorders>
              <w:left w:val="single" w:sz="4" w:space="0" w:color="000000"/>
              <w:right w:val="single" w:sz="4" w:space="0" w:color="000000"/>
            </w:tcBorders>
            <w:shd w:val="clear" w:color="auto" w:fill="D2D2D2"/>
          </w:tcPr>
          <w:p>
            <w:pPr/>
          </w:p>
        </w:tc>
      </w:tr>
      <w:tr>
        <w:trPr>
          <w:trHeight w:val="161" w:hRule="exact"/>
        </w:trPr>
        <w:tc>
          <w:tcPr>
            <w:tcW w:w="191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05"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05"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39,658,153.27</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38,866,562.98</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05"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12,233,065.36</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12,994,117.64</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right="0"/>
        <w:jc w:val="left"/>
        <w:rPr>
          <w:b w:val="0"/>
          <w:bCs w:val="0"/>
        </w:rPr>
      </w:pPr>
      <w:bookmarkStart w:name="（4）未确认递延所得税资产明细" w:id="259"/>
      <w:bookmarkEnd w:id="259"/>
      <w:r>
        <w:rPr>
          <w:b w:val="0"/>
          <w:bCs w:val="0"/>
        </w:rPr>
      </w:r>
      <w:r>
        <w:rPr/>
        <w:t>（</w:t>
      </w:r>
      <w:r>
        <w:rPr>
          <w:rFonts w:ascii="Times New Roman" w:hAnsi="Times New Roman" w:cs="Times New Roman" w:eastAsia="Times New Roman" w:hint="default"/>
        </w:rPr>
        <w:t>4</w:t>
      </w:r>
      <w:r>
        <w:rPr/>
        <w:t>）未确认递延所得税资产明细</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7,887,467.06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6,544,803.30</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7,887,467.06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6,544,803.30</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5）未确认递延所得税资产的可抵扣亏损将于以下年度到期" w:id="260"/>
      <w:bookmarkEnd w:id="260"/>
      <w:r>
        <w:rPr>
          <w:b w:val="0"/>
          <w:bCs w:val="0"/>
        </w:rPr>
      </w:r>
      <w:r>
        <w:rPr/>
        <w:t>（</w:t>
      </w:r>
      <w:r>
        <w:rPr>
          <w:rFonts w:ascii="Times New Roman" w:hAnsi="Times New Roman" w:cs="Times New Roman" w:eastAsia="Times New Roman" w:hint="default"/>
        </w:rPr>
        <w:t>5</w:t>
      </w:r>
      <w:r>
        <w:rPr/>
        <w:t>）未确认递延所得税资产的可抵扣亏损将于以下年度到期</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年份</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6,544,803.30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6,544,803.30</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1,342,663.76</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7,887,467.06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6,544,803.30</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15、其他非流动资产" w:id="261"/>
      <w:bookmarkEnd w:id="261"/>
      <w:r>
        <w:rPr>
          <w:b w:val="0"/>
          <w:bCs w:val="0"/>
        </w:rPr>
      </w:r>
      <w:r>
        <w:rPr>
          <w:rFonts w:ascii="Times New Roman" w:hAnsi="Times New Roman" w:cs="Times New Roman" w:eastAsia="Times New Roman" w:hint="default"/>
        </w:rPr>
        <w:t>15</w:t>
      </w:r>
      <w:r>
        <w:rPr/>
        <w:t>、其他非流动资产</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预付购置长期资产的款项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75,397,840.03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97,702,942.11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75,397,840.03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97,702,942.11</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16、短期借款" w:id="262"/>
      <w:bookmarkEnd w:id="262"/>
      <w:r>
        <w:rPr>
          <w:b w:val="0"/>
          <w:bCs w:val="0"/>
        </w:rPr>
      </w:r>
      <w:r>
        <w:rPr>
          <w:rFonts w:ascii="Times New Roman" w:hAnsi="Times New Roman" w:cs="Times New Roman" w:eastAsia="Times New Roman" w:hint="default"/>
        </w:rPr>
        <w:t>16</w:t>
      </w:r>
      <w:r>
        <w:rPr/>
        <w:t>、短期借款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短期借款分类" w:id="263"/>
      <w:bookmarkEnd w:id="263"/>
      <w:r>
        <w:rPr>
          <w:b w:val="0"/>
          <w:bCs w:val="0"/>
        </w:rPr>
      </w:r>
      <w:r>
        <w:rPr/>
        <w:t>（</w:t>
      </w:r>
      <w:r>
        <w:rPr>
          <w:rFonts w:ascii="Times New Roman" w:hAnsi="Times New Roman" w:cs="Times New Roman" w:eastAsia="Times New Roman" w:hint="default"/>
        </w:rPr>
        <w:t>1</w:t>
      </w:r>
      <w:r>
        <w:rPr/>
        <w:t>）短期借款分类</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FFFFFF"/>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FFFFFF"/>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质押借款</w:t>
            </w:r>
          </w:p>
        </w:tc>
        <w:tc>
          <w:tcPr>
            <w:tcW w:w="3206" w:type="dxa"/>
            <w:tcBorders>
              <w:top w:val="single" w:sz="4" w:space="0" w:color="000000"/>
              <w:left w:val="single" w:sz="13" w:space="0" w:color="D2D2D2"/>
              <w:bottom w:val="single" w:sz="4" w:space="0" w:color="000000"/>
              <w:right w:val="single" w:sz="4" w:space="0" w:color="FFFFFF"/>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60,000,000.00</w:t>
            </w:r>
          </w:p>
        </w:tc>
        <w:tc>
          <w:tcPr>
            <w:tcW w:w="3189" w:type="dxa"/>
            <w:tcBorders>
              <w:top w:val="single" w:sz="4" w:space="0" w:color="000000"/>
              <w:left w:val="single" w:sz="4" w:space="0" w:color="FFFFFF"/>
              <w:bottom w:val="single" w:sz="4" w:space="0" w:color="000000"/>
              <w:right w:val="single" w:sz="4" w:space="0" w:color="000000"/>
            </w:tcBorders>
          </w:tcPr>
          <w:p>
            <w:pP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抵押借款</w:t>
            </w:r>
          </w:p>
        </w:tc>
        <w:tc>
          <w:tcPr>
            <w:tcW w:w="3206" w:type="dxa"/>
            <w:tcBorders>
              <w:top w:val="single" w:sz="4" w:space="0" w:color="000000"/>
              <w:left w:val="single" w:sz="13" w:space="0" w:color="D2D2D2"/>
              <w:bottom w:val="single" w:sz="4" w:space="0" w:color="000000"/>
              <w:right w:val="single" w:sz="4" w:space="0" w:color="FFFFFF"/>
            </w:tcBorders>
          </w:tcPr>
          <w:p>
            <w:pPr/>
          </w:p>
        </w:tc>
        <w:tc>
          <w:tcPr>
            <w:tcW w:w="3189"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10,000,000.00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FFFFFF"/>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60,000,000.00</w:t>
            </w:r>
          </w:p>
        </w:tc>
        <w:tc>
          <w:tcPr>
            <w:tcW w:w="3189"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10,000,000.00</w:t>
            </w:r>
          </w:p>
        </w:tc>
      </w:tr>
    </w:tbl>
    <w:p>
      <w:pPr>
        <w:pStyle w:val="BodyText"/>
        <w:spacing w:line="357" w:lineRule="auto" w:before="51"/>
        <w:ind w:right="6972"/>
        <w:jc w:val="left"/>
      </w:pPr>
      <w:r>
        <w:rPr/>
        <w:t>短期借款分类的说明： 质押借款期末余额为附追索权的票据贴现金额。</w:t>
      </w:r>
    </w:p>
    <w:p>
      <w:pPr>
        <w:spacing w:line="240" w:lineRule="auto" w:before="2"/>
        <w:rPr>
          <w:rFonts w:ascii="宋体" w:hAnsi="宋体" w:cs="宋体" w:eastAsia="宋体" w:hint="default"/>
          <w:sz w:val="20"/>
          <w:szCs w:val="20"/>
        </w:rPr>
      </w:pPr>
    </w:p>
    <w:p>
      <w:pPr>
        <w:pStyle w:val="Heading3"/>
        <w:spacing w:line="240" w:lineRule="auto"/>
        <w:ind w:right="0"/>
        <w:jc w:val="left"/>
        <w:rPr>
          <w:b w:val="0"/>
          <w:bCs w:val="0"/>
        </w:rPr>
      </w:pPr>
      <w:bookmarkStart w:name="17、应付票据及应付账款" w:id="264"/>
      <w:bookmarkEnd w:id="264"/>
      <w:r>
        <w:rPr>
          <w:b w:val="0"/>
          <w:bCs w:val="0"/>
        </w:rPr>
      </w:r>
      <w:r>
        <w:rPr>
          <w:rFonts w:ascii="Times New Roman" w:hAnsi="Times New Roman" w:cs="Times New Roman" w:eastAsia="Times New Roman" w:hint="default"/>
        </w:rPr>
        <w:t>17</w:t>
      </w:r>
      <w:r>
        <w:rPr/>
        <w:t>、应付票据及应付账款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033" w:right="0"/>
              <w:jc w:val="left"/>
              <w:rPr>
                <w:rFonts w:ascii="Times New Roman" w:hAnsi="Times New Roman" w:cs="Times New Roman" w:eastAsia="Times New Roman" w:hint="default"/>
                <w:sz w:val="18"/>
                <w:szCs w:val="18"/>
              </w:rPr>
            </w:pPr>
            <w:r>
              <w:rPr>
                <w:rFonts w:ascii="Times New Roman"/>
                <w:sz w:val="18"/>
              </w:rPr>
              <w:t>192,122,563.06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33" w:right="0"/>
              <w:jc w:val="left"/>
              <w:rPr>
                <w:rFonts w:ascii="Times New Roman" w:hAnsi="Times New Roman" w:cs="Times New Roman" w:eastAsia="Times New Roman" w:hint="default"/>
                <w:sz w:val="18"/>
                <w:szCs w:val="18"/>
              </w:rPr>
            </w:pPr>
            <w:r>
              <w:rPr>
                <w:rFonts w:ascii="Times New Roman"/>
                <w:sz w:val="18"/>
              </w:rPr>
              <w:t>170,980,904.02</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9"/>
        <w:gridCol w:w="3191"/>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603,981,848.94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660,334,866.12</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796,104,412.00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831,315,770.14</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1）应付票据分类列示" w:id="265"/>
      <w:bookmarkEnd w:id="265"/>
      <w:r>
        <w:rPr>
          <w:b w:val="0"/>
          <w:bCs w:val="0"/>
        </w:rPr>
      </w:r>
      <w:r>
        <w:rPr/>
        <w:t>（</w:t>
      </w:r>
      <w:r>
        <w:rPr>
          <w:rFonts w:ascii="Times New Roman" w:hAnsi="Times New Roman" w:cs="Times New Roman" w:eastAsia="Times New Roman" w:hint="default"/>
        </w:rPr>
        <w:t>1</w:t>
      </w:r>
      <w:r>
        <w:rPr/>
        <w:t>）应付票据分类列示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种类</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192,122,563.06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170,980,904.02</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192,122,563.06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170,980,904.02</w:t>
            </w:r>
          </w:p>
        </w:tc>
      </w:tr>
    </w:tbl>
    <w:p>
      <w:pPr>
        <w:pStyle w:val="BodyText"/>
        <w:spacing w:line="240" w:lineRule="auto" w:before="51"/>
        <w:ind w:right="0"/>
        <w:jc w:val="left"/>
      </w:pPr>
      <w:r>
        <w:rPr/>
        <w:t>本期末已到期未支付的应付票据总额为</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bookmarkStart w:name="（2）应付账款列示" w:id="266"/>
      <w:bookmarkEnd w:id="266"/>
      <w:r>
        <w:rPr>
          <w:b w:val="0"/>
          <w:bCs w:val="0"/>
        </w:rPr>
      </w:r>
      <w:r>
        <w:rPr/>
        <w:t>（</w:t>
      </w:r>
      <w:r>
        <w:rPr>
          <w:rFonts w:ascii="Times New Roman" w:hAnsi="Times New Roman" w:cs="Times New Roman" w:eastAsia="Times New Roman" w:hint="default"/>
        </w:rPr>
        <w:t>2</w:t>
      </w:r>
      <w:r>
        <w:rPr/>
        <w:t>）应付账款列示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581,452,824.46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649,453,628.54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16,579,107.79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3,766,846.17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690,538.71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1,192,038.77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5,259,377.98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5,922,352.64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603,981,848.94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660,334,866.12</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18、预收款项" w:id="267"/>
      <w:bookmarkEnd w:id="267"/>
      <w:r>
        <w:rPr>
          <w:b w:val="0"/>
          <w:bCs w:val="0"/>
        </w:rPr>
      </w:r>
      <w:r>
        <w:rPr>
          <w:rFonts w:ascii="Times New Roman" w:hAnsi="Times New Roman" w:cs="Times New Roman" w:eastAsia="Times New Roman" w:hint="default"/>
        </w:rPr>
        <w:t>18</w:t>
      </w:r>
      <w:r>
        <w:rPr/>
        <w:t>、预收款项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预收款项列示" w:id="268"/>
      <w:bookmarkEnd w:id="268"/>
      <w:r>
        <w:rPr>
          <w:b w:val="0"/>
          <w:bCs w:val="0"/>
        </w:rPr>
      </w:r>
      <w:r>
        <w:rPr/>
        <w:t>（</w:t>
      </w:r>
      <w:r>
        <w:rPr>
          <w:rFonts w:ascii="Times New Roman" w:hAnsi="Times New Roman" w:cs="Times New Roman" w:eastAsia="Times New Roman" w:hint="default"/>
        </w:rPr>
        <w:t>1</w:t>
      </w:r>
      <w:r>
        <w:rPr/>
        <w:t>）预收款项列示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4,002,023.41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1,614,071.81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529,268.21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4,212,276.16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3,938,525.58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86,169.02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1,718,766.69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4,136,248.57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10,188,583.89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10,048,765.56</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账龄超过1年的重要预收款项" w:id="269"/>
      <w:bookmarkEnd w:id="269"/>
      <w:r>
        <w:rPr>
          <w:b w:val="0"/>
          <w:bCs w:val="0"/>
        </w:rPr>
      </w:r>
      <w:r>
        <w:rPr/>
        <w:t>（</w:t>
      </w:r>
      <w:r>
        <w:rPr>
          <w:rFonts w:ascii="Times New Roman" w:hAnsi="Times New Roman" w:cs="Times New Roman" w:eastAsia="Times New Roman" w:hint="default"/>
        </w:rPr>
        <w:t>2</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年的重要预收款项</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湖北吴城环保科技有限公司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4,951,422.57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预收租金</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6" w:type="dxa"/>
        <w:tblLayout w:type="fixed"/>
        <w:tblCellMar>
          <w:top w:w="0" w:type="dxa"/>
          <w:left w:w="0" w:type="dxa"/>
          <w:bottom w:w="0" w:type="dxa"/>
          <w:right w:w="0" w:type="dxa"/>
        </w:tblCellMar>
        <w:tblLook w:val="01E0"/>
      </w:tblPr>
      <w:tblGrid>
        <w:gridCol w:w="3190"/>
        <w:gridCol w:w="3194"/>
        <w:gridCol w:w="3177"/>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4,951,422.57</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19、应付职工薪酬" w:id="270"/>
      <w:bookmarkEnd w:id="270"/>
      <w:r>
        <w:rPr>
          <w:b w:val="0"/>
          <w:bCs w:val="0"/>
        </w:rPr>
      </w:r>
      <w:r>
        <w:rPr>
          <w:rFonts w:ascii="Times New Roman" w:hAnsi="Times New Roman" w:cs="Times New Roman" w:eastAsia="Times New Roman" w:hint="default"/>
        </w:rPr>
        <w:t>19</w:t>
      </w:r>
      <w:r>
        <w:rPr/>
        <w:t>、应付职工薪酬</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应付职工薪酬列示" w:id="271"/>
      <w:bookmarkEnd w:id="271"/>
      <w:r>
        <w:rPr>
          <w:b w:val="0"/>
          <w:bCs w:val="0"/>
        </w:rPr>
      </w:r>
      <w:r>
        <w:rPr/>
        <w:t>（</w:t>
      </w:r>
      <w:r>
        <w:rPr>
          <w:rFonts w:ascii="Times New Roman" w:hAnsi="Times New Roman" w:cs="Times New Roman" w:eastAsia="Times New Roman" w:hint="default"/>
        </w:rPr>
        <w:t>1</w:t>
      </w:r>
      <w:r>
        <w:rPr/>
        <w:t>）应付职工薪酬列示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一、短期薪酬</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64,660,338.77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449,159,286.53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436,637,821.37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77,181,803.93</w:t>
            </w:r>
          </w:p>
        </w:tc>
      </w:tr>
      <w:tr>
        <w:trPr>
          <w:trHeight w:val="71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9"/>
              <w:jc w:val="left"/>
              <w:rPr>
                <w:rFonts w:ascii="宋体" w:hAnsi="宋体" w:cs="宋体" w:eastAsia="宋体" w:hint="default"/>
                <w:sz w:val="18"/>
                <w:szCs w:val="18"/>
              </w:rPr>
            </w:pPr>
            <w:r>
              <w:rPr>
                <w:rFonts w:ascii="宋体" w:hAnsi="宋体" w:cs="宋体" w:eastAsia="宋体" w:hint="default"/>
                <w:sz w:val="18"/>
                <w:szCs w:val="18"/>
              </w:rPr>
              <w:t>二、离职后福利</w:t>
            </w:r>
            <w:r>
              <w:rPr>
                <w:rFonts w:ascii="Times New Roman" w:hAnsi="Times New Roman" w:cs="Times New Roman" w:eastAsia="Times New Roman" w:hint="default"/>
                <w:sz w:val="18"/>
                <w:szCs w:val="18"/>
              </w:rPr>
              <w:t>-</w:t>
            </w:r>
            <w:r>
              <w:rPr>
                <w:rFonts w:ascii="宋体" w:hAnsi="宋体" w:cs="宋体" w:eastAsia="宋体" w:hint="default"/>
                <w:sz w:val="18"/>
                <w:szCs w:val="18"/>
              </w:rPr>
              <w:t>设定提 存计划</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451,746.67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26,550,469.78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26,910,917.45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91,299.00</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三、辞退福利</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576,500.00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4,250.00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580,750.00</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66"/>
              <w:jc w:val="left"/>
              <w:rPr>
                <w:rFonts w:ascii="宋体" w:hAnsi="宋体" w:cs="宋体" w:eastAsia="宋体" w:hint="default"/>
                <w:sz w:val="18"/>
                <w:szCs w:val="18"/>
              </w:rPr>
            </w:pPr>
            <w:r>
              <w:rPr>
                <w:rFonts w:ascii="宋体" w:hAnsi="宋体" w:cs="宋体" w:eastAsia="宋体" w:hint="default"/>
                <w:sz w:val="18"/>
                <w:szCs w:val="18"/>
              </w:rPr>
              <w:t>四、一年内到期的其他 福利</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941,438.57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933,189.26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941,438.57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933,189.26</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66,630,024.01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476,647,195.57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465,070,927.39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78,206,292.19</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短期薪酬列示" w:id="272"/>
      <w:bookmarkEnd w:id="272"/>
      <w:r>
        <w:rPr>
          <w:b w:val="0"/>
          <w:bCs w:val="0"/>
        </w:rPr>
      </w:r>
      <w:r>
        <w:rPr/>
        <w:t>（</w:t>
      </w:r>
      <w:r>
        <w:rPr>
          <w:rFonts w:ascii="Times New Roman" w:hAnsi="Times New Roman" w:cs="Times New Roman" w:eastAsia="Times New Roman" w:hint="default"/>
        </w:rPr>
        <w:t>2</w:t>
      </w:r>
      <w:r>
        <w:rPr/>
        <w:t>）短期薪酬列示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9"/>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、工资、奖金、津贴和</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补贴</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63,411,867.06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392,957,826.69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380,105,159.78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76,264,533.97</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、职工福利费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1,020,840.20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31,155,012.77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31,694,096.97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481,756.00</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、社会保险费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1,016.00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12,419,869.51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12,382,465.51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38,420.00</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66"/>
              <w:jc w:val="right"/>
              <w:rPr>
                <w:rFonts w:ascii="宋体" w:hAnsi="宋体" w:cs="宋体" w:eastAsia="宋体" w:hint="default"/>
                <w:sz w:val="18"/>
                <w:szCs w:val="18"/>
              </w:rPr>
            </w:pPr>
            <w:r>
              <w:rPr>
                <w:rFonts w:ascii="宋体" w:hAnsi="宋体" w:cs="宋体" w:eastAsia="宋体" w:hint="default"/>
                <w:sz w:val="18"/>
                <w:szCs w:val="18"/>
              </w:rPr>
              <w:t>其中：医疗保险费</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10,551,283.94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10,520,563.94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30,720.00</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65"/>
              <w:jc w:val="right"/>
              <w:rPr>
                <w:rFonts w:ascii="宋体" w:hAnsi="宋体" w:cs="宋体" w:eastAsia="宋体" w:hint="default"/>
                <w:sz w:val="18"/>
                <w:szCs w:val="18"/>
              </w:rPr>
            </w:pPr>
            <w:r>
              <w:rPr>
                <w:rFonts w:ascii="宋体" w:hAnsi="宋体" w:cs="宋体" w:eastAsia="宋体" w:hint="default"/>
                <w:sz w:val="18"/>
                <w:szCs w:val="18"/>
              </w:rPr>
              <w:t>工伤保险费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444.86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912,747.22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907,692.08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5,500.00</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65"/>
              <w:jc w:val="right"/>
              <w:rPr>
                <w:rFonts w:ascii="宋体" w:hAnsi="宋体" w:cs="宋体" w:eastAsia="宋体" w:hint="default"/>
                <w:sz w:val="18"/>
                <w:szCs w:val="18"/>
              </w:rPr>
            </w:pPr>
            <w:r>
              <w:rPr>
                <w:rFonts w:ascii="宋体" w:hAnsi="宋体" w:cs="宋体" w:eastAsia="宋体" w:hint="default"/>
                <w:sz w:val="18"/>
                <w:szCs w:val="18"/>
              </w:rPr>
              <w:t>生育保险费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571.14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955,838.35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954,209.49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2,200.00</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、住房公积金</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45,252.20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9,515,115.60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9,346,473.80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213,894.00</w:t>
            </w:r>
          </w:p>
        </w:tc>
      </w:tr>
      <w:tr>
        <w:trPr>
          <w:trHeight w:val="71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9"/>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5</w:t>
            </w:r>
            <w:r>
              <w:rPr>
                <w:rFonts w:ascii="宋体" w:hAnsi="宋体" w:cs="宋体" w:eastAsia="宋体" w:hint="default"/>
                <w:spacing w:val="-4"/>
                <w:sz w:val="18"/>
                <w:szCs w:val="18"/>
              </w:rPr>
              <w:t>、工会经费和职工教育</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经费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181,363.31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3,111,461.96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3,109,625.31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183,199.96</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64,660,338.77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449,159,286.53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436,637,821.37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77,181,803.93</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设定提存计划列示" w:id="273"/>
      <w:bookmarkEnd w:id="273"/>
      <w:r>
        <w:rPr>
          <w:b w:val="0"/>
          <w:bCs w:val="0"/>
        </w:rPr>
      </w:r>
      <w:r>
        <w:rPr/>
        <w:t>（</w:t>
      </w:r>
      <w:r>
        <w:rPr>
          <w:rFonts w:ascii="Times New Roman" w:hAnsi="Times New Roman" w:cs="Times New Roman" w:eastAsia="Times New Roman" w:hint="default"/>
        </w:rPr>
        <w:t>3</w:t>
      </w:r>
      <w:r>
        <w:rPr/>
        <w:t>）设定提存计划列示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、基本养老保险</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434,518.49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25,622,945.66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25,969,465.15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87,999.00</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、失业保险费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17,228.18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927,524.12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941,452.30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3,300.00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73" w:right="0"/>
              <w:jc w:val="left"/>
              <w:rPr>
                <w:rFonts w:ascii="Times New Roman" w:hAnsi="Times New Roman" w:cs="Times New Roman" w:eastAsia="Times New Roman" w:hint="default"/>
                <w:sz w:val="18"/>
                <w:szCs w:val="18"/>
              </w:rPr>
            </w:pPr>
            <w:r>
              <w:rPr>
                <w:rFonts w:ascii="Times New Roman"/>
                <w:sz w:val="18"/>
              </w:rPr>
              <w:t>451,746.67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46" w:right="0"/>
              <w:jc w:val="left"/>
              <w:rPr>
                <w:rFonts w:ascii="Times New Roman" w:hAnsi="Times New Roman" w:cs="Times New Roman" w:eastAsia="Times New Roman" w:hint="default"/>
                <w:sz w:val="18"/>
                <w:szCs w:val="18"/>
              </w:rPr>
            </w:pPr>
            <w:r>
              <w:rPr>
                <w:rFonts w:ascii="Times New Roman"/>
                <w:sz w:val="18"/>
              </w:rPr>
              <w:t>26,550,469.78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46" w:right="0"/>
              <w:jc w:val="left"/>
              <w:rPr>
                <w:rFonts w:ascii="Times New Roman" w:hAnsi="Times New Roman" w:cs="Times New Roman" w:eastAsia="Times New Roman" w:hint="default"/>
                <w:sz w:val="18"/>
                <w:szCs w:val="18"/>
              </w:rPr>
            </w:pPr>
            <w:r>
              <w:rPr>
                <w:rFonts w:ascii="Times New Roman"/>
                <w:sz w:val="18"/>
              </w:rPr>
              <w:t>26,910,917.45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60" w:right="0"/>
              <w:jc w:val="left"/>
              <w:rPr>
                <w:rFonts w:ascii="Times New Roman" w:hAnsi="Times New Roman" w:cs="Times New Roman" w:eastAsia="Times New Roman" w:hint="default"/>
                <w:sz w:val="18"/>
                <w:szCs w:val="18"/>
              </w:rPr>
            </w:pPr>
            <w:r>
              <w:rPr>
                <w:rFonts w:ascii="Times New Roman"/>
                <w:sz w:val="18"/>
              </w:rPr>
              <w:t>91,299.00</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0、应交税费" w:id="274"/>
      <w:bookmarkEnd w:id="274"/>
      <w:r>
        <w:rPr>
          <w:b w:val="0"/>
          <w:bCs w:val="0"/>
        </w:rPr>
      </w:r>
      <w:r>
        <w:rPr>
          <w:rFonts w:ascii="Times New Roman" w:hAnsi="Times New Roman" w:cs="Times New Roman" w:eastAsia="Times New Roman" w:hint="default"/>
        </w:rPr>
        <w:t>20</w:t>
      </w:r>
      <w:r>
        <w:rPr/>
        <w:t>、应交税费</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73,472,502.39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16,076,094.21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56,893,900.41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35,676,839.22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1,231,326.22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1,437,415.76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2,233,612.45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1,405,098.59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1,559,452.25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2,662,591.48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792,670.17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991,468.19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957,262.49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602,185.13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638,174.98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401,456.73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647,510.81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995,877.81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水利及防洪基金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135,852.21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95,564.87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11,072.52</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138,573,336.90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60,344,591.99</w:t>
            </w:r>
          </w:p>
        </w:tc>
      </w:tr>
    </w:tbl>
    <w:p>
      <w:pPr>
        <w:spacing w:line="240" w:lineRule="auto" w:before="3"/>
        <w:rPr>
          <w:rFonts w:ascii="宋体" w:hAnsi="宋体" w:cs="宋体" w:eastAsia="宋体" w:hint="default"/>
          <w:sz w:val="19"/>
          <w:szCs w:val="19"/>
        </w:rPr>
      </w:pPr>
    </w:p>
    <w:p>
      <w:pPr>
        <w:pStyle w:val="Heading3"/>
        <w:spacing w:line="240" w:lineRule="auto" w:before="35"/>
        <w:ind w:right="0"/>
        <w:jc w:val="left"/>
        <w:rPr>
          <w:b w:val="0"/>
          <w:bCs w:val="0"/>
        </w:rPr>
      </w:pPr>
      <w:bookmarkStart w:name="21、其他应付款" w:id="275"/>
      <w:bookmarkEnd w:id="275"/>
      <w:r>
        <w:rPr>
          <w:b w:val="0"/>
          <w:bCs w:val="0"/>
        </w:rPr>
      </w:r>
      <w:r>
        <w:rPr>
          <w:rFonts w:ascii="Times New Roman" w:hAnsi="Times New Roman" w:cs="Times New Roman" w:eastAsia="Times New Roman" w:hint="default"/>
        </w:rPr>
        <w:t>21</w:t>
      </w:r>
      <w:r>
        <w:rPr/>
        <w:t>、其他应付款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4,100,307.39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43,100,307.39</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299,474,241.65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373,718,116.87</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303,574,549.04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416,818,424.26</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1）应付股利" w:id="276"/>
      <w:bookmarkEnd w:id="276"/>
      <w:r>
        <w:rPr>
          <w:b w:val="0"/>
          <w:bCs w:val="0"/>
        </w:rPr>
      </w:r>
      <w:r>
        <w:rPr/>
        <w:t>（</w:t>
      </w:r>
      <w:r>
        <w:rPr>
          <w:rFonts w:ascii="Times New Roman" w:hAnsi="Times New Roman" w:cs="Times New Roman" w:eastAsia="Times New Roman" w:hint="default"/>
        </w:rPr>
        <w:t>1</w:t>
      </w:r>
      <w:r>
        <w:rPr/>
        <w:t>）应付股利</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4,100,307.39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43,100,307.39</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4,100,307.39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43,100,307.39</w:t>
            </w:r>
          </w:p>
        </w:tc>
      </w:tr>
    </w:tbl>
    <w:p>
      <w:pPr>
        <w:spacing w:line="240" w:lineRule="auto" w:before="3"/>
        <w:rPr>
          <w:rFonts w:ascii="宋体" w:hAnsi="宋体" w:cs="宋体" w:eastAsia="宋体" w:hint="default"/>
          <w:sz w:val="19"/>
          <w:szCs w:val="19"/>
        </w:rPr>
      </w:pPr>
    </w:p>
    <w:p>
      <w:pPr>
        <w:pStyle w:val="Heading3"/>
        <w:spacing w:line="240" w:lineRule="auto" w:before="35"/>
        <w:ind w:right="0"/>
        <w:jc w:val="left"/>
        <w:rPr>
          <w:b w:val="0"/>
          <w:bCs w:val="0"/>
        </w:rPr>
      </w:pPr>
      <w:bookmarkStart w:name="（2）其他应付款" w:id="277"/>
      <w:bookmarkEnd w:id="277"/>
      <w:r>
        <w:rPr>
          <w:b w:val="0"/>
          <w:bCs w:val="0"/>
        </w:rPr>
      </w:r>
      <w:r>
        <w:rPr/>
        <w:t>（</w:t>
      </w:r>
      <w:r>
        <w:rPr>
          <w:rFonts w:ascii="Times New Roman" w:hAnsi="Times New Roman" w:cs="Times New Roman" w:eastAsia="Times New Roman" w:hint="default"/>
        </w:rPr>
        <w:t>2</w:t>
      </w:r>
      <w:r>
        <w:rPr/>
        <w:t>）其他应付款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1)</w:t>
      </w:r>
      <w:r>
        <w:rPr/>
        <w:t>按款项性质列示其他应付款</w:t>
      </w:r>
    </w:p>
    <w:p>
      <w:pPr>
        <w:pStyle w:val="BodyText"/>
        <w:spacing w:line="240" w:lineRule="auto" w:before="102"/>
        <w:ind w:left="0" w:right="1130"/>
        <w:jc w:val="right"/>
      </w:pPr>
      <w:r>
        <w:rPr/>
        <w:t>单位： 元</w:t>
      </w:r>
    </w:p>
    <w:p>
      <w:pPr>
        <w:spacing w:after="0" w:line="240" w:lineRule="auto"/>
        <w:jc w:val="right"/>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设备款及运输费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11,521,519.69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44,397,323.72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保证金及押金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11,640,802.55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10,449,718.18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员工报销款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1,258,283.27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1,342,067.58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股权收购款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180,800,000.00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271,280,000.00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工程款及其他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94,253,636.14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46,249,007.39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299,474,241.65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373,718,116.87</w:t>
            </w:r>
          </w:p>
        </w:tc>
      </w:tr>
    </w:tbl>
    <w:p>
      <w:pPr>
        <w:pStyle w:val="BodyText"/>
        <w:spacing w:line="240" w:lineRule="auto" w:before="51"/>
        <w:ind w:right="0"/>
        <w:jc w:val="left"/>
      </w:pPr>
      <w:r>
        <w:rPr>
          <w:rFonts w:ascii="Times New Roman" w:hAnsi="Times New Roman" w:cs="Times New Roman" w:eastAsia="Times New Roman" w:hint="default"/>
        </w:rPr>
        <w:t>2)</w:t>
      </w:r>
      <w:r>
        <w:rPr/>
        <w:t>账龄超过</w:t>
      </w:r>
      <w:r>
        <w:rPr>
          <w:spacing w:val="-46"/>
        </w:rPr>
        <w:t> </w:t>
      </w:r>
      <w:r>
        <w:rPr>
          <w:rFonts w:ascii="Times New Roman" w:hAnsi="Times New Roman" w:cs="Times New Roman" w:eastAsia="Times New Roman" w:hint="default"/>
        </w:rPr>
        <w:t>1 </w:t>
      </w:r>
      <w:r>
        <w:rPr/>
        <w:t>年的重要其他应付款</w:t>
      </w:r>
    </w:p>
    <w:p>
      <w:pPr>
        <w:pStyle w:val="BodyText"/>
        <w:spacing w:line="240" w:lineRule="auto" w:before="103"/>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上海仁彩印务有限公司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113,100,000.00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股权收购款未达付款期</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上海中昂实业有限公司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67,000,000.00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股权收购款未达付款期</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悉地国际设计顾问（深圳）有限公司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2,175,015.50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租赁押金未达付款期</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市场风险金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1,560,000.00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押金未达付款期</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183,835,015.50</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2、长期应付职工薪酬" w:id="278"/>
      <w:bookmarkEnd w:id="278"/>
      <w:r>
        <w:rPr>
          <w:b w:val="0"/>
          <w:bCs w:val="0"/>
        </w:rPr>
      </w:r>
      <w:r>
        <w:rPr>
          <w:rFonts w:ascii="Times New Roman" w:hAnsi="Times New Roman" w:cs="Times New Roman" w:eastAsia="Times New Roman" w:hint="default"/>
        </w:rPr>
        <w:t>22</w:t>
      </w:r>
      <w:r>
        <w:rPr/>
        <w:t>、长期应付职工薪酬</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长期应付职工薪酬表" w:id="279"/>
      <w:bookmarkEnd w:id="279"/>
      <w:r>
        <w:rPr>
          <w:b w:val="0"/>
          <w:bCs w:val="0"/>
        </w:rPr>
      </w:r>
      <w:r>
        <w:rPr/>
        <w:t>（</w:t>
      </w:r>
      <w:r>
        <w:rPr>
          <w:rFonts w:ascii="Times New Roman" w:hAnsi="Times New Roman" w:cs="Times New Roman" w:eastAsia="Times New Roman" w:hint="default"/>
        </w:rPr>
        <w:t>1</w:t>
      </w:r>
      <w:r>
        <w:rPr/>
        <w:t>）长期应付职工薪酬表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一、离职后福利</w:t>
            </w:r>
            <w:r>
              <w:rPr>
                <w:rFonts w:ascii="Times New Roman" w:hAnsi="Times New Roman" w:cs="Times New Roman" w:eastAsia="Times New Roman" w:hint="default"/>
                <w:sz w:val="18"/>
                <w:szCs w:val="18"/>
              </w:rPr>
              <w:t>-</w:t>
            </w:r>
            <w:r>
              <w:rPr>
                <w:rFonts w:ascii="宋体" w:hAnsi="宋体" w:cs="宋体" w:eastAsia="宋体" w:hint="default"/>
                <w:sz w:val="18"/>
                <w:szCs w:val="18"/>
              </w:rPr>
              <w:t>设定受益计划净负债</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14,028,630.44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14,622,365.10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14,028,630.44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14,622,365.10</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3、递延收益" w:id="280"/>
      <w:bookmarkEnd w:id="280"/>
      <w:r>
        <w:rPr>
          <w:b w:val="0"/>
          <w:bCs w:val="0"/>
        </w:rPr>
      </w:r>
      <w:r>
        <w:rPr>
          <w:rFonts w:ascii="Times New Roman" w:hAnsi="Times New Roman" w:cs="Times New Roman" w:eastAsia="Times New Roman" w:hint="default"/>
        </w:rPr>
        <w:t>23</w:t>
      </w:r>
      <w:r>
        <w:rPr/>
        <w:t>、递延收益</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583"/>
        <w:gridCol w:w="1607"/>
        <w:gridCol w:w="1595"/>
        <w:gridCol w:w="1594"/>
        <w:gridCol w:w="1594"/>
        <w:gridCol w:w="1595"/>
      </w:tblGrid>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4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形成原因</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60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10,300,000.00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10,068,235.00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1,584,573.50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18,783,661.50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60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10,300,000.00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10,068,235.00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1,584,573.50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18,783,661.50</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0"/>
        <w:jc w:val="left"/>
      </w:pPr>
      <w:r>
        <w:rPr/>
        <w:t>涉及政府补助的项目：</w:t>
      </w:r>
    </w:p>
    <w:p>
      <w:pPr>
        <w:pStyle w:val="BodyText"/>
        <w:spacing w:line="240" w:lineRule="auto" w:before="117"/>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4"/>
        <w:gridCol w:w="1064"/>
        <w:gridCol w:w="1063"/>
        <w:gridCol w:w="1064"/>
        <w:gridCol w:w="1063"/>
        <w:gridCol w:w="1063"/>
        <w:gridCol w:w="1064"/>
        <w:gridCol w:w="1062"/>
        <w:gridCol w:w="1063"/>
      </w:tblGrid>
      <w:tr>
        <w:trPr>
          <w:trHeight w:val="1026"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66"/>
              <w:jc w:val="right"/>
              <w:rPr>
                <w:rFonts w:ascii="宋体" w:hAnsi="宋体" w:cs="宋体" w:eastAsia="宋体" w:hint="default"/>
                <w:sz w:val="18"/>
                <w:szCs w:val="18"/>
              </w:rPr>
            </w:pPr>
            <w:r>
              <w:rPr>
                <w:rFonts w:ascii="宋体" w:hAnsi="宋体" w:cs="宋体" w:eastAsia="宋体" w:hint="default"/>
                <w:sz w:val="18"/>
                <w:szCs w:val="18"/>
              </w:rPr>
              <w:t>负债项目</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56" w:right="74" w:hanging="180"/>
              <w:jc w:val="left"/>
              <w:rPr>
                <w:rFonts w:ascii="宋体" w:hAnsi="宋体" w:cs="宋体" w:eastAsia="宋体" w:hint="default"/>
                <w:sz w:val="18"/>
                <w:szCs w:val="18"/>
              </w:rPr>
            </w:pPr>
            <w:r>
              <w:rPr>
                <w:rFonts w:ascii="宋体" w:hAnsi="宋体" w:cs="宋体" w:eastAsia="宋体" w:hint="default"/>
                <w:sz w:val="18"/>
                <w:szCs w:val="18"/>
              </w:rPr>
              <w:t>本期新增补 助金额</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75" w:right="76"/>
              <w:jc w:val="center"/>
              <w:rPr>
                <w:rFonts w:ascii="宋体" w:hAnsi="宋体" w:cs="宋体" w:eastAsia="宋体" w:hint="default"/>
                <w:sz w:val="18"/>
                <w:szCs w:val="18"/>
              </w:rPr>
            </w:pPr>
            <w:r>
              <w:rPr>
                <w:rFonts w:ascii="宋体" w:hAnsi="宋体" w:cs="宋体" w:eastAsia="宋体" w:hint="default"/>
                <w:sz w:val="18"/>
                <w:szCs w:val="18"/>
              </w:rPr>
              <w:t>本期计入营 业外收入金 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75" w:right="77"/>
              <w:jc w:val="left"/>
              <w:rPr>
                <w:rFonts w:ascii="宋体" w:hAnsi="宋体" w:cs="宋体" w:eastAsia="宋体" w:hint="default"/>
                <w:sz w:val="18"/>
                <w:szCs w:val="18"/>
              </w:rPr>
            </w:pPr>
            <w:r>
              <w:rPr>
                <w:rFonts w:ascii="宋体" w:hAnsi="宋体" w:cs="宋体" w:eastAsia="宋体" w:hint="default"/>
                <w:sz w:val="18"/>
                <w:szCs w:val="18"/>
              </w:rPr>
              <w:t>本期计入其 他收益金额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75" w:right="77"/>
              <w:jc w:val="left"/>
              <w:rPr>
                <w:rFonts w:ascii="宋体" w:hAnsi="宋体" w:cs="宋体" w:eastAsia="宋体" w:hint="default"/>
                <w:sz w:val="18"/>
                <w:szCs w:val="18"/>
              </w:rPr>
            </w:pPr>
            <w:r>
              <w:rPr>
                <w:rFonts w:ascii="宋体" w:hAnsi="宋体" w:cs="宋体" w:eastAsia="宋体" w:hint="default"/>
                <w:sz w:val="18"/>
                <w:szCs w:val="18"/>
              </w:rPr>
              <w:t>本期冲减成 本费用金额</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165" w:right="0"/>
              <w:jc w:val="left"/>
              <w:rPr>
                <w:rFonts w:ascii="宋体" w:hAnsi="宋体" w:cs="宋体" w:eastAsia="宋体" w:hint="default"/>
                <w:sz w:val="18"/>
                <w:szCs w:val="18"/>
              </w:rPr>
            </w:pPr>
            <w:r>
              <w:rPr>
                <w:rFonts w:ascii="宋体" w:hAnsi="宋体" w:cs="宋体" w:eastAsia="宋体" w:hint="default"/>
                <w:sz w:val="18"/>
                <w:szCs w:val="18"/>
              </w:rPr>
              <w:t>其他变动</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00" w:lineRule="auto"/>
              <w:ind w:left="76" w:right="51" w:hanging="26"/>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 </w:t>
            </w:r>
            <w:r>
              <w:rPr>
                <w:rFonts w:ascii="宋体" w:hAnsi="宋体" w:cs="宋体" w:eastAsia="宋体" w:hint="default"/>
                <w:sz w:val="18"/>
                <w:szCs w:val="18"/>
              </w:rPr>
              <w:t>与收益相关</w:t>
            </w:r>
          </w:p>
        </w:tc>
      </w:tr>
      <w:tr>
        <w:trPr>
          <w:trHeight w:val="403"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29"/>
              <w:jc w:val="right"/>
              <w:rPr>
                <w:rFonts w:ascii="宋体" w:hAnsi="宋体" w:cs="宋体" w:eastAsia="宋体" w:hint="default"/>
                <w:sz w:val="18"/>
                <w:szCs w:val="18"/>
              </w:rPr>
            </w:pPr>
            <w:r>
              <w:rPr>
                <w:rFonts w:ascii="宋体" w:hAnsi="宋体" w:cs="宋体" w:eastAsia="宋体" w:hint="default"/>
                <w:sz w:val="18"/>
                <w:szCs w:val="18"/>
              </w:rPr>
              <w:t>新材料产业</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65" w:right="0"/>
              <w:jc w:val="center"/>
              <w:rPr>
                <w:rFonts w:ascii="Times New Roman" w:hAnsi="Times New Roman" w:cs="Times New Roman" w:eastAsia="Times New Roman" w:hint="default"/>
                <w:sz w:val="18"/>
                <w:szCs w:val="18"/>
              </w:rPr>
            </w:pPr>
            <w:r>
              <w:rPr>
                <w:rFonts w:ascii="Times New Roman"/>
                <w:sz w:val="18"/>
              </w:rPr>
              <w:t>4,000,000.00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19" w:right="0"/>
              <w:jc w:val="left"/>
              <w:rPr>
                <w:rFonts w:ascii="Times New Roman" w:hAnsi="Times New Roman" w:cs="Times New Roman" w:eastAsia="Times New Roman" w:hint="default"/>
                <w:sz w:val="18"/>
                <w:szCs w:val="18"/>
              </w:rPr>
            </w:pPr>
            <w:r>
              <w:rPr>
                <w:rFonts w:ascii="Times New Roman"/>
                <w:sz w:val="18"/>
              </w:rPr>
              <w:t>500,000.00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62" w:right="0"/>
              <w:jc w:val="center"/>
              <w:rPr>
                <w:rFonts w:ascii="Times New Roman" w:hAnsi="Times New Roman" w:cs="Times New Roman" w:eastAsia="Times New Roman" w:hint="default"/>
                <w:sz w:val="18"/>
                <w:szCs w:val="18"/>
              </w:rPr>
            </w:pPr>
            <w:r>
              <w:rPr>
                <w:rFonts w:ascii="Times New Roman"/>
                <w:sz w:val="18"/>
              </w:rPr>
              <w:t>3,500,000.00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064"/>
        <w:gridCol w:w="1064"/>
        <w:gridCol w:w="1063"/>
        <w:gridCol w:w="1064"/>
        <w:gridCol w:w="1063"/>
        <w:gridCol w:w="1063"/>
        <w:gridCol w:w="1064"/>
        <w:gridCol w:w="1062"/>
        <w:gridCol w:w="1063"/>
      </w:tblGrid>
      <w:tr>
        <w:trPr>
          <w:trHeight w:val="362"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化项目</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长春吉星新 厂建设及设 备设施更新 改造项目</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600,000.00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9"/>
              <w:jc w:val="left"/>
              <w:rPr>
                <w:rFonts w:ascii="宋体" w:hAnsi="宋体" w:cs="宋体" w:eastAsia="宋体" w:hint="default"/>
                <w:sz w:val="18"/>
                <w:szCs w:val="18"/>
              </w:rPr>
            </w:pPr>
            <w:r>
              <w:rPr>
                <w:rFonts w:ascii="宋体" w:hAnsi="宋体" w:cs="宋体" w:eastAsia="宋体" w:hint="default"/>
                <w:sz w:val="18"/>
                <w:szCs w:val="18"/>
              </w:rPr>
              <w:t>工业设计中 心资助款</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2,700,000.00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650"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发改委高端 印刷技术与 创新材料工 程实验室提 升项目</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3,000,000.00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338"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劲嘉高端印 刷品生产线 自动化改造 升级</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6,770,000.00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169,250.00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6,600,750.00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026"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微缩</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3D</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铂金 浮雕连线技 术改造</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1,680,135.00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168,013.50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1,512,121.50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338"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深圳发改委 关于设备节 能项目补助 款</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570,000.00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142,500.00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427,500.00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9"/>
              <w:jc w:val="left"/>
              <w:rPr>
                <w:rFonts w:ascii="宋体" w:hAnsi="宋体" w:cs="宋体" w:eastAsia="宋体" w:hint="default"/>
                <w:sz w:val="18"/>
                <w:szCs w:val="18"/>
              </w:rPr>
            </w:pPr>
            <w:r>
              <w:rPr>
                <w:rFonts w:ascii="宋体" w:hAnsi="宋体" w:cs="宋体" w:eastAsia="宋体" w:hint="default"/>
                <w:sz w:val="18"/>
                <w:szCs w:val="18"/>
              </w:rPr>
              <w:t>设备升级技 术改造项目</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782,100.00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78,210.00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703,890.00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026"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微缩</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3D</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铂金 浮雕连线技 术改造</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210,000.00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21,000.00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189,000.00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9"/>
              <w:jc w:val="left"/>
              <w:rPr>
                <w:rFonts w:ascii="宋体" w:hAnsi="宋体" w:cs="宋体" w:eastAsia="宋体" w:hint="default"/>
                <w:sz w:val="18"/>
                <w:szCs w:val="18"/>
              </w:rPr>
            </w:pPr>
            <w:r>
              <w:rPr>
                <w:rFonts w:ascii="宋体" w:hAnsi="宋体" w:cs="宋体" w:eastAsia="宋体" w:hint="default"/>
                <w:sz w:val="18"/>
                <w:szCs w:val="18"/>
              </w:rPr>
              <w:t>设备升级技 术改造项目</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56,000.00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5,600.00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50,400.00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10,300,000.0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10,068,235.0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1,584,573.50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18,783,661.5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4、股本" w:id="281"/>
      <w:bookmarkEnd w:id="281"/>
      <w:r>
        <w:rPr>
          <w:b w:val="0"/>
          <w:bCs w:val="0"/>
        </w:rPr>
      </w:r>
      <w:r>
        <w:rPr>
          <w:rFonts w:ascii="Times New Roman" w:hAnsi="Times New Roman" w:cs="Times New Roman" w:eastAsia="Times New Roman" w:hint="default"/>
        </w:rPr>
        <w:t>24</w:t>
      </w:r>
      <w:r>
        <w:rPr/>
        <w:t>、股本</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0"/>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184"/>
        <w:gridCol w:w="1196"/>
        <w:gridCol w:w="1196"/>
        <w:gridCol w:w="1197"/>
        <w:gridCol w:w="1195"/>
        <w:gridCol w:w="1197"/>
        <w:gridCol w:w="1196"/>
        <w:gridCol w:w="1195"/>
      </w:tblGrid>
      <w:tr>
        <w:trPr>
          <w:trHeight w:val="206" w:hRule="exact"/>
        </w:trPr>
        <w:tc>
          <w:tcPr>
            <w:tcW w:w="1184" w:type="dxa"/>
            <w:tcBorders>
              <w:top w:val="single" w:sz="4" w:space="0" w:color="000000"/>
              <w:left w:val="single" w:sz="4" w:space="0" w:color="000000"/>
              <w:bottom w:val="nil" w:sz="6" w:space="0" w:color="auto"/>
              <w:right w:val="single" w:sz="4" w:space="0" w:color="000000"/>
            </w:tcBorders>
            <w:shd w:val="clear" w:color="auto" w:fill="D2D2D2"/>
          </w:tcPr>
          <w:p>
            <w:pPr/>
          </w:p>
        </w:tc>
        <w:tc>
          <w:tcPr>
            <w:tcW w:w="1196" w:type="dxa"/>
            <w:tcBorders>
              <w:top w:val="single" w:sz="4" w:space="0" w:color="000000"/>
              <w:left w:val="single" w:sz="4" w:space="0" w:color="000000"/>
              <w:bottom w:val="nil" w:sz="6" w:space="0" w:color="auto"/>
              <w:right w:val="single" w:sz="4" w:space="0" w:color="000000"/>
            </w:tcBorders>
            <w:shd w:val="clear" w:color="auto" w:fill="D2D2D2"/>
          </w:tcPr>
          <w:p>
            <w:pPr/>
          </w:p>
        </w:tc>
        <w:tc>
          <w:tcPr>
            <w:tcW w:w="5982" w:type="dxa"/>
            <w:gridSpan w:val="5"/>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19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7" w:hRule="exact"/>
        </w:trPr>
        <w:tc>
          <w:tcPr>
            <w:tcW w:w="1184" w:type="dxa"/>
            <w:vMerge w:val="restart"/>
            <w:tcBorders>
              <w:top w:val="nil" w:sz="6" w:space="0" w:color="auto"/>
              <w:left w:val="single" w:sz="4" w:space="0" w:color="000000"/>
              <w:right w:val="single" w:sz="4" w:space="0" w:color="000000"/>
            </w:tcBorders>
            <w:shd w:val="clear" w:color="auto" w:fill="D2D2D2"/>
          </w:tcPr>
          <w:p>
            <w:pPr/>
          </w:p>
        </w:tc>
        <w:tc>
          <w:tcPr>
            <w:tcW w:w="119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982" w:type="dxa"/>
            <w:gridSpan w:val="5"/>
            <w:vMerge/>
            <w:tcBorders>
              <w:left w:val="single" w:sz="4" w:space="0" w:color="000000"/>
              <w:bottom w:val="single" w:sz="4" w:space="0" w:color="000000"/>
              <w:right w:val="single" w:sz="4" w:space="0" w:color="000000"/>
            </w:tcBorders>
            <w:shd w:val="clear" w:color="auto" w:fill="D2D2D2"/>
          </w:tcPr>
          <w:p>
            <w:pPr/>
          </w:p>
        </w:tc>
        <w:tc>
          <w:tcPr>
            <w:tcW w:w="119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6" w:hRule="exact"/>
        </w:trPr>
        <w:tc>
          <w:tcPr>
            <w:tcW w:w="1184" w:type="dxa"/>
            <w:vMerge/>
            <w:tcBorders>
              <w:left w:val="single" w:sz="4" w:space="0" w:color="000000"/>
              <w:bottom w:val="nil" w:sz="6" w:space="0" w:color="auto"/>
              <w:right w:val="single" w:sz="4" w:space="0" w:color="000000"/>
            </w:tcBorders>
            <w:shd w:val="clear" w:color="auto" w:fill="D2D2D2"/>
          </w:tcPr>
          <w:p>
            <w:pPr/>
          </w:p>
        </w:tc>
        <w:tc>
          <w:tcPr>
            <w:tcW w:w="1196" w:type="dxa"/>
            <w:vMerge/>
            <w:tcBorders>
              <w:left w:val="single" w:sz="4" w:space="0" w:color="000000"/>
              <w:bottom w:val="nil" w:sz="6" w:space="0" w:color="auto"/>
              <w:right w:val="single" w:sz="4" w:space="0" w:color="000000"/>
            </w:tcBorders>
            <w:shd w:val="clear" w:color="auto" w:fill="D2D2D2"/>
          </w:tcPr>
          <w:p>
            <w:pP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33"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11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送股</w:t>
            </w: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42"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1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小计</w:t>
            </w:r>
          </w:p>
        </w:tc>
        <w:tc>
          <w:tcPr>
            <w:tcW w:w="1195" w:type="dxa"/>
            <w:vMerge/>
            <w:tcBorders>
              <w:left w:val="single" w:sz="4" w:space="0" w:color="000000"/>
              <w:bottom w:val="nil" w:sz="6" w:space="0" w:color="auto"/>
              <w:right w:val="single" w:sz="4" w:space="0" w:color="000000"/>
            </w:tcBorders>
            <w:shd w:val="clear" w:color="auto" w:fill="D2D2D2"/>
          </w:tcPr>
          <w:p>
            <w:pPr/>
          </w:p>
        </w:tc>
      </w:tr>
      <w:tr>
        <w:trPr>
          <w:trHeight w:val="205" w:hRule="exact"/>
        </w:trPr>
        <w:tc>
          <w:tcPr>
            <w:tcW w:w="1184"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97" w:type="dxa"/>
            <w:vMerge/>
            <w:tcBorders>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97"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9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62" w:hRule="exact"/>
        </w:trPr>
        <w:tc>
          <w:tcPr>
            <w:tcW w:w="1184" w:type="dxa"/>
            <w:tcBorders>
              <w:top w:val="single" w:sz="4" w:space="0" w:color="000000"/>
              <w:left w:val="single" w:sz="4" w:space="0" w:color="000000"/>
              <w:bottom w:val="nil" w:sz="6" w:space="0" w:color="auto"/>
              <w:right w:val="single" w:sz="4" w:space="0" w:color="000000"/>
            </w:tcBorders>
            <w:shd w:val="clear" w:color="auto" w:fill="D2D2D2"/>
          </w:tcPr>
          <w:p>
            <w:pPr/>
          </w:p>
        </w:tc>
        <w:tc>
          <w:tcPr>
            <w:tcW w:w="1196" w:type="dxa"/>
            <w:vMerge w:val="restart"/>
            <w:tcBorders>
              <w:top w:val="single" w:sz="4" w:space="0" w:color="000000"/>
              <w:left w:val="single" w:sz="10" w:space="0" w:color="D2D2D2"/>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1,494,834,382.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1196" w:type="dxa"/>
            <w:vMerge w:val="restart"/>
            <w:tcBorders>
              <w:top w:val="single" w:sz="4" w:space="0" w:color="000000"/>
              <w:left w:val="single" w:sz="4" w:space="0" w:color="000000"/>
              <w:right w:val="single" w:sz="4" w:space="0" w:color="000000"/>
            </w:tcBorders>
          </w:tcPr>
          <w:p>
            <w:pPr/>
          </w:p>
        </w:tc>
        <w:tc>
          <w:tcPr>
            <w:tcW w:w="1197" w:type="dxa"/>
            <w:vMerge w:val="restart"/>
            <w:tcBorders>
              <w:top w:val="single" w:sz="4" w:space="0" w:color="000000"/>
              <w:left w:val="single" w:sz="4" w:space="0" w:color="000000"/>
              <w:right w:val="single" w:sz="4" w:space="0" w:color="000000"/>
            </w:tcBorders>
          </w:tcPr>
          <w:p>
            <w:pPr/>
          </w:p>
        </w:tc>
        <w:tc>
          <w:tcPr>
            <w:tcW w:w="1195" w:type="dxa"/>
            <w:vMerge w:val="restart"/>
            <w:tcBorders>
              <w:top w:val="single" w:sz="4" w:space="0" w:color="000000"/>
              <w:left w:val="single" w:sz="4" w:space="0" w:color="000000"/>
              <w:right w:val="single" w:sz="4" w:space="0" w:color="000000"/>
            </w:tcBorders>
          </w:tcPr>
          <w:p>
            <w:pPr/>
          </w:p>
        </w:tc>
        <w:tc>
          <w:tcPr>
            <w:tcW w:w="1197" w:type="dxa"/>
            <w:vMerge w:val="restart"/>
            <w:tcBorders>
              <w:top w:val="single" w:sz="4" w:space="0" w:color="000000"/>
              <w:left w:val="single" w:sz="4" w:space="0" w:color="000000"/>
              <w:right w:val="single" w:sz="4" w:space="0" w:color="000000"/>
            </w:tcBorders>
          </w:tcPr>
          <w:p>
            <w:pPr/>
          </w:p>
        </w:tc>
        <w:tc>
          <w:tcPr>
            <w:tcW w:w="1196" w:type="dxa"/>
            <w:vMerge w:val="restart"/>
            <w:tcBorders>
              <w:top w:val="single" w:sz="4" w:space="0" w:color="000000"/>
              <w:left w:val="single" w:sz="4" w:space="0" w:color="000000"/>
              <w:right w:val="single" w:sz="4" w:space="0" w:color="000000"/>
            </w:tcBorders>
          </w:tcPr>
          <w:p>
            <w:pPr/>
          </w:p>
        </w:tc>
        <w:tc>
          <w:tcPr>
            <w:tcW w:w="1195" w:type="dxa"/>
            <w:vMerge w:val="restart"/>
            <w:tcBorders>
              <w:top w:val="single" w:sz="4" w:space="0" w:color="000000"/>
              <w:left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1,494,834,382.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r>
      <w:tr>
        <w:trPr>
          <w:trHeight w:val="391" w:hRule="exact"/>
        </w:trPr>
        <w:tc>
          <w:tcPr>
            <w:tcW w:w="118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196" w:type="dxa"/>
            <w:vMerge/>
            <w:tcBorders>
              <w:left w:val="single" w:sz="10" w:space="0" w:color="D2D2D2"/>
              <w:right w:val="single" w:sz="4" w:space="0" w:color="000000"/>
            </w:tcBorders>
          </w:tcPr>
          <w:p>
            <w:pPr/>
          </w:p>
        </w:tc>
        <w:tc>
          <w:tcPr>
            <w:tcW w:w="1196" w:type="dxa"/>
            <w:vMerge/>
            <w:tcBorders>
              <w:left w:val="single" w:sz="4" w:space="0" w:color="000000"/>
              <w:right w:val="single" w:sz="4" w:space="0" w:color="000000"/>
            </w:tcBorders>
          </w:tcPr>
          <w:p>
            <w:pPr/>
          </w:p>
        </w:tc>
        <w:tc>
          <w:tcPr>
            <w:tcW w:w="1197" w:type="dxa"/>
            <w:vMerge/>
            <w:tcBorders>
              <w:left w:val="single" w:sz="4" w:space="0" w:color="000000"/>
              <w:right w:val="single" w:sz="4" w:space="0" w:color="000000"/>
            </w:tcBorders>
          </w:tcPr>
          <w:p>
            <w:pPr/>
          </w:p>
        </w:tc>
        <w:tc>
          <w:tcPr>
            <w:tcW w:w="1195" w:type="dxa"/>
            <w:vMerge/>
            <w:tcBorders>
              <w:left w:val="single" w:sz="4" w:space="0" w:color="000000"/>
              <w:right w:val="single" w:sz="4" w:space="0" w:color="000000"/>
            </w:tcBorders>
          </w:tcPr>
          <w:p>
            <w:pPr/>
          </w:p>
        </w:tc>
        <w:tc>
          <w:tcPr>
            <w:tcW w:w="1197"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195" w:type="dxa"/>
            <w:vMerge/>
            <w:tcBorders>
              <w:left w:val="single" w:sz="4" w:space="0" w:color="000000"/>
              <w:right w:val="single" w:sz="4" w:space="0" w:color="000000"/>
            </w:tcBorders>
          </w:tcPr>
          <w:p>
            <w:pPr/>
          </w:p>
        </w:tc>
      </w:tr>
      <w:tr>
        <w:trPr>
          <w:trHeight w:val="162" w:hRule="exact"/>
        </w:trPr>
        <w:tc>
          <w:tcPr>
            <w:tcW w:w="1184"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6" w:type="dxa"/>
            <w:vMerge/>
            <w:tcBorders>
              <w:left w:val="single" w:sz="10" w:space="0" w:color="D2D2D2"/>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197" w:type="dxa"/>
            <w:vMerge/>
            <w:tcBorders>
              <w:left w:val="single" w:sz="4" w:space="0" w:color="000000"/>
              <w:bottom w:val="single" w:sz="4" w:space="0" w:color="000000"/>
              <w:right w:val="single" w:sz="4" w:space="0" w:color="000000"/>
            </w:tcBorders>
          </w:tcPr>
          <w:p>
            <w:pPr/>
          </w:p>
        </w:tc>
        <w:tc>
          <w:tcPr>
            <w:tcW w:w="1195" w:type="dxa"/>
            <w:vMerge/>
            <w:tcBorders>
              <w:left w:val="single" w:sz="4" w:space="0" w:color="000000"/>
              <w:bottom w:val="single" w:sz="4" w:space="0" w:color="000000"/>
              <w:right w:val="single" w:sz="4" w:space="0" w:color="000000"/>
            </w:tcBorders>
          </w:tcPr>
          <w:p>
            <w:pPr/>
          </w:p>
        </w:tc>
        <w:tc>
          <w:tcPr>
            <w:tcW w:w="1197"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195"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right="0"/>
        <w:jc w:val="left"/>
        <w:rPr>
          <w:b w:val="0"/>
          <w:bCs w:val="0"/>
        </w:rPr>
      </w:pPr>
      <w:bookmarkStart w:name="25、资本公积" w:id="282"/>
      <w:bookmarkEnd w:id="282"/>
      <w:r>
        <w:rPr>
          <w:b w:val="0"/>
          <w:bCs w:val="0"/>
        </w:rPr>
      </w:r>
      <w:r>
        <w:rPr>
          <w:rFonts w:ascii="Times New Roman" w:hAnsi="Times New Roman" w:cs="Times New Roman" w:eastAsia="Times New Roman" w:hint="default"/>
        </w:rPr>
        <w:t>25</w:t>
      </w:r>
      <w:r>
        <w:rPr/>
        <w:t>、资本公积</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1,607,890,158.84</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1,607,890,158.84</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其他资本公积</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43,913,162.02</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3,557,050.32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2"/>
                <w:sz w:val="18"/>
              </w:rPr>
              <w:t>40,356,111.70</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1,651,803,320.86</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3,557,050.32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1,648,246,270.54</w:t>
            </w:r>
          </w:p>
        </w:tc>
      </w:tr>
    </w:tbl>
    <w:p>
      <w:pPr>
        <w:pStyle w:val="BodyText"/>
        <w:spacing w:line="240" w:lineRule="auto" w:before="51"/>
        <w:ind w:right="0"/>
        <w:jc w:val="left"/>
      </w:pPr>
      <w:r>
        <w:rPr/>
        <w:t>其他说明，包括本期增减变动情况、变动原因说明：</w:t>
      </w:r>
    </w:p>
    <w:p>
      <w:pPr>
        <w:pStyle w:val="BodyText"/>
        <w:spacing w:line="302" w:lineRule="auto" w:before="115"/>
        <w:ind w:right="1117"/>
        <w:jc w:val="left"/>
      </w:pPr>
      <w:r>
        <w:rPr>
          <w:spacing w:val="-2"/>
        </w:rPr>
        <w:t>本期资本公积变动系收购子公司少数股东股权形成，详见本附注九、</w:t>
      </w:r>
      <w:r>
        <w:rPr>
          <w:rFonts w:ascii="Times New Roman" w:hAnsi="Times New Roman" w:cs="Times New Roman" w:eastAsia="Times New Roman" w:hint="default"/>
          <w:spacing w:val="-2"/>
        </w:rPr>
        <w:t>2</w:t>
      </w:r>
      <w:r>
        <w:rPr>
          <w:rFonts w:ascii="Times New Roman" w:hAnsi="Times New Roman" w:cs="Times New Roman" w:eastAsia="Times New Roman" w:hint="default"/>
          <w:spacing w:val="22"/>
        </w:rPr>
        <w:t> </w:t>
      </w:r>
      <w:r>
        <w:rPr/>
        <w:t>“在子公司的所有者权益份额发生变化且仍控制子公 </w:t>
      </w:r>
      <w:r>
        <w:rPr>
          <w:spacing w:val="-15"/>
        </w:rPr>
        <w:t>司的交易”。</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14"/>
          <w:szCs w:val="14"/>
        </w:rPr>
      </w:pPr>
    </w:p>
    <w:p>
      <w:pPr>
        <w:pStyle w:val="Heading3"/>
        <w:spacing w:line="240" w:lineRule="auto"/>
        <w:ind w:right="0"/>
        <w:jc w:val="left"/>
        <w:rPr>
          <w:b w:val="0"/>
          <w:bCs w:val="0"/>
        </w:rPr>
      </w:pPr>
      <w:bookmarkStart w:name="26、库存股" w:id="283"/>
      <w:bookmarkEnd w:id="283"/>
      <w:r>
        <w:rPr>
          <w:b w:val="0"/>
          <w:bCs w:val="0"/>
        </w:rPr>
      </w:r>
      <w:r>
        <w:rPr>
          <w:rFonts w:ascii="Times New Roman" w:hAnsi="Times New Roman" w:cs="Times New Roman" w:eastAsia="Times New Roman" w:hint="default"/>
        </w:rPr>
        <w:t>26</w:t>
      </w:r>
      <w:r>
        <w:rPr/>
        <w:t>、库存股</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回购股份</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230,222,172.45</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230,222,172.45</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230,222,172.45</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230,222,172.45</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7、其他综合收益" w:id="284"/>
      <w:bookmarkEnd w:id="284"/>
      <w:r>
        <w:rPr>
          <w:b w:val="0"/>
          <w:bCs w:val="0"/>
        </w:rPr>
      </w:r>
      <w:r>
        <w:rPr>
          <w:rFonts w:ascii="Times New Roman" w:hAnsi="Times New Roman" w:cs="Times New Roman" w:eastAsia="Times New Roman" w:hint="default"/>
        </w:rPr>
        <w:t>27</w:t>
      </w:r>
      <w:r>
        <w:rPr/>
        <w:t>、其他综合收益</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799"/>
        <w:gridCol w:w="1070"/>
        <w:gridCol w:w="935"/>
        <w:gridCol w:w="1152"/>
        <w:gridCol w:w="935"/>
        <w:gridCol w:w="936"/>
        <w:gridCol w:w="935"/>
        <w:gridCol w:w="796"/>
      </w:tblGrid>
      <w:tr>
        <w:trPr>
          <w:trHeight w:val="397" w:hRule="exact"/>
        </w:trPr>
        <w:tc>
          <w:tcPr>
            <w:tcW w:w="2799" w:type="dxa"/>
            <w:vMerge w:val="restart"/>
            <w:tcBorders>
              <w:top w:val="single" w:sz="4" w:space="0" w:color="000000"/>
              <w:left w:val="single" w:sz="4" w:space="0" w:color="000000"/>
              <w:right w:val="single" w:sz="4" w:space="0" w:color="000000"/>
            </w:tcBorders>
            <w:shd w:val="clear" w:color="auto" w:fill="D2D2D2"/>
          </w:tcPr>
          <w:p>
            <w:pPr/>
          </w:p>
        </w:tc>
        <w:tc>
          <w:tcPr>
            <w:tcW w:w="1070" w:type="dxa"/>
            <w:vMerge w:val="restart"/>
            <w:tcBorders>
              <w:top w:val="single" w:sz="4" w:space="0" w:color="000000"/>
              <w:left w:val="single" w:sz="4" w:space="0" w:color="000000"/>
              <w:right w:val="single" w:sz="4" w:space="0" w:color="000000"/>
            </w:tcBorders>
            <w:shd w:val="clear" w:color="auto" w:fill="D2D2D2"/>
          </w:tcPr>
          <w:p>
            <w:pPr/>
          </w:p>
        </w:tc>
        <w:tc>
          <w:tcPr>
            <w:tcW w:w="4893"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796" w:type="dxa"/>
            <w:vMerge w:val="restart"/>
            <w:tcBorders>
              <w:top w:val="single" w:sz="4" w:space="0" w:color="000000"/>
              <w:left w:val="single" w:sz="4" w:space="0" w:color="000000"/>
              <w:right w:val="single" w:sz="4" w:space="0" w:color="000000"/>
            </w:tcBorders>
            <w:shd w:val="clear" w:color="auto" w:fill="D2D2D2"/>
          </w:tcPr>
          <w:p>
            <w:pPr/>
          </w:p>
        </w:tc>
      </w:tr>
      <w:tr>
        <w:trPr>
          <w:trHeight w:val="121" w:hRule="exact"/>
        </w:trPr>
        <w:tc>
          <w:tcPr>
            <w:tcW w:w="2799" w:type="dxa"/>
            <w:vMerge/>
            <w:tcBorders>
              <w:left w:val="single" w:sz="4" w:space="0" w:color="000000"/>
              <w:bottom w:val="nil" w:sz="6" w:space="0" w:color="auto"/>
              <w:right w:val="single" w:sz="4" w:space="0" w:color="000000"/>
            </w:tcBorders>
            <w:shd w:val="clear" w:color="auto" w:fill="D2D2D2"/>
          </w:tcPr>
          <w:p>
            <w:pPr/>
          </w:p>
        </w:tc>
        <w:tc>
          <w:tcPr>
            <w:tcW w:w="1070" w:type="dxa"/>
            <w:vMerge/>
            <w:tcBorders>
              <w:left w:val="single" w:sz="4" w:space="0" w:color="000000"/>
              <w:bottom w:val="nil" w:sz="6" w:space="0" w:color="auto"/>
              <w:right w:val="single" w:sz="4" w:space="0" w:color="000000"/>
            </w:tcBorders>
            <w:shd w:val="clear" w:color="auto" w:fill="D2D2D2"/>
          </w:tcPr>
          <w:p>
            <w:pPr/>
          </w:p>
        </w:tc>
        <w:tc>
          <w:tcPr>
            <w:tcW w:w="935"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6"/>
              <w:ind w:left="102" w:right="101"/>
              <w:jc w:val="center"/>
              <w:rPr>
                <w:rFonts w:ascii="宋体" w:hAnsi="宋体" w:cs="宋体" w:eastAsia="宋体" w:hint="default"/>
                <w:sz w:val="18"/>
                <w:szCs w:val="18"/>
              </w:rPr>
            </w:pPr>
            <w:r>
              <w:rPr>
                <w:rFonts w:ascii="宋体" w:hAnsi="宋体" w:cs="宋体" w:eastAsia="宋体" w:hint="default"/>
                <w:sz w:val="18"/>
                <w:szCs w:val="18"/>
              </w:rPr>
              <w:t>本期所得 税前发生 额</w:t>
            </w:r>
          </w:p>
        </w:tc>
        <w:tc>
          <w:tcPr>
            <w:tcW w:w="115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6"/>
              <w:ind w:left="30" w:right="30"/>
              <w:jc w:val="both"/>
              <w:rPr>
                <w:rFonts w:ascii="宋体" w:hAnsi="宋体" w:cs="宋体" w:eastAsia="宋体" w:hint="default"/>
                <w:sz w:val="18"/>
                <w:szCs w:val="18"/>
              </w:rPr>
            </w:pPr>
            <w:r>
              <w:rPr>
                <w:rFonts w:ascii="宋体" w:hAnsi="宋体" w:cs="宋体" w:eastAsia="宋体" w:hint="default"/>
                <w:sz w:val="18"/>
                <w:szCs w:val="18"/>
              </w:rPr>
              <w:t>减：前期计入 其他综合收益 当期转入损益</w:t>
            </w:r>
          </w:p>
        </w:tc>
        <w:tc>
          <w:tcPr>
            <w:tcW w:w="935" w:type="dxa"/>
            <w:tcBorders>
              <w:top w:val="single" w:sz="4" w:space="0" w:color="000000"/>
              <w:left w:val="single" w:sz="4" w:space="0" w:color="000000"/>
              <w:bottom w:val="nil" w:sz="6" w:space="0" w:color="auto"/>
              <w:right w:val="single" w:sz="4" w:space="0" w:color="000000"/>
            </w:tcBorders>
            <w:shd w:val="clear" w:color="auto" w:fill="D2D2D2"/>
          </w:tcPr>
          <w:p>
            <w:pPr/>
          </w:p>
        </w:tc>
        <w:tc>
          <w:tcPr>
            <w:tcW w:w="936" w:type="dxa"/>
            <w:tcBorders>
              <w:top w:val="single" w:sz="4" w:space="0" w:color="000000"/>
              <w:left w:val="single" w:sz="4" w:space="0" w:color="000000"/>
              <w:bottom w:val="nil" w:sz="6" w:space="0" w:color="auto"/>
              <w:right w:val="single" w:sz="4" w:space="0" w:color="000000"/>
            </w:tcBorders>
            <w:shd w:val="clear" w:color="auto" w:fill="D2D2D2"/>
          </w:tcPr>
          <w:p>
            <w:pPr/>
          </w:p>
        </w:tc>
        <w:tc>
          <w:tcPr>
            <w:tcW w:w="935"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6"/>
              <w:ind w:left="102" w:right="101"/>
              <w:jc w:val="center"/>
              <w:rPr>
                <w:rFonts w:ascii="宋体" w:hAnsi="宋体" w:cs="宋体" w:eastAsia="宋体" w:hint="default"/>
                <w:sz w:val="18"/>
                <w:szCs w:val="18"/>
              </w:rPr>
            </w:pPr>
            <w:r>
              <w:rPr>
                <w:rFonts w:ascii="宋体" w:hAnsi="宋体" w:cs="宋体" w:eastAsia="宋体" w:hint="default"/>
                <w:sz w:val="18"/>
                <w:szCs w:val="18"/>
              </w:rPr>
              <w:t>税后归属 于少数股 东</w:t>
            </w:r>
          </w:p>
        </w:tc>
        <w:tc>
          <w:tcPr>
            <w:tcW w:w="796" w:type="dxa"/>
            <w:vMerge/>
            <w:tcBorders>
              <w:left w:val="single" w:sz="4" w:space="0" w:color="000000"/>
              <w:bottom w:val="nil" w:sz="6" w:space="0" w:color="auto"/>
              <w:right w:val="single" w:sz="4" w:space="0" w:color="000000"/>
            </w:tcBorders>
            <w:shd w:val="clear" w:color="auto" w:fill="D2D2D2"/>
          </w:tcPr>
          <w:p>
            <w:pPr/>
          </w:p>
        </w:tc>
      </w:tr>
      <w:tr>
        <w:trPr>
          <w:trHeight w:val="369" w:hRule="exact"/>
        </w:trPr>
        <w:tc>
          <w:tcPr>
            <w:tcW w:w="279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107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6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935" w:type="dxa"/>
            <w:vMerge/>
            <w:tcBorders>
              <w:left w:val="single" w:sz="4" w:space="0" w:color="000000"/>
              <w:right w:val="single" w:sz="4" w:space="0" w:color="000000"/>
            </w:tcBorders>
            <w:shd w:val="clear" w:color="auto" w:fill="D2D2D2"/>
          </w:tcPr>
          <w:p>
            <w:pPr/>
          </w:p>
        </w:tc>
        <w:tc>
          <w:tcPr>
            <w:tcW w:w="1152" w:type="dxa"/>
            <w:vMerge/>
            <w:tcBorders>
              <w:left w:val="single" w:sz="4" w:space="0" w:color="000000"/>
              <w:right w:val="single" w:sz="4" w:space="0" w:color="000000"/>
            </w:tcBorders>
            <w:shd w:val="clear" w:color="auto" w:fill="D2D2D2"/>
          </w:tcPr>
          <w:p>
            <w:pPr/>
          </w:p>
        </w:tc>
        <w:tc>
          <w:tcPr>
            <w:tcW w:w="935"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73"/>
              <w:ind w:left="282" w:right="23" w:hanging="260"/>
              <w:jc w:val="left"/>
              <w:rPr>
                <w:rFonts w:ascii="宋体" w:hAnsi="宋体" w:cs="宋体" w:eastAsia="宋体" w:hint="default"/>
                <w:sz w:val="18"/>
                <w:szCs w:val="18"/>
              </w:rPr>
            </w:pPr>
            <w:r>
              <w:rPr>
                <w:rFonts w:ascii="宋体" w:hAnsi="宋体" w:cs="宋体" w:eastAsia="宋体" w:hint="default"/>
                <w:spacing w:val="-5"/>
                <w:sz w:val="18"/>
                <w:szCs w:val="18"/>
              </w:rPr>
              <w:t>减：所得税</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费用</w:t>
            </w:r>
          </w:p>
        </w:tc>
        <w:tc>
          <w:tcPr>
            <w:tcW w:w="936"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73"/>
              <w:ind w:left="102" w:right="102"/>
              <w:jc w:val="left"/>
              <w:rPr>
                <w:rFonts w:ascii="宋体" w:hAnsi="宋体" w:cs="宋体" w:eastAsia="宋体" w:hint="default"/>
                <w:sz w:val="18"/>
                <w:szCs w:val="18"/>
              </w:rPr>
            </w:pPr>
            <w:r>
              <w:rPr>
                <w:rFonts w:ascii="宋体" w:hAnsi="宋体" w:cs="宋体" w:eastAsia="宋体" w:hint="default"/>
                <w:sz w:val="18"/>
                <w:szCs w:val="18"/>
              </w:rPr>
              <w:t>税后归属 于母公司</w:t>
            </w:r>
          </w:p>
        </w:tc>
        <w:tc>
          <w:tcPr>
            <w:tcW w:w="935" w:type="dxa"/>
            <w:vMerge/>
            <w:tcBorders>
              <w:left w:val="single" w:sz="4" w:space="0" w:color="000000"/>
              <w:right w:val="single" w:sz="4" w:space="0" w:color="000000"/>
            </w:tcBorders>
            <w:shd w:val="clear" w:color="auto" w:fill="D2D2D2"/>
          </w:tcPr>
          <w:p>
            <w:pPr/>
          </w:p>
        </w:tc>
        <w:tc>
          <w:tcPr>
            <w:tcW w:w="7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9"/>
              <w:ind w:left="3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58" w:hRule="exact"/>
        </w:trPr>
        <w:tc>
          <w:tcPr>
            <w:tcW w:w="2799" w:type="dxa"/>
            <w:vMerge w:val="restart"/>
            <w:tcBorders>
              <w:top w:val="nil" w:sz="6" w:space="0" w:color="auto"/>
              <w:left w:val="single" w:sz="4" w:space="0" w:color="000000"/>
              <w:right w:val="single" w:sz="4" w:space="0" w:color="000000"/>
            </w:tcBorders>
            <w:shd w:val="clear" w:color="auto" w:fill="D2D2D2"/>
          </w:tcPr>
          <w:p>
            <w:pPr/>
          </w:p>
        </w:tc>
        <w:tc>
          <w:tcPr>
            <w:tcW w:w="1070" w:type="dxa"/>
            <w:vMerge w:val="restart"/>
            <w:tcBorders>
              <w:top w:val="nil" w:sz="6" w:space="0" w:color="auto"/>
              <w:left w:val="single" w:sz="4" w:space="0" w:color="000000"/>
              <w:right w:val="single" w:sz="4" w:space="0" w:color="000000"/>
            </w:tcBorders>
            <w:shd w:val="clear" w:color="auto" w:fill="D2D2D2"/>
          </w:tcPr>
          <w:p>
            <w:pPr/>
          </w:p>
        </w:tc>
        <w:tc>
          <w:tcPr>
            <w:tcW w:w="935" w:type="dxa"/>
            <w:vMerge/>
            <w:tcBorders>
              <w:left w:val="single" w:sz="4" w:space="0" w:color="000000"/>
              <w:right w:val="single" w:sz="4" w:space="0" w:color="000000"/>
            </w:tcBorders>
            <w:shd w:val="clear" w:color="auto" w:fill="D2D2D2"/>
          </w:tcPr>
          <w:p>
            <w:pPr/>
          </w:p>
        </w:tc>
        <w:tc>
          <w:tcPr>
            <w:tcW w:w="1152" w:type="dxa"/>
            <w:vMerge/>
            <w:tcBorders>
              <w:left w:val="single" w:sz="4" w:space="0" w:color="000000"/>
              <w:right w:val="single" w:sz="4" w:space="0" w:color="000000"/>
            </w:tcBorders>
            <w:shd w:val="clear" w:color="auto" w:fill="D2D2D2"/>
          </w:tcPr>
          <w:p>
            <w:pPr/>
          </w:p>
        </w:tc>
        <w:tc>
          <w:tcPr>
            <w:tcW w:w="935" w:type="dxa"/>
            <w:vMerge/>
            <w:tcBorders>
              <w:left w:val="single" w:sz="4" w:space="0" w:color="000000"/>
              <w:bottom w:val="nil" w:sz="6" w:space="0" w:color="auto"/>
              <w:right w:val="single" w:sz="4" w:space="0" w:color="000000"/>
            </w:tcBorders>
            <w:shd w:val="clear" w:color="auto" w:fill="D2D2D2"/>
          </w:tcPr>
          <w:p>
            <w:pPr/>
          </w:p>
        </w:tc>
        <w:tc>
          <w:tcPr>
            <w:tcW w:w="936" w:type="dxa"/>
            <w:vMerge/>
            <w:tcBorders>
              <w:left w:val="single" w:sz="4" w:space="0" w:color="000000"/>
              <w:bottom w:val="nil" w:sz="6" w:space="0" w:color="auto"/>
              <w:right w:val="single" w:sz="4" w:space="0" w:color="000000"/>
            </w:tcBorders>
            <w:shd w:val="clear" w:color="auto" w:fill="D2D2D2"/>
          </w:tcPr>
          <w:p>
            <w:pPr/>
          </w:p>
        </w:tc>
        <w:tc>
          <w:tcPr>
            <w:tcW w:w="935" w:type="dxa"/>
            <w:vMerge/>
            <w:tcBorders>
              <w:left w:val="single" w:sz="4" w:space="0" w:color="000000"/>
              <w:right w:val="single" w:sz="4" w:space="0" w:color="000000"/>
            </w:tcBorders>
            <w:shd w:val="clear" w:color="auto" w:fill="D2D2D2"/>
          </w:tcPr>
          <w:p>
            <w:pPr/>
          </w:p>
        </w:tc>
        <w:tc>
          <w:tcPr>
            <w:tcW w:w="796"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2799" w:type="dxa"/>
            <w:vMerge/>
            <w:tcBorders>
              <w:left w:val="single" w:sz="4" w:space="0" w:color="000000"/>
              <w:bottom w:val="single" w:sz="4" w:space="0" w:color="000000"/>
              <w:right w:val="single" w:sz="4" w:space="0" w:color="000000"/>
            </w:tcBorders>
            <w:shd w:val="clear" w:color="auto" w:fill="D2D2D2"/>
          </w:tcPr>
          <w:p>
            <w:pPr/>
          </w:p>
        </w:tc>
        <w:tc>
          <w:tcPr>
            <w:tcW w:w="1070" w:type="dxa"/>
            <w:vMerge/>
            <w:tcBorders>
              <w:left w:val="single" w:sz="4" w:space="0" w:color="000000"/>
              <w:bottom w:val="single" w:sz="4" w:space="0" w:color="000000"/>
              <w:right w:val="single" w:sz="4" w:space="0" w:color="000000"/>
            </w:tcBorders>
            <w:shd w:val="clear" w:color="auto" w:fill="D2D2D2"/>
          </w:tcPr>
          <w:p>
            <w:pPr/>
          </w:p>
        </w:tc>
        <w:tc>
          <w:tcPr>
            <w:tcW w:w="935" w:type="dxa"/>
            <w:vMerge/>
            <w:tcBorders>
              <w:left w:val="single" w:sz="4" w:space="0" w:color="000000"/>
              <w:bottom w:val="single" w:sz="4" w:space="0" w:color="000000"/>
              <w:right w:val="single" w:sz="4" w:space="0" w:color="000000"/>
            </w:tcBorders>
            <w:shd w:val="clear" w:color="auto" w:fill="D2D2D2"/>
          </w:tcPr>
          <w:p>
            <w:pPr/>
          </w:p>
        </w:tc>
        <w:tc>
          <w:tcPr>
            <w:tcW w:w="1152" w:type="dxa"/>
            <w:vMerge/>
            <w:tcBorders>
              <w:left w:val="single" w:sz="4" w:space="0" w:color="000000"/>
              <w:bottom w:val="single" w:sz="4" w:space="0" w:color="000000"/>
              <w:right w:val="single" w:sz="4" w:space="0" w:color="000000"/>
            </w:tcBorders>
            <w:shd w:val="clear" w:color="auto" w:fill="D2D2D2"/>
          </w:tcPr>
          <w:p>
            <w:pPr/>
          </w:p>
        </w:tc>
        <w:tc>
          <w:tcPr>
            <w:tcW w:w="935" w:type="dxa"/>
            <w:tcBorders>
              <w:top w:val="nil" w:sz="6" w:space="0" w:color="auto"/>
              <w:left w:val="single" w:sz="4" w:space="0" w:color="000000"/>
              <w:bottom w:val="single" w:sz="4" w:space="0" w:color="000000"/>
              <w:right w:val="single" w:sz="4" w:space="0" w:color="000000"/>
            </w:tcBorders>
            <w:shd w:val="clear" w:color="auto" w:fill="D2D2D2"/>
          </w:tcPr>
          <w:p>
            <w:pPr/>
          </w:p>
        </w:tc>
        <w:tc>
          <w:tcPr>
            <w:tcW w:w="936" w:type="dxa"/>
            <w:tcBorders>
              <w:top w:val="nil" w:sz="6" w:space="0" w:color="auto"/>
              <w:left w:val="single" w:sz="4" w:space="0" w:color="000000"/>
              <w:bottom w:val="single" w:sz="4" w:space="0" w:color="000000"/>
              <w:right w:val="single" w:sz="4" w:space="0" w:color="000000"/>
            </w:tcBorders>
            <w:shd w:val="clear" w:color="auto" w:fill="D2D2D2"/>
          </w:tcPr>
          <w:p>
            <w:pPr/>
          </w:p>
        </w:tc>
        <w:tc>
          <w:tcPr>
            <w:tcW w:w="935" w:type="dxa"/>
            <w:vMerge/>
            <w:tcBorders>
              <w:left w:val="single" w:sz="4" w:space="0" w:color="000000"/>
              <w:bottom w:val="single" w:sz="4" w:space="0" w:color="000000"/>
              <w:right w:val="single" w:sz="4" w:space="0" w:color="000000"/>
            </w:tcBorders>
            <w:shd w:val="clear" w:color="auto" w:fill="D2D2D2"/>
          </w:tcPr>
          <w:p>
            <w:pPr/>
          </w:p>
        </w:tc>
        <w:tc>
          <w:tcPr>
            <w:tcW w:w="796"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2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76"/>
              <w:jc w:val="left"/>
              <w:rPr>
                <w:rFonts w:ascii="宋体" w:hAnsi="宋体" w:cs="宋体" w:eastAsia="宋体" w:hint="default"/>
                <w:sz w:val="18"/>
                <w:szCs w:val="18"/>
              </w:rPr>
            </w:pPr>
            <w:r>
              <w:rPr>
                <w:rFonts w:ascii="宋体" w:hAnsi="宋体" w:cs="宋体" w:eastAsia="宋体" w:hint="default"/>
                <w:sz w:val="18"/>
                <w:szCs w:val="18"/>
              </w:rPr>
              <w:t>二、将重分类进损益的其他综合收 益</w:t>
            </w:r>
          </w:p>
        </w:tc>
        <w:tc>
          <w:tcPr>
            <w:tcW w:w="107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-12,287,373.1</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3</w:t>
            </w: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-1,541,139.</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70</w:t>
            </w:r>
          </w:p>
        </w:tc>
        <w:tc>
          <w:tcPr>
            <w:tcW w:w="1152"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-1,541,139.</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70</w:t>
            </w:r>
          </w:p>
        </w:tc>
        <w:tc>
          <w:tcPr>
            <w:tcW w:w="935"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-13,828,5</w:t>
            </w:r>
          </w:p>
          <w:p>
            <w:pPr>
              <w:pStyle w:val="TableParagraph"/>
              <w:spacing w:line="240" w:lineRule="auto" w:before="106"/>
              <w:ind w:left="358" w:right="0"/>
              <w:jc w:val="left"/>
              <w:rPr>
                <w:rFonts w:ascii="Times New Roman" w:hAnsi="Times New Roman" w:cs="Times New Roman" w:eastAsia="Times New Roman" w:hint="default"/>
                <w:sz w:val="18"/>
                <w:szCs w:val="18"/>
              </w:rPr>
            </w:pPr>
            <w:r>
              <w:rPr>
                <w:rFonts w:ascii="Times New Roman"/>
                <w:sz w:val="18"/>
              </w:rPr>
              <w:t>12.83</w:t>
            </w:r>
          </w:p>
        </w:tc>
      </w:tr>
      <w:tr>
        <w:trPr>
          <w:trHeight w:val="161" w:hRule="exact"/>
        </w:trPr>
        <w:tc>
          <w:tcPr>
            <w:tcW w:w="2799" w:type="dxa"/>
            <w:tcBorders>
              <w:top w:val="single" w:sz="4" w:space="0" w:color="000000"/>
              <w:left w:val="single" w:sz="4" w:space="0" w:color="000000"/>
              <w:bottom w:val="nil" w:sz="6" w:space="0" w:color="auto"/>
              <w:right w:val="single" w:sz="4" w:space="0" w:color="000000"/>
            </w:tcBorders>
            <w:shd w:val="clear" w:color="auto" w:fill="D2D2D2"/>
          </w:tcPr>
          <w:p>
            <w:pPr/>
          </w:p>
        </w:tc>
        <w:tc>
          <w:tcPr>
            <w:tcW w:w="1070" w:type="dxa"/>
            <w:vMerge w:val="restart"/>
            <w:tcBorders>
              <w:top w:val="single" w:sz="4" w:space="0" w:color="000000"/>
              <w:left w:val="single" w:sz="9"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-12,287,373.1</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3</w:t>
            </w:r>
          </w:p>
        </w:tc>
        <w:tc>
          <w:tcPr>
            <w:tcW w:w="935"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-1,541,139.</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70</w:t>
            </w:r>
          </w:p>
        </w:tc>
        <w:tc>
          <w:tcPr>
            <w:tcW w:w="1152" w:type="dxa"/>
            <w:vMerge w:val="restart"/>
            <w:tcBorders>
              <w:top w:val="single" w:sz="4" w:space="0" w:color="000000"/>
              <w:left w:val="single" w:sz="4" w:space="0" w:color="000000"/>
              <w:right w:val="single" w:sz="4" w:space="0" w:color="000000"/>
            </w:tcBorders>
          </w:tcPr>
          <w:p>
            <w:pPr/>
          </w:p>
        </w:tc>
        <w:tc>
          <w:tcPr>
            <w:tcW w:w="935" w:type="dxa"/>
            <w:vMerge w:val="restart"/>
            <w:tcBorders>
              <w:top w:val="single" w:sz="4" w:space="0" w:color="000000"/>
              <w:left w:val="single" w:sz="4" w:space="0" w:color="000000"/>
              <w:right w:val="single" w:sz="4" w:space="0" w:color="000000"/>
            </w:tcBorders>
          </w:tcPr>
          <w:p>
            <w:pPr/>
          </w:p>
        </w:tc>
        <w:tc>
          <w:tcPr>
            <w:tcW w:w="936"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-1,541,139.</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70</w:t>
            </w:r>
          </w:p>
        </w:tc>
        <w:tc>
          <w:tcPr>
            <w:tcW w:w="935" w:type="dxa"/>
            <w:vMerge w:val="restart"/>
            <w:tcBorders>
              <w:top w:val="single" w:sz="4" w:space="0" w:color="000000"/>
              <w:left w:val="single" w:sz="4" w:space="0" w:color="000000"/>
              <w:right w:val="single" w:sz="4" w:space="0" w:color="000000"/>
            </w:tcBorders>
          </w:tcPr>
          <w:p>
            <w:pPr/>
          </w:p>
        </w:tc>
        <w:tc>
          <w:tcPr>
            <w:tcW w:w="796" w:type="dxa"/>
            <w:vMerge w:val="restart"/>
            <w:tcBorders>
              <w:top w:val="single" w:sz="4" w:space="0" w:color="000000"/>
              <w:left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-13,828,5</w:t>
            </w:r>
          </w:p>
          <w:p>
            <w:pPr>
              <w:pStyle w:val="TableParagraph"/>
              <w:spacing w:line="240" w:lineRule="auto" w:before="106"/>
              <w:ind w:left="358" w:right="0"/>
              <w:jc w:val="left"/>
              <w:rPr>
                <w:rFonts w:ascii="Times New Roman" w:hAnsi="Times New Roman" w:cs="Times New Roman" w:eastAsia="Times New Roman" w:hint="default"/>
                <w:sz w:val="18"/>
                <w:szCs w:val="18"/>
              </w:rPr>
            </w:pPr>
            <w:r>
              <w:rPr>
                <w:rFonts w:ascii="Times New Roman"/>
                <w:sz w:val="18"/>
              </w:rPr>
              <w:t>12.83</w:t>
            </w:r>
          </w:p>
        </w:tc>
      </w:tr>
      <w:tr>
        <w:trPr>
          <w:trHeight w:val="392" w:hRule="exact"/>
        </w:trPr>
        <w:tc>
          <w:tcPr>
            <w:tcW w:w="279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外币财务报表折算差额</w:t>
            </w:r>
          </w:p>
        </w:tc>
        <w:tc>
          <w:tcPr>
            <w:tcW w:w="1070" w:type="dxa"/>
            <w:vMerge/>
            <w:tcBorders>
              <w:left w:val="single" w:sz="9" w:space="0" w:color="D2D2D2"/>
              <w:right w:val="single" w:sz="4" w:space="0" w:color="000000"/>
            </w:tcBorders>
          </w:tcPr>
          <w:p>
            <w:pPr/>
          </w:p>
        </w:tc>
        <w:tc>
          <w:tcPr>
            <w:tcW w:w="935" w:type="dxa"/>
            <w:vMerge/>
            <w:tcBorders>
              <w:left w:val="single" w:sz="4" w:space="0" w:color="000000"/>
              <w:right w:val="single" w:sz="4" w:space="0" w:color="000000"/>
            </w:tcBorders>
          </w:tcPr>
          <w:p>
            <w:pPr/>
          </w:p>
        </w:tc>
        <w:tc>
          <w:tcPr>
            <w:tcW w:w="1152" w:type="dxa"/>
            <w:vMerge/>
            <w:tcBorders>
              <w:left w:val="single" w:sz="4" w:space="0" w:color="000000"/>
              <w:right w:val="single" w:sz="4" w:space="0" w:color="000000"/>
            </w:tcBorders>
          </w:tcPr>
          <w:p>
            <w:pPr/>
          </w:p>
        </w:tc>
        <w:tc>
          <w:tcPr>
            <w:tcW w:w="935" w:type="dxa"/>
            <w:vMerge/>
            <w:tcBorders>
              <w:left w:val="single" w:sz="4" w:space="0" w:color="000000"/>
              <w:right w:val="single" w:sz="4" w:space="0" w:color="000000"/>
            </w:tcBorders>
          </w:tcPr>
          <w:p>
            <w:pPr/>
          </w:p>
        </w:tc>
        <w:tc>
          <w:tcPr>
            <w:tcW w:w="936" w:type="dxa"/>
            <w:vMerge/>
            <w:tcBorders>
              <w:left w:val="single" w:sz="4" w:space="0" w:color="000000"/>
              <w:right w:val="single" w:sz="4" w:space="0" w:color="000000"/>
            </w:tcBorders>
          </w:tcPr>
          <w:p>
            <w:pPr/>
          </w:p>
        </w:tc>
        <w:tc>
          <w:tcPr>
            <w:tcW w:w="935" w:type="dxa"/>
            <w:vMerge/>
            <w:tcBorders>
              <w:left w:val="single" w:sz="4" w:space="0" w:color="000000"/>
              <w:right w:val="single" w:sz="4" w:space="0" w:color="000000"/>
            </w:tcBorders>
          </w:tcPr>
          <w:p>
            <w:pPr/>
          </w:p>
        </w:tc>
        <w:tc>
          <w:tcPr>
            <w:tcW w:w="796" w:type="dxa"/>
            <w:vMerge/>
            <w:tcBorders>
              <w:left w:val="single" w:sz="4" w:space="0" w:color="000000"/>
              <w:right w:val="single" w:sz="4" w:space="0" w:color="000000"/>
            </w:tcBorders>
          </w:tcPr>
          <w:p>
            <w:pPr/>
          </w:p>
        </w:tc>
      </w:tr>
      <w:tr>
        <w:trPr>
          <w:trHeight w:val="161" w:hRule="exact"/>
        </w:trPr>
        <w:tc>
          <w:tcPr>
            <w:tcW w:w="2799" w:type="dxa"/>
            <w:tcBorders>
              <w:top w:val="nil" w:sz="6" w:space="0" w:color="auto"/>
              <w:left w:val="single" w:sz="4" w:space="0" w:color="000000"/>
              <w:bottom w:val="single" w:sz="4" w:space="0" w:color="000000"/>
              <w:right w:val="single" w:sz="4" w:space="0" w:color="000000"/>
            </w:tcBorders>
            <w:shd w:val="clear" w:color="auto" w:fill="D2D2D2"/>
          </w:tcPr>
          <w:p>
            <w:pPr/>
          </w:p>
        </w:tc>
        <w:tc>
          <w:tcPr>
            <w:tcW w:w="1070" w:type="dxa"/>
            <w:vMerge/>
            <w:tcBorders>
              <w:left w:val="single" w:sz="9" w:space="0" w:color="D2D2D2"/>
              <w:bottom w:val="single" w:sz="4" w:space="0" w:color="000000"/>
              <w:right w:val="single" w:sz="4" w:space="0" w:color="000000"/>
            </w:tcBorders>
          </w:tcPr>
          <w:p>
            <w:pPr/>
          </w:p>
        </w:tc>
        <w:tc>
          <w:tcPr>
            <w:tcW w:w="935" w:type="dxa"/>
            <w:vMerge/>
            <w:tcBorders>
              <w:left w:val="single" w:sz="4" w:space="0" w:color="000000"/>
              <w:bottom w:val="single" w:sz="4" w:space="0" w:color="000000"/>
              <w:right w:val="single" w:sz="4" w:space="0" w:color="000000"/>
            </w:tcBorders>
          </w:tcPr>
          <w:p>
            <w:pPr/>
          </w:p>
        </w:tc>
        <w:tc>
          <w:tcPr>
            <w:tcW w:w="1152" w:type="dxa"/>
            <w:vMerge/>
            <w:tcBorders>
              <w:left w:val="single" w:sz="4" w:space="0" w:color="000000"/>
              <w:bottom w:val="single" w:sz="4" w:space="0" w:color="000000"/>
              <w:right w:val="single" w:sz="4" w:space="0" w:color="000000"/>
            </w:tcBorders>
          </w:tcPr>
          <w:p>
            <w:pPr/>
          </w:p>
        </w:tc>
        <w:tc>
          <w:tcPr>
            <w:tcW w:w="935" w:type="dxa"/>
            <w:vMerge/>
            <w:tcBorders>
              <w:left w:val="single" w:sz="4" w:space="0" w:color="000000"/>
              <w:bottom w:val="single" w:sz="4" w:space="0" w:color="000000"/>
              <w:right w:val="single" w:sz="4" w:space="0" w:color="000000"/>
            </w:tcBorders>
          </w:tcPr>
          <w:p>
            <w:pPr/>
          </w:p>
        </w:tc>
        <w:tc>
          <w:tcPr>
            <w:tcW w:w="936" w:type="dxa"/>
            <w:vMerge/>
            <w:tcBorders>
              <w:left w:val="single" w:sz="4" w:space="0" w:color="000000"/>
              <w:bottom w:val="single" w:sz="4" w:space="0" w:color="000000"/>
              <w:right w:val="single" w:sz="4" w:space="0" w:color="000000"/>
            </w:tcBorders>
          </w:tcPr>
          <w:p>
            <w:pPr/>
          </w:p>
        </w:tc>
        <w:tc>
          <w:tcPr>
            <w:tcW w:w="935" w:type="dxa"/>
            <w:vMerge/>
            <w:tcBorders>
              <w:left w:val="single" w:sz="4" w:space="0" w:color="000000"/>
              <w:bottom w:val="single" w:sz="4" w:space="0" w:color="000000"/>
              <w:right w:val="single" w:sz="4" w:space="0" w:color="000000"/>
            </w:tcBorders>
          </w:tcPr>
          <w:p>
            <w:pPr/>
          </w:p>
        </w:tc>
        <w:tc>
          <w:tcPr>
            <w:tcW w:w="796" w:type="dxa"/>
            <w:vMerge/>
            <w:tcBorders>
              <w:left w:val="single" w:sz="4" w:space="0" w:color="000000"/>
              <w:bottom w:val="single" w:sz="4" w:space="0" w:color="000000"/>
              <w:right w:val="single" w:sz="4" w:space="0" w:color="000000"/>
            </w:tcBorders>
          </w:tcPr>
          <w:p>
            <w:pPr/>
          </w:p>
        </w:tc>
      </w:tr>
      <w:tr>
        <w:trPr>
          <w:trHeight w:val="161" w:hRule="exact"/>
        </w:trPr>
        <w:tc>
          <w:tcPr>
            <w:tcW w:w="2799" w:type="dxa"/>
            <w:tcBorders>
              <w:top w:val="single" w:sz="4" w:space="0" w:color="000000"/>
              <w:left w:val="single" w:sz="4" w:space="0" w:color="000000"/>
              <w:bottom w:val="nil" w:sz="6" w:space="0" w:color="auto"/>
              <w:right w:val="single" w:sz="4" w:space="0" w:color="000000"/>
            </w:tcBorders>
            <w:shd w:val="clear" w:color="auto" w:fill="D2D2D2"/>
          </w:tcPr>
          <w:p>
            <w:pPr/>
          </w:p>
        </w:tc>
        <w:tc>
          <w:tcPr>
            <w:tcW w:w="1070" w:type="dxa"/>
            <w:vMerge w:val="restart"/>
            <w:tcBorders>
              <w:top w:val="single" w:sz="4" w:space="0" w:color="000000"/>
              <w:left w:val="single" w:sz="9"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-12,287,373.1</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3</w:t>
            </w:r>
          </w:p>
        </w:tc>
        <w:tc>
          <w:tcPr>
            <w:tcW w:w="935"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-1,541,139.</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70</w:t>
            </w:r>
          </w:p>
        </w:tc>
        <w:tc>
          <w:tcPr>
            <w:tcW w:w="1152" w:type="dxa"/>
            <w:vMerge w:val="restart"/>
            <w:tcBorders>
              <w:top w:val="single" w:sz="4" w:space="0" w:color="000000"/>
              <w:left w:val="single" w:sz="4" w:space="0" w:color="000000"/>
              <w:right w:val="single" w:sz="4" w:space="0" w:color="000000"/>
            </w:tcBorders>
          </w:tcPr>
          <w:p>
            <w:pPr/>
          </w:p>
        </w:tc>
        <w:tc>
          <w:tcPr>
            <w:tcW w:w="935" w:type="dxa"/>
            <w:vMerge w:val="restart"/>
            <w:tcBorders>
              <w:top w:val="single" w:sz="4" w:space="0" w:color="000000"/>
              <w:left w:val="single" w:sz="4" w:space="0" w:color="000000"/>
              <w:right w:val="single" w:sz="4" w:space="0" w:color="000000"/>
            </w:tcBorders>
          </w:tcPr>
          <w:p>
            <w:pPr/>
          </w:p>
        </w:tc>
        <w:tc>
          <w:tcPr>
            <w:tcW w:w="936"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-1,541,139.</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70</w:t>
            </w:r>
          </w:p>
        </w:tc>
        <w:tc>
          <w:tcPr>
            <w:tcW w:w="935" w:type="dxa"/>
            <w:vMerge w:val="restart"/>
            <w:tcBorders>
              <w:top w:val="single" w:sz="4" w:space="0" w:color="000000"/>
              <w:left w:val="single" w:sz="4" w:space="0" w:color="000000"/>
              <w:right w:val="single" w:sz="4" w:space="0" w:color="000000"/>
            </w:tcBorders>
          </w:tcPr>
          <w:p>
            <w:pPr/>
          </w:p>
        </w:tc>
        <w:tc>
          <w:tcPr>
            <w:tcW w:w="796" w:type="dxa"/>
            <w:vMerge w:val="restart"/>
            <w:tcBorders>
              <w:top w:val="single" w:sz="4" w:space="0" w:color="000000"/>
              <w:left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-13,828,5</w:t>
            </w:r>
          </w:p>
          <w:p>
            <w:pPr>
              <w:pStyle w:val="TableParagraph"/>
              <w:spacing w:line="240" w:lineRule="auto" w:before="106"/>
              <w:ind w:left="358" w:right="0"/>
              <w:jc w:val="left"/>
              <w:rPr>
                <w:rFonts w:ascii="Times New Roman" w:hAnsi="Times New Roman" w:cs="Times New Roman" w:eastAsia="Times New Roman" w:hint="default"/>
                <w:sz w:val="18"/>
                <w:szCs w:val="18"/>
              </w:rPr>
            </w:pPr>
            <w:r>
              <w:rPr>
                <w:rFonts w:ascii="Times New Roman"/>
                <w:sz w:val="18"/>
              </w:rPr>
              <w:t>12.83</w:t>
            </w:r>
          </w:p>
        </w:tc>
      </w:tr>
      <w:tr>
        <w:trPr>
          <w:trHeight w:val="392" w:hRule="exact"/>
        </w:trPr>
        <w:tc>
          <w:tcPr>
            <w:tcW w:w="279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其他综合收益合计</w:t>
            </w:r>
          </w:p>
        </w:tc>
        <w:tc>
          <w:tcPr>
            <w:tcW w:w="1070" w:type="dxa"/>
            <w:vMerge/>
            <w:tcBorders>
              <w:left w:val="single" w:sz="9" w:space="0" w:color="D2D2D2"/>
              <w:right w:val="single" w:sz="4" w:space="0" w:color="000000"/>
            </w:tcBorders>
          </w:tcPr>
          <w:p>
            <w:pPr/>
          </w:p>
        </w:tc>
        <w:tc>
          <w:tcPr>
            <w:tcW w:w="935" w:type="dxa"/>
            <w:vMerge/>
            <w:tcBorders>
              <w:left w:val="single" w:sz="4" w:space="0" w:color="000000"/>
              <w:right w:val="single" w:sz="4" w:space="0" w:color="000000"/>
            </w:tcBorders>
          </w:tcPr>
          <w:p>
            <w:pPr/>
          </w:p>
        </w:tc>
        <w:tc>
          <w:tcPr>
            <w:tcW w:w="1152" w:type="dxa"/>
            <w:vMerge/>
            <w:tcBorders>
              <w:left w:val="single" w:sz="4" w:space="0" w:color="000000"/>
              <w:right w:val="single" w:sz="4" w:space="0" w:color="000000"/>
            </w:tcBorders>
          </w:tcPr>
          <w:p>
            <w:pPr/>
          </w:p>
        </w:tc>
        <w:tc>
          <w:tcPr>
            <w:tcW w:w="935" w:type="dxa"/>
            <w:vMerge/>
            <w:tcBorders>
              <w:left w:val="single" w:sz="4" w:space="0" w:color="000000"/>
              <w:right w:val="single" w:sz="4" w:space="0" w:color="000000"/>
            </w:tcBorders>
          </w:tcPr>
          <w:p>
            <w:pPr/>
          </w:p>
        </w:tc>
        <w:tc>
          <w:tcPr>
            <w:tcW w:w="936" w:type="dxa"/>
            <w:vMerge/>
            <w:tcBorders>
              <w:left w:val="single" w:sz="4" w:space="0" w:color="000000"/>
              <w:right w:val="single" w:sz="4" w:space="0" w:color="000000"/>
            </w:tcBorders>
          </w:tcPr>
          <w:p>
            <w:pPr/>
          </w:p>
        </w:tc>
        <w:tc>
          <w:tcPr>
            <w:tcW w:w="935" w:type="dxa"/>
            <w:vMerge/>
            <w:tcBorders>
              <w:left w:val="single" w:sz="4" w:space="0" w:color="000000"/>
              <w:right w:val="single" w:sz="4" w:space="0" w:color="000000"/>
            </w:tcBorders>
          </w:tcPr>
          <w:p>
            <w:pPr/>
          </w:p>
        </w:tc>
        <w:tc>
          <w:tcPr>
            <w:tcW w:w="796" w:type="dxa"/>
            <w:vMerge/>
            <w:tcBorders>
              <w:left w:val="single" w:sz="4" w:space="0" w:color="000000"/>
              <w:right w:val="single" w:sz="4" w:space="0" w:color="000000"/>
            </w:tcBorders>
          </w:tcPr>
          <w:p>
            <w:pPr/>
          </w:p>
        </w:tc>
      </w:tr>
      <w:tr>
        <w:trPr>
          <w:trHeight w:val="161" w:hRule="exact"/>
        </w:trPr>
        <w:tc>
          <w:tcPr>
            <w:tcW w:w="2799" w:type="dxa"/>
            <w:tcBorders>
              <w:top w:val="nil" w:sz="6" w:space="0" w:color="auto"/>
              <w:left w:val="single" w:sz="4" w:space="0" w:color="000000"/>
              <w:bottom w:val="single" w:sz="4" w:space="0" w:color="000000"/>
              <w:right w:val="single" w:sz="4" w:space="0" w:color="000000"/>
            </w:tcBorders>
            <w:shd w:val="clear" w:color="auto" w:fill="D2D2D2"/>
          </w:tcPr>
          <w:p>
            <w:pPr/>
          </w:p>
        </w:tc>
        <w:tc>
          <w:tcPr>
            <w:tcW w:w="1070" w:type="dxa"/>
            <w:vMerge/>
            <w:tcBorders>
              <w:left w:val="single" w:sz="9" w:space="0" w:color="D2D2D2"/>
              <w:bottom w:val="single" w:sz="4" w:space="0" w:color="000000"/>
              <w:right w:val="single" w:sz="4" w:space="0" w:color="000000"/>
            </w:tcBorders>
          </w:tcPr>
          <w:p>
            <w:pPr/>
          </w:p>
        </w:tc>
        <w:tc>
          <w:tcPr>
            <w:tcW w:w="935" w:type="dxa"/>
            <w:vMerge/>
            <w:tcBorders>
              <w:left w:val="single" w:sz="4" w:space="0" w:color="000000"/>
              <w:bottom w:val="single" w:sz="4" w:space="0" w:color="000000"/>
              <w:right w:val="single" w:sz="4" w:space="0" w:color="000000"/>
            </w:tcBorders>
          </w:tcPr>
          <w:p>
            <w:pPr/>
          </w:p>
        </w:tc>
        <w:tc>
          <w:tcPr>
            <w:tcW w:w="1152" w:type="dxa"/>
            <w:vMerge/>
            <w:tcBorders>
              <w:left w:val="single" w:sz="4" w:space="0" w:color="000000"/>
              <w:bottom w:val="single" w:sz="4" w:space="0" w:color="000000"/>
              <w:right w:val="single" w:sz="4" w:space="0" w:color="000000"/>
            </w:tcBorders>
          </w:tcPr>
          <w:p>
            <w:pPr/>
          </w:p>
        </w:tc>
        <w:tc>
          <w:tcPr>
            <w:tcW w:w="935" w:type="dxa"/>
            <w:vMerge/>
            <w:tcBorders>
              <w:left w:val="single" w:sz="4" w:space="0" w:color="000000"/>
              <w:bottom w:val="single" w:sz="4" w:space="0" w:color="000000"/>
              <w:right w:val="single" w:sz="4" w:space="0" w:color="000000"/>
            </w:tcBorders>
          </w:tcPr>
          <w:p>
            <w:pPr/>
          </w:p>
        </w:tc>
        <w:tc>
          <w:tcPr>
            <w:tcW w:w="936" w:type="dxa"/>
            <w:vMerge/>
            <w:tcBorders>
              <w:left w:val="single" w:sz="4" w:space="0" w:color="000000"/>
              <w:bottom w:val="single" w:sz="4" w:space="0" w:color="000000"/>
              <w:right w:val="single" w:sz="4" w:space="0" w:color="000000"/>
            </w:tcBorders>
          </w:tcPr>
          <w:p>
            <w:pPr/>
          </w:p>
        </w:tc>
        <w:tc>
          <w:tcPr>
            <w:tcW w:w="935" w:type="dxa"/>
            <w:vMerge/>
            <w:tcBorders>
              <w:left w:val="single" w:sz="4" w:space="0" w:color="000000"/>
              <w:bottom w:val="single" w:sz="4" w:space="0" w:color="000000"/>
              <w:right w:val="single" w:sz="4" w:space="0" w:color="000000"/>
            </w:tcBorders>
          </w:tcPr>
          <w:p>
            <w:pPr/>
          </w:p>
        </w:tc>
        <w:tc>
          <w:tcPr>
            <w:tcW w:w="796" w:type="dxa"/>
            <w:vMerge/>
            <w:tcBorders>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8、盈余公积" w:id="285"/>
      <w:bookmarkEnd w:id="285"/>
      <w:r>
        <w:rPr>
          <w:b w:val="0"/>
          <w:bCs w:val="0"/>
        </w:rPr>
      </w:r>
      <w:r>
        <w:rPr>
          <w:rFonts w:ascii="Times New Roman" w:hAnsi="Times New Roman" w:cs="Times New Roman" w:eastAsia="Times New Roman" w:hint="default"/>
        </w:rPr>
        <w:t>28</w:t>
      </w:r>
      <w:r>
        <w:rPr/>
        <w:t>、盈余公积</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435,776,447.00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54,460,137.54</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490,236,584.54</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435,776,447.00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54,460,137.54</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490,236,584.54</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pStyle w:val="BodyText"/>
        <w:spacing w:line="240" w:lineRule="auto" w:before="44"/>
        <w:ind w:right="0"/>
        <w:jc w:val="left"/>
      </w:pPr>
      <w:r>
        <w:rPr/>
        <w:t>盈余公积说明，包括本期增减变动情况、变动原因说明：无</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29、未分配利润" w:id="286"/>
      <w:bookmarkEnd w:id="286"/>
      <w:r>
        <w:rPr>
          <w:b w:val="0"/>
          <w:bCs w:val="0"/>
        </w:rPr>
      </w:r>
      <w:r>
        <w:rPr>
          <w:rFonts w:ascii="Times New Roman" w:hAnsi="Times New Roman" w:cs="Times New Roman" w:eastAsia="Times New Roman" w:hint="default"/>
        </w:rPr>
        <w:t>29</w:t>
      </w:r>
      <w:r>
        <w:rPr/>
        <w:t>、未分配利润</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714"/>
        <w:gridCol w:w="2936"/>
        <w:gridCol w:w="2919"/>
      </w:tblGrid>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本期</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调整前上期末未分配利润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2,878,766,290.13</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2,611,174,416.71</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调整期初未分配利润合计数（调增</w:t>
            </w:r>
            <w:r>
              <w:rPr>
                <w:rFonts w:ascii="Times New Roman" w:hAnsi="Times New Roman" w:cs="Times New Roman" w:eastAsia="Times New Roman" w:hint="default"/>
                <w:sz w:val="18"/>
                <w:szCs w:val="18"/>
              </w:rPr>
              <w:t>+</w:t>
            </w:r>
            <w:r>
              <w:rPr>
                <w:rFonts w:ascii="宋体" w:hAnsi="宋体" w:cs="宋体" w:eastAsia="宋体" w:hint="default"/>
                <w:sz w:val="18"/>
                <w:szCs w:val="18"/>
              </w:rPr>
              <w:t>，调减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936" w:type="dxa"/>
            <w:tcBorders>
              <w:top w:val="single" w:sz="4" w:space="0" w:color="000000"/>
              <w:left w:val="single" w:sz="9" w:space="0" w:color="D2D2D2"/>
              <w:bottom w:val="single" w:sz="4" w:space="0" w:color="000000"/>
              <w:right w:val="single" w:sz="4" w:space="0" w:color="000000"/>
            </w:tcBorders>
          </w:tcPr>
          <w:p>
            <w:pP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76,129,074.61</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2,878,766,290.13</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2,687,303,491.32</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725,308,104.74</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574,411,233.05</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54,460,137.54</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56,436,634.24</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应付普通股股利</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446,080,195.66</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326,511,800.00</w:t>
            </w:r>
          </w:p>
        </w:tc>
      </w:tr>
      <w:tr>
        <w:trPr>
          <w:trHeight w:val="403"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3,103,534,061.67</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2,878,766,290.13</w:t>
            </w:r>
          </w:p>
        </w:tc>
      </w:tr>
    </w:tbl>
    <w:p>
      <w:pPr>
        <w:pStyle w:val="BodyText"/>
        <w:spacing w:line="240" w:lineRule="auto" w:before="51"/>
        <w:ind w:right="0"/>
        <w:jc w:val="left"/>
      </w:pPr>
      <w:r>
        <w:rPr/>
        <w:t>调整期初未分配利润明细：</w:t>
      </w:r>
    </w:p>
    <w:p>
      <w:pPr>
        <w:pStyle w:val="BodyText"/>
        <w:spacing w:line="240" w:lineRule="auto" w:before="116"/>
        <w:ind w:right="0"/>
        <w:jc w:val="left"/>
      </w:pPr>
      <w:r>
        <w:rPr>
          <w:rFonts w:ascii="Times New Roman" w:hAnsi="Times New Roman" w:cs="Times New Roman" w:eastAsia="Times New Roman" w:hint="default"/>
        </w:rPr>
        <w:t>1)</w:t>
      </w:r>
      <w:r>
        <w:rPr/>
        <w:t>、由于《企业会计准则》及其相关新规定进行追溯调整，影响期初未分配利润</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w:t>
      </w:r>
    </w:p>
    <w:p>
      <w:pPr>
        <w:pStyle w:val="BodyText"/>
        <w:spacing w:line="240" w:lineRule="auto" w:before="103"/>
        <w:ind w:right="0"/>
        <w:jc w:val="left"/>
      </w:pPr>
      <w:r>
        <w:rPr>
          <w:rFonts w:ascii="Times New Roman" w:hAnsi="Times New Roman" w:cs="Times New Roman" w:eastAsia="Times New Roman" w:hint="default"/>
        </w:rPr>
        <w:t>2)</w:t>
      </w:r>
      <w:r>
        <w:rPr/>
        <w:t>、由于会计政策变更，影响期初未分配利润</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102"/>
        <w:ind w:right="0"/>
        <w:jc w:val="left"/>
      </w:pPr>
      <w:r>
        <w:rPr>
          <w:rFonts w:ascii="Times New Roman" w:hAnsi="Times New Roman" w:cs="Times New Roman" w:eastAsia="Times New Roman" w:hint="default"/>
        </w:rPr>
        <w:t>3)</w:t>
      </w:r>
      <w:r>
        <w:rPr/>
        <w:t>、由于重大会计差错更正，影响期初未分配利润</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102"/>
        <w:ind w:right="0"/>
        <w:jc w:val="left"/>
      </w:pPr>
      <w:r>
        <w:rPr>
          <w:rFonts w:ascii="Times New Roman" w:hAnsi="Times New Roman" w:cs="Times New Roman" w:eastAsia="Times New Roman" w:hint="default"/>
        </w:rPr>
        <w:t>4)</w:t>
      </w:r>
      <w:r>
        <w:rPr/>
        <w:t>、由于同一控制导致的合并范围变更，影响期初未分配利润</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w:t>
      </w:r>
    </w:p>
    <w:p>
      <w:pPr>
        <w:pStyle w:val="BodyText"/>
        <w:spacing w:line="240" w:lineRule="auto" w:before="103"/>
        <w:ind w:right="0"/>
        <w:jc w:val="left"/>
      </w:pPr>
      <w:r>
        <w:rPr>
          <w:rFonts w:ascii="Times New Roman" w:hAnsi="Times New Roman" w:cs="Times New Roman" w:eastAsia="Times New Roman" w:hint="default"/>
        </w:rPr>
        <w:t>5)</w:t>
      </w:r>
      <w:r>
        <w:rPr/>
        <w:t>、其他调整合计影响期初未分配利润</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30、营业收入和营业成本" w:id="287"/>
      <w:bookmarkEnd w:id="287"/>
      <w:r>
        <w:rPr>
          <w:b w:val="0"/>
          <w:bCs w:val="0"/>
        </w:rPr>
      </w:r>
      <w:r>
        <w:rPr>
          <w:rFonts w:ascii="Times New Roman" w:hAnsi="Times New Roman" w:cs="Times New Roman" w:eastAsia="Times New Roman" w:hint="default"/>
        </w:rPr>
        <w:t>30</w:t>
      </w:r>
      <w:r>
        <w:rPr/>
        <w:t>、营业收入和营业成本</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206" w:hRule="exact"/>
        </w:trPr>
        <w:tc>
          <w:tcPr>
            <w:tcW w:w="1912"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1" w:hRule="exact"/>
        </w:trPr>
        <w:tc>
          <w:tcPr>
            <w:tcW w:w="191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vMerge/>
            <w:tcBorders>
              <w:left w:val="single" w:sz="4" w:space="0" w:color="000000"/>
              <w:bottom w:val="single" w:sz="4" w:space="0" w:color="000000"/>
              <w:right w:val="single" w:sz="4" w:space="0" w:color="000000"/>
            </w:tcBorders>
            <w:shd w:val="clear" w:color="auto" w:fill="D2D2D2"/>
          </w:tcPr>
          <w:p>
            <w:pPr/>
          </w:p>
        </w:tc>
        <w:tc>
          <w:tcPr>
            <w:tcW w:w="3828"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912" w:type="dxa"/>
            <w:vMerge/>
            <w:tcBorders>
              <w:left w:val="single" w:sz="4" w:space="0" w:color="000000"/>
              <w:bottom w:val="nil" w:sz="6" w:space="0" w:color="auto"/>
              <w:right w:val="single" w:sz="4" w:space="0" w:color="000000"/>
            </w:tcBorders>
            <w:shd w:val="clear" w:color="auto" w:fill="D2D2D2"/>
          </w:tcPr>
          <w:p>
            <w:pPr/>
          </w:p>
        </w:tc>
        <w:tc>
          <w:tcPr>
            <w:tcW w:w="191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成本</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5" w:hRule="exact"/>
        </w:trPr>
        <w:tc>
          <w:tcPr>
            <w:tcW w:w="1912"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3,298,330,437.20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1,861,843,358.68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2,886,453,538.49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1,624,280,480.78</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75,674,354.06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39,194,779.06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58,839,985.78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21,814,464.66</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3,374,004,791.26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1,901,038,137.74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2,945,293,524.27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1,646,094,945.44</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1、税金及附加" w:id="288"/>
      <w:bookmarkEnd w:id="288"/>
      <w:r>
        <w:rPr>
          <w:b w:val="0"/>
          <w:bCs w:val="0"/>
        </w:rPr>
      </w:r>
      <w:r>
        <w:rPr>
          <w:rFonts w:ascii="Times New Roman" w:hAnsi="Times New Roman" w:cs="Times New Roman" w:eastAsia="Times New Roman" w:hint="default"/>
        </w:rPr>
        <w:t>31</w:t>
      </w:r>
      <w:r>
        <w:rPr/>
        <w:t>、税金及附加</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16,371,260.09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14,275,863.00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7,016,093.21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6,118,227.00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10,729,879.00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10,344,116.46</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4,156,756.23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4,545,707.94</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2,297,225.88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2,154,014.45</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水利建设基金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360,360.14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271,781.26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4,677,395.40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4,078,817.99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127,923.22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117,999.88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45,736,893.17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41,906,527.98</w:t>
            </w:r>
          </w:p>
        </w:tc>
      </w:tr>
    </w:tbl>
    <w:p>
      <w:pPr>
        <w:pStyle w:val="BodyText"/>
        <w:spacing w:line="240" w:lineRule="auto" w:before="51"/>
        <w:ind w:right="0"/>
        <w:jc w:val="left"/>
      </w:pPr>
      <w:r>
        <w:rPr/>
        <w:t>其他说明：无</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32、销售费用" w:id="289"/>
      <w:bookmarkEnd w:id="289"/>
      <w:r>
        <w:rPr>
          <w:b w:val="0"/>
          <w:bCs w:val="0"/>
        </w:rPr>
      </w:r>
      <w:r>
        <w:rPr>
          <w:rFonts w:ascii="Times New Roman" w:hAnsi="Times New Roman" w:cs="Times New Roman" w:eastAsia="Times New Roman" w:hint="default"/>
        </w:rPr>
        <w:t>32</w:t>
      </w:r>
      <w:r>
        <w:rPr/>
        <w:t>、销售费用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工资薪酬项目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21,248,215.29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18,462,046.39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仓储运输费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45,840,486.37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40,206,783.05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21,565,076.75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18,348,391.14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市场拓展费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16,986,214.97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14,575,907.29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5,325,588.06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5,108,608.98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汽车费用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1,819,808.44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1,426,045.18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542,053.27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910,522.46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464,738.91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206,531.31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3,411,507.58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5,814,914.84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117,203,689.64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105,059,750.64</w:t>
            </w:r>
          </w:p>
        </w:tc>
      </w:tr>
    </w:tbl>
    <w:p>
      <w:pPr>
        <w:pStyle w:val="BodyText"/>
        <w:spacing w:line="240" w:lineRule="auto" w:before="51"/>
        <w:ind w:right="0"/>
        <w:jc w:val="left"/>
      </w:pPr>
      <w:r>
        <w:rPr/>
        <w:t>其他说明：无</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33、管理费用" w:id="290"/>
      <w:bookmarkEnd w:id="290"/>
      <w:r>
        <w:rPr>
          <w:b w:val="0"/>
          <w:bCs w:val="0"/>
        </w:rPr>
      </w:r>
      <w:r>
        <w:rPr>
          <w:rFonts w:ascii="Times New Roman" w:hAnsi="Times New Roman" w:cs="Times New Roman" w:eastAsia="Times New Roman" w:hint="default"/>
        </w:rPr>
        <w:t>33</w:t>
      </w:r>
      <w:r>
        <w:rPr/>
        <w:t>、管理费用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工资薪酬项目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123,501,445.12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112,477,146.75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50,944,391.35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38,203,798.72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折旧费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29,781,117.59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27,090,845.65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9,884,294.62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8,158,390.25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物料消耗</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2,430,586.42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919,472.05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中介服务费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16,645,195.75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14,580,974.48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10,146,376.79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8,447,454.46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汽车费用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5,601,307.85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6,268,887.88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8,091,815.00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8,563,583.54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修理费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7,047,688.44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6,110,892.94</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燃料水电费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4,528,768.99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2,491,902.54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961,098.70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1,892,492.66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17,692,878.94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29,071,017.74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287,256,965.56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264,276,859.66</w:t>
            </w:r>
          </w:p>
        </w:tc>
      </w:tr>
    </w:tbl>
    <w:p>
      <w:pPr>
        <w:pStyle w:val="BodyText"/>
        <w:spacing w:line="240" w:lineRule="auto" w:before="51"/>
        <w:ind w:right="0"/>
        <w:jc w:val="left"/>
      </w:pPr>
      <w:r>
        <w:rPr/>
        <w:t>其他说明：无</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34、研发费用" w:id="291"/>
      <w:bookmarkEnd w:id="291"/>
      <w:r>
        <w:rPr>
          <w:b w:val="0"/>
          <w:bCs w:val="0"/>
        </w:rPr>
      </w:r>
      <w:r>
        <w:rPr>
          <w:rFonts w:ascii="Times New Roman" w:hAnsi="Times New Roman" w:cs="Times New Roman" w:eastAsia="Times New Roman" w:hint="default"/>
        </w:rPr>
        <w:t>34</w:t>
      </w:r>
      <w:r>
        <w:rPr/>
        <w:t>、研发费用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材料费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61,094,193.03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52,700,769.03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人工费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49,255,955.70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42,965,087.43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水电燃气</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1,780,921.85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1,598,164.00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折旧摊销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13,290,868.81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12,460,721.36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设计费及其他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14,891,042.37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16,875,488.42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140,312,981.76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126,600,230.24</w:t>
            </w:r>
          </w:p>
        </w:tc>
      </w:tr>
    </w:tbl>
    <w:p>
      <w:pPr>
        <w:pStyle w:val="BodyText"/>
        <w:spacing w:line="240" w:lineRule="auto" w:before="51"/>
        <w:ind w:right="0"/>
        <w:jc w:val="left"/>
      </w:pPr>
      <w:r>
        <w:rPr/>
        <w:t>其他说明：无</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35、财务费用" w:id="292"/>
      <w:bookmarkEnd w:id="292"/>
      <w:r>
        <w:rPr>
          <w:b w:val="0"/>
          <w:bCs w:val="0"/>
        </w:rPr>
      </w:r>
      <w:r>
        <w:rPr>
          <w:rFonts w:ascii="Times New Roman" w:hAnsi="Times New Roman" w:cs="Times New Roman" w:eastAsia="Times New Roman" w:hint="default"/>
        </w:rPr>
        <w:t>35</w:t>
      </w:r>
      <w:r>
        <w:rPr/>
        <w:t>、财务费用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1,825,723.11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14,082,137.88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7,401,095.50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8,451,797.12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汇兑损益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-1,492,794.77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3,065,397.46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手续费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1,163,767.94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1,317,444.58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-5,904,399.22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10,013,182.80</w:t>
            </w:r>
          </w:p>
        </w:tc>
      </w:tr>
    </w:tbl>
    <w:p>
      <w:pPr>
        <w:pStyle w:val="BodyText"/>
        <w:spacing w:line="240" w:lineRule="auto" w:before="51"/>
        <w:ind w:right="0"/>
        <w:jc w:val="left"/>
      </w:pPr>
      <w:r>
        <w:rPr/>
        <w:t>其他说明：无</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36、资产减值损失" w:id="293"/>
      <w:bookmarkEnd w:id="293"/>
      <w:r>
        <w:rPr>
          <w:b w:val="0"/>
          <w:bCs w:val="0"/>
        </w:rPr>
      </w:r>
      <w:r>
        <w:rPr>
          <w:rFonts w:ascii="Times New Roman" w:hAnsi="Times New Roman" w:cs="Times New Roman" w:eastAsia="Times New Roman" w:hint="default"/>
        </w:rPr>
        <w:t>36</w:t>
      </w:r>
      <w:r>
        <w:rPr/>
        <w:t>、资产减值损失</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6,043,018.13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7,568,820.24</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二、存货跌价损失</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28,137,008.73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15,663,911.99</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34,180,026.86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23,232,732.23</w:t>
            </w:r>
          </w:p>
        </w:tc>
      </w:tr>
    </w:tbl>
    <w:p>
      <w:pPr>
        <w:pStyle w:val="BodyText"/>
        <w:spacing w:line="240" w:lineRule="auto" w:before="51"/>
        <w:ind w:right="0"/>
        <w:jc w:val="left"/>
      </w:pPr>
      <w:r>
        <w:rPr/>
        <w:t>其他说明：无</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bookmarkStart w:name="37、其他收益" w:id="294"/>
      <w:bookmarkEnd w:id="294"/>
      <w:r>
        <w:rPr>
          <w:b w:val="0"/>
          <w:bCs w:val="0"/>
        </w:rPr>
      </w:r>
      <w:r>
        <w:rPr>
          <w:rFonts w:ascii="Times New Roman" w:hAnsi="Times New Roman" w:cs="Times New Roman" w:eastAsia="Times New Roman" w:hint="default"/>
        </w:rPr>
        <w:t>37</w:t>
      </w:r>
      <w:r>
        <w:rPr/>
        <w:t>、其他收益</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79" w:right="0"/>
              <w:jc w:val="left"/>
              <w:rPr>
                <w:rFonts w:ascii="宋体" w:hAnsi="宋体" w:cs="宋体" w:eastAsia="宋体" w:hint="default"/>
                <w:sz w:val="18"/>
                <w:szCs w:val="18"/>
              </w:rPr>
            </w:pPr>
            <w:r>
              <w:rPr>
                <w:rFonts w:ascii="宋体" w:hAnsi="宋体" w:cs="宋体" w:eastAsia="宋体" w:hint="default"/>
                <w:sz w:val="18"/>
                <w:szCs w:val="18"/>
              </w:rPr>
              <w:t>产生其他收益的来源</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大企业培育计划奖励资金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3,808,800.00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3,520,100.00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残疾就业增值税退税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4,542,560.00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3,576,160.00</w:t>
            </w:r>
          </w:p>
        </w:tc>
      </w:tr>
      <w:tr>
        <w:trPr>
          <w:trHeight w:val="714"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95"/>
              <w:jc w:val="left"/>
              <w:rPr>
                <w:rFonts w:ascii="宋体" w:hAnsi="宋体" w:cs="宋体" w:eastAsia="宋体" w:hint="default"/>
                <w:sz w:val="18"/>
                <w:szCs w:val="18"/>
              </w:rPr>
            </w:pPr>
            <w:r>
              <w:rPr>
                <w:rFonts w:ascii="宋体" w:hAnsi="宋体" w:cs="宋体" w:eastAsia="宋体" w:hint="default"/>
                <w:sz w:val="18"/>
                <w:szCs w:val="18"/>
              </w:rPr>
              <w:t>金湾区加快推进科技创新驱动若干政策 措施</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1,204,000.00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金湾区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年技术改造专项资金</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1,883,800.00</w:t>
            </w:r>
          </w:p>
        </w:tc>
      </w:tr>
      <w:tr>
        <w:trPr>
          <w:trHeight w:val="714"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年广东省工业企业技术改造事后奖 补珠海市项目</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2,791,000.00</w:t>
            </w:r>
          </w:p>
        </w:tc>
      </w:tr>
      <w:tr>
        <w:trPr>
          <w:trHeight w:val="1026"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95"/>
              <w:jc w:val="both"/>
              <w:rPr>
                <w:rFonts w:ascii="宋体" w:hAnsi="宋体" w:cs="宋体" w:eastAsia="宋体" w:hint="default"/>
                <w:sz w:val="18"/>
                <w:szCs w:val="18"/>
              </w:rPr>
            </w:pPr>
            <w:r>
              <w:rPr>
                <w:rFonts w:ascii="宋体" w:hAnsi="宋体" w:cs="宋体" w:eastAsia="宋体" w:hint="default"/>
                <w:sz w:val="18"/>
                <w:szCs w:val="18"/>
              </w:rPr>
              <w:t>深圳市发展和改革委员会关于深圳劲嘉 集团股份有限公司高端印刷技术与创新 材料工程实验室提升项目</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2,000,000.00</w:t>
            </w:r>
          </w:p>
        </w:tc>
      </w:tr>
      <w:tr>
        <w:trPr>
          <w:trHeight w:val="714"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95"/>
              <w:jc w:val="left"/>
              <w:rPr>
                <w:rFonts w:ascii="宋体" w:hAnsi="宋体" w:cs="宋体" w:eastAsia="宋体" w:hint="default"/>
                <w:sz w:val="18"/>
                <w:szCs w:val="18"/>
              </w:rPr>
            </w:pPr>
            <w:r>
              <w:rPr>
                <w:rFonts w:ascii="宋体" w:hAnsi="宋体" w:cs="宋体" w:eastAsia="宋体" w:hint="default"/>
                <w:sz w:val="18"/>
                <w:szCs w:val="18"/>
              </w:rPr>
              <w:t>收到深圳市科技创新委员会转来企业研 究开发资助计划费用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1,823,000.00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2" w:right="23"/>
              <w:jc w:val="both"/>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年度金湾区科技创新驱动若干政策 措施支持项目</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年度市级科工信类产 业扶持资金转移支付资金支持项目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1,010,000.00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年度省级文化产业发展资金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企业研究开发补助资金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744,000.00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年工业强基技术改造项目设备补助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660,000.00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95"/>
              <w:jc w:val="left"/>
              <w:rPr>
                <w:rFonts w:ascii="宋体" w:hAnsi="宋体" w:cs="宋体" w:eastAsia="宋体" w:hint="default"/>
                <w:sz w:val="18"/>
                <w:szCs w:val="18"/>
              </w:rPr>
            </w:pPr>
            <w:r>
              <w:rPr>
                <w:rFonts w:ascii="宋体" w:hAnsi="宋体" w:cs="宋体" w:eastAsia="宋体" w:hint="default"/>
                <w:sz w:val="18"/>
                <w:szCs w:val="18"/>
              </w:rPr>
              <w:t>深圳市人力资源和社会保障局（专项资 金）转来</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年博士站单位资助款项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其他项目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8,311,744.04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9,813,353.64</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22,200,104.04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24,788,413.64</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8、投资收益" w:id="295"/>
      <w:bookmarkEnd w:id="295"/>
      <w:r>
        <w:rPr>
          <w:b w:val="0"/>
          <w:bCs w:val="0"/>
        </w:rPr>
      </w:r>
      <w:r>
        <w:rPr>
          <w:rFonts w:ascii="Times New Roman" w:hAnsi="Times New Roman" w:cs="Times New Roman" w:eastAsia="Times New Roman" w:hint="default"/>
        </w:rPr>
        <w:t>38</w:t>
      </w:r>
      <w:r>
        <w:rPr/>
        <w:t>、投资收益</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437"/>
        <w:gridCol w:w="3203"/>
        <w:gridCol w:w="2918"/>
      </w:tblGrid>
      <w:tr>
        <w:trPr>
          <w:trHeight w:val="402" w:hRule="exact"/>
        </w:trPr>
        <w:tc>
          <w:tcPr>
            <w:tcW w:w="3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53,498,126.90</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28,359,419.80</w:t>
            </w:r>
          </w:p>
        </w:tc>
      </w:tr>
      <w:tr>
        <w:trPr>
          <w:trHeight w:val="714" w:hRule="exact"/>
        </w:trPr>
        <w:tc>
          <w:tcPr>
            <w:tcW w:w="3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9"/>
              <w:jc w:val="left"/>
              <w:rPr>
                <w:rFonts w:ascii="宋体" w:hAnsi="宋体" w:cs="宋体" w:eastAsia="宋体" w:hint="default"/>
                <w:sz w:val="18"/>
                <w:szCs w:val="18"/>
              </w:rPr>
            </w:pPr>
            <w:r>
              <w:rPr>
                <w:rFonts w:ascii="宋体" w:hAnsi="宋体" w:cs="宋体" w:eastAsia="宋体" w:hint="default"/>
                <w:spacing w:val="-1"/>
                <w:sz w:val="18"/>
                <w:szCs w:val="18"/>
              </w:rPr>
              <w:t>丧失控制权后，剩余股权按公允价值重新计</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量产生的利得</w:t>
            </w:r>
          </w:p>
        </w:tc>
        <w:tc>
          <w:tcPr>
            <w:tcW w:w="3203" w:type="dxa"/>
            <w:tcBorders>
              <w:top w:val="single" w:sz="4" w:space="0" w:color="000000"/>
              <w:left w:val="single" w:sz="13" w:space="0" w:color="D2D2D2"/>
              <w:bottom w:val="single" w:sz="4" w:space="0" w:color="000000"/>
              <w:right w:val="single" w:sz="4" w:space="0" w:color="000000"/>
            </w:tcBorders>
          </w:tcPr>
          <w:p>
            <w:pP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6,497,053.15</w:t>
            </w:r>
          </w:p>
        </w:tc>
      </w:tr>
      <w:tr>
        <w:trPr>
          <w:trHeight w:val="402" w:hRule="exact"/>
        </w:trPr>
        <w:tc>
          <w:tcPr>
            <w:tcW w:w="34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委托理财收益</w:t>
            </w:r>
          </w:p>
        </w:tc>
        <w:tc>
          <w:tcPr>
            <w:tcW w:w="3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25,017,715.68</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78,515,842.58</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34,856,472.95</w:t>
            </w:r>
          </w:p>
        </w:tc>
      </w:tr>
    </w:tbl>
    <w:p>
      <w:pPr>
        <w:pStyle w:val="BodyText"/>
        <w:spacing w:line="240" w:lineRule="auto" w:before="51"/>
        <w:ind w:right="0"/>
        <w:jc w:val="left"/>
      </w:pPr>
      <w:r>
        <w:rPr/>
        <w:t>其他说明：无</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bookmarkStart w:name="39、资产处置收益" w:id="296"/>
      <w:bookmarkEnd w:id="296"/>
      <w:r>
        <w:rPr>
          <w:b w:val="0"/>
          <w:bCs w:val="0"/>
        </w:rPr>
      </w:r>
      <w:r>
        <w:rPr>
          <w:rFonts w:ascii="Times New Roman" w:hAnsi="Times New Roman" w:cs="Times New Roman" w:eastAsia="Times New Roman" w:hint="default"/>
        </w:rPr>
        <w:t>39</w:t>
      </w:r>
      <w:r>
        <w:rPr/>
        <w:t>、资产处置收益</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79" w:right="0"/>
              <w:jc w:val="left"/>
              <w:rPr>
                <w:rFonts w:ascii="宋体" w:hAnsi="宋体" w:cs="宋体" w:eastAsia="宋体" w:hint="default"/>
                <w:sz w:val="18"/>
                <w:szCs w:val="18"/>
              </w:rPr>
            </w:pPr>
            <w:r>
              <w:rPr>
                <w:rFonts w:ascii="宋体" w:hAnsi="宋体" w:cs="宋体" w:eastAsia="宋体" w:hint="default"/>
                <w:sz w:val="18"/>
                <w:szCs w:val="18"/>
              </w:rPr>
              <w:t>资产处置收益的来源</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非流动资产处置收益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-1,491,102.07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1,052,268.38</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-1,491,102.07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1,052,268.38</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40、营业外收入" w:id="297"/>
      <w:bookmarkEnd w:id="297"/>
      <w:r>
        <w:rPr>
          <w:b w:val="0"/>
          <w:bCs w:val="0"/>
        </w:rPr>
      </w:r>
      <w:r>
        <w:rPr>
          <w:rFonts w:ascii="Times New Roman" w:hAnsi="Times New Roman" w:cs="Times New Roman" w:eastAsia="Times New Roman" w:hint="default"/>
        </w:rPr>
        <w:t>40</w:t>
      </w:r>
      <w:r>
        <w:rPr/>
        <w:t>、营业外收入</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161" w:hRule="exact"/>
        </w:trPr>
        <w:tc>
          <w:tcPr>
            <w:tcW w:w="2390"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6"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1100" w:right="109" w:hanging="990"/>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2" w:hRule="exact"/>
        </w:trPr>
        <w:tc>
          <w:tcPr>
            <w:tcW w:w="239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2" w:type="dxa"/>
            <w:vMerge/>
            <w:tcBorders>
              <w:left w:val="single" w:sz="4" w:space="0" w:color="000000"/>
              <w:right w:val="single" w:sz="4" w:space="0" w:color="000000"/>
            </w:tcBorders>
            <w:shd w:val="clear" w:color="auto" w:fill="D2D2D2"/>
          </w:tcPr>
          <w:p>
            <w:pPr/>
          </w:p>
        </w:tc>
      </w:tr>
      <w:tr>
        <w:trPr>
          <w:trHeight w:val="161" w:hRule="exact"/>
        </w:trPr>
        <w:tc>
          <w:tcPr>
            <w:tcW w:w="2390"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6"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2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1,148,800.00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1,148,800.00</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861,334.10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673,503.04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861,334.10</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2,010,134.10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673,503.04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2,010,134.10</w:t>
            </w:r>
          </w:p>
        </w:tc>
      </w:tr>
    </w:tbl>
    <w:p>
      <w:pPr>
        <w:pStyle w:val="BodyText"/>
        <w:spacing w:line="240" w:lineRule="auto" w:before="51"/>
        <w:ind w:right="0"/>
        <w:jc w:val="left"/>
      </w:pPr>
      <w:r>
        <w:rPr/>
        <w:t>计入当期损益的政府补助：</w:t>
      </w:r>
    </w:p>
    <w:p>
      <w:pPr>
        <w:pStyle w:val="BodyText"/>
        <w:spacing w:line="240" w:lineRule="auto" w:before="117"/>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6"/>
        <w:gridCol w:w="1062"/>
        <w:gridCol w:w="1063"/>
        <w:gridCol w:w="1064"/>
        <w:gridCol w:w="1063"/>
        <w:gridCol w:w="1063"/>
        <w:gridCol w:w="1064"/>
        <w:gridCol w:w="1062"/>
        <w:gridCol w:w="1063"/>
      </w:tblGrid>
      <w:tr>
        <w:trPr>
          <w:trHeight w:val="713" w:hRule="exact"/>
        </w:trPr>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补助项目</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发放主体</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发放原因</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性质类型</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75" w:right="77"/>
              <w:jc w:val="left"/>
              <w:rPr>
                <w:rFonts w:ascii="宋体" w:hAnsi="宋体" w:cs="宋体" w:eastAsia="宋体" w:hint="default"/>
                <w:sz w:val="18"/>
                <w:szCs w:val="18"/>
              </w:rPr>
            </w:pPr>
            <w:r>
              <w:rPr>
                <w:rFonts w:ascii="宋体" w:hAnsi="宋体" w:cs="宋体" w:eastAsia="宋体" w:hint="default"/>
                <w:sz w:val="18"/>
                <w:szCs w:val="18"/>
              </w:rPr>
              <w:t>补贴是否影 响当年盈亏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35" w:right="77" w:hanging="360"/>
              <w:jc w:val="left"/>
              <w:rPr>
                <w:rFonts w:ascii="宋体" w:hAnsi="宋体" w:cs="宋体" w:eastAsia="宋体" w:hint="default"/>
                <w:sz w:val="18"/>
                <w:szCs w:val="18"/>
              </w:rPr>
            </w:pPr>
            <w:r>
              <w:rPr>
                <w:rFonts w:ascii="宋体" w:hAnsi="宋体" w:cs="宋体" w:eastAsia="宋体" w:hint="default"/>
                <w:sz w:val="18"/>
                <w:szCs w:val="18"/>
              </w:rPr>
              <w:t>是否特殊补 贴</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35" w:right="76" w:hanging="360"/>
              <w:jc w:val="left"/>
              <w:rPr>
                <w:rFonts w:ascii="宋体" w:hAnsi="宋体" w:cs="宋体" w:eastAsia="宋体" w:hint="default"/>
                <w:sz w:val="18"/>
                <w:szCs w:val="18"/>
              </w:rPr>
            </w:pPr>
            <w:r>
              <w:rPr>
                <w:rFonts w:ascii="宋体" w:hAnsi="宋体" w:cs="宋体" w:eastAsia="宋体" w:hint="default"/>
                <w:sz w:val="18"/>
                <w:szCs w:val="18"/>
              </w:rPr>
              <w:t>本期发生金 额</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35" w:right="74" w:hanging="360"/>
              <w:jc w:val="left"/>
              <w:rPr>
                <w:rFonts w:ascii="宋体" w:hAnsi="宋体" w:cs="宋体" w:eastAsia="宋体" w:hint="default"/>
                <w:sz w:val="18"/>
                <w:szCs w:val="18"/>
              </w:rPr>
            </w:pPr>
            <w:r>
              <w:rPr>
                <w:rFonts w:ascii="宋体" w:hAnsi="宋体" w:cs="宋体" w:eastAsia="宋体" w:hint="default"/>
                <w:sz w:val="18"/>
                <w:szCs w:val="18"/>
              </w:rPr>
              <w:t>上期发生金 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76" w:right="51" w:hanging="26"/>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 </w:t>
            </w:r>
            <w:r>
              <w:rPr>
                <w:rFonts w:ascii="宋体" w:hAnsi="宋体" w:cs="宋体" w:eastAsia="宋体" w:hint="default"/>
                <w:sz w:val="18"/>
                <w:szCs w:val="18"/>
              </w:rPr>
              <w:t>与收益相关</w:t>
            </w:r>
          </w:p>
        </w:tc>
      </w:tr>
      <w:tr>
        <w:trPr>
          <w:trHeight w:val="1652"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316" w:lineRule="auto"/>
              <w:ind w:left="22" w:right="131"/>
              <w:jc w:val="both"/>
              <w:rPr>
                <w:rFonts w:ascii="宋体" w:hAnsi="宋体" w:cs="宋体" w:eastAsia="宋体" w:hint="default"/>
                <w:sz w:val="18"/>
                <w:szCs w:val="18"/>
              </w:rPr>
            </w:pPr>
            <w:r>
              <w:rPr>
                <w:rFonts w:ascii="宋体" w:hAnsi="宋体" w:cs="宋体" w:eastAsia="宋体" w:hint="default"/>
                <w:sz w:val="18"/>
                <w:szCs w:val="18"/>
              </w:rPr>
              <w:t>金湾区灾后 复产扶持资 金拟支持项 目</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22" w:right="127"/>
              <w:jc w:val="both"/>
              <w:rPr>
                <w:rFonts w:ascii="宋体" w:hAnsi="宋体" w:cs="宋体" w:eastAsia="宋体" w:hint="default"/>
                <w:sz w:val="18"/>
                <w:szCs w:val="18"/>
              </w:rPr>
            </w:pPr>
            <w:r>
              <w:rPr>
                <w:rFonts w:ascii="宋体" w:hAnsi="宋体" w:cs="宋体" w:eastAsia="宋体" w:hint="default"/>
                <w:sz w:val="18"/>
                <w:szCs w:val="18"/>
              </w:rPr>
              <w:t>珠海市金湾 区科技和工 业信息化局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2" w:right="129"/>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 获得的补助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85" w:right="0"/>
              <w:jc w:val="left"/>
              <w:rPr>
                <w:rFonts w:ascii="Times New Roman" w:hAnsi="Times New Roman" w:cs="Times New Roman" w:eastAsia="Times New Roman" w:hint="default"/>
                <w:sz w:val="18"/>
                <w:szCs w:val="18"/>
              </w:rPr>
            </w:pPr>
            <w:r>
              <w:rPr>
                <w:rFonts w:ascii="Times New Roman"/>
                <w:sz w:val="18"/>
              </w:rPr>
              <w:t>1,148,800.00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pStyle w:val="BodyText"/>
        <w:spacing w:line="240" w:lineRule="auto" w:before="51"/>
        <w:ind w:right="0"/>
        <w:jc w:val="left"/>
      </w:pPr>
      <w:r>
        <w:rPr/>
        <w:t>其他说明：无</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41、营业外支出" w:id="298"/>
      <w:bookmarkEnd w:id="298"/>
      <w:r>
        <w:rPr>
          <w:b w:val="0"/>
          <w:bCs w:val="0"/>
        </w:rPr>
      </w:r>
      <w:r>
        <w:rPr>
          <w:rFonts w:ascii="Times New Roman" w:hAnsi="Times New Roman" w:cs="Times New Roman" w:eastAsia="Times New Roman" w:hint="default"/>
        </w:rPr>
        <w:t>41</w:t>
      </w:r>
      <w:r>
        <w:rPr/>
        <w:t>、营业外支出</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161" w:hRule="exact"/>
        </w:trPr>
        <w:tc>
          <w:tcPr>
            <w:tcW w:w="2390"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6"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1100" w:right="109" w:hanging="990"/>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2" w:hRule="exact"/>
        </w:trPr>
        <w:tc>
          <w:tcPr>
            <w:tcW w:w="239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2" w:type="dxa"/>
            <w:vMerge/>
            <w:tcBorders>
              <w:left w:val="single" w:sz="4" w:space="0" w:color="000000"/>
              <w:right w:val="single" w:sz="4" w:space="0" w:color="000000"/>
            </w:tcBorders>
            <w:shd w:val="clear" w:color="auto" w:fill="D2D2D2"/>
          </w:tcPr>
          <w:p>
            <w:pPr/>
          </w:p>
        </w:tc>
      </w:tr>
      <w:tr>
        <w:trPr>
          <w:trHeight w:val="161" w:hRule="exact"/>
        </w:trPr>
        <w:tc>
          <w:tcPr>
            <w:tcW w:w="2390"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6"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对外捐赠</w:t>
            </w:r>
          </w:p>
        </w:tc>
        <w:tc>
          <w:tcPr>
            <w:tcW w:w="2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8,700.00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111,000.00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8,700.00</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非流动资产毁损报废损失</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586,498.11</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586,498.11</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494,651.01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819,643.00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494,651.01</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1,089,849.12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930,643.00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1,089,849.12</w:t>
            </w:r>
          </w:p>
        </w:tc>
      </w:tr>
    </w:tbl>
    <w:p>
      <w:pPr>
        <w:pStyle w:val="BodyText"/>
        <w:spacing w:line="240" w:lineRule="auto" w:before="51"/>
        <w:ind w:right="0"/>
        <w:jc w:val="left"/>
      </w:pPr>
      <w:r>
        <w:rPr/>
        <w:t>其他说明：无</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bookmarkStart w:name="42、所得税费用" w:id="299"/>
      <w:bookmarkEnd w:id="299"/>
      <w:r>
        <w:rPr>
          <w:b w:val="0"/>
          <w:bCs w:val="0"/>
        </w:rPr>
      </w:r>
      <w:r>
        <w:rPr>
          <w:rFonts w:ascii="Times New Roman" w:hAnsi="Times New Roman" w:cs="Times New Roman" w:eastAsia="Times New Roman" w:hint="default"/>
        </w:rPr>
        <w:t>42</w:t>
      </w:r>
      <w:r>
        <w:rPr/>
        <w:t>、所得税费用</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所得税费用表" w:id="300"/>
      <w:bookmarkEnd w:id="300"/>
      <w:r>
        <w:rPr>
          <w:b w:val="0"/>
          <w:bCs w:val="0"/>
        </w:rPr>
      </w:r>
      <w:r>
        <w:rPr/>
        <w:t>（</w:t>
      </w:r>
      <w:r>
        <w:rPr>
          <w:rFonts w:ascii="Times New Roman" w:hAnsi="Times New Roman" w:cs="Times New Roman" w:eastAsia="Times New Roman" w:hint="default"/>
        </w:rPr>
        <w:t>1</w:t>
      </w:r>
      <w:r>
        <w:rPr/>
        <w:t>）所得税费用表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当期所得税费用</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140,452,592.10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121,135,718.03</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递延所得税费用</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-1,552,642.57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-5,233,814.11</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138,899,949.53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115,901,903.92</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会计利润与所得税费用调整过程" w:id="301"/>
      <w:bookmarkEnd w:id="301"/>
      <w:r>
        <w:rPr>
          <w:b w:val="0"/>
          <w:bCs w:val="0"/>
        </w:rPr>
      </w:r>
      <w:r>
        <w:rPr/>
        <w:t>（</w:t>
      </w:r>
      <w:r>
        <w:rPr>
          <w:rFonts w:ascii="Times New Roman" w:hAnsi="Times New Roman" w:cs="Times New Roman" w:eastAsia="Times New Roman" w:hint="default"/>
        </w:rPr>
        <w:t>2</w:t>
      </w:r>
      <w:r>
        <w:rPr/>
        <w:t>）会计利润与所得税费用调整过程</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4757"/>
        <w:gridCol w:w="4800"/>
      </w:tblGrid>
      <w:tr>
        <w:trPr>
          <w:trHeight w:val="403"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954,325,625.28</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按法定</w:t>
            </w:r>
            <w:r>
              <w:rPr>
                <w:rFonts w:ascii="Times New Roman" w:hAnsi="Times New Roman" w:cs="Times New Roman" w:eastAsia="Times New Roman" w:hint="default"/>
                <w:sz w:val="18"/>
                <w:szCs w:val="18"/>
              </w:rPr>
              <w:t>/</w:t>
            </w:r>
            <w:r>
              <w:rPr>
                <w:rFonts w:ascii="宋体" w:hAnsi="宋体" w:cs="宋体" w:eastAsia="宋体" w:hint="default"/>
                <w:sz w:val="18"/>
                <w:szCs w:val="18"/>
              </w:rPr>
              <w:t>适用税率计算的所得税费用</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143,148,843.79</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子公司适用不同税率的影响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1,877,244.31</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调整以前期间所得税的影响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424,289.07</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非应税收入的影响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-8,024,719.04</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不可抵扣的成本、费用和损失的影响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12,346,591.07</w:t>
            </w:r>
          </w:p>
        </w:tc>
      </w:tr>
      <w:tr>
        <w:trPr>
          <w:trHeight w:val="713"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55"/>
              <w:jc w:val="left"/>
              <w:rPr>
                <w:rFonts w:ascii="宋体" w:hAnsi="宋体" w:cs="宋体" w:eastAsia="宋体" w:hint="default"/>
                <w:sz w:val="18"/>
                <w:szCs w:val="18"/>
              </w:rPr>
            </w:pPr>
            <w:r>
              <w:rPr>
                <w:rFonts w:ascii="宋体" w:hAnsi="宋体" w:cs="宋体" w:eastAsia="宋体" w:hint="default"/>
                <w:sz w:val="18"/>
                <w:szCs w:val="18"/>
              </w:rPr>
              <w:t>本期未确认递延所得税资产的可抵扣暂时性差异或可抵扣亏 损的影响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314,211.71</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研发费用加计扣除影响</w:t>
            </w:r>
          </w:p>
        </w:tc>
        <w:tc>
          <w:tcPr>
            <w:tcW w:w="4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2"/>
                <w:sz w:val="18"/>
              </w:rPr>
              <w:t>-11,186,511.38</w:t>
            </w:r>
          </w:p>
        </w:tc>
      </w:tr>
      <w:tr>
        <w:trPr>
          <w:trHeight w:val="403"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4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138,899,949.53</w:t>
            </w:r>
          </w:p>
        </w:tc>
      </w:tr>
    </w:tbl>
    <w:p>
      <w:pPr>
        <w:spacing w:line="240" w:lineRule="auto" w:before="2"/>
        <w:rPr>
          <w:rFonts w:ascii="宋体" w:hAnsi="宋体" w:cs="宋体" w:eastAsia="宋体" w:hint="default"/>
          <w:sz w:val="19"/>
          <w:szCs w:val="19"/>
        </w:rPr>
      </w:pPr>
    </w:p>
    <w:p>
      <w:pPr>
        <w:spacing w:line="544" w:lineRule="auto" w:before="35"/>
        <w:ind w:left="154" w:right="8855" w:firstLine="0"/>
        <w:jc w:val="left"/>
        <w:rPr>
          <w:rFonts w:ascii="宋体" w:hAnsi="宋体" w:cs="宋体" w:eastAsia="宋体" w:hint="default"/>
          <w:sz w:val="21"/>
          <w:szCs w:val="21"/>
        </w:rPr>
      </w:pPr>
      <w:bookmarkStart w:name="43、其他综合收益" w:id="302"/>
      <w:bookmarkEnd w:id="302"/>
      <w:r>
        <w:rPr/>
      </w:r>
      <w:r>
        <w:rPr>
          <w:rFonts w:ascii="Times New Roman" w:hAnsi="Times New Roman" w:cs="Times New Roman" w:eastAsia="Times New Roman" w:hint="default"/>
          <w:b/>
          <w:bCs/>
          <w:sz w:val="21"/>
          <w:szCs w:val="21"/>
        </w:rPr>
        <w:t>43</w:t>
      </w:r>
      <w:r>
        <w:rPr>
          <w:rFonts w:ascii="宋体" w:hAnsi="宋体" w:cs="宋体" w:eastAsia="宋体" w:hint="default"/>
          <w:b/>
          <w:bCs/>
          <w:sz w:val="21"/>
          <w:szCs w:val="21"/>
        </w:rPr>
        <w:t>、其他综合收益</w:t>
      </w:r>
      <w:r>
        <w:rPr>
          <w:rFonts w:ascii="宋体" w:hAnsi="宋体" w:cs="宋体" w:eastAsia="宋体" w:hint="default"/>
          <w:b/>
          <w:bCs/>
          <w:w w:val="99"/>
          <w:sz w:val="21"/>
          <w:szCs w:val="21"/>
        </w:rPr>
        <w:t> </w:t>
      </w:r>
      <w:r>
        <w:rPr>
          <w:rFonts w:ascii="宋体" w:hAnsi="宋体" w:cs="宋体" w:eastAsia="宋体" w:hint="default"/>
          <w:sz w:val="18"/>
          <w:szCs w:val="18"/>
        </w:rPr>
        <w:t>详见附注七、</w:t>
      </w:r>
      <w:r>
        <w:rPr>
          <w:rFonts w:ascii="Times New Roman" w:hAnsi="Times New Roman" w:cs="Times New Roman" w:eastAsia="Times New Roman" w:hint="default"/>
          <w:sz w:val="18"/>
          <w:szCs w:val="18"/>
        </w:rPr>
        <w:t>27</w:t>
      </w:r>
      <w:r>
        <w:rPr>
          <w:rFonts w:ascii="宋体" w:hAnsi="宋体" w:cs="宋体" w:eastAsia="宋体" w:hint="default"/>
          <w:sz w:val="18"/>
          <w:szCs w:val="18"/>
        </w:rPr>
        <w:t>。 </w:t>
      </w:r>
      <w:bookmarkStart w:name="44、现金流量表项目" w:id="303"/>
      <w:bookmarkEnd w:id="303"/>
      <w:r>
        <w:rPr>
          <w:rFonts w:ascii="宋体" w:hAnsi="宋体" w:cs="宋体" w:eastAsia="宋体" w:hint="default"/>
          <w:sz w:val="18"/>
          <w:szCs w:val="18"/>
        </w:rPr>
      </w:r>
      <w:r>
        <w:rPr>
          <w:rFonts w:ascii="Times New Roman" w:hAnsi="Times New Roman" w:cs="Times New Roman" w:eastAsia="Times New Roman" w:hint="default"/>
          <w:b/>
          <w:bCs/>
          <w:sz w:val="21"/>
          <w:szCs w:val="21"/>
        </w:rPr>
        <w:t>44</w:t>
      </w:r>
      <w:r>
        <w:rPr>
          <w:rFonts w:ascii="宋体" w:hAnsi="宋体" w:cs="宋体" w:eastAsia="宋体" w:hint="default"/>
          <w:b/>
          <w:bCs/>
          <w:sz w:val="21"/>
          <w:szCs w:val="21"/>
        </w:rPr>
        <w:t>、现金流量表项目</w:t>
      </w:r>
      <w:r>
        <w:rPr>
          <w:rFonts w:ascii="宋体" w:hAnsi="宋体" w:cs="宋体" w:eastAsia="宋体" w:hint="default"/>
          <w:sz w:val="21"/>
          <w:szCs w:val="21"/>
        </w:rPr>
      </w:r>
    </w:p>
    <w:p>
      <w:pPr>
        <w:pStyle w:val="Heading3"/>
        <w:spacing w:line="240" w:lineRule="auto" w:before="28"/>
        <w:ind w:right="0"/>
        <w:jc w:val="left"/>
        <w:rPr>
          <w:b w:val="0"/>
          <w:bCs w:val="0"/>
        </w:rPr>
      </w:pPr>
      <w:bookmarkStart w:name="（1）收到的其他与经营活动有关的现金" w:id="304"/>
      <w:bookmarkEnd w:id="304"/>
      <w:r>
        <w:rPr>
          <w:b w:val="0"/>
          <w:bCs w:val="0"/>
        </w:rPr>
      </w:r>
      <w:r>
        <w:rPr/>
        <w:t>（</w:t>
      </w:r>
      <w:r>
        <w:rPr>
          <w:rFonts w:ascii="Times New Roman" w:hAnsi="Times New Roman" w:cs="Times New Roman" w:eastAsia="Times New Roman" w:hint="default"/>
        </w:rPr>
        <w:t>1</w:t>
      </w:r>
      <w:r>
        <w:rPr/>
        <w:t>）收到的其他与经营活动有关的现金</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收到政府补贴收入</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31,832,565.54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26,788,413.64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收到退回的经营投标保证金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8,654,762.85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14,147,844.33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收到退回的经营活动押金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4,219,993.40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2,680,608.51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收到员工归还的备用金借款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2,314,585.79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3,588,206.75</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收到其他款项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119,815,925.01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45,327,635.94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166,837,832.59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92,532,709.17</w:t>
            </w:r>
          </w:p>
        </w:tc>
      </w:tr>
    </w:tbl>
    <w:p>
      <w:pPr>
        <w:pStyle w:val="BodyText"/>
        <w:spacing w:line="240" w:lineRule="auto" w:before="51"/>
        <w:ind w:right="0"/>
        <w:jc w:val="left"/>
      </w:pPr>
      <w:r>
        <w:rPr/>
        <w:t>收到的其他与经营活动有关的现金说明：无</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2）支付的其他与经营活动有关的现金" w:id="305"/>
      <w:bookmarkEnd w:id="305"/>
      <w:r>
        <w:rPr>
          <w:b w:val="0"/>
          <w:bCs w:val="0"/>
        </w:rPr>
      </w:r>
      <w:r>
        <w:rPr/>
        <w:t>（</w:t>
      </w:r>
      <w:r>
        <w:rPr>
          <w:rFonts w:ascii="Times New Roman" w:hAnsi="Times New Roman" w:cs="Times New Roman" w:eastAsia="Times New Roman" w:hint="default"/>
        </w:rPr>
        <w:t>2</w:t>
      </w:r>
      <w:r>
        <w:rPr/>
        <w:t>）支付的其他与经营活动有关的现金</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付现费用</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214,767,931.43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145,561,337.69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支付的经营投标保证金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9,481,591.48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5,429,500.00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支付的员工备用金借款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6,909,025.88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3,366,966.26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支付的其他经营活动押金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4,346,572.61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2,567,386.69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支付的其他款项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111,608,146.88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50,578,388.23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347,113,268.28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207,503,578.87</w:t>
            </w:r>
          </w:p>
        </w:tc>
      </w:tr>
    </w:tbl>
    <w:p>
      <w:pPr>
        <w:pStyle w:val="BodyText"/>
        <w:spacing w:line="240" w:lineRule="auto" w:before="51"/>
        <w:ind w:right="0"/>
        <w:jc w:val="left"/>
      </w:pPr>
      <w:r>
        <w:rPr/>
        <w:t>支付的其他与经营活动有关的现金说明：无</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3）收到的其他与投资活动有关的现金" w:id="306"/>
      <w:bookmarkEnd w:id="306"/>
      <w:r>
        <w:rPr>
          <w:b w:val="0"/>
          <w:bCs w:val="0"/>
        </w:rPr>
      </w:r>
      <w:r>
        <w:rPr/>
        <w:t>（</w:t>
      </w:r>
      <w:r>
        <w:rPr>
          <w:rFonts w:ascii="Times New Roman" w:hAnsi="Times New Roman" w:cs="Times New Roman" w:eastAsia="Times New Roman" w:hint="default"/>
        </w:rPr>
        <w:t>3</w:t>
      </w:r>
      <w:r>
        <w:rPr/>
        <w:t>）收到的其他与投资活动有关的现金</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收到基建工程招投标保证金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2,391,534.00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600,000.00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收回保本理财本金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1,760,000,000.00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其他收款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329,493.00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1,766,991,534.00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929,493.00</w:t>
            </w:r>
          </w:p>
        </w:tc>
      </w:tr>
    </w:tbl>
    <w:p>
      <w:pPr>
        <w:pStyle w:val="BodyText"/>
        <w:spacing w:line="240" w:lineRule="auto" w:before="51"/>
        <w:ind w:right="0"/>
        <w:jc w:val="left"/>
      </w:pPr>
      <w:r>
        <w:rPr/>
        <w:t>收到的其他与投资活动有关的现金说明：无</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4）支付的其他与投资活动有关的现金" w:id="307"/>
      <w:bookmarkEnd w:id="307"/>
      <w:r>
        <w:rPr>
          <w:b w:val="0"/>
          <w:bCs w:val="0"/>
        </w:rPr>
      </w:r>
      <w:r>
        <w:rPr/>
        <w:t>（</w:t>
      </w:r>
      <w:r>
        <w:rPr>
          <w:rFonts w:ascii="Times New Roman" w:hAnsi="Times New Roman" w:cs="Times New Roman" w:eastAsia="Times New Roman" w:hint="default"/>
        </w:rPr>
        <w:t>4</w:t>
      </w:r>
      <w:r>
        <w:rPr/>
        <w:t>）支付的其他与投资活动有关的现金</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购买保本理财本金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1,685,000,000.00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650,000,000.00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其他支付</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2,000,000.00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1,685,000,000.00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652,000,000.00</w:t>
            </w:r>
          </w:p>
        </w:tc>
      </w:tr>
    </w:tbl>
    <w:p>
      <w:pPr>
        <w:pStyle w:val="BodyText"/>
        <w:spacing w:line="240" w:lineRule="auto" w:before="51"/>
        <w:ind w:right="0"/>
        <w:jc w:val="left"/>
      </w:pPr>
      <w:r>
        <w:rPr/>
        <w:t>支付的其他与投资活动有关的现金说明：无</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5）收到的其他与筹资活动有关的现金" w:id="308"/>
      <w:bookmarkEnd w:id="308"/>
      <w:r>
        <w:rPr>
          <w:b w:val="0"/>
          <w:bCs w:val="0"/>
        </w:rPr>
      </w:r>
      <w:r>
        <w:rPr/>
        <w:t>（</w:t>
      </w:r>
      <w:r>
        <w:rPr>
          <w:rFonts w:ascii="Times New Roman" w:hAnsi="Times New Roman" w:cs="Times New Roman" w:eastAsia="Times New Roman" w:hint="default"/>
        </w:rPr>
        <w:t>5</w:t>
      </w:r>
      <w:r>
        <w:rPr/>
        <w:t>）收到的其他与筹资活动有关的现金</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after="0" w:line="240" w:lineRule="auto"/>
        <w:jc w:val="right"/>
        <w:sectPr>
          <w:pgSz w:w="11910" w:h="16840"/>
          <w:pgMar w:header="747" w:footer="979" w:top="1060" w:bottom="1160" w:left="980" w:right="0"/>
        </w:sectPr>
      </w:pPr>
    </w:p>
    <w:p>
      <w:pPr>
        <w:spacing w:line="240" w:lineRule="auto" w:before="6"/>
        <w:rPr>
          <w:rFonts w:ascii="宋体" w:hAnsi="宋体" w:cs="宋体" w:eastAsia="宋体" w:hint="default"/>
          <w:sz w:val="28"/>
          <w:szCs w:val="28"/>
        </w:rPr>
      </w:pPr>
      <w:r>
        <w:rPr/>
        <w:pict>
          <v:group style="position:absolute;margin-left:223.339996pt;margin-top:698.589966pt;width:151.25pt;height:40.85pt;mso-position-horizontal-relative:page;mso-position-vertical-relative:page;z-index:-1231192" coordorigin="4467,13972" coordsize="3025,817">
            <v:group style="position:absolute;left:4478;top:13983;width:2;height:392" coordorigin="4478,13983" coordsize="2,392">
              <v:shape style="position:absolute;left:4478;top:13983;width:2;height:392" coordorigin="4478,13983" coordsize="0,392" path="m4478,13983l4478,14375e" filled="false" stroked="true" strokeweight="1.140pt" strokecolor="#ffffff">
                <v:path arrowok="t"/>
              </v:shape>
            </v:group>
            <v:group style="position:absolute;left:4490;top:13983;width:3002;height:392" coordorigin="4490,13983" coordsize="3002,392">
              <v:shape style="position:absolute;left:4490;top:13983;width:3002;height:392" coordorigin="4490,13983" coordsize="3002,392" path="m4490,14375l7491,14375,7491,13983,4490,13983,4490,14375xe" filled="true" fillcolor="#ffffff" stroked="false">
                <v:path arrowok="t"/>
                <v:fill type="solid"/>
              </v:shape>
            </v:group>
            <v:group style="position:absolute;left:4478;top:14386;width:2;height:392" coordorigin="4478,14386" coordsize="2,392">
              <v:shape style="position:absolute;left:4478;top:14386;width:2;height:392" coordorigin="4478,14386" coordsize="0,392" path="m4478,14386l4478,14777e" filled="false" stroked="true" strokeweight="1.140pt" strokecolor="#ffffff">
                <v:path arrowok="t"/>
              </v:shape>
            </v:group>
            <v:group style="position:absolute;left:4490;top:14386;width:3002;height:392" coordorigin="4490,14386" coordsize="3002,392">
              <v:shape style="position:absolute;left:4490;top:14386;width:3002;height:392" coordorigin="4490,14386" coordsize="3002,392" path="m4490,14777l7491,14777,7491,14386,4490,14386,4490,14777xe" filled="true" fillcolor="#ffffff" stroked="false">
                <v:path arrowok="t"/>
                <v:fill type="solid"/>
              </v:shape>
            </v:group>
            <w10:wrap type="none"/>
          </v:group>
        </w:pict>
      </w: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收回银行承兑汇票保证金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72,151,256.31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166,540,125.29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其他收款</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922,429.78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72,151,256.31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167,462,555.07</w:t>
            </w:r>
          </w:p>
        </w:tc>
      </w:tr>
    </w:tbl>
    <w:p>
      <w:pPr>
        <w:pStyle w:val="BodyText"/>
        <w:spacing w:line="240" w:lineRule="auto" w:before="51"/>
        <w:ind w:right="0"/>
        <w:jc w:val="left"/>
      </w:pPr>
      <w:r>
        <w:rPr/>
        <w:t>收到的其他与筹资活动有关的现金说明：无</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6）支付的其他与筹资活动有关的现金" w:id="309"/>
      <w:bookmarkEnd w:id="309"/>
      <w:r>
        <w:rPr>
          <w:b w:val="0"/>
          <w:bCs w:val="0"/>
        </w:rPr>
      </w:r>
      <w:r>
        <w:rPr/>
        <w:t>（</w:t>
      </w:r>
      <w:r>
        <w:rPr>
          <w:rFonts w:ascii="Times New Roman" w:hAnsi="Times New Roman" w:cs="Times New Roman" w:eastAsia="Times New Roman" w:hint="default"/>
        </w:rPr>
        <w:t>6</w:t>
      </w:r>
      <w:r>
        <w:rPr/>
        <w:t>）支付的其他与筹资活动有关的现金</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支付银行承兑汇票保证金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115,002,446.32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151,079,402.05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股权回购款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230,222,172.45</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支付购买少数股东股权款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14,700,000.00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其他支付</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45,343,914.26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359,924,618.77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196,423,316.31</w:t>
            </w:r>
          </w:p>
        </w:tc>
      </w:tr>
    </w:tbl>
    <w:p>
      <w:pPr>
        <w:pStyle w:val="BodyText"/>
        <w:spacing w:line="240" w:lineRule="auto" w:before="51"/>
        <w:ind w:right="0"/>
        <w:jc w:val="left"/>
      </w:pPr>
      <w:r>
        <w:rPr/>
        <w:t>支付的其他与筹资活动有关的现金说明：无</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45、现金流量表补充资料" w:id="310"/>
      <w:bookmarkEnd w:id="310"/>
      <w:r>
        <w:rPr>
          <w:b w:val="0"/>
          <w:bCs w:val="0"/>
        </w:rPr>
      </w:r>
      <w:r>
        <w:rPr>
          <w:rFonts w:ascii="Times New Roman" w:hAnsi="Times New Roman" w:cs="Times New Roman" w:eastAsia="Times New Roman" w:hint="default"/>
        </w:rPr>
        <w:t>45</w:t>
      </w:r>
      <w:r>
        <w:rPr/>
        <w:t>、现金流量表补充资料</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现金流量表补充资料" w:id="311"/>
      <w:bookmarkEnd w:id="311"/>
      <w:r>
        <w:rPr>
          <w:b w:val="0"/>
          <w:bCs w:val="0"/>
        </w:rPr>
      </w:r>
      <w:r>
        <w:rPr/>
        <w:t>（</w:t>
      </w:r>
      <w:r>
        <w:rPr>
          <w:rFonts w:ascii="Times New Roman" w:hAnsi="Times New Roman" w:cs="Times New Roman" w:eastAsia="Times New Roman" w:hint="default"/>
        </w:rPr>
        <w:t>1</w:t>
      </w:r>
      <w:r>
        <w:rPr/>
        <w:t>）现金流量表补充资料</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305"/>
        <w:gridCol w:w="3069"/>
        <w:gridCol w:w="3184"/>
      </w:tblGrid>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815,425,675.75</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672,647,406.37</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34,180,026.86</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23,232,732.23</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41"/>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 物资产折旧</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160,452,348.96</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148,473,639.46</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9,448,657.33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7,842,283.61</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5,035,370.68</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4,157,645.32</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41"/>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 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2,077,600.18</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-1,052,268.38</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1,825,723.11</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14,082,137.88</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投资损失（收益以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-78,515,842.58</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-34,856,472.95</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递延所得税资产减少（增加以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tabs>
                <w:tab w:pos="2154" w:val="left" w:leader="none"/>
              </w:tabs>
              <w:spacing w:line="240" w:lineRule="auto" w:before="53"/>
              <w:ind w:left="-124" w:right="20"/>
              <w:jc w:val="right"/>
              <w:rPr>
                <w:rFonts w:ascii="Times New Roman" w:hAnsi="Times New Roman" w:cs="Times New Roman" w:eastAsia="Times New Roman" w:hint="default"/>
                <w:sz w:val="18"/>
                <w:szCs w:val="18"/>
              </w:rPr>
            </w:pPr>
            <w:r>
              <w:rPr>
                <w:rFonts w:ascii="宋体" w:hAnsi="宋体" w:cs="宋体" w:eastAsia="宋体" w:hint="default"/>
                <w:sz w:val="18"/>
                <w:szCs w:val="18"/>
              </w:rPr>
              <w:t>）</w:t>
              <w:tab/>
            </w:r>
            <w:r>
              <w:rPr>
                <w:rFonts w:ascii="Times New Roman" w:hAnsi="Times New Roman" w:cs="Times New Roman" w:eastAsia="Times New Roman" w:hint="default"/>
                <w:sz w:val="18"/>
                <w:szCs w:val="18"/>
              </w:rPr>
              <w:t>-791,590.29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-1,942,684.98</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pacing w:val="-3"/>
                <w:sz w:val="18"/>
                <w:szCs w:val="18"/>
              </w:rPr>
              <w:t>递延所得税负债增加（减少以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tabs>
                <w:tab w:pos="2154" w:val="left" w:leader="none"/>
              </w:tabs>
              <w:spacing w:line="240" w:lineRule="auto" w:before="52"/>
              <w:ind w:left="-124" w:right="20"/>
              <w:jc w:val="right"/>
              <w:rPr>
                <w:rFonts w:ascii="Times New Roman" w:hAnsi="Times New Roman" w:cs="Times New Roman" w:eastAsia="Times New Roman" w:hint="default"/>
                <w:sz w:val="18"/>
                <w:szCs w:val="18"/>
              </w:rPr>
            </w:pPr>
            <w:r>
              <w:rPr>
                <w:rFonts w:ascii="宋体" w:hAnsi="宋体" w:cs="宋体" w:eastAsia="宋体" w:hint="default"/>
                <w:sz w:val="18"/>
                <w:szCs w:val="18"/>
              </w:rPr>
              <w:t>）</w:t>
              <w:tab/>
            </w:r>
            <w:r>
              <w:rPr>
                <w:rFonts w:ascii="Times New Roman" w:hAnsi="Times New Roman" w:cs="Times New Roman" w:eastAsia="Times New Roman" w:hint="default"/>
                <w:sz w:val="18"/>
                <w:szCs w:val="18"/>
              </w:rPr>
              <w:t>-761,052.28</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-29,002,836.18</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-58,678,670.88</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-54,128,820.32</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3305"/>
        <w:gridCol w:w="3069"/>
        <w:gridCol w:w="3184"/>
      </w:tblGrid>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61"/>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-79,253,203.83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138,048,670.16</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61"/>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42,201,872.76</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-67,672,325.91</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852,646,915.77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819,829,106.31</w:t>
            </w:r>
          </w:p>
        </w:tc>
      </w:tr>
      <w:tr>
        <w:trPr>
          <w:trHeight w:val="161" w:hRule="exact"/>
        </w:trPr>
        <w:tc>
          <w:tcPr>
            <w:tcW w:w="3305" w:type="dxa"/>
            <w:vMerge w:val="restart"/>
            <w:tcBorders>
              <w:top w:val="single" w:sz="4" w:space="0" w:color="000000"/>
              <w:left w:val="single" w:sz="4" w:space="0" w:color="000000"/>
              <w:right w:val="single" w:sz="4" w:space="0" w:color="000000"/>
            </w:tcBorders>
            <w:shd w:val="clear" w:color="auto" w:fill="D2D2D2"/>
          </w:tcPr>
          <w:p>
            <w:pPr>
              <w:pStyle w:val="TableParagraph"/>
              <w:spacing w:line="302" w:lineRule="auto" w:before="51"/>
              <w:ind w:left="11" w:right="13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 动：</w:t>
            </w:r>
          </w:p>
        </w:tc>
        <w:tc>
          <w:tcPr>
            <w:tcW w:w="3069" w:type="dxa"/>
            <w:tcBorders>
              <w:top w:val="single" w:sz="4" w:space="0" w:color="000000"/>
              <w:left w:val="single" w:sz="4" w:space="0" w:color="000000"/>
              <w:bottom w:val="nil" w:sz="6" w:space="0" w:color="auto"/>
              <w:right w:val="single" w:sz="4" w:space="0" w:color="000000"/>
            </w:tcBorders>
            <w:shd w:val="clear" w:color="auto" w:fill="D2D2D2"/>
          </w:tcPr>
          <w:p>
            <w:pPr/>
          </w:p>
        </w:tc>
        <w:tc>
          <w:tcPr>
            <w:tcW w:w="3184"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2" w:hRule="exact"/>
        </w:trPr>
        <w:tc>
          <w:tcPr>
            <w:tcW w:w="3305" w:type="dxa"/>
            <w:vMerge/>
            <w:tcBorders>
              <w:left w:val="single" w:sz="4" w:space="0" w:color="000000"/>
              <w:right w:val="single" w:sz="4" w:space="0" w:color="000000"/>
            </w:tcBorders>
            <w:shd w:val="clear" w:color="auto" w:fill="D2D2D2"/>
          </w:tcPr>
          <w:p>
            <w:pPr/>
          </w:p>
        </w:tc>
        <w:tc>
          <w:tcPr>
            <w:tcW w:w="306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475" w:right="0"/>
              <w:jc w:val="left"/>
              <w:rPr>
                <w:rFonts w:ascii="Times New Roman" w:hAnsi="Times New Roman" w:cs="Times New Roman" w:eastAsia="Times New Roman" w:hint="default"/>
                <w:sz w:val="18"/>
                <w:szCs w:val="18"/>
              </w:rPr>
            </w:pPr>
            <w:r>
              <w:rPr>
                <w:rFonts w:ascii="Times New Roman"/>
                <w:sz w:val="18"/>
              </w:rPr>
              <w:t>--</w:t>
            </w:r>
          </w:p>
        </w:tc>
        <w:tc>
          <w:tcPr>
            <w:tcW w:w="318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526" w:right="0"/>
              <w:jc w:val="left"/>
              <w:rPr>
                <w:rFonts w:ascii="Times New Roman" w:hAnsi="Times New Roman" w:cs="Times New Roman" w:eastAsia="Times New Roman" w:hint="default"/>
                <w:sz w:val="18"/>
                <w:szCs w:val="18"/>
              </w:rPr>
            </w:pPr>
            <w:r>
              <w:rPr>
                <w:rFonts w:ascii="Times New Roman"/>
                <w:sz w:val="18"/>
              </w:rPr>
              <w:t>--</w:t>
            </w:r>
          </w:p>
        </w:tc>
      </w:tr>
      <w:tr>
        <w:trPr>
          <w:trHeight w:val="161" w:hRule="exact"/>
        </w:trPr>
        <w:tc>
          <w:tcPr>
            <w:tcW w:w="3305" w:type="dxa"/>
            <w:vMerge/>
            <w:tcBorders>
              <w:left w:val="single" w:sz="4" w:space="0" w:color="000000"/>
              <w:bottom w:val="single" w:sz="4" w:space="0" w:color="000000"/>
              <w:right w:val="single" w:sz="4" w:space="0" w:color="000000"/>
            </w:tcBorders>
            <w:shd w:val="clear" w:color="auto" w:fill="D2D2D2"/>
          </w:tcPr>
          <w:p>
            <w:pPr/>
          </w:p>
        </w:tc>
        <w:tc>
          <w:tcPr>
            <w:tcW w:w="3069" w:type="dxa"/>
            <w:tcBorders>
              <w:top w:val="nil" w:sz="6" w:space="0" w:color="auto"/>
              <w:left w:val="single" w:sz="4" w:space="0" w:color="000000"/>
              <w:bottom w:val="single" w:sz="4" w:space="0" w:color="000000"/>
              <w:right w:val="single" w:sz="4" w:space="0" w:color="000000"/>
            </w:tcBorders>
            <w:shd w:val="clear" w:color="auto" w:fill="D2D2D2"/>
          </w:tcPr>
          <w:p>
            <w:pPr/>
          </w:p>
        </w:tc>
        <w:tc>
          <w:tcPr>
            <w:tcW w:w="3184"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475" w:right="0"/>
              <w:jc w:val="left"/>
              <w:rPr>
                <w:rFonts w:ascii="Times New Roman" w:hAnsi="Times New Roman" w:cs="Times New Roman" w:eastAsia="Times New Roman" w:hint="default"/>
                <w:sz w:val="18"/>
                <w:szCs w:val="18"/>
              </w:rPr>
            </w:pPr>
            <w:r>
              <w:rPr>
                <w:rFonts w:ascii="Times New Roman"/>
                <w:sz w:val="18"/>
              </w:rPr>
              <w:t>--</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526"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741,377,643.96</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1,167,076,682.30</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1,167,076,682.30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690,145,566.92</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-425,699,038.34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476,931,115.38</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本期支付的取得子公司的现金净额" w:id="312"/>
      <w:bookmarkEnd w:id="312"/>
      <w:r>
        <w:rPr>
          <w:b w:val="0"/>
          <w:bCs w:val="0"/>
        </w:rPr>
      </w:r>
      <w:r>
        <w:rPr/>
        <w:t>（</w:t>
      </w:r>
      <w:r>
        <w:rPr>
          <w:rFonts w:ascii="Times New Roman" w:hAnsi="Times New Roman" w:cs="Times New Roman" w:eastAsia="Times New Roman" w:hint="default"/>
        </w:rPr>
        <w:t>2</w:t>
      </w:r>
      <w:r>
        <w:rPr/>
        <w:t>）本期支付的取得子公司的现金净额</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89"/>
        <w:gridCol w:w="4580"/>
      </w:tblGrid>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本期发生的企业合并于本期支付的现金或现金等价物</w:t>
            </w:r>
          </w:p>
        </w:tc>
        <w:tc>
          <w:tcPr>
            <w:tcW w:w="45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48,060,000.00</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上海丽兴绿色包装有限公司</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48,060,000.00</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减：购买日子公司持有的现金及现金等价物</w:t>
            </w:r>
          </w:p>
        </w:tc>
        <w:tc>
          <w:tcPr>
            <w:tcW w:w="45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3,069,372.17</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上海丽兴绿色包装有限公司</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3,069,372.17</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取得子公司支付的现金净额</w:t>
            </w:r>
          </w:p>
        </w:tc>
        <w:tc>
          <w:tcPr>
            <w:tcW w:w="45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44,990,627.83</w:t>
            </w:r>
          </w:p>
        </w:tc>
      </w:tr>
    </w:tbl>
    <w:p>
      <w:pPr>
        <w:pStyle w:val="BodyText"/>
        <w:spacing w:line="240" w:lineRule="auto" w:before="51"/>
        <w:ind w:right="0"/>
        <w:jc w:val="left"/>
      </w:pPr>
      <w:r>
        <w:rPr/>
        <w:t>其他说明：无</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3）现金和现金等价物的构成" w:id="313"/>
      <w:bookmarkEnd w:id="313"/>
      <w:r>
        <w:rPr>
          <w:b w:val="0"/>
          <w:bCs w:val="0"/>
        </w:rPr>
      </w:r>
      <w:r>
        <w:rPr/>
        <w:t>（</w:t>
      </w:r>
      <w:r>
        <w:rPr>
          <w:rFonts w:ascii="Times New Roman" w:hAnsi="Times New Roman" w:cs="Times New Roman" w:eastAsia="Times New Roman" w:hint="default"/>
        </w:rPr>
        <w:t>3</w:t>
      </w:r>
      <w:r>
        <w:rPr/>
        <w:t>）现金和现金等价物的构成</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5"/>
        <w:gridCol w:w="3069"/>
        <w:gridCol w:w="3184"/>
      </w:tblGrid>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741,377,643.96</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1,167,076,682.30</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899,219.85</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1,180,391.98</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740,478,424.11</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1,165,896,290.32</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741,377,643.96</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1,167,076,682.30</w:t>
            </w:r>
          </w:p>
        </w:tc>
      </w:tr>
    </w:tbl>
    <w:p>
      <w:pPr>
        <w:pStyle w:val="BodyText"/>
        <w:spacing w:line="240" w:lineRule="auto" w:before="51"/>
        <w:ind w:right="0"/>
        <w:jc w:val="left"/>
      </w:pPr>
      <w:r>
        <w:rPr/>
        <w:t>其他说明：无</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bookmarkStart w:name="46、所有者权益变动表项目注释" w:id="314"/>
      <w:bookmarkEnd w:id="314"/>
      <w:r>
        <w:rPr>
          <w:b w:val="0"/>
          <w:bCs w:val="0"/>
        </w:rPr>
      </w:r>
      <w:r>
        <w:rPr>
          <w:rFonts w:ascii="Times New Roman" w:hAnsi="Times New Roman" w:cs="Times New Roman" w:eastAsia="Times New Roman" w:hint="default"/>
        </w:rPr>
        <w:t>46</w:t>
      </w:r>
      <w:r>
        <w:rPr/>
        <w:t>、所有者权益变动表项目注释</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5372"/>
        <w:jc w:val="left"/>
      </w:pPr>
      <w:r>
        <w:rPr/>
        <w:t>说明对上年期末余额进行调整的</w:t>
      </w:r>
      <w:r>
        <w:rPr>
          <w:rFonts w:ascii="Times New Roman" w:hAnsi="Times New Roman" w:cs="Times New Roman" w:eastAsia="Times New Roman" w:hint="default"/>
        </w:rPr>
        <w:t>“</w:t>
      </w:r>
      <w:r>
        <w:rPr/>
        <w:t>其他</w:t>
      </w:r>
      <w:r>
        <w:rPr>
          <w:rFonts w:ascii="Times New Roman" w:hAnsi="Times New Roman" w:cs="Times New Roman" w:eastAsia="Times New Roman" w:hint="default"/>
        </w:rPr>
        <w:t>”</w:t>
      </w:r>
      <w:r>
        <w:rPr/>
        <w:t>项目名称及调整金额等事项： 不适用。</w:t>
      </w:r>
    </w:p>
    <w:p>
      <w:pPr>
        <w:spacing w:line="240" w:lineRule="auto" w:before="4"/>
        <w:rPr>
          <w:rFonts w:ascii="宋体" w:hAnsi="宋体" w:cs="宋体" w:eastAsia="宋体" w:hint="default"/>
          <w:sz w:val="21"/>
          <w:szCs w:val="21"/>
        </w:rPr>
      </w:pPr>
    </w:p>
    <w:p>
      <w:pPr>
        <w:pStyle w:val="Heading3"/>
        <w:spacing w:line="240" w:lineRule="auto"/>
        <w:ind w:right="0"/>
        <w:jc w:val="left"/>
        <w:rPr>
          <w:b w:val="0"/>
          <w:bCs w:val="0"/>
        </w:rPr>
      </w:pPr>
      <w:bookmarkStart w:name="47、所有权或使用权受到限制的资产" w:id="315"/>
      <w:bookmarkEnd w:id="315"/>
      <w:r>
        <w:rPr>
          <w:b w:val="0"/>
          <w:bCs w:val="0"/>
        </w:rPr>
      </w:r>
      <w:r>
        <w:rPr>
          <w:rFonts w:ascii="Times New Roman" w:hAnsi="Times New Roman" w:cs="Times New Roman" w:eastAsia="Times New Roman" w:hint="default"/>
        </w:rPr>
        <w:t>47</w:t>
      </w:r>
      <w:r>
        <w:rPr/>
        <w:t>、所有权或使用权受到限制的资产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5"/>
        <w:gridCol w:w="3069"/>
        <w:gridCol w:w="3184"/>
      </w:tblGrid>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95"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受限原因</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98,077,194.06</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票据保证金、住房基金</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61,000,000.00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应收票据质押或贴现</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69" w:type="dxa"/>
            <w:tcBorders>
              <w:top w:val="single" w:sz="4" w:space="0" w:color="000000"/>
              <w:left w:val="single" w:sz="13" w:space="0" w:color="D2D2D2"/>
              <w:bottom w:val="single" w:sz="4" w:space="0" w:color="000000"/>
              <w:right w:val="single" w:sz="9" w:space="0" w:color="D2D2D2"/>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pacing w:val="-1"/>
                <w:sz w:val="18"/>
              </w:rPr>
              <w:t>159,077,194.06</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0"/>
        <w:jc w:val="left"/>
      </w:pPr>
      <w:r>
        <w:rPr/>
        <w:t>其他说明：无</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48、外币货币性项目" w:id="316"/>
      <w:bookmarkEnd w:id="316"/>
      <w:r>
        <w:rPr>
          <w:b w:val="0"/>
          <w:bCs w:val="0"/>
        </w:rPr>
      </w:r>
      <w:r>
        <w:rPr>
          <w:rFonts w:ascii="Times New Roman" w:hAnsi="Times New Roman" w:cs="Times New Roman" w:eastAsia="Times New Roman" w:hint="default"/>
        </w:rPr>
        <w:t>48</w:t>
      </w:r>
      <w:r>
        <w:rPr/>
        <w:t>、外币货币性项目</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外币货币性项目" w:id="317"/>
      <w:bookmarkEnd w:id="317"/>
      <w:r>
        <w:rPr>
          <w:b w:val="0"/>
          <w:bCs w:val="0"/>
        </w:rPr>
      </w:r>
      <w:r>
        <w:rPr/>
        <w:t>（</w:t>
      </w:r>
      <w:r>
        <w:rPr>
          <w:rFonts w:ascii="Times New Roman" w:hAnsi="Times New Roman" w:cs="Times New Roman" w:eastAsia="Times New Roman" w:hint="default"/>
        </w:rPr>
        <w:t>1</w:t>
      </w:r>
      <w:r>
        <w:rPr/>
        <w:t>）外币货币性项目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495"/>
        <w:gridCol w:w="2294"/>
        <w:gridCol w:w="2391"/>
        <w:gridCol w:w="2389"/>
      </w:tblGrid>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1" w:right="0"/>
              <w:jc w:val="left"/>
              <w:rPr>
                <w:rFonts w:ascii="宋体" w:hAnsi="宋体" w:cs="宋体" w:eastAsia="宋体" w:hint="default"/>
                <w:sz w:val="18"/>
                <w:szCs w:val="18"/>
              </w:rPr>
            </w:pPr>
            <w:r>
              <w:rPr>
                <w:rFonts w:ascii="宋体" w:hAnsi="宋体" w:cs="宋体" w:eastAsia="宋体" w:hint="default"/>
                <w:sz w:val="18"/>
                <w:szCs w:val="18"/>
              </w:rPr>
              <w:t>期末外币余额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折算汇率</w:t>
            </w:r>
          </w:p>
        </w:tc>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9" w:right="0"/>
              <w:jc w:val="left"/>
              <w:rPr>
                <w:rFonts w:ascii="宋体" w:hAnsi="宋体" w:cs="宋体" w:eastAsia="宋体" w:hint="default"/>
                <w:sz w:val="18"/>
                <w:szCs w:val="18"/>
              </w:rPr>
            </w:pPr>
            <w:r>
              <w:rPr>
                <w:rFonts w:ascii="宋体" w:hAnsi="宋体" w:cs="宋体" w:eastAsia="宋体" w:hint="default"/>
                <w:sz w:val="18"/>
                <w:szCs w:val="18"/>
              </w:rPr>
              <w:t>期末折算人民币余额</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389" w:type="dxa"/>
            <w:tcBorders>
              <w:top w:val="single" w:sz="4" w:space="0" w:color="000000"/>
              <w:left w:val="single" w:sz="13" w:space="0" w:color="D2D2D2"/>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3,901,587.35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6.8632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26,777,374.30</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294" w:type="dxa"/>
            <w:tcBorders>
              <w:top w:val="single" w:sz="4" w:space="0" w:color="000000"/>
              <w:left w:val="single" w:sz="9" w:space="0" w:color="D2D2D2"/>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29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4,669,206.63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0.8762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4,091,158.85</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
        </w:tc>
        <w:tc>
          <w:tcPr>
            <w:tcW w:w="2294"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118,802.31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6.8632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815,364.01</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294" w:type="dxa"/>
            <w:tcBorders>
              <w:top w:val="single" w:sz="4" w:space="0" w:color="000000"/>
              <w:left w:val="single" w:sz="9" w:space="0" w:color="D2D2D2"/>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29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300,515.82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0.8762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263,311.96</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294"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63,100.00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6.8632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433,067.92</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其中：港币</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1,196,327.37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0.8762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1,048,222.04</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4" w:type="dxa"/>
            <w:tcBorders>
              <w:top w:val="single" w:sz="4" w:space="0" w:color="000000"/>
              <w:left w:val="single" w:sz="9" w:space="0" w:color="D2D2D2"/>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294" w:type="dxa"/>
            <w:tcBorders>
              <w:top w:val="single" w:sz="4" w:space="0" w:color="000000"/>
              <w:left w:val="single" w:sz="9" w:space="0" w:color="D2D2D2"/>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294" w:type="dxa"/>
            <w:tcBorders>
              <w:top w:val="single" w:sz="4" w:space="0" w:color="000000"/>
              <w:left w:val="single" w:sz="9" w:space="0" w:color="D2D2D2"/>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
        </w:tc>
        <w:tc>
          <w:tcPr>
            <w:tcW w:w="2294"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right="0"/>
        <w:jc w:val="left"/>
      </w:pPr>
      <w:r>
        <w:rPr/>
        <w:t>其他说明：无</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3"/>
        <w:spacing w:line="259" w:lineRule="auto" w:before="35"/>
        <w:ind w:left="214" w:right="1032"/>
        <w:jc w:val="left"/>
        <w:rPr>
          <w:b w:val="0"/>
          <w:bCs w:val="0"/>
        </w:rPr>
      </w:pPr>
      <w:bookmarkStart w:name="（2）境外经营实体说明，包括对于重要的境外经营实体，应披露其境外主要经营地、记账" w:id="318"/>
      <w:bookmarkEnd w:id="318"/>
      <w:r>
        <w:rPr>
          <w:b w:val="0"/>
          <w:bCs w:val="0"/>
        </w:rPr>
      </w:r>
      <w:r>
        <w:rPr/>
        <w:t>（</w:t>
      </w:r>
      <w:r>
        <w:rPr>
          <w:rFonts w:ascii="Times New Roman" w:hAnsi="Times New Roman" w:cs="Times New Roman" w:eastAsia="Times New Roman" w:hint="default"/>
        </w:rPr>
        <w:t>2</w:t>
      </w:r>
      <w:r>
        <w:rPr/>
        <w:t>）境外经营实体说明，包括对于重要的境外经营实体，应披露其境外主要经营地、记账本位币及选择</w:t>
      </w:r>
      <w:r>
        <w:rPr>
          <w:spacing w:val="-74"/>
        </w:rPr>
        <w:t> </w:t>
      </w:r>
      <w:r>
        <w:rPr>
          <w:spacing w:val="-74"/>
        </w:rPr>
      </w:r>
      <w:r>
        <w:rPr/>
        <w:t>依据，记账本位币发生变化的还应披露原因。</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214" w:right="103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left="214" w:right="1032"/>
        <w:jc w:val="left"/>
        <w:rPr>
          <w:b w:val="0"/>
          <w:bCs w:val="0"/>
        </w:rPr>
      </w:pPr>
      <w:bookmarkStart w:name="49、政府补助" w:id="319"/>
      <w:bookmarkEnd w:id="319"/>
      <w:r>
        <w:rPr>
          <w:b w:val="0"/>
          <w:bCs w:val="0"/>
        </w:rPr>
      </w:r>
      <w:r>
        <w:rPr>
          <w:rFonts w:ascii="Times New Roman" w:hAnsi="Times New Roman" w:cs="Times New Roman" w:eastAsia="Times New Roman" w:hint="default"/>
        </w:rPr>
        <w:t>49</w:t>
      </w:r>
      <w:r>
        <w:rPr/>
        <w:t>、政府补助</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214" w:right="1032"/>
        <w:jc w:val="left"/>
        <w:rPr>
          <w:b w:val="0"/>
          <w:bCs w:val="0"/>
        </w:rPr>
      </w:pPr>
      <w:bookmarkStart w:name="（1）政府补助基本情况" w:id="320"/>
      <w:bookmarkEnd w:id="320"/>
      <w:r>
        <w:rPr>
          <w:b w:val="0"/>
          <w:bCs w:val="0"/>
        </w:rPr>
      </w:r>
      <w:r>
        <w:rPr/>
        <w:t>（</w:t>
      </w:r>
      <w:r>
        <w:rPr>
          <w:rFonts w:ascii="Times New Roman" w:hAnsi="Times New Roman" w:cs="Times New Roman" w:eastAsia="Times New Roman" w:hint="default"/>
        </w:rPr>
        <w:t>1</w:t>
      </w:r>
      <w:r>
        <w:rPr/>
        <w:t>）政府补助基本情况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01" w:type="dxa"/>
        <w:tblLayout w:type="fixed"/>
        <w:tblCellMar>
          <w:top w:w="0" w:type="dxa"/>
          <w:left w:w="0" w:type="dxa"/>
          <w:bottom w:w="0" w:type="dxa"/>
          <w:right w:w="0" w:type="dxa"/>
        </w:tblCellMar>
        <w:tblLook w:val="01E0"/>
      </w:tblPr>
      <w:tblGrid>
        <w:gridCol w:w="2464"/>
        <w:gridCol w:w="2463"/>
        <w:gridCol w:w="2464"/>
        <w:gridCol w:w="2465"/>
      </w:tblGrid>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246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246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列报项目</w:t>
            </w:r>
          </w:p>
        </w:tc>
        <w:tc>
          <w:tcPr>
            <w:tcW w:w="246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416" w:right="0"/>
              <w:jc w:val="left"/>
              <w:rPr>
                <w:rFonts w:ascii="宋体" w:hAnsi="宋体" w:cs="宋体" w:eastAsia="宋体" w:hint="default"/>
                <w:sz w:val="18"/>
                <w:szCs w:val="18"/>
              </w:rPr>
            </w:pPr>
            <w:r>
              <w:rPr>
                <w:rFonts w:ascii="宋体" w:hAnsi="宋体" w:cs="宋体" w:eastAsia="宋体" w:hint="default"/>
                <w:sz w:val="18"/>
                <w:szCs w:val="18"/>
              </w:rPr>
              <w:t>计入当期损益的金额</w:t>
            </w: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与资产相关的政府补助</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10,068,235.00</w:t>
            </w:r>
          </w:p>
        </w:tc>
        <w:tc>
          <w:tcPr>
            <w:tcW w:w="2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584,573.50</w:t>
            </w: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与收益相关政府补助</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20,615,530.54</w:t>
            </w:r>
          </w:p>
        </w:tc>
        <w:tc>
          <w:tcPr>
            <w:tcW w:w="2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20,615,530.54</w:t>
            </w: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与日常活动无关的政府补助</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1,148,800.00</w:t>
            </w:r>
          </w:p>
        </w:tc>
        <w:tc>
          <w:tcPr>
            <w:tcW w:w="2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1,148,800.00</w:t>
            </w: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31,832,565.54</w:t>
            </w:r>
          </w:p>
        </w:tc>
        <w:tc>
          <w:tcPr>
            <w:tcW w:w="2464" w:type="dxa"/>
            <w:tcBorders>
              <w:top w:val="single" w:sz="4" w:space="0" w:color="000000"/>
              <w:left w:val="single" w:sz="4" w:space="0" w:color="000000"/>
              <w:bottom w:val="single" w:sz="4" w:space="0" w:color="000000"/>
              <w:right w:val="single" w:sz="4" w:space="0" w:color="000000"/>
            </w:tcBorders>
          </w:tcPr>
          <w:p>
            <w:pPr/>
          </w:p>
        </w:tc>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22,348,904.04</w:t>
            </w:r>
          </w:p>
        </w:tc>
      </w:tr>
    </w:tbl>
    <w:p>
      <w:pPr>
        <w:spacing w:line="240" w:lineRule="auto" w:before="2"/>
        <w:rPr>
          <w:rFonts w:ascii="宋体" w:hAnsi="宋体" w:cs="宋体" w:eastAsia="宋体" w:hint="default"/>
          <w:sz w:val="19"/>
          <w:szCs w:val="19"/>
        </w:rPr>
      </w:pPr>
    </w:p>
    <w:p>
      <w:pPr>
        <w:pStyle w:val="Heading3"/>
        <w:spacing w:line="240" w:lineRule="auto" w:before="35"/>
        <w:ind w:left="214" w:right="1032"/>
        <w:jc w:val="left"/>
        <w:rPr>
          <w:b w:val="0"/>
          <w:bCs w:val="0"/>
        </w:rPr>
      </w:pPr>
      <w:bookmarkStart w:name="（2）政府补助退回情况" w:id="321"/>
      <w:bookmarkEnd w:id="321"/>
      <w:r>
        <w:rPr>
          <w:b w:val="0"/>
          <w:bCs w:val="0"/>
        </w:rPr>
      </w:r>
      <w:r>
        <w:rPr/>
        <w:t>（</w:t>
      </w:r>
      <w:r>
        <w:rPr>
          <w:rFonts w:ascii="Times New Roman" w:hAnsi="Times New Roman" w:cs="Times New Roman" w:eastAsia="Times New Roman" w:hint="default"/>
        </w:rPr>
        <w:t>2</w:t>
      </w:r>
      <w:r>
        <w:rPr/>
        <w:t>）政府补助退回情况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214" w:right="103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left="214" w:right="1032"/>
        <w:jc w:val="left"/>
        <w:rPr>
          <w:b w:val="0"/>
          <w:bCs w:val="0"/>
        </w:rPr>
      </w:pPr>
      <w:bookmarkStart w:name="八、合并范围的变更" w:id="322"/>
      <w:bookmarkEnd w:id="322"/>
      <w:r>
        <w:rPr>
          <w:b w:val="0"/>
          <w:bCs w:val="0"/>
        </w:rPr>
      </w:r>
      <w:r>
        <w:rPr/>
        <w:t>八、合并范围的变更</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214" w:right="1032"/>
        <w:jc w:val="left"/>
        <w:rPr>
          <w:b w:val="0"/>
          <w:bCs w:val="0"/>
        </w:rPr>
      </w:pPr>
      <w:bookmarkStart w:name="1、非同一控制下企业合并" w:id="323"/>
      <w:bookmarkEnd w:id="323"/>
      <w:r>
        <w:rPr>
          <w:b w:val="0"/>
          <w:bCs w:val="0"/>
        </w:rPr>
      </w:r>
      <w:r>
        <w:rPr>
          <w:rFonts w:ascii="Times New Roman" w:hAnsi="Times New Roman" w:cs="Times New Roman" w:eastAsia="Times New Roman" w:hint="default"/>
        </w:rPr>
        <w:t>1</w:t>
      </w:r>
      <w:r>
        <w:rPr/>
        <w:t>、非同一控制下企业合并</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214" w:right="1032"/>
        <w:jc w:val="left"/>
        <w:rPr>
          <w:b w:val="0"/>
          <w:bCs w:val="0"/>
        </w:rPr>
      </w:pPr>
      <w:bookmarkStart w:name="（1）本期发生的非同一控制下企业合并" w:id="324"/>
      <w:bookmarkEnd w:id="324"/>
      <w:r>
        <w:rPr>
          <w:b w:val="0"/>
          <w:bCs w:val="0"/>
        </w:rPr>
      </w:r>
      <w:r>
        <w:rPr/>
        <w:t>（</w:t>
      </w:r>
      <w:r>
        <w:rPr>
          <w:rFonts w:ascii="Times New Roman" w:hAnsi="Times New Roman" w:cs="Times New Roman" w:eastAsia="Times New Roman" w:hint="default"/>
        </w:rPr>
        <w:t>1</w:t>
      </w:r>
      <w:r>
        <w:rPr/>
        <w:t>）本期发生的非同一控制下企业合并</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209" w:type="dxa"/>
        <w:tblLayout w:type="fixed"/>
        <w:tblCellMar>
          <w:top w:w="0" w:type="dxa"/>
          <w:left w:w="0" w:type="dxa"/>
          <w:bottom w:w="0" w:type="dxa"/>
          <w:right w:w="0" w:type="dxa"/>
        </w:tblCellMar>
        <w:tblLook w:val="01E0"/>
      </w:tblPr>
      <w:tblGrid>
        <w:gridCol w:w="1064"/>
        <w:gridCol w:w="1064"/>
        <w:gridCol w:w="1063"/>
        <w:gridCol w:w="1065"/>
        <w:gridCol w:w="1064"/>
        <w:gridCol w:w="1063"/>
        <w:gridCol w:w="1062"/>
        <w:gridCol w:w="1062"/>
        <w:gridCol w:w="1062"/>
      </w:tblGrid>
      <w:tr>
        <w:trPr>
          <w:trHeight w:val="1026"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35" w:right="76" w:hanging="360"/>
              <w:jc w:val="left"/>
              <w:rPr>
                <w:rFonts w:ascii="宋体" w:hAnsi="宋体" w:cs="宋体" w:eastAsia="宋体" w:hint="default"/>
                <w:sz w:val="18"/>
                <w:szCs w:val="18"/>
              </w:rPr>
            </w:pPr>
            <w:r>
              <w:rPr>
                <w:rFonts w:ascii="宋体" w:hAnsi="宋体" w:cs="宋体" w:eastAsia="宋体" w:hint="default"/>
                <w:sz w:val="18"/>
                <w:szCs w:val="18"/>
              </w:rPr>
              <w:t>被购买方名 称</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36" w:right="77" w:hanging="360"/>
              <w:jc w:val="left"/>
              <w:rPr>
                <w:rFonts w:ascii="宋体" w:hAnsi="宋体" w:cs="宋体" w:eastAsia="宋体" w:hint="default"/>
                <w:sz w:val="18"/>
                <w:szCs w:val="18"/>
              </w:rPr>
            </w:pPr>
            <w:r>
              <w:rPr>
                <w:rFonts w:ascii="宋体" w:hAnsi="宋体" w:cs="宋体" w:eastAsia="宋体" w:hint="default"/>
                <w:sz w:val="18"/>
                <w:szCs w:val="18"/>
              </w:rPr>
              <w:t>股权取得时 点</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36" w:right="74" w:hanging="360"/>
              <w:jc w:val="left"/>
              <w:rPr>
                <w:rFonts w:ascii="宋体" w:hAnsi="宋体" w:cs="宋体" w:eastAsia="宋体" w:hint="default"/>
                <w:sz w:val="18"/>
                <w:szCs w:val="18"/>
              </w:rPr>
            </w:pPr>
            <w:r>
              <w:rPr>
                <w:rFonts w:ascii="宋体" w:hAnsi="宋体" w:cs="宋体" w:eastAsia="宋体" w:hint="default"/>
                <w:sz w:val="18"/>
                <w:szCs w:val="18"/>
              </w:rPr>
              <w:t>股权取得成 本</w:t>
            </w:r>
          </w:p>
        </w:tc>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36" w:right="76" w:hanging="360"/>
              <w:jc w:val="left"/>
              <w:rPr>
                <w:rFonts w:ascii="宋体" w:hAnsi="宋体" w:cs="宋体" w:eastAsia="宋体" w:hint="default"/>
                <w:sz w:val="18"/>
                <w:szCs w:val="18"/>
              </w:rPr>
            </w:pPr>
            <w:r>
              <w:rPr>
                <w:rFonts w:ascii="宋体" w:hAnsi="宋体" w:cs="宋体" w:eastAsia="宋体" w:hint="default"/>
                <w:sz w:val="18"/>
                <w:szCs w:val="18"/>
              </w:rPr>
              <w:t>股权取得比 例</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36" w:right="77" w:hanging="360"/>
              <w:jc w:val="left"/>
              <w:rPr>
                <w:rFonts w:ascii="宋体" w:hAnsi="宋体" w:cs="宋体" w:eastAsia="宋体" w:hint="default"/>
                <w:sz w:val="18"/>
                <w:szCs w:val="18"/>
              </w:rPr>
            </w:pPr>
            <w:r>
              <w:rPr>
                <w:rFonts w:ascii="宋体" w:hAnsi="宋体" w:cs="宋体" w:eastAsia="宋体" w:hint="default"/>
                <w:sz w:val="18"/>
                <w:szCs w:val="18"/>
              </w:rPr>
              <w:t>股权取得方 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56" w:right="0"/>
              <w:jc w:val="left"/>
              <w:rPr>
                <w:rFonts w:ascii="宋体" w:hAnsi="宋体" w:cs="宋体" w:eastAsia="宋体" w:hint="default"/>
                <w:sz w:val="18"/>
                <w:szCs w:val="18"/>
              </w:rPr>
            </w:pPr>
            <w:r>
              <w:rPr>
                <w:rFonts w:ascii="宋体" w:hAnsi="宋体" w:cs="宋体" w:eastAsia="宋体" w:hint="default"/>
                <w:sz w:val="18"/>
                <w:szCs w:val="18"/>
              </w:rPr>
              <w:t>购买日</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55" w:right="75" w:hanging="180"/>
              <w:jc w:val="left"/>
              <w:rPr>
                <w:rFonts w:ascii="宋体" w:hAnsi="宋体" w:cs="宋体" w:eastAsia="宋体" w:hint="default"/>
                <w:sz w:val="18"/>
                <w:szCs w:val="18"/>
              </w:rPr>
            </w:pPr>
            <w:r>
              <w:rPr>
                <w:rFonts w:ascii="宋体" w:hAnsi="宋体" w:cs="宋体" w:eastAsia="宋体" w:hint="default"/>
                <w:sz w:val="18"/>
                <w:szCs w:val="18"/>
              </w:rPr>
              <w:t>购买日的确 定依据</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5" w:right="74"/>
              <w:jc w:val="center"/>
              <w:rPr>
                <w:rFonts w:ascii="宋体" w:hAnsi="宋体" w:cs="宋体" w:eastAsia="宋体" w:hint="default"/>
                <w:sz w:val="18"/>
                <w:szCs w:val="18"/>
              </w:rPr>
            </w:pPr>
            <w:r>
              <w:rPr>
                <w:rFonts w:ascii="宋体" w:hAnsi="宋体" w:cs="宋体" w:eastAsia="宋体" w:hint="default"/>
                <w:sz w:val="18"/>
                <w:szCs w:val="18"/>
              </w:rPr>
              <w:t>购买日至期 末被购买方 的收入</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5" w:right="74"/>
              <w:jc w:val="both"/>
              <w:rPr>
                <w:rFonts w:ascii="宋体" w:hAnsi="宋体" w:cs="宋体" w:eastAsia="宋体" w:hint="default"/>
                <w:sz w:val="18"/>
                <w:szCs w:val="18"/>
              </w:rPr>
            </w:pPr>
            <w:r>
              <w:rPr>
                <w:rFonts w:ascii="宋体" w:hAnsi="宋体" w:cs="宋体" w:eastAsia="宋体" w:hint="default"/>
                <w:sz w:val="18"/>
                <w:szCs w:val="18"/>
              </w:rPr>
              <w:t>购买日至期 末被购买方 的净利润</w:t>
            </w:r>
          </w:p>
        </w:tc>
      </w:tr>
      <w:tr>
        <w:trPr>
          <w:trHeight w:val="1026"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上海丽兴绿 色包装有限 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53,400,000.0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86" w:right="0"/>
              <w:jc w:val="left"/>
              <w:rPr>
                <w:rFonts w:ascii="Times New Roman" w:hAnsi="Times New Roman" w:cs="Times New Roman" w:eastAsia="Times New Roman" w:hint="default"/>
                <w:sz w:val="18"/>
                <w:szCs w:val="18"/>
              </w:rPr>
            </w:pPr>
            <w:r>
              <w:rPr>
                <w:rFonts w:ascii="Times New Roman"/>
                <w:sz w:val="18"/>
              </w:rPr>
              <w:t>100.00%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购买</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取得控制权</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33" w:right="0"/>
              <w:jc w:val="left"/>
              <w:rPr>
                <w:rFonts w:ascii="Times New Roman" w:hAnsi="Times New Roman" w:cs="Times New Roman" w:eastAsia="Times New Roman" w:hint="default"/>
                <w:sz w:val="18"/>
                <w:szCs w:val="18"/>
              </w:rPr>
            </w:pPr>
            <w:r>
              <w:rPr>
                <w:rFonts w:ascii="Times New Roman"/>
                <w:sz w:val="18"/>
              </w:rPr>
              <w:t>237.18</w:t>
            </w:r>
          </w:p>
        </w:tc>
      </w:tr>
    </w:tbl>
    <w:p>
      <w:pPr>
        <w:pStyle w:val="BodyText"/>
        <w:spacing w:line="240" w:lineRule="auto" w:before="51"/>
        <w:ind w:left="214" w:right="0"/>
        <w:jc w:val="both"/>
      </w:pPr>
      <w:r>
        <w:rPr/>
        <w:t>其他说明：</w:t>
      </w:r>
    </w:p>
    <w:p>
      <w:pPr>
        <w:pStyle w:val="BodyText"/>
        <w:spacing w:line="300" w:lineRule="auto" w:before="116"/>
        <w:ind w:left="214" w:right="1131"/>
        <w:jc w:val="both"/>
      </w:pP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23</w:t>
      </w:r>
      <w:r>
        <w:rPr>
          <w:spacing w:val="-2"/>
        </w:rPr>
        <w:t>日本公司与梅曙南、杨幼妮、金晶、张寅元、上海石龙实业有限公司签署了《关于上海丽兴绿色包装有限公司</w:t>
      </w:r>
      <w:r>
        <w:rPr>
          <w:spacing w:val="-57"/>
        </w:rPr>
        <w:t> </w:t>
      </w:r>
      <w:r>
        <w:rPr>
          <w:spacing w:val="-57"/>
        </w:rPr>
      </w:r>
      <w:r>
        <w:rPr>
          <w:spacing w:val="-3"/>
        </w:rPr>
        <w:t>的股权转让协议》，公司以现金</w:t>
      </w:r>
      <w:r>
        <w:rPr>
          <w:rFonts w:ascii="Times New Roman" w:hAnsi="Times New Roman" w:cs="Times New Roman" w:eastAsia="Times New Roman" w:hint="default"/>
          <w:spacing w:val="-3"/>
        </w:rPr>
        <w:t>5,340</w:t>
      </w:r>
      <w:r>
        <w:rPr>
          <w:spacing w:val="-3"/>
        </w:rPr>
        <w:t>万元人民币收购上海丽兴绿色包装有限公司（以下简称</w:t>
      </w:r>
      <w:r>
        <w:rPr>
          <w:rFonts w:ascii="Times New Roman" w:hAnsi="Times New Roman" w:cs="Times New Roman" w:eastAsia="Times New Roman" w:hint="default"/>
          <w:spacing w:val="-3"/>
        </w:rPr>
        <w:t>“</w:t>
      </w:r>
      <w:r>
        <w:rPr>
          <w:spacing w:val="-3"/>
        </w:rPr>
        <w:t>上海丽兴</w:t>
      </w:r>
      <w:r>
        <w:rPr>
          <w:rFonts w:ascii="Times New Roman" w:hAnsi="Times New Roman" w:cs="Times New Roman" w:eastAsia="Times New Roman" w:hint="default"/>
          <w:spacing w:val="-3"/>
        </w:rPr>
        <w:t>”</w:t>
      </w:r>
      <w:r>
        <w:rPr>
          <w:spacing w:val="-3"/>
        </w:rPr>
        <w:t>）</w:t>
      </w:r>
      <w:r>
        <w:rPr>
          <w:rFonts w:ascii="Times New Roman" w:hAnsi="Times New Roman" w:cs="Times New Roman" w:eastAsia="Times New Roman" w:hint="default"/>
          <w:spacing w:val="-3"/>
        </w:rPr>
        <w:t>100%</w:t>
      </w:r>
      <w:r>
        <w:rPr>
          <w:spacing w:val="-3"/>
        </w:rPr>
        <w:t>的股权，</w:t>
      </w:r>
      <w:r>
        <w:rPr>
          <w:rFonts w:ascii="Times New Roman" w:hAnsi="Times New Roman" w:cs="Times New Roman" w:eastAsia="Times New Roman" w:hint="default"/>
          <w:spacing w:val="-3"/>
        </w:rPr>
        <w:t>2018</w:t>
      </w:r>
      <w:r>
        <w:rPr>
          <w:rFonts w:ascii="Times New Roman" w:hAnsi="Times New Roman" w:cs="Times New Roman" w:eastAsia="Times New Roman" w:hint="default"/>
          <w:spacing w:val="-31"/>
        </w:rPr>
        <w:t> </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1</w:t>
      </w:r>
      <w:r>
        <w:rPr>
          <w:spacing w:val="-2"/>
        </w:rPr>
        <w:t>日本公司与梅曙南、杨幼妮、金晶、张寅元、上海石龙实业有限公司按照《关于上海丽兴绿色包装有限公司的股权转</w:t>
      </w:r>
      <w:r>
        <w:rPr>
          <w:spacing w:val="-64"/>
        </w:rPr>
        <w:t> </w:t>
      </w:r>
      <w:r>
        <w:rPr>
          <w:spacing w:val="-64"/>
        </w:rPr>
      </w:r>
      <w:r>
        <w:rPr/>
        <w:t>让协议》的约定完成了股权交割及工商变更手续，纳入本期公司合并报表。</w:t>
      </w:r>
    </w:p>
    <w:p>
      <w:pPr>
        <w:spacing w:line="240" w:lineRule="auto" w:before="7"/>
        <w:rPr>
          <w:rFonts w:ascii="宋体" w:hAnsi="宋体" w:cs="宋体" w:eastAsia="宋体" w:hint="default"/>
          <w:sz w:val="23"/>
          <w:szCs w:val="23"/>
        </w:rPr>
      </w:pPr>
    </w:p>
    <w:p>
      <w:pPr>
        <w:pStyle w:val="Heading3"/>
        <w:spacing w:line="240" w:lineRule="auto"/>
        <w:ind w:left="214" w:right="0"/>
        <w:jc w:val="both"/>
        <w:rPr>
          <w:b w:val="0"/>
          <w:bCs w:val="0"/>
        </w:rPr>
      </w:pPr>
      <w:bookmarkStart w:name="（2）合并成本及商誉" w:id="325"/>
      <w:bookmarkEnd w:id="325"/>
      <w:r>
        <w:rPr>
          <w:b w:val="0"/>
          <w:bCs w:val="0"/>
        </w:rPr>
      </w:r>
      <w:r>
        <w:rPr/>
        <w:t>（</w:t>
      </w:r>
      <w:r>
        <w:rPr>
          <w:rFonts w:ascii="Times New Roman" w:hAnsi="Times New Roman" w:cs="Times New Roman" w:eastAsia="Times New Roman" w:hint="default"/>
        </w:rPr>
        <w:t>2</w:t>
      </w:r>
      <w:r>
        <w:rPr/>
        <w:t>）合并成本及商誉</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after="0" w:line="240" w:lineRule="auto"/>
        <w:jc w:val="right"/>
        <w:sectPr>
          <w:pgSz w:w="11910" w:h="16840"/>
          <w:pgMar w:header="747" w:footer="979" w:top="1060" w:bottom="1160" w:left="92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合并成本</w:t>
            </w:r>
          </w:p>
        </w:tc>
        <w:tc>
          <w:tcPr>
            <w:tcW w:w="478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上海丽兴</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现金</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53,400,000.00</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合并成本合计</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53,400,000.00</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减：取得的可辨认净资产公允价值份额</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34,799,109.45</w:t>
            </w:r>
          </w:p>
        </w:tc>
      </w:tr>
      <w:tr>
        <w:trPr>
          <w:trHeight w:val="714"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99"/>
              <w:jc w:val="left"/>
              <w:rPr>
                <w:rFonts w:ascii="宋体" w:hAnsi="宋体" w:cs="宋体" w:eastAsia="宋体" w:hint="default"/>
                <w:sz w:val="18"/>
                <w:szCs w:val="18"/>
              </w:rPr>
            </w:pPr>
            <w:r>
              <w:rPr>
                <w:rFonts w:ascii="宋体" w:hAnsi="宋体" w:cs="宋体" w:eastAsia="宋体" w:hint="default"/>
                <w:sz w:val="18"/>
                <w:szCs w:val="18"/>
              </w:rPr>
              <w:t>商誉</w:t>
            </w:r>
            <w:r>
              <w:rPr>
                <w:rFonts w:ascii="Times New Roman" w:hAnsi="Times New Roman" w:cs="Times New Roman" w:eastAsia="Times New Roman" w:hint="default"/>
                <w:sz w:val="18"/>
                <w:szCs w:val="18"/>
              </w:rPr>
              <w:t>/</w:t>
            </w:r>
            <w:r>
              <w:rPr>
                <w:rFonts w:ascii="宋体" w:hAnsi="宋体" w:cs="宋体" w:eastAsia="宋体" w:hint="default"/>
                <w:sz w:val="18"/>
                <w:szCs w:val="18"/>
              </w:rPr>
              <w:t>合并成本小于取得的可辨认净资产公允价值份额的金 额</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18,600,890.55</w:t>
            </w:r>
          </w:p>
        </w:tc>
      </w:tr>
    </w:tbl>
    <w:p>
      <w:pPr>
        <w:pStyle w:val="BodyText"/>
        <w:spacing w:line="360" w:lineRule="auto" w:before="51"/>
        <w:ind w:right="5892"/>
        <w:jc w:val="left"/>
      </w:pPr>
      <w:r>
        <w:rPr/>
        <w:t>合并成本公允价值的确定方法、或有对价及其变动的说明：无 大额商誉形成的主要原因：无</w:t>
      </w:r>
    </w:p>
    <w:p>
      <w:pPr>
        <w:pStyle w:val="BodyText"/>
        <w:spacing w:line="240" w:lineRule="auto" w:before="26"/>
        <w:ind w:right="0"/>
        <w:jc w:val="left"/>
      </w:pPr>
      <w:r>
        <w:rPr/>
        <w:t>其他说明：</w:t>
      </w:r>
    </w:p>
    <w:p>
      <w:pPr>
        <w:pStyle w:val="BodyText"/>
        <w:spacing w:line="316" w:lineRule="auto" w:before="116"/>
        <w:ind w:right="1152" w:firstLine="420"/>
        <w:jc w:val="left"/>
      </w:pPr>
      <w:r>
        <w:rPr/>
        <w:t>上海丽兴无实质性业务，本次非同一控制下企业合并不产生商誉，合并成本超过可辨认净资产公允价值部分计入上海 丽兴持有的对联营企业的长期股权投资价值。</w:t>
      </w:r>
    </w:p>
    <w:p>
      <w:pPr>
        <w:spacing w:line="240" w:lineRule="auto" w:before="7"/>
        <w:rPr>
          <w:rFonts w:ascii="宋体" w:hAnsi="宋体" w:cs="宋体" w:eastAsia="宋体" w:hint="default"/>
          <w:sz w:val="22"/>
          <w:szCs w:val="22"/>
        </w:rPr>
      </w:pPr>
    </w:p>
    <w:p>
      <w:pPr>
        <w:pStyle w:val="Heading3"/>
        <w:spacing w:line="240" w:lineRule="auto"/>
        <w:ind w:right="0"/>
        <w:jc w:val="left"/>
        <w:rPr>
          <w:b w:val="0"/>
          <w:bCs w:val="0"/>
        </w:rPr>
      </w:pPr>
      <w:bookmarkStart w:name="2、其他原因的合并范围变动" w:id="326"/>
      <w:bookmarkEnd w:id="326"/>
      <w:r>
        <w:rPr>
          <w:b w:val="0"/>
          <w:bCs w:val="0"/>
        </w:rPr>
      </w:r>
      <w:r>
        <w:rPr>
          <w:rFonts w:ascii="Times New Roman" w:hAnsi="Times New Roman" w:cs="Times New Roman" w:eastAsia="Times New Roman" w:hint="default"/>
        </w:rPr>
        <w:t>2</w:t>
      </w:r>
      <w:r>
        <w:rPr/>
        <w:t>、其他原因的合并范围变动</w:t>
      </w:r>
      <w:r>
        <w:rPr>
          <w:b w:val="0"/>
          <w:bCs w:val="0"/>
        </w:rPr>
      </w:r>
    </w:p>
    <w:p>
      <w:pPr>
        <w:spacing w:line="240" w:lineRule="auto" w:before="8"/>
        <w:rPr>
          <w:rFonts w:ascii="宋体" w:hAnsi="宋体" w:cs="宋体" w:eastAsia="宋体" w:hint="default"/>
          <w:b/>
          <w:bCs/>
          <w:sz w:val="26"/>
          <w:szCs w:val="26"/>
        </w:rPr>
      </w:pPr>
    </w:p>
    <w:p>
      <w:pPr>
        <w:pStyle w:val="BodyText"/>
        <w:spacing w:line="357" w:lineRule="auto"/>
        <w:ind w:right="3912"/>
        <w:jc w:val="left"/>
      </w:pPr>
      <w:r>
        <w:rPr/>
        <w:pict>
          <v:shape style="position:absolute;margin-left:56.459999pt;margin-top:32.591698pt;width:482.8pt;height:103.1pt;mso-position-horizontal-relative:page;mso-position-vertical-relative:paragraph;z-index:179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742"/>
                    <w:gridCol w:w="2950"/>
                    <w:gridCol w:w="2949"/>
                  </w:tblGrid>
                  <w:tr>
                    <w:trPr>
                      <w:trHeight w:val="342" w:hRule="exact"/>
                    </w:trPr>
                    <w:tc>
                      <w:tcPr>
                        <w:tcW w:w="374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295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年末净资产</w:t>
                        </w:r>
                      </w:p>
                    </w:tc>
                    <w:tc>
                      <w:tcPr>
                        <w:tcW w:w="294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本年净利润</w:t>
                        </w:r>
                      </w:p>
                    </w:tc>
                  </w:tr>
                  <w:tr>
                    <w:trPr>
                      <w:trHeight w:val="342" w:hRule="exact"/>
                    </w:trPr>
                    <w:tc>
                      <w:tcPr>
                        <w:tcW w:w="3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深圳嘉星健康科技有限公司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注</w:t>
                        </w:r>
                        <w:r>
                          <w:rPr>
                            <w:rFonts w:ascii="Times New Roman" w:hAnsi="Times New Roman" w:cs="Times New Roman" w:eastAsia="Times New Roman" w:hint="default"/>
                            <w:sz w:val="18"/>
                            <w:szCs w:val="18"/>
                          </w:rPr>
                          <w:t>1</w:t>
                        </w:r>
                      </w:p>
                    </w:tc>
                    <w:tc>
                      <w:tcPr>
                        <w:tcW w:w="2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42" w:hRule="exact"/>
                    </w:trPr>
                    <w:tc>
                      <w:tcPr>
                        <w:tcW w:w="3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深圳劲嘉盒知科技有限公司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注</w:t>
                        </w:r>
                        <w:r>
                          <w:rPr>
                            <w:rFonts w:ascii="Times New Roman" w:hAnsi="Times New Roman" w:cs="Times New Roman" w:eastAsia="Times New Roman" w:hint="default"/>
                            <w:sz w:val="18"/>
                            <w:szCs w:val="18"/>
                          </w:rPr>
                          <w:t>2</w:t>
                        </w:r>
                      </w:p>
                    </w:tc>
                    <w:tc>
                      <w:tcPr>
                        <w:tcW w:w="2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33,338,887.87</w:t>
                        </w:r>
                      </w:p>
                    </w:tc>
                    <w:tc>
                      <w:tcPr>
                        <w:tcW w:w="2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-8,661,112.13</w:t>
                        </w:r>
                      </w:p>
                    </w:tc>
                  </w:tr>
                  <w:tr>
                    <w:trPr>
                      <w:trHeight w:val="342" w:hRule="exact"/>
                    </w:trPr>
                    <w:tc>
                      <w:tcPr>
                        <w:tcW w:w="3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深圳嘉玉科技有限公司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注</w:t>
                        </w:r>
                        <w:r>
                          <w:rPr>
                            <w:rFonts w:ascii="Times New Roman" w:hAnsi="Times New Roman" w:cs="Times New Roman" w:eastAsia="Times New Roman" w:hint="default"/>
                            <w:sz w:val="18"/>
                            <w:szCs w:val="18"/>
                          </w:rPr>
                          <w:t>3</w:t>
                        </w:r>
                      </w:p>
                    </w:tc>
                    <w:tc>
                      <w:tcPr>
                        <w:tcW w:w="2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19,907,814.16</w:t>
                        </w:r>
                      </w:p>
                    </w:tc>
                    <w:tc>
                      <w:tcPr>
                        <w:tcW w:w="2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w w:val="95"/>
                            <w:sz w:val="18"/>
                          </w:rPr>
                          <w:t>-92,185.84</w:t>
                        </w:r>
                        <w:r>
                          <w:rPr>
                            <w:rFonts w:ascii="Times New Roman"/>
                            <w:sz w:val="18"/>
                          </w:rPr>
                        </w:r>
                      </w:p>
                    </w:tc>
                  </w:tr>
                  <w:tr>
                    <w:trPr>
                      <w:trHeight w:val="342" w:hRule="exact"/>
                    </w:trPr>
                    <w:tc>
                      <w:tcPr>
                        <w:tcW w:w="3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深圳因味科技有限公司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注</w:t>
                        </w:r>
                        <w:r>
                          <w:rPr>
                            <w:rFonts w:ascii="Times New Roman" w:hAnsi="Times New Roman" w:cs="Times New Roman" w:eastAsia="Times New Roman" w:hint="default"/>
                            <w:sz w:val="18"/>
                            <w:szCs w:val="18"/>
                          </w:rPr>
                          <w:t>4</w:t>
                        </w:r>
                      </w:p>
                    </w:tc>
                    <w:tc>
                      <w:tcPr>
                        <w:tcW w:w="2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4,500,022.46</w:t>
                        </w:r>
                      </w:p>
                    </w:tc>
                    <w:tc>
                      <w:tcPr>
                        <w:tcW w:w="2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w w:val="95"/>
                            <w:sz w:val="18"/>
                          </w:rPr>
                          <w:t>-499,977.54</w:t>
                        </w:r>
                        <w:r>
                          <w:rPr>
                            <w:rFonts w:ascii="Times New Roman"/>
                            <w:sz w:val="18"/>
                          </w:rPr>
                        </w:r>
                      </w:p>
                    </w:tc>
                  </w:tr>
                  <w:tr>
                    <w:trPr>
                      <w:trHeight w:val="342" w:hRule="exact"/>
                    </w:trPr>
                    <w:tc>
                      <w:tcPr>
                        <w:tcW w:w="3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94,917,603.12</w:t>
                        </w:r>
                      </w:p>
                    </w:tc>
                    <w:tc>
                      <w:tcPr>
                        <w:tcW w:w="2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-6,881,506.33</w:t>
                        </w:r>
                      </w:p>
                    </w:tc>
                  </w:tr>
                </w:tbl>
                <w:p>
                  <w:pPr/>
                </w:p>
              </w:txbxContent>
            </v:textbox>
            <w10:wrap type="none"/>
          </v:shape>
        </w:pict>
      </w:r>
      <w:r>
        <w:rPr/>
        <w:t>说明其他原因导致的合并范围变动（如，新设子公司、清算子公司等）及其相关情况： 本报告期新纳入合并范围的子公司</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6"/>
          <w:szCs w:val="16"/>
        </w:rPr>
      </w:pPr>
    </w:p>
    <w:p>
      <w:pPr>
        <w:pStyle w:val="BodyText"/>
        <w:spacing w:line="300" w:lineRule="auto"/>
        <w:ind w:right="1122" w:firstLine="480"/>
        <w:jc w:val="left"/>
      </w:pPr>
      <w:r>
        <w:rPr/>
        <w:t>注</w:t>
      </w:r>
      <w:r>
        <w:rPr>
          <w:rFonts w:ascii="Times New Roman" w:hAnsi="Times New Roman" w:cs="Times New Roman" w:eastAsia="Times New Roman" w:hint="default"/>
        </w:rPr>
        <w:t>1</w:t>
      </w:r>
      <w:r>
        <w:rPr/>
        <w:t>：</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3</w:t>
      </w:r>
      <w:r>
        <w:rPr/>
        <w:t>月公司子公司深圳劲嘉健康产业管理有限公司与深圳前海复星瑞哲资产管理有限公司共同出资人民币 </w:t>
      </w:r>
      <w:r>
        <w:rPr>
          <w:rFonts w:ascii="Times New Roman" w:hAnsi="Times New Roman" w:cs="Times New Roman" w:eastAsia="Times New Roman" w:hint="default"/>
        </w:rPr>
        <w:t>10,000</w:t>
      </w:r>
      <w:r>
        <w:rPr>
          <w:rFonts w:ascii="Times New Roman" w:hAnsi="Times New Roman" w:cs="Times New Roman" w:eastAsia="Times New Roman" w:hint="default"/>
          <w:spacing w:val="34"/>
        </w:rPr>
        <w:t> </w:t>
      </w:r>
      <w:r>
        <w:rPr>
          <w:spacing w:val="-2"/>
        </w:rPr>
        <w:t>万元人民币设立合资公司深圳嘉星健康科技有限公司（以下简称</w:t>
      </w:r>
      <w:r>
        <w:rPr>
          <w:rFonts w:ascii="Times New Roman" w:hAnsi="Times New Roman" w:cs="Times New Roman" w:eastAsia="Times New Roman" w:hint="default"/>
          <w:spacing w:val="-2"/>
        </w:rPr>
        <w:t>“</w:t>
      </w:r>
      <w:r>
        <w:rPr>
          <w:spacing w:val="-2"/>
        </w:rPr>
        <w:t>嘉星健康</w:t>
      </w:r>
      <w:r>
        <w:rPr>
          <w:rFonts w:ascii="Times New Roman" w:hAnsi="Times New Roman" w:cs="Times New Roman" w:eastAsia="Times New Roman" w:hint="default"/>
          <w:spacing w:val="-2"/>
        </w:rPr>
        <w:t>”</w:t>
      </w:r>
      <w:r>
        <w:rPr>
          <w:spacing w:val="-2"/>
        </w:rPr>
        <w:t>），深圳劲嘉健康产业管理有限公司持有</w:t>
      </w:r>
      <w:r>
        <w:rPr/>
        <w:t> 嘉星健康</w:t>
      </w:r>
      <w:r>
        <w:rPr>
          <w:rFonts w:ascii="Times New Roman" w:hAnsi="Times New Roman" w:cs="Times New Roman" w:eastAsia="Times New Roman" w:hint="default"/>
        </w:rPr>
        <w:t>51%</w:t>
      </w:r>
      <w:r>
        <w:rPr/>
        <w:t>股权，深圳前海复星瑞哲资产管理有限公司持有</w:t>
      </w:r>
      <w:r>
        <w:rPr>
          <w:spacing w:val="-19"/>
        </w:rPr>
        <w:t> </w:t>
      </w:r>
      <w:r>
        <w:rPr>
          <w:rFonts w:ascii="Times New Roman" w:hAnsi="Times New Roman" w:cs="Times New Roman" w:eastAsia="Times New Roman" w:hint="default"/>
        </w:rPr>
        <w:t>49%</w:t>
      </w:r>
      <w:r>
        <w:rPr/>
        <w:t>股权，纳入本公司本期合并报表。</w:t>
      </w:r>
    </w:p>
    <w:p>
      <w:pPr>
        <w:pStyle w:val="BodyText"/>
        <w:spacing w:line="300" w:lineRule="auto" w:before="13"/>
        <w:ind w:right="0" w:firstLine="480"/>
        <w:jc w:val="left"/>
      </w:pPr>
      <w:r>
        <w:rPr>
          <w:spacing w:val="-7"/>
          <w:w w:val="100"/>
        </w:rPr>
        <w:t>注</w:t>
      </w:r>
      <w:r>
        <w:rPr>
          <w:rFonts w:ascii="Times New Roman" w:hAnsi="Times New Roman" w:cs="Times New Roman" w:eastAsia="Times New Roman" w:hint="default"/>
          <w:spacing w:val="-7"/>
          <w:w w:val="100"/>
        </w:rPr>
        <w:t>2</w:t>
      </w:r>
      <w:r>
        <w:rPr>
          <w:spacing w:val="-7"/>
          <w:w w:val="100"/>
        </w:rPr>
        <w:t>：</w:t>
      </w:r>
      <w:r>
        <w:rPr>
          <w:rFonts w:ascii="Times New Roman" w:hAnsi="Times New Roman" w:cs="Times New Roman" w:eastAsia="Times New Roman" w:hint="default"/>
          <w:spacing w:val="-7"/>
          <w:w w:val="100"/>
        </w:rPr>
        <w:t>2018</w:t>
      </w:r>
      <w:r>
        <w:rPr>
          <w:spacing w:val="-7"/>
          <w:w w:val="100"/>
        </w:rPr>
        <w:t>年</w:t>
      </w:r>
      <w:r>
        <w:rPr>
          <w:rFonts w:ascii="Times New Roman" w:hAnsi="Times New Roman" w:cs="Times New Roman" w:eastAsia="Times New Roman" w:hint="default"/>
          <w:spacing w:val="-7"/>
          <w:w w:val="100"/>
        </w:rPr>
        <w:t>1</w:t>
      </w:r>
      <w:r>
        <w:rPr>
          <w:spacing w:val="-7"/>
          <w:w w:val="100"/>
        </w:rPr>
        <w:t>月公司与田学礼、郭成元共同出资</w:t>
      </w:r>
      <w:r>
        <w:rPr>
          <w:rFonts w:ascii="Times New Roman" w:hAnsi="Times New Roman" w:cs="Times New Roman" w:eastAsia="Times New Roman" w:hint="default"/>
          <w:spacing w:val="-7"/>
          <w:w w:val="100"/>
        </w:rPr>
        <w:t>6,000</w:t>
      </w:r>
      <w:r>
        <w:rPr>
          <w:spacing w:val="-7"/>
          <w:w w:val="100"/>
        </w:rPr>
        <w:t>万元人民币设立深圳劲嘉盒知科技有限司（以下简称</w:t>
      </w:r>
      <w:r>
        <w:rPr>
          <w:rFonts w:ascii="Times New Roman" w:hAnsi="Times New Roman" w:cs="Times New Roman" w:eastAsia="Times New Roman" w:hint="default"/>
          <w:spacing w:val="-7"/>
          <w:w w:val="100"/>
        </w:rPr>
        <w:t>“</w:t>
      </w:r>
      <w:r>
        <w:rPr>
          <w:spacing w:val="-7"/>
          <w:w w:val="100"/>
        </w:rPr>
        <w:t>盒知科技</w:t>
      </w:r>
      <w:r>
        <w:rPr>
          <w:rFonts w:ascii="Times New Roman" w:hAnsi="Times New Roman" w:cs="Times New Roman" w:eastAsia="Times New Roman" w:hint="default"/>
          <w:spacing w:val="-7"/>
          <w:w w:val="100"/>
        </w:rPr>
        <w:t>”</w:t>
      </w:r>
      <w:r>
        <w:rPr>
          <w:spacing w:val="-7"/>
          <w:w w:val="100"/>
        </w:rPr>
        <w:t>），</w:t>
      </w:r>
      <w:r>
        <w:rPr>
          <w:spacing w:val="-80"/>
        </w:rPr>
        <w:t> </w:t>
      </w:r>
      <w:r>
        <w:rPr/>
        <w:t>公司持有盒知科技</w:t>
      </w:r>
      <w:r>
        <w:rPr>
          <w:rFonts w:ascii="Times New Roman" w:hAnsi="Times New Roman" w:cs="Times New Roman" w:eastAsia="Times New Roman" w:hint="default"/>
        </w:rPr>
        <w:t>60%</w:t>
      </w:r>
      <w:r>
        <w:rPr/>
        <w:t>股权，纳入本公司本期合并报表。</w:t>
      </w:r>
    </w:p>
    <w:p>
      <w:pPr>
        <w:pStyle w:val="BodyText"/>
        <w:spacing w:line="300" w:lineRule="auto" w:before="13"/>
        <w:ind w:right="1123" w:firstLine="480"/>
        <w:jc w:val="left"/>
      </w:pPr>
      <w:r>
        <w:rPr/>
        <w:t>注</w:t>
      </w:r>
      <w:r>
        <w:rPr>
          <w:rFonts w:ascii="Times New Roman" w:hAnsi="Times New Roman" w:cs="Times New Roman" w:eastAsia="Times New Roman" w:hint="default"/>
        </w:rPr>
        <w:t>3</w:t>
      </w:r>
      <w:r>
        <w:rPr/>
        <w:t>：</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10</w:t>
      </w:r>
      <w:r>
        <w:rPr/>
        <w:t>月，公司全资子公司深圳市劲嘉科技有限公司（以下简称</w:t>
      </w:r>
      <w:r>
        <w:rPr>
          <w:rFonts w:ascii="Times New Roman" w:hAnsi="Times New Roman" w:cs="Times New Roman" w:eastAsia="Times New Roman" w:hint="default"/>
        </w:rPr>
        <w:t>“</w:t>
      </w:r>
      <w:r>
        <w:rPr/>
        <w:t>劲嘉科技</w:t>
      </w:r>
      <w:r>
        <w:rPr>
          <w:rFonts w:ascii="Times New Roman" w:hAnsi="Times New Roman" w:cs="Times New Roman" w:eastAsia="Times New Roman" w:hint="default"/>
        </w:rPr>
        <w:t>”</w:t>
      </w:r>
      <w:r>
        <w:rPr/>
        <w:t>）与云南中烟下属企业天成（太 </w:t>
      </w:r>
      <w:r>
        <w:rPr>
          <w:spacing w:val="-3"/>
        </w:rPr>
        <w:t>平洋）有限公司全资子公司深圳市华玉科技发展有限公司共同出资</w:t>
      </w:r>
      <w:r>
        <w:rPr>
          <w:rFonts w:ascii="Times New Roman" w:hAnsi="Times New Roman" w:cs="Times New Roman" w:eastAsia="Times New Roman" w:hint="default"/>
          <w:spacing w:val="-3"/>
        </w:rPr>
        <w:t>2000</w:t>
      </w:r>
      <w:r>
        <w:rPr>
          <w:spacing w:val="-3"/>
        </w:rPr>
        <w:t>万元人民币设立深圳嘉玉科技有限公司（以下简称</w:t>
      </w:r>
      <w:r>
        <w:rPr>
          <w:rFonts w:ascii="Times New Roman" w:hAnsi="Times New Roman" w:cs="Times New Roman" w:eastAsia="Times New Roman" w:hint="default"/>
          <w:spacing w:val="-3"/>
        </w:rPr>
        <w:t>“</w:t>
      </w:r>
      <w:r>
        <w:rPr>
          <w:spacing w:val="-3"/>
        </w:rPr>
        <w:t>嘉</w:t>
      </w:r>
      <w:r>
        <w:rPr>
          <w:spacing w:val="-83"/>
        </w:rPr>
        <w:t> </w:t>
      </w:r>
      <w:r>
        <w:rPr/>
        <w:t>玉科技</w:t>
      </w:r>
      <w:r>
        <w:rPr>
          <w:rFonts w:ascii="Times New Roman" w:hAnsi="Times New Roman" w:cs="Times New Roman" w:eastAsia="Times New Roman" w:hint="default"/>
        </w:rPr>
        <w:t>”</w:t>
      </w:r>
      <w:r>
        <w:rPr/>
        <w:t>），劲嘉科技持有嘉玉科技</w:t>
      </w:r>
      <w:r>
        <w:rPr>
          <w:rFonts w:ascii="Times New Roman" w:hAnsi="Times New Roman" w:cs="Times New Roman" w:eastAsia="Times New Roman" w:hint="default"/>
        </w:rPr>
        <w:t>51%</w:t>
      </w:r>
      <w:r>
        <w:rPr/>
        <w:t>股权，纳入本公司本期合并报表。</w:t>
      </w:r>
    </w:p>
    <w:p>
      <w:pPr>
        <w:pStyle w:val="BodyText"/>
        <w:spacing w:line="300" w:lineRule="auto" w:before="13"/>
        <w:ind w:right="0" w:firstLine="480"/>
        <w:jc w:val="left"/>
      </w:pPr>
      <w:r>
        <w:rPr>
          <w:spacing w:val="-1"/>
        </w:rPr>
        <w:t>注</w:t>
      </w:r>
      <w:r>
        <w:rPr>
          <w:rFonts w:ascii="Times New Roman" w:hAnsi="Times New Roman" w:cs="Times New Roman" w:eastAsia="Times New Roman" w:hint="default"/>
          <w:spacing w:val="-1"/>
        </w:rPr>
        <w:t>4</w:t>
      </w:r>
      <w:r>
        <w:rPr>
          <w:spacing w:val="-1"/>
        </w:rPr>
        <w:t>：</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8</w:t>
      </w:r>
      <w:r>
        <w:rPr>
          <w:spacing w:val="-1"/>
        </w:rPr>
        <w:t>月，公司与北京米物科技有限公司、深圳市南桥前海创新基金合伙企业（有限合伙）共同出资</w:t>
      </w:r>
      <w:r>
        <w:rPr>
          <w:rFonts w:ascii="Times New Roman" w:hAnsi="Times New Roman" w:cs="Times New Roman" w:eastAsia="Times New Roman" w:hint="default"/>
          <w:spacing w:val="-1"/>
        </w:rPr>
        <w:t>2000</w:t>
      </w:r>
      <w:r>
        <w:rPr>
          <w:spacing w:val="-1"/>
        </w:rPr>
        <w:t>万人</w:t>
      </w:r>
      <w:r>
        <w:rPr>
          <w:spacing w:val="1"/>
        </w:rPr>
        <w:t> </w:t>
      </w:r>
      <w:r>
        <w:rPr/>
        <w:t>民币设立深圳因味科技有限公司（以下简称</w:t>
      </w:r>
      <w:r>
        <w:rPr>
          <w:rFonts w:ascii="Times New Roman" w:hAnsi="Times New Roman" w:cs="Times New Roman" w:eastAsia="Times New Roman" w:hint="default"/>
        </w:rPr>
        <w:t>“</w:t>
      </w:r>
      <w:r>
        <w:rPr/>
        <w:t>因味科技</w:t>
      </w:r>
      <w:r>
        <w:rPr>
          <w:rFonts w:ascii="Times New Roman" w:hAnsi="Times New Roman" w:cs="Times New Roman" w:eastAsia="Times New Roman" w:hint="default"/>
        </w:rPr>
        <w:t>”</w:t>
      </w:r>
      <w:r>
        <w:rPr/>
        <w:t>），公司持有因味科技</w:t>
      </w:r>
      <w:r>
        <w:rPr>
          <w:rFonts w:ascii="Times New Roman" w:hAnsi="Times New Roman" w:cs="Times New Roman" w:eastAsia="Times New Roman" w:hint="default"/>
        </w:rPr>
        <w:t>51%</w:t>
      </w:r>
      <w:r>
        <w:rPr/>
        <w:t>股权，纳入本公司本期合并报表。</w:t>
      </w:r>
    </w:p>
    <w:p>
      <w:pPr>
        <w:spacing w:line="240" w:lineRule="auto" w:before="4"/>
        <w:rPr>
          <w:rFonts w:ascii="宋体" w:hAnsi="宋体" w:cs="宋体" w:eastAsia="宋体" w:hint="default"/>
          <w:sz w:val="20"/>
          <w:szCs w:val="20"/>
        </w:rPr>
      </w:pPr>
    </w:p>
    <w:p>
      <w:pPr>
        <w:pStyle w:val="Heading2"/>
        <w:spacing w:line="240" w:lineRule="auto"/>
        <w:ind w:right="0"/>
        <w:jc w:val="left"/>
        <w:rPr>
          <w:b w:val="0"/>
          <w:bCs w:val="0"/>
        </w:rPr>
      </w:pPr>
      <w:bookmarkStart w:name="九、在其他主体中的权益" w:id="327"/>
      <w:bookmarkEnd w:id="327"/>
      <w:r>
        <w:rPr>
          <w:b w:val="0"/>
          <w:bCs w:val="0"/>
        </w:rPr>
      </w:r>
      <w:r>
        <w:rPr/>
        <w:t>九、在其他主体中的权益</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在子公司中的权益" w:id="328"/>
      <w:bookmarkEnd w:id="328"/>
      <w:r>
        <w:rPr>
          <w:b w:val="0"/>
          <w:bCs w:val="0"/>
        </w:rPr>
      </w:r>
      <w:r>
        <w:rPr>
          <w:rFonts w:ascii="Times New Roman" w:hAnsi="Times New Roman" w:cs="Times New Roman" w:eastAsia="Times New Roman" w:hint="default"/>
        </w:rPr>
        <w:t>1</w:t>
      </w:r>
      <w:r>
        <w:rPr/>
        <w:t>、在子公司中的权益</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企业集团的构成" w:id="329"/>
      <w:bookmarkEnd w:id="329"/>
      <w:r>
        <w:rPr>
          <w:b w:val="0"/>
          <w:bCs w:val="0"/>
        </w:rPr>
      </w:r>
      <w:r>
        <w:rPr/>
        <w:t>（</w:t>
      </w:r>
      <w:r>
        <w:rPr>
          <w:rFonts w:ascii="Times New Roman" w:hAnsi="Times New Roman" w:cs="Times New Roman" w:eastAsia="Times New Roman" w:hint="default"/>
        </w:rPr>
        <w:t>1</w:t>
      </w:r>
      <w:r>
        <w:rPr/>
        <w:t>）企业集团的构成</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402" w:hRule="exact"/>
        </w:trPr>
        <w:tc>
          <w:tcPr>
            <w:tcW w:w="137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left="408"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取得方式</w:t>
            </w:r>
          </w:p>
        </w:tc>
      </w:tr>
      <w:tr>
        <w:trPr>
          <w:trHeight w:val="402" w:hRule="exact"/>
        </w:trPr>
        <w:tc>
          <w:tcPr>
            <w:tcW w:w="1372"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直接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贵州劲嘉新型包 装材料有限公司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贵阳市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贵阳市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包装印刷业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贵州瑞源包装有 限责任公司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贵阳市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贵阳市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包装印刷业</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贵州劲瑞新型包 装材料有限公司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贵阳市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贵阳市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包装印刷业</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深圳市劲嘉物业 管理有限公司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物业管理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江苏劲嘉新型包 装材料有限公司</w:t>
            </w:r>
          </w:p>
          <w:p>
            <w:pPr>
              <w:pStyle w:val="TableParagraph"/>
              <w:spacing w:line="240" w:lineRule="auto" w:before="2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淮安市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淮安市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包装印刷业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35.00%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25.00%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江苏顺泰包装印 刷科技有限公司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淮安市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淮安市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包装印刷业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49.00%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51.00%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青岛嘉颐泽印刷 包装有限公司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青岛市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青岛市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包装印刷业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深圳合元劲嘉电 子科技有限公司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电子烟制造</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51.00%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珠海市嘉瑞包装 材料有限公司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珠海市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珠海市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包装印刷业</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东方英莎特有限 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英属维尔京群岛</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英属维尔京群岛</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投资控股</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同一控制下企业 合并</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中华香港国际烟 草集团有限公司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投资控股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深圳市劲嘉科技 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电子烟设计制造</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深圳劲嘉新型智 能包装有限公司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包装加工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安徽安泰新型包 装材料有限公司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合肥市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合肥市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包装印刷业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52.00%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48.00%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中丰田光电科技</w:t>
            </w:r>
          </w:p>
          <w:p>
            <w:pPr>
              <w:pStyle w:val="TableParagraph"/>
              <w:spacing w:line="319" w:lineRule="auto" w:before="76"/>
              <w:ind w:left="22" w:right="77"/>
              <w:jc w:val="left"/>
              <w:rPr>
                <w:rFonts w:ascii="宋体" w:hAnsi="宋体" w:cs="宋体" w:eastAsia="宋体" w:hint="default"/>
                <w:sz w:val="18"/>
                <w:szCs w:val="18"/>
              </w:rPr>
            </w:pPr>
            <w:r>
              <w:rPr>
                <w:rFonts w:ascii="宋体" w:hAnsi="宋体" w:cs="宋体" w:eastAsia="宋体" w:hint="default"/>
                <w:sz w:val="18"/>
                <w:szCs w:val="18"/>
              </w:rPr>
              <w:t>（珠海）有限公 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珠海市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珠海市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昆明彩印有限责 任公司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昆明市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昆明市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包装印刷业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41.61%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佳信（香港）有 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投资控股</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江西丰彩丽印刷 包装有限公司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南昌市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南昌市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包装印刷业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27.00%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25.00%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40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深圳前海劲嘉供</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供应链管理及包</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36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应链有限公司</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装材料销售</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深圳前海蓝莓文 化传播有限公司</w:t>
            </w:r>
          </w:p>
          <w:p>
            <w:pPr>
              <w:pStyle w:val="TableParagraph"/>
              <w:spacing w:line="240" w:lineRule="auto" w:before="2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文化设计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41.00%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长春吉星印务有 限责任公司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长春市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长春市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包装印刷业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深圳劲嘉健康投 资管理有限公司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健康投资管理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劲嘉集团（香港 森洋）有限公司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投资</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51.00%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both"/>
              <w:rPr>
                <w:rFonts w:ascii="宋体" w:hAnsi="宋体" w:cs="宋体" w:eastAsia="宋体" w:hint="default"/>
                <w:sz w:val="18"/>
                <w:szCs w:val="18"/>
              </w:rPr>
            </w:pPr>
            <w:r>
              <w:rPr>
                <w:rFonts w:ascii="宋体" w:hAnsi="宋体" w:cs="宋体" w:eastAsia="宋体" w:hint="default"/>
                <w:sz w:val="18"/>
                <w:szCs w:val="18"/>
              </w:rPr>
              <w:t>广州劲嘉健康产 业投资管理有限 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广州市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广州市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商务服务</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上海丽兴绿色包 装有限公司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投资</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深圳嘉星健康科 技有限公司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健康投资管理</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51.00%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深圳劲嘉盒知科 技有限公司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技术开发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深圳嘉玉科技有 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电子烟设计制造</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51.00%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深圳因味科技有 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新型烟草研发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51.00%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bl>
    <w:p>
      <w:pPr>
        <w:pStyle w:val="BodyText"/>
        <w:spacing w:line="352" w:lineRule="auto" w:before="51"/>
        <w:ind w:right="2082"/>
        <w:jc w:val="left"/>
      </w:pPr>
      <w:r>
        <w:rPr/>
        <w:t>在子公司的持股比例不同于表决权比例的说明： 注</w:t>
      </w:r>
      <w:r>
        <w:rPr>
          <w:rFonts w:ascii="Times New Roman" w:hAnsi="Times New Roman" w:cs="Times New Roman" w:eastAsia="Times New Roman" w:hint="default"/>
        </w:rPr>
        <w:t>1</w:t>
      </w:r>
      <w:r>
        <w:rPr/>
        <w:t>：依据本公司之子公司江苏劲嘉章程规定，本公司持有江苏劲嘉</w:t>
      </w:r>
      <w:r>
        <w:rPr>
          <w:rFonts w:ascii="Times New Roman" w:hAnsi="Times New Roman" w:cs="Times New Roman" w:eastAsia="Times New Roman" w:hint="default"/>
        </w:rPr>
        <w:t>60%</w:t>
      </w:r>
      <w:r>
        <w:rPr/>
        <w:t>股权，但按照</w:t>
      </w:r>
      <w:r>
        <w:rPr>
          <w:rFonts w:ascii="Times New Roman" w:hAnsi="Times New Roman" w:cs="Times New Roman" w:eastAsia="Times New Roman" w:hint="default"/>
        </w:rPr>
        <w:t>51%</w:t>
      </w:r>
      <w:r>
        <w:rPr/>
        <w:t>的比例分配利润。 持有半数或以下表决权但仍控制被投资单位、以及持有半数以上表决权但不控制被投资单位的依据： 注</w:t>
      </w:r>
      <w:r>
        <w:rPr>
          <w:rFonts w:ascii="Times New Roman" w:hAnsi="Times New Roman" w:cs="Times New Roman" w:eastAsia="Times New Roman" w:hint="default"/>
        </w:rPr>
        <w:t>2</w:t>
      </w:r>
      <w:r>
        <w:rPr/>
        <w:t>：依据本公司之子公司蓝莓文化章程规定，本公司持有蓝莓文化</w:t>
      </w:r>
      <w:r>
        <w:rPr>
          <w:rFonts w:ascii="Times New Roman" w:hAnsi="Times New Roman" w:cs="Times New Roman" w:eastAsia="Times New Roman" w:hint="default"/>
        </w:rPr>
        <w:t>41%</w:t>
      </w:r>
      <w:r>
        <w:rPr/>
        <w:t>股权，但按照</w:t>
      </w:r>
      <w:r>
        <w:rPr>
          <w:rFonts w:ascii="Times New Roman" w:hAnsi="Times New Roman" w:cs="Times New Roman" w:eastAsia="Times New Roman" w:hint="default"/>
        </w:rPr>
        <w:t>51%</w:t>
      </w:r>
      <w:r>
        <w:rPr/>
        <w:t>的比例行使表决权。</w:t>
      </w:r>
    </w:p>
    <w:p>
      <w:pPr>
        <w:spacing w:line="240" w:lineRule="auto" w:before="8"/>
        <w:rPr>
          <w:rFonts w:ascii="宋体" w:hAnsi="宋体" w:cs="宋体" w:eastAsia="宋体" w:hint="default"/>
          <w:sz w:val="24"/>
          <w:szCs w:val="24"/>
        </w:rPr>
      </w:pPr>
    </w:p>
    <w:p>
      <w:pPr>
        <w:pStyle w:val="BodyText"/>
        <w:spacing w:line="360" w:lineRule="auto"/>
        <w:ind w:right="2652"/>
        <w:jc w:val="left"/>
      </w:pPr>
      <w:r>
        <w:rPr/>
        <w:t>持有半数或以下表决权但仍控制被投资单位、以及持有半数以上表决权但不控制被投资单位的依据：无 对于纳入合并范围的重要的结构化主体，控制的依据：无</w:t>
      </w:r>
    </w:p>
    <w:p>
      <w:pPr>
        <w:pStyle w:val="BodyText"/>
        <w:spacing w:line="360" w:lineRule="auto" w:before="26"/>
        <w:ind w:right="7512"/>
        <w:jc w:val="left"/>
      </w:pPr>
      <w:r>
        <w:rPr/>
        <w:t>确定公司是代理人还是委托人的依据：无 其他说明：无</w:t>
      </w:r>
    </w:p>
    <w:p>
      <w:pPr>
        <w:spacing w:line="240" w:lineRule="auto" w:before="11"/>
        <w:rPr>
          <w:rFonts w:ascii="宋体" w:hAnsi="宋体" w:cs="宋体" w:eastAsia="宋体" w:hint="default"/>
          <w:sz w:val="19"/>
          <w:szCs w:val="19"/>
        </w:rPr>
      </w:pPr>
    </w:p>
    <w:p>
      <w:pPr>
        <w:pStyle w:val="Heading3"/>
        <w:spacing w:line="240" w:lineRule="auto"/>
        <w:ind w:right="0"/>
        <w:jc w:val="left"/>
        <w:rPr>
          <w:b w:val="0"/>
          <w:bCs w:val="0"/>
        </w:rPr>
      </w:pPr>
      <w:bookmarkStart w:name="（2）重要的非全资子公司" w:id="330"/>
      <w:bookmarkEnd w:id="330"/>
      <w:r>
        <w:rPr>
          <w:b w:val="0"/>
          <w:bCs w:val="0"/>
        </w:rPr>
      </w:r>
      <w:r>
        <w:rPr/>
        <w:t>（</w:t>
      </w:r>
      <w:r>
        <w:rPr>
          <w:rFonts w:ascii="Times New Roman" w:hAnsi="Times New Roman" w:cs="Times New Roman" w:eastAsia="Times New Roman" w:hint="default"/>
        </w:rPr>
        <w:t>2</w:t>
      </w:r>
      <w:r>
        <w:rPr/>
        <w:t>）重要的非全资子公司</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7"/>
        <w:gridCol w:w="1914"/>
        <w:gridCol w:w="1914"/>
        <w:gridCol w:w="1913"/>
        <w:gridCol w:w="1913"/>
      </w:tblGrid>
      <w:tr>
        <w:trPr>
          <w:trHeight w:val="765" w:hRule="exact"/>
        </w:trPr>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子公司名称</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231" w:right="0"/>
              <w:jc w:val="left"/>
              <w:rPr>
                <w:rFonts w:ascii="宋体" w:hAnsi="宋体" w:cs="宋体" w:eastAsia="宋体" w:hint="default"/>
                <w:sz w:val="18"/>
                <w:szCs w:val="18"/>
              </w:rPr>
            </w:pPr>
            <w:r>
              <w:rPr>
                <w:rFonts w:ascii="宋体" w:hAnsi="宋体" w:cs="宋体" w:eastAsia="宋体" w:hint="default"/>
                <w:sz w:val="18"/>
                <w:szCs w:val="18"/>
              </w:rPr>
              <w:t>少数股东持股比例</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77"/>
              <w:ind w:left="771" w:right="50" w:hanging="720"/>
              <w:jc w:val="left"/>
              <w:rPr>
                <w:rFonts w:ascii="宋体" w:hAnsi="宋体" w:cs="宋体" w:eastAsia="宋体" w:hint="default"/>
                <w:sz w:val="18"/>
                <w:szCs w:val="18"/>
              </w:rPr>
            </w:pPr>
            <w:r>
              <w:rPr>
                <w:rFonts w:ascii="宋体" w:hAnsi="宋体" w:cs="宋体" w:eastAsia="宋体" w:hint="default"/>
                <w:sz w:val="18"/>
                <w:szCs w:val="18"/>
              </w:rPr>
              <w:t>本期归属于少数股东的 损益</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77"/>
              <w:ind w:left="591" w:right="51" w:hanging="540"/>
              <w:jc w:val="left"/>
              <w:rPr>
                <w:rFonts w:ascii="宋体" w:hAnsi="宋体" w:cs="宋体" w:eastAsia="宋体" w:hint="default"/>
                <w:sz w:val="18"/>
                <w:szCs w:val="18"/>
              </w:rPr>
            </w:pPr>
            <w:r>
              <w:rPr>
                <w:rFonts w:ascii="宋体" w:hAnsi="宋体" w:cs="宋体" w:eastAsia="宋体" w:hint="default"/>
                <w:sz w:val="18"/>
                <w:szCs w:val="18"/>
              </w:rPr>
              <w:t>本期向少数股东宣告分 派的股利</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49"/>
              <w:jc w:val="right"/>
              <w:rPr>
                <w:rFonts w:ascii="宋体" w:hAnsi="宋体" w:cs="宋体" w:eastAsia="宋体" w:hint="default"/>
                <w:sz w:val="18"/>
                <w:szCs w:val="18"/>
              </w:rPr>
            </w:pPr>
            <w:r>
              <w:rPr>
                <w:rFonts w:ascii="宋体" w:hAnsi="宋体" w:cs="宋体" w:eastAsia="宋体" w:hint="default"/>
                <w:sz w:val="18"/>
                <w:szCs w:val="18"/>
              </w:rPr>
              <w:t>期末少数股东权益余额</w:t>
            </w:r>
          </w:p>
        </w:tc>
      </w:tr>
      <w:tr>
        <w:trPr>
          <w:trHeight w:val="402" w:hRule="exact"/>
        </w:trPr>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59"/>
              <w:jc w:val="center"/>
              <w:rPr>
                <w:rFonts w:ascii="宋体" w:hAnsi="宋体" w:cs="宋体" w:eastAsia="宋体" w:hint="default"/>
                <w:sz w:val="18"/>
                <w:szCs w:val="18"/>
              </w:rPr>
            </w:pPr>
            <w:r>
              <w:rPr>
                <w:rFonts w:ascii="宋体" w:hAnsi="宋体" w:cs="宋体" w:eastAsia="宋体" w:hint="default"/>
                <w:sz w:val="18"/>
                <w:szCs w:val="18"/>
              </w:rPr>
              <w:t>江西丰彩丽印刷包装有</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48.00%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5" w:right="0"/>
              <w:jc w:val="left"/>
              <w:rPr>
                <w:rFonts w:ascii="Times New Roman" w:hAnsi="Times New Roman" w:cs="Times New Roman" w:eastAsia="Times New Roman" w:hint="default"/>
                <w:sz w:val="18"/>
                <w:szCs w:val="18"/>
              </w:rPr>
            </w:pPr>
            <w:r>
              <w:rPr>
                <w:rFonts w:ascii="Times New Roman"/>
                <w:sz w:val="18"/>
              </w:rPr>
              <w:t>3,762,607.13</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33,983,683.27</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7"/>
        <w:gridCol w:w="1914"/>
        <w:gridCol w:w="1914"/>
        <w:gridCol w:w="1913"/>
        <w:gridCol w:w="1913"/>
      </w:tblGrid>
      <w:tr>
        <w:trPr>
          <w:trHeight w:val="362" w:hRule="exact"/>
        </w:trPr>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昆明彩印有限责任公司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48.39%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13,344,037.78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10,949,809.02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66,397,225.21</w:t>
            </w:r>
          </w:p>
        </w:tc>
      </w:tr>
      <w:tr>
        <w:trPr>
          <w:trHeight w:val="714" w:hRule="exact"/>
        </w:trPr>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82"/>
              <w:jc w:val="left"/>
              <w:rPr>
                <w:rFonts w:ascii="宋体" w:hAnsi="宋体" w:cs="宋体" w:eastAsia="宋体" w:hint="default"/>
                <w:sz w:val="18"/>
                <w:szCs w:val="18"/>
              </w:rPr>
            </w:pPr>
            <w:r>
              <w:rPr>
                <w:rFonts w:ascii="宋体" w:hAnsi="宋体" w:cs="宋体" w:eastAsia="宋体" w:hint="default"/>
                <w:sz w:val="18"/>
                <w:szCs w:val="18"/>
              </w:rPr>
              <w:t>江苏劲嘉新型包装材料 有限公司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49.00%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63,284,979.12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49,000,000.00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84,411,944.24</w:t>
            </w:r>
          </w:p>
        </w:tc>
      </w:tr>
      <w:tr>
        <w:trPr>
          <w:trHeight w:val="714" w:hRule="exact"/>
        </w:trPr>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82"/>
              <w:jc w:val="left"/>
              <w:rPr>
                <w:rFonts w:ascii="宋体" w:hAnsi="宋体" w:cs="宋体" w:eastAsia="宋体" w:hint="default"/>
                <w:sz w:val="18"/>
                <w:szCs w:val="18"/>
              </w:rPr>
            </w:pPr>
            <w:r>
              <w:rPr>
                <w:rFonts w:ascii="宋体" w:hAnsi="宋体" w:cs="宋体" w:eastAsia="宋体" w:hint="default"/>
                <w:sz w:val="18"/>
                <w:szCs w:val="18"/>
              </w:rPr>
              <w:t>贵州瑞源包装有限责任 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-27,765.42</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28,831,738.27</w:t>
            </w:r>
          </w:p>
        </w:tc>
      </w:tr>
      <w:tr>
        <w:trPr>
          <w:trHeight w:val="714" w:hRule="exact"/>
        </w:trPr>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82"/>
              <w:jc w:val="left"/>
              <w:rPr>
                <w:rFonts w:ascii="宋体" w:hAnsi="宋体" w:cs="宋体" w:eastAsia="宋体" w:hint="default"/>
                <w:sz w:val="18"/>
                <w:szCs w:val="18"/>
              </w:rPr>
            </w:pPr>
            <w:r>
              <w:rPr>
                <w:rFonts w:ascii="宋体" w:hAnsi="宋体" w:cs="宋体" w:eastAsia="宋体" w:hint="default"/>
                <w:sz w:val="18"/>
                <w:szCs w:val="18"/>
              </w:rPr>
              <w:t>长春吉星印务有限责任 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11,467,022.78</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43,733,924.94</w:t>
            </w:r>
          </w:p>
        </w:tc>
      </w:tr>
      <w:tr>
        <w:trPr>
          <w:trHeight w:val="402" w:hRule="exact"/>
        </w:trPr>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91,830,881.39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59,949,809.02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257,358,515.93</w:t>
            </w:r>
          </w:p>
        </w:tc>
      </w:tr>
    </w:tbl>
    <w:p>
      <w:pPr>
        <w:pStyle w:val="BodyText"/>
        <w:spacing w:line="357" w:lineRule="auto" w:before="51"/>
        <w:ind w:right="2712"/>
        <w:jc w:val="left"/>
      </w:pPr>
      <w:r>
        <w:rPr/>
        <w:t>子公司少数股东的持股比例不同于表决权比例的说明： 依据本公司之子公司江苏劲嘉章程规定，本公司持有江苏劲嘉</w:t>
      </w:r>
      <w:r>
        <w:rPr>
          <w:rFonts w:ascii="Times New Roman" w:hAnsi="Times New Roman" w:cs="Times New Roman" w:eastAsia="Times New Roman" w:hint="default"/>
        </w:rPr>
        <w:t>60%</w:t>
      </w:r>
      <w:r>
        <w:rPr/>
        <w:t>股权，但按照</w:t>
      </w:r>
      <w:r>
        <w:rPr>
          <w:rFonts w:ascii="Times New Roman" w:hAnsi="Times New Roman" w:cs="Times New Roman" w:eastAsia="Times New Roman" w:hint="default"/>
        </w:rPr>
        <w:t>51%</w:t>
      </w:r>
      <w:r>
        <w:rPr/>
        <w:t>的比例分配利润。</w:t>
      </w:r>
    </w:p>
    <w:p>
      <w:pPr>
        <w:spacing w:line="240" w:lineRule="auto" w:before="4"/>
        <w:rPr>
          <w:rFonts w:ascii="宋体" w:hAnsi="宋体" w:cs="宋体" w:eastAsia="宋体" w:hint="default"/>
          <w:sz w:val="24"/>
          <w:szCs w:val="24"/>
        </w:rPr>
      </w:pPr>
    </w:p>
    <w:p>
      <w:pPr>
        <w:pStyle w:val="BodyText"/>
        <w:spacing w:line="240" w:lineRule="auto"/>
        <w:ind w:right="0"/>
        <w:jc w:val="left"/>
      </w:pPr>
      <w:r>
        <w:rPr/>
        <w:t>其他说明：无</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3）重要非全资子公司的主要财务信息" w:id="331"/>
      <w:bookmarkEnd w:id="331"/>
      <w:r>
        <w:rPr>
          <w:b w:val="0"/>
          <w:bCs w:val="0"/>
        </w:rPr>
      </w:r>
      <w:r>
        <w:rPr/>
        <w:t>（</w:t>
      </w:r>
      <w:r>
        <w:rPr>
          <w:rFonts w:ascii="Times New Roman" w:hAnsi="Times New Roman" w:cs="Times New Roman" w:eastAsia="Times New Roman" w:hint="default"/>
        </w:rPr>
        <w:t>3</w:t>
      </w:r>
      <w:r>
        <w:rPr/>
        <w:t>）重要非全资子公司的主要财务信息</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36"/>
        <w:gridCol w:w="737"/>
        <w:gridCol w:w="736"/>
        <w:gridCol w:w="736"/>
        <w:gridCol w:w="737"/>
        <w:gridCol w:w="735"/>
        <w:gridCol w:w="736"/>
        <w:gridCol w:w="734"/>
        <w:gridCol w:w="736"/>
        <w:gridCol w:w="735"/>
        <w:gridCol w:w="737"/>
        <w:gridCol w:w="737"/>
        <w:gridCol w:w="736"/>
      </w:tblGrid>
      <w:tr>
        <w:trPr>
          <w:trHeight w:val="401" w:hRule="exact"/>
        </w:trPr>
        <w:tc>
          <w:tcPr>
            <w:tcW w:w="73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9" w:lineRule="auto"/>
              <w:ind w:left="182" w:right="93" w:hanging="90"/>
              <w:jc w:val="left"/>
              <w:rPr>
                <w:rFonts w:ascii="宋体" w:hAnsi="宋体" w:cs="宋体" w:eastAsia="宋体" w:hint="default"/>
                <w:sz w:val="18"/>
                <w:szCs w:val="18"/>
              </w:rPr>
            </w:pPr>
            <w:r>
              <w:rPr>
                <w:rFonts w:ascii="宋体" w:hAnsi="宋体" w:cs="宋体" w:eastAsia="宋体" w:hint="default"/>
                <w:sz w:val="18"/>
                <w:szCs w:val="18"/>
              </w:rPr>
              <w:t>子公司 名称</w:t>
            </w:r>
          </w:p>
        </w:tc>
        <w:tc>
          <w:tcPr>
            <w:tcW w:w="4415"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414"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714" w:hRule="exact"/>
        </w:trPr>
        <w:tc>
          <w:tcPr>
            <w:tcW w:w="736" w:type="dxa"/>
            <w:vMerge/>
            <w:tcBorders>
              <w:left w:val="single" w:sz="4" w:space="0" w:color="000000"/>
              <w:bottom w:val="single" w:sz="4" w:space="0" w:color="000000"/>
              <w:right w:val="single" w:sz="4" w:space="0" w:color="000000"/>
            </w:tcBorders>
            <w:shd w:val="clear" w:color="auto" w:fill="D2D2D2"/>
          </w:tcPr>
          <w:p>
            <w:pP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82" w:right="91" w:hanging="90"/>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2" w:right="91"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82" w:right="90" w:hanging="90"/>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2" w:right="91" w:hanging="180"/>
              <w:jc w:val="left"/>
              <w:rPr>
                <w:rFonts w:ascii="宋体" w:hAnsi="宋体" w:cs="宋体" w:eastAsia="宋体" w:hint="default"/>
                <w:sz w:val="18"/>
                <w:szCs w:val="18"/>
              </w:rPr>
            </w:pPr>
            <w:r>
              <w:rPr>
                <w:rFonts w:ascii="宋体" w:hAnsi="宋体" w:cs="宋体" w:eastAsia="宋体" w:hint="default"/>
                <w:sz w:val="18"/>
                <w:szCs w:val="18"/>
              </w:rPr>
              <w:t>负债合 计</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2" w:right="90"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82" w:right="91" w:hanging="90"/>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2" w:right="90"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83" w:right="91" w:hanging="90"/>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2" w:right="91" w:hanging="180"/>
              <w:jc w:val="left"/>
              <w:rPr>
                <w:rFonts w:ascii="宋体" w:hAnsi="宋体" w:cs="宋体" w:eastAsia="宋体" w:hint="default"/>
                <w:sz w:val="18"/>
                <w:szCs w:val="18"/>
              </w:rPr>
            </w:pPr>
            <w:r>
              <w:rPr>
                <w:rFonts w:ascii="宋体" w:hAnsi="宋体" w:cs="宋体" w:eastAsia="宋体" w:hint="default"/>
                <w:sz w:val="18"/>
                <w:szCs w:val="18"/>
              </w:rPr>
              <w:t>负债合 计</w:t>
            </w:r>
          </w:p>
        </w:tc>
      </w:tr>
      <w:tr>
        <w:trPr>
          <w:trHeight w:val="1650"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61"/>
              <w:jc w:val="both"/>
              <w:rPr>
                <w:rFonts w:ascii="宋体" w:hAnsi="宋体" w:cs="宋体" w:eastAsia="宋体" w:hint="default"/>
                <w:sz w:val="18"/>
                <w:szCs w:val="18"/>
              </w:rPr>
            </w:pPr>
            <w:r>
              <w:rPr>
                <w:rFonts w:ascii="宋体" w:hAnsi="宋体" w:cs="宋体" w:eastAsia="宋体" w:hint="default"/>
                <w:sz w:val="18"/>
                <w:szCs w:val="18"/>
              </w:rPr>
              <w:t>江西丰 彩丽印 刷包装 有限公 司</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39,643,7</w:t>
            </w:r>
          </w:p>
          <w:p>
            <w:pPr>
              <w:pStyle w:val="TableParagraph"/>
              <w:spacing w:line="240" w:lineRule="auto" w:before="105"/>
              <w:ind w:left="299" w:right="0"/>
              <w:jc w:val="left"/>
              <w:rPr>
                <w:rFonts w:ascii="Times New Roman" w:hAnsi="Times New Roman" w:cs="Times New Roman" w:eastAsia="Times New Roman" w:hint="default"/>
                <w:sz w:val="18"/>
                <w:szCs w:val="18"/>
              </w:rPr>
            </w:pPr>
            <w:r>
              <w:rPr>
                <w:rFonts w:ascii="Times New Roman"/>
                <w:sz w:val="18"/>
              </w:rPr>
              <w:t>31.94</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49,523,6</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30.17</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89,167,3</w:t>
            </w:r>
          </w:p>
          <w:p>
            <w:pPr>
              <w:pStyle w:val="TableParagraph"/>
              <w:spacing w:line="240" w:lineRule="auto" w:before="105"/>
              <w:ind w:left="304" w:right="0"/>
              <w:jc w:val="left"/>
              <w:rPr>
                <w:rFonts w:ascii="Times New Roman" w:hAnsi="Times New Roman" w:cs="Times New Roman" w:eastAsia="Times New Roman" w:hint="default"/>
                <w:sz w:val="18"/>
                <w:szCs w:val="18"/>
              </w:rPr>
            </w:pPr>
            <w:r>
              <w:rPr>
                <w:rFonts w:ascii="Times New Roman"/>
                <w:sz w:val="18"/>
              </w:rPr>
              <w:t>62.11</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16,147,7</w:t>
            </w:r>
          </w:p>
          <w:p>
            <w:pPr>
              <w:pStyle w:val="TableParagraph"/>
              <w:spacing w:line="240" w:lineRule="auto" w:before="105"/>
              <w:ind w:left="299" w:right="0"/>
              <w:jc w:val="left"/>
              <w:rPr>
                <w:rFonts w:ascii="Times New Roman" w:hAnsi="Times New Roman" w:cs="Times New Roman" w:eastAsia="Times New Roman" w:hint="default"/>
                <w:sz w:val="18"/>
                <w:szCs w:val="18"/>
              </w:rPr>
            </w:pPr>
            <w:r>
              <w:rPr>
                <w:rFonts w:ascii="Times New Roman"/>
                <w:sz w:val="18"/>
              </w:rPr>
              <w:t>62.36</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2,220,25</w:t>
            </w:r>
          </w:p>
          <w:p>
            <w:pPr>
              <w:pStyle w:val="TableParagraph"/>
              <w:spacing w:line="240" w:lineRule="auto" w:before="105"/>
              <w:ind w:left="387" w:right="0"/>
              <w:jc w:val="left"/>
              <w:rPr>
                <w:rFonts w:ascii="Times New Roman" w:hAnsi="Times New Roman" w:cs="Times New Roman" w:eastAsia="Times New Roman" w:hint="default"/>
                <w:sz w:val="18"/>
                <w:szCs w:val="18"/>
              </w:rPr>
            </w:pPr>
            <w:r>
              <w:rPr>
                <w:rFonts w:ascii="Times New Roman"/>
                <w:sz w:val="18"/>
              </w:rPr>
              <w:t>9.60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18,368,0</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21.96</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39,832,0</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52.01</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54,726,3</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08.00</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94,558,3</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60.01</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29,538,3</w:t>
            </w:r>
          </w:p>
          <w:p>
            <w:pPr>
              <w:pStyle w:val="TableParagraph"/>
              <w:spacing w:line="240" w:lineRule="auto" w:before="105"/>
              <w:ind w:left="299" w:right="0"/>
              <w:jc w:val="left"/>
              <w:rPr>
                <w:rFonts w:ascii="Times New Roman" w:hAnsi="Times New Roman" w:cs="Times New Roman" w:eastAsia="Times New Roman" w:hint="default"/>
                <w:sz w:val="18"/>
                <w:szCs w:val="18"/>
              </w:rPr>
            </w:pPr>
            <w:r>
              <w:rPr>
                <w:rFonts w:ascii="Times New Roman"/>
                <w:sz w:val="18"/>
              </w:rPr>
              <w:t>04.34</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2,059,48</w:t>
            </w:r>
          </w:p>
          <w:p>
            <w:pPr>
              <w:pStyle w:val="TableParagraph"/>
              <w:spacing w:line="240" w:lineRule="auto" w:before="105"/>
              <w:ind w:left="389" w:right="0"/>
              <w:jc w:val="left"/>
              <w:rPr>
                <w:rFonts w:ascii="Times New Roman" w:hAnsi="Times New Roman" w:cs="Times New Roman" w:eastAsia="Times New Roman" w:hint="default"/>
                <w:sz w:val="18"/>
                <w:szCs w:val="18"/>
              </w:rPr>
            </w:pPr>
            <w:r>
              <w:rPr>
                <w:rFonts w:ascii="Times New Roman"/>
                <w:sz w:val="18"/>
              </w:rPr>
              <w:t>0.37</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31,597,7</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84.71</w:t>
            </w:r>
          </w:p>
        </w:tc>
      </w:tr>
      <w:tr>
        <w:trPr>
          <w:trHeight w:val="1338"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61"/>
              <w:jc w:val="both"/>
              <w:rPr>
                <w:rFonts w:ascii="宋体" w:hAnsi="宋体" w:cs="宋体" w:eastAsia="宋体" w:hint="default"/>
                <w:sz w:val="18"/>
                <w:szCs w:val="18"/>
              </w:rPr>
            </w:pPr>
            <w:r>
              <w:rPr>
                <w:rFonts w:ascii="宋体" w:hAnsi="宋体" w:cs="宋体" w:eastAsia="宋体" w:hint="default"/>
                <w:sz w:val="18"/>
                <w:szCs w:val="18"/>
              </w:rPr>
              <w:t>昆明彩 印有限 责任公 司</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z w:val="18"/>
              </w:rPr>
              <w:t>133,344,</w:t>
            </w:r>
          </w:p>
          <w:p>
            <w:pPr>
              <w:pStyle w:val="TableParagraph"/>
              <w:spacing w:line="240" w:lineRule="auto" w:before="105"/>
              <w:ind w:left="192" w:right="0"/>
              <w:jc w:val="center"/>
              <w:rPr>
                <w:rFonts w:ascii="Times New Roman" w:hAnsi="Times New Roman" w:cs="Times New Roman" w:eastAsia="Times New Roman" w:hint="default"/>
                <w:sz w:val="18"/>
                <w:szCs w:val="18"/>
              </w:rPr>
            </w:pPr>
            <w:r>
              <w:rPr>
                <w:rFonts w:ascii="Times New Roman"/>
                <w:sz w:val="18"/>
              </w:rPr>
              <w:t>949.11</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68,093,0</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81.18</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201,438,</w:t>
            </w:r>
          </w:p>
          <w:p>
            <w:pPr>
              <w:pStyle w:val="TableParagraph"/>
              <w:spacing w:line="240" w:lineRule="auto" w:before="105"/>
              <w:ind w:left="186" w:right="0"/>
              <w:jc w:val="center"/>
              <w:rPr>
                <w:rFonts w:ascii="Times New Roman" w:hAnsi="Times New Roman" w:cs="Times New Roman" w:eastAsia="Times New Roman" w:hint="default"/>
                <w:sz w:val="18"/>
                <w:szCs w:val="18"/>
              </w:rPr>
            </w:pPr>
            <w:r>
              <w:rPr>
                <w:rFonts w:ascii="Times New Roman"/>
                <w:sz w:val="18"/>
              </w:rPr>
              <w:t>030.29</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50,188,4</w:t>
            </w:r>
          </w:p>
          <w:p>
            <w:pPr>
              <w:pStyle w:val="TableParagraph"/>
              <w:spacing w:line="240" w:lineRule="auto" w:before="105"/>
              <w:ind w:left="299" w:right="0"/>
              <w:jc w:val="left"/>
              <w:rPr>
                <w:rFonts w:ascii="Times New Roman" w:hAnsi="Times New Roman" w:cs="Times New Roman" w:eastAsia="Times New Roman" w:hint="default"/>
                <w:sz w:val="18"/>
                <w:szCs w:val="18"/>
              </w:rPr>
            </w:pPr>
            <w:r>
              <w:rPr>
                <w:rFonts w:ascii="Times New Roman"/>
                <w:sz w:val="18"/>
              </w:rPr>
              <w:t>67.76</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14,028,6</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30.44</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64,217,0</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98.20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49" w:right="0"/>
              <w:jc w:val="center"/>
              <w:rPr>
                <w:rFonts w:ascii="Times New Roman" w:hAnsi="Times New Roman" w:cs="Times New Roman" w:eastAsia="Times New Roman" w:hint="default"/>
                <w:sz w:val="18"/>
                <w:szCs w:val="18"/>
              </w:rPr>
            </w:pPr>
            <w:r>
              <w:rPr>
                <w:rFonts w:ascii="Times New Roman"/>
                <w:sz w:val="18"/>
              </w:rPr>
              <w:t>163,054,</w:t>
            </w:r>
          </w:p>
          <w:p>
            <w:pPr>
              <w:pStyle w:val="TableParagraph"/>
              <w:spacing w:line="240" w:lineRule="auto" w:before="105"/>
              <w:ind w:left="185" w:right="0"/>
              <w:jc w:val="center"/>
              <w:rPr>
                <w:rFonts w:ascii="Times New Roman" w:hAnsi="Times New Roman" w:cs="Times New Roman" w:eastAsia="Times New Roman" w:hint="default"/>
                <w:sz w:val="18"/>
                <w:szCs w:val="18"/>
              </w:rPr>
            </w:pPr>
            <w:r>
              <w:rPr>
                <w:rFonts w:ascii="Times New Roman"/>
                <w:sz w:val="18"/>
              </w:rPr>
              <w:t>740.30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58,274,7</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23.29</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49" w:right="0"/>
              <w:jc w:val="center"/>
              <w:rPr>
                <w:rFonts w:ascii="Times New Roman" w:hAnsi="Times New Roman" w:cs="Times New Roman" w:eastAsia="Times New Roman" w:hint="default"/>
                <w:sz w:val="18"/>
                <w:szCs w:val="18"/>
              </w:rPr>
            </w:pPr>
            <w:r>
              <w:rPr>
                <w:rFonts w:ascii="Times New Roman"/>
                <w:sz w:val="18"/>
              </w:rPr>
              <w:t>221,329,</w:t>
            </w:r>
          </w:p>
          <w:p>
            <w:pPr>
              <w:pStyle w:val="TableParagraph"/>
              <w:spacing w:line="240" w:lineRule="auto" w:before="105"/>
              <w:ind w:left="185" w:right="0"/>
              <w:jc w:val="center"/>
              <w:rPr>
                <w:rFonts w:ascii="Times New Roman" w:hAnsi="Times New Roman" w:cs="Times New Roman" w:eastAsia="Times New Roman" w:hint="default"/>
                <w:sz w:val="18"/>
                <w:szCs w:val="18"/>
              </w:rPr>
            </w:pPr>
            <w:r>
              <w:rPr>
                <w:rFonts w:ascii="Times New Roman"/>
                <w:sz w:val="18"/>
              </w:rPr>
              <w:t>463.59</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74,434,2</w:t>
            </w:r>
          </w:p>
          <w:p>
            <w:pPr>
              <w:pStyle w:val="TableParagraph"/>
              <w:spacing w:line="240" w:lineRule="auto" w:before="105"/>
              <w:ind w:left="299" w:right="0"/>
              <w:jc w:val="left"/>
              <w:rPr>
                <w:rFonts w:ascii="Times New Roman" w:hAnsi="Times New Roman" w:cs="Times New Roman" w:eastAsia="Times New Roman" w:hint="default"/>
                <w:sz w:val="18"/>
                <w:szCs w:val="18"/>
              </w:rPr>
            </w:pPr>
            <w:r>
              <w:rPr>
                <w:rFonts w:ascii="Times New Roman"/>
                <w:sz w:val="18"/>
              </w:rPr>
              <w:t>39.16</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14,622,3</w:t>
            </w:r>
          </w:p>
          <w:p>
            <w:pPr>
              <w:pStyle w:val="TableParagraph"/>
              <w:spacing w:line="240" w:lineRule="auto" w:before="105"/>
              <w:ind w:left="299" w:right="0"/>
              <w:jc w:val="left"/>
              <w:rPr>
                <w:rFonts w:ascii="Times New Roman" w:hAnsi="Times New Roman" w:cs="Times New Roman" w:eastAsia="Times New Roman" w:hint="default"/>
                <w:sz w:val="18"/>
                <w:szCs w:val="18"/>
              </w:rPr>
            </w:pPr>
            <w:r>
              <w:rPr>
                <w:rFonts w:ascii="Times New Roman"/>
                <w:sz w:val="18"/>
              </w:rPr>
              <w:t>65.10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89,056,6</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04.26</w:t>
            </w:r>
          </w:p>
        </w:tc>
      </w:tr>
      <w:tr>
        <w:trPr>
          <w:trHeight w:val="1650"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61"/>
              <w:jc w:val="both"/>
              <w:rPr>
                <w:rFonts w:ascii="宋体" w:hAnsi="宋体" w:cs="宋体" w:eastAsia="宋体" w:hint="default"/>
                <w:sz w:val="18"/>
                <w:szCs w:val="18"/>
              </w:rPr>
            </w:pPr>
            <w:r>
              <w:rPr>
                <w:rFonts w:ascii="宋体" w:hAnsi="宋体" w:cs="宋体" w:eastAsia="宋体" w:hint="default"/>
                <w:sz w:val="18"/>
                <w:szCs w:val="18"/>
              </w:rPr>
              <w:t>江苏劲 嘉新型 包装材 料有限 公司</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z w:val="18"/>
              </w:rPr>
              <w:t>255,567,</w:t>
            </w:r>
          </w:p>
          <w:p>
            <w:pPr>
              <w:pStyle w:val="TableParagraph"/>
              <w:spacing w:line="240" w:lineRule="auto" w:before="105"/>
              <w:ind w:left="188" w:right="0"/>
              <w:jc w:val="center"/>
              <w:rPr>
                <w:rFonts w:ascii="Times New Roman" w:hAnsi="Times New Roman" w:cs="Times New Roman" w:eastAsia="Times New Roman" w:hint="default"/>
                <w:sz w:val="18"/>
                <w:szCs w:val="18"/>
              </w:rPr>
            </w:pPr>
            <w:r>
              <w:rPr>
                <w:rFonts w:ascii="Times New Roman"/>
                <w:sz w:val="18"/>
              </w:rPr>
              <w:t>675.93</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94,496,1</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00.46</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350,063,</w:t>
            </w:r>
          </w:p>
          <w:p>
            <w:pPr>
              <w:pStyle w:val="TableParagraph"/>
              <w:spacing w:line="240" w:lineRule="auto" w:before="105"/>
              <w:ind w:left="186" w:right="0"/>
              <w:jc w:val="center"/>
              <w:rPr>
                <w:rFonts w:ascii="Times New Roman" w:hAnsi="Times New Roman" w:cs="Times New Roman" w:eastAsia="Times New Roman" w:hint="default"/>
                <w:sz w:val="18"/>
                <w:szCs w:val="18"/>
              </w:rPr>
            </w:pPr>
            <w:r>
              <w:rPr>
                <w:rFonts w:ascii="Times New Roman"/>
                <w:sz w:val="18"/>
              </w:rPr>
              <w:t>776.39</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z w:val="18"/>
              </w:rPr>
              <w:t>165,106,</w:t>
            </w:r>
          </w:p>
          <w:p>
            <w:pPr>
              <w:pStyle w:val="TableParagraph"/>
              <w:spacing w:line="240" w:lineRule="auto" w:before="105"/>
              <w:ind w:left="188" w:right="0"/>
              <w:jc w:val="center"/>
              <w:rPr>
                <w:rFonts w:ascii="Times New Roman" w:hAnsi="Times New Roman" w:cs="Times New Roman" w:eastAsia="Times New Roman" w:hint="default"/>
                <w:sz w:val="18"/>
                <w:szCs w:val="18"/>
              </w:rPr>
            </w:pPr>
            <w:r>
              <w:rPr>
                <w:rFonts w:ascii="Times New Roman"/>
                <w:sz w:val="18"/>
              </w:rPr>
              <w:t>399.88</w:t>
            </w:r>
          </w:p>
        </w:tc>
        <w:tc>
          <w:tcPr>
            <w:tcW w:w="735"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48" w:right="0"/>
              <w:jc w:val="center"/>
              <w:rPr>
                <w:rFonts w:ascii="Times New Roman" w:hAnsi="Times New Roman" w:cs="Times New Roman" w:eastAsia="Times New Roman" w:hint="default"/>
                <w:sz w:val="18"/>
                <w:szCs w:val="18"/>
              </w:rPr>
            </w:pPr>
            <w:r>
              <w:rPr>
                <w:rFonts w:ascii="Times New Roman"/>
                <w:sz w:val="18"/>
              </w:rPr>
              <w:t>165,106,</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399.88</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49" w:right="0"/>
              <w:jc w:val="center"/>
              <w:rPr>
                <w:rFonts w:ascii="Times New Roman" w:hAnsi="Times New Roman" w:cs="Times New Roman" w:eastAsia="Times New Roman" w:hint="default"/>
                <w:sz w:val="18"/>
                <w:szCs w:val="18"/>
              </w:rPr>
            </w:pPr>
            <w:r>
              <w:rPr>
                <w:rFonts w:ascii="Times New Roman"/>
                <w:sz w:val="18"/>
              </w:rPr>
              <w:t>212,565,</w:t>
            </w:r>
          </w:p>
          <w:p>
            <w:pPr>
              <w:pStyle w:val="TableParagraph"/>
              <w:spacing w:line="240" w:lineRule="auto" w:before="105"/>
              <w:ind w:left="185" w:right="0"/>
              <w:jc w:val="center"/>
              <w:rPr>
                <w:rFonts w:ascii="Times New Roman" w:hAnsi="Times New Roman" w:cs="Times New Roman" w:eastAsia="Times New Roman" w:hint="default"/>
                <w:sz w:val="18"/>
                <w:szCs w:val="18"/>
              </w:rPr>
            </w:pPr>
            <w:r>
              <w:rPr>
                <w:rFonts w:ascii="Times New Roman"/>
                <w:sz w:val="18"/>
              </w:rPr>
              <w:t>852.48</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48" w:right="0"/>
              <w:jc w:val="center"/>
              <w:rPr>
                <w:rFonts w:ascii="Times New Roman" w:hAnsi="Times New Roman" w:cs="Times New Roman" w:eastAsia="Times New Roman" w:hint="default"/>
                <w:sz w:val="18"/>
                <w:szCs w:val="18"/>
              </w:rPr>
            </w:pPr>
            <w:r>
              <w:rPr>
                <w:rFonts w:ascii="Times New Roman"/>
                <w:sz w:val="18"/>
              </w:rPr>
              <w:t>106,529,</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974.60</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49" w:right="0"/>
              <w:jc w:val="center"/>
              <w:rPr>
                <w:rFonts w:ascii="Times New Roman" w:hAnsi="Times New Roman" w:cs="Times New Roman" w:eastAsia="Times New Roman" w:hint="default"/>
                <w:sz w:val="18"/>
                <w:szCs w:val="18"/>
              </w:rPr>
            </w:pPr>
            <w:r>
              <w:rPr>
                <w:rFonts w:ascii="Times New Roman"/>
                <w:sz w:val="18"/>
              </w:rPr>
              <w:t>319,095,</w:t>
            </w:r>
          </w:p>
          <w:p>
            <w:pPr>
              <w:pStyle w:val="TableParagraph"/>
              <w:spacing w:line="240" w:lineRule="auto" w:before="105"/>
              <w:ind w:left="185" w:right="0"/>
              <w:jc w:val="center"/>
              <w:rPr>
                <w:rFonts w:ascii="Times New Roman" w:hAnsi="Times New Roman" w:cs="Times New Roman" w:eastAsia="Times New Roman" w:hint="default"/>
                <w:sz w:val="18"/>
                <w:szCs w:val="18"/>
              </w:rPr>
            </w:pPr>
            <w:r>
              <w:rPr>
                <w:rFonts w:ascii="Times New Roman"/>
                <w:sz w:val="18"/>
              </w:rPr>
              <w:t>827.08</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z w:val="18"/>
              </w:rPr>
              <w:t>163,291,</w:t>
            </w:r>
          </w:p>
          <w:p>
            <w:pPr>
              <w:pStyle w:val="TableParagraph"/>
              <w:spacing w:line="240" w:lineRule="auto" w:before="105"/>
              <w:ind w:left="188" w:right="0"/>
              <w:jc w:val="center"/>
              <w:rPr>
                <w:rFonts w:ascii="Times New Roman" w:hAnsi="Times New Roman" w:cs="Times New Roman" w:eastAsia="Times New Roman" w:hint="default"/>
                <w:sz w:val="18"/>
                <w:szCs w:val="18"/>
              </w:rPr>
            </w:pPr>
            <w:r>
              <w:rPr>
                <w:rFonts w:ascii="Times New Roman"/>
                <w:sz w:val="18"/>
              </w:rPr>
              <w:t>469.18</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163,291,</w:t>
            </w:r>
          </w:p>
          <w:p>
            <w:pPr>
              <w:pStyle w:val="TableParagraph"/>
              <w:spacing w:line="240" w:lineRule="auto" w:before="105"/>
              <w:ind w:left="186" w:right="0"/>
              <w:jc w:val="center"/>
              <w:rPr>
                <w:rFonts w:ascii="Times New Roman" w:hAnsi="Times New Roman" w:cs="Times New Roman" w:eastAsia="Times New Roman" w:hint="default"/>
                <w:sz w:val="18"/>
                <w:szCs w:val="18"/>
              </w:rPr>
            </w:pPr>
            <w:r>
              <w:rPr>
                <w:rFonts w:ascii="Times New Roman"/>
                <w:sz w:val="18"/>
              </w:rPr>
              <w:t>469.18</w:t>
            </w:r>
          </w:p>
        </w:tc>
      </w:tr>
      <w:tr>
        <w:trPr>
          <w:trHeight w:val="1338"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22" w:right="161"/>
              <w:jc w:val="both"/>
              <w:rPr>
                <w:rFonts w:ascii="宋体" w:hAnsi="宋体" w:cs="宋体" w:eastAsia="宋体" w:hint="default"/>
                <w:sz w:val="18"/>
                <w:szCs w:val="18"/>
              </w:rPr>
            </w:pPr>
            <w:r>
              <w:rPr>
                <w:rFonts w:ascii="宋体" w:hAnsi="宋体" w:cs="宋体" w:eastAsia="宋体" w:hint="default"/>
                <w:sz w:val="18"/>
                <w:szCs w:val="18"/>
              </w:rPr>
              <w:t>贵州瑞 源包装 有限责 任公司</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45,320,0</w:t>
            </w:r>
          </w:p>
          <w:p>
            <w:pPr>
              <w:pStyle w:val="TableParagraph"/>
              <w:spacing w:line="240" w:lineRule="auto" w:before="105"/>
              <w:ind w:left="299" w:right="0"/>
              <w:jc w:val="left"/>
              <w:rPr>
                <w:rFonts w:ascii="Times New Roman" w:hAnsi="Times New Roman" w:cs="Times New Roman" w:eastAsia="Times New Roman" w:hint="default"/>
                <w:sz w:val="18"/>
                <w:szCs w:val="18"/>
              </w:rPr>
            </w:pPr>
            <w:r>
              <w:rPr>
                <w:rFonts w:ascii="Times New Roman"/>
                <w:sz w:val="18"/>
              </w:rPr>
              <w:t>09.52</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38,968,1</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46.32</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84,288,1</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55.84</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10,779,7</w:t>
            </w:r>
          </w:p>
          <w:p>
            <w:pPr>
              <w:pStyle w:val="TableParagraph"/>
              <w:spacing w:line="240" w:lineRule="auto" w:before="105"/>
              <w:ind w:left="299" w:right="0"/>
              <w:jc w:val="left"/>
              <w:rPr>
                <w:rFonts w:ascii="Times New Roman" w:hAnsi="Times New Roman" w:cs="Times New Roman" w:eastAsia="Times New Roman" w:hint="default"/>
                <w:sz w:val="18"/>
                <w:szCs w:val="18"/>
              </w:rPr>
            </w:pPr>
            <w:r>
              <w:rPr>
                <w:rFonts w:ascii="Times New Roman"/>
                <w:sz w:val="18"/>
              </w:rPr>
              <w:t>87.75</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1,429,02</w:t>
            </w:r>
          </w:p>
          <w:p>
            <w:pPr>
              <w:pStyle w:val="TableParagraph"/>
              <w:spacing w:line="240" w:lineRule="auto" w:before="105"/>
              <w:ind w:left="387" w:right="0"/>
              <w:jc w:val="left"/>
              <w:rPr>
                <w:rFonts w:ascii="Times New Roman" w:hAnsi="Times New Roman" w:cs="Times New Roman" w:eastAsia="Times New Roman" w:hint="default"/>
                <w:sz w:val="18"/>
                <w:szCs w:val="18"/>
              </w:rPr>
            </w:pPr>
            <w:r>
              <w:rPr>
                <w:rFonts w:ascii="Times New Roman"/>
                <w:sz w:val="18"/>
              </w:rPr>
              <w:t>2.43</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12,208,8</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10.18</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44,026,6</w:t>
            </w:r>
          </w:p>
          <w:p>
            <w:pPr>
              <w:pStyle w:val="TableParagraph"/>
              <w:spacing w:line="240" w:lineRule="auto" w:before="105"/>
              <w:ind w:left="303" w:right="0"/>
              <w:jc w:val="left"/>
              <w:rPr>
                <w:rFonts w:ascii="Times New Roman" w:hAnsi="Times New Roman" w:cs="Times New Roman" w:eastAsia="Times New Roman" w:hint="default"/>
                <w:sz w:val="18"/>
                <w:szCs w:val="18"/>
              </w:rPr>
            </w:pPr>
            <w:r>
              <w:rPr>
                <w:rFonts w:ascii="Times New Roman"/>
                <w:sz w:val="18"/>
              </w:rPr>
              <w:t>11.74</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39,145,8</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50.23</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83,172,4</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61.97</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9,567,55</w:t>
            </w:r>
          </w:p>
          <w:p>
            <w:pPr>
              <w:pStyle w:val="TableParagraph"/>
              <w:spacing w:line="240" w:lineRule="auto" w:before="105"/>
              <w:ind w:left="389" w:right="0"/>
              <w:jc w:val="left"/>
              <w:rPr>
                <w:rFonts w:ascii="Times New Roman" w:hAnsi="Times New Roman" w:cs="Times New Roman" w:eastAsia="Times New Roman" w:hint="default"/>
                <w:sz w:val="18"/>
                <w:szCs w:val="18"/>
              </w:rPr>
            </w:pPr>
            <w:r>
              <w:rPr>
                <w:rFonts w:ascii="Times New Roman"/>
                <w:sz w:val="18"/>
              </w:rPr>
              <w:t>7.73</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1,456,14</w:t>
            </w:r>
          </w:p>
          <w:p>
            <w:pPr>
              <w:pStyle w:val="TableParagraph"/>
              <w:spacing w:line="240" w:lineRule="auto" w:before="105"/>
              <w:ind w:left="389" w:right="0"/>
              <w:jc w:val="left"/>
              <w:rPr>
                <w:rFonts w:ascii="Times New Roman" w:hAnsi="Times New Roman" w:cs="Times New Roman" w:eastAsia="Times New Roman" w:hint="default"/>
                <w:sz w:val="18"/>
                <w:szCs w:val="18"/>
              </w:rPr>
            </w:pPr>
            <w:r>
              <w:rPr>
                <w:rFonts w:ascii="Times New Roman"/>
                <w:sz w:val="18"/>
              </w:rPr>
              <w:t>5.02</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80" w:right="0"/>
              <w:jc w:val="left"/>
              <w:rPr>
                <w:rFonts w:ascii="Times New Roman" w:hAnsi="Times New Roman" w:cs="Times New Roman" w:eastAsia="Times New Roman" w:hint="default"/>
                <w:sz w:val="18"/>
                <w:szCs w:val="18"/>
              </w:rPr>
            </w:pPr>
            <w:r>
              <w:rPr>
                <w:rFonts w:ascii="Times New Roman"/>
                <w:sz w:val="18"/>
              </w:rPr>
              <w:t>11,023,7</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02.75</w:t>
            </w:r>
          </w:p>
        </w:tc>
      </w:tr>
      <w:tr>
        <w:trPr>
          <w:trHeight w:val="715"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22" w:right="161"/>
              <w:jc w:val="left"/>
              <w:rPr>
                <w:rFonts w:ascii="宋体" w:hAnsi="宋体" w:cs="宋体" w:eastAsia="宋体" w:hint="default"/>
                <w:sz w:val="18"/>
                <w:szCs w:val="18"/>
              </w:rPr>
            </w:pPr>
            <w:r>
              <w:rPr>
                <w:rFonts w:ascii="宋体" w:hAnsi="宋体" w:cs="宋体" w:eastAsia="宋体" w:hint="default"/>
                <w:sz w:val="18"/>
                <w:szCs w:val="18"/>
              </w:rPr>
              <w:t>长春吉 星印务</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1" w:right="0"/>
              <w:jc w:val="center"/>
              <w:rPr>
                <w:rFonts w:ascii="Times New Roman" w:hAnsi="Times New Roman" w:cs="Times New Roman" w:eastAsia="Times New Roman" w:hint="default"/>
                <w:sz w:val="18"/>
                <w:szCs w:val="18"/>
              </w:rPr>
            </w:pPr>
            <w:r>
              <w:rPr>
                <w:rFonts w:ascii="Times New Roman"/>
                <w:sz w:val="18"/>
              </w:rPr>
              <w:t>152,540,</w:t>
            </w:r>
          </w:p>
          <w:p>
            <w:pPr>
              <w:pStyle w:val="TableParagraph"/>
              <w:spacing w:line="240" w:lineRule="auto" w:before="105"/>
              <w:ind w:left="188" w:right="0"/>
              <w:jc w:val="center"/>
              <w:rPr>
                <w:rFonts w:ascii="Times New Roman" w:hAnsi="Times New Roman" w:cs="Times New Roman" w:eastAsia="Times New Roman" w:hint="default"/>
                <w:sz w:val="18"/>
                <w:szCs w:val="18"/>
              </w:rPr>
            </w:pPr>
            <w:r>
              <w:rPr>
                <w:rFonts w:ascii="Times New Roman"/>
                <w:sz w:val="18"/>
              </w:rPr>
              <w:t>169.42</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3" w:right="0"/>
              <w:jc w:val="left"/>
              <w:rPr>
                <w:rFonts w:ascii="Times New Roman" w:hAnsi="Times New Roman" w:cs="Times New Roman" w:eastAsia="Times New Roman" w:hint="default"/>
                <w:sz w:val="18"/>
                <w:szCs w:val="18"/>
              </w:rPr>
            </w:pPr>
            <w:r>
              <w:rPr>
                <w:rFonts w:ascii="Times New Roman"/>
                <w:sz w:val="18"/>
              </w:rPr>
              <w:t>49,665,2</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73.32</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0" w:right="0"/>
              <w:jc w:val="center"/>
              <w:rPr>
                <w:rFonts w:ascii="Times New Roman" w:hAnsi="Times New Roman" w:cs="Times New Roman" w:eastAsia="Times New Roman" w:hint="default"/>
                <w:sz w:val="18"/>
                <w:szCs w:val="18"/>
              </w:rPr>
            </w:pPr>
            <w:r>
              <w:rPr>
                <w:rFonts w:ascii="Times New Roman"/>
                <w:sz w:val="18"/>
              </w:rPr>
              <w:t>202,205,</w:t>
            </w:r>
          </w:p>
          <w:p>
            <w:pPr>
              <w:pStyle w:val="TableParagraph"/>
              <w:spacing w:line="240" w:lineRule="auto" w:before="105"/>
              <w:ind w:left="186" w:right="0"/>
              <w:jc w:val="center"/>
              <w:rPr>
                <w:rFonts w:ascii="Times New Roman" w:hAnsi="Times New Roman" w:cs="Times New Roman" w:eastAsia="Times New Roman" w:hint="default"/>
                <w:sz w:val="18"/>
                <w:szCs w:val="18"/>
              </w:rPr>
            </w:pPr>
            <w:r>
              <w:rPr>
                <w:rFonts w:ascii="Times New Roman"/>
                <w:sz w:val="18"/>
              </w:rPr>
              <w:t>442.74</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4" w:right="0"/>
              <w:jc w:val="left"/>
              <w:rPr>
                <w:rFonts w:ascii="Times New Roman" w:hAnsi="Times New Roman" w:cs="Times New Roman" w:eastAsia="Times New Roman" w:hint="default"/>
                <w:sz w:val="18"/>
                <w:szCs w:val="18"/>
              </w:rPr>
            </w:pPr>
            <w:r>
              <w:rPr>
                <w:rFonts w:ascii="Times New Roman"/>
                <w:sz w:val="18"/>
              </w:rPr>
              <w:t>53,974,9</w:t>
            </w:r>
          </w:p>
          <w:p>
            <w:pPr>
              <w:pStyle w:val="TableParagraph"/>
              <w:spacing w:line="240" w:lineRule="auto" w:before="105"/>
              <w:ind w:left="299" w:right="0"/>
              <w:jc w:val="left"/>
              <w:rPr>
                <w:rFonts w:ascii="Times New Roman" w:hAnsi="Times New Roman" w:cs="Times New Roman" w:eastAsia="Times New Roman" w:hint="default"/>
                <w:sz w:val="18"/>
                <w:szCs w:val="18"/>
              </w:rPr>
            </w:pPr>
            <w:r>
              <w:rPr>
                <w:rFonts w:ascii="Times New Roman"/>
                <w:sz w:val="18"/>
              </w:rPr>
              <w:t>47.97</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2" w:right="0"/>
              <w:jc w:val="left"/>
              <w:rPr>
                <w:rFonts w:ascii="Times New Roman" w:hAnsi="Times New Roman" w:cs="Times New Roman" w:eastAsia="Times New Roman" w:hint="default"/>
                <w:sz w:val="18"/>
                <w:szCs w:val="18"/>
              </w:rPr>
            </w:pPr>
            <w:r>
              <w:rPr>
                <w:rFonts w:ascii="Times New Roman"/>
                <w:sz w:val="18"/>
              </w:rPr>
              <w:t>2,450,74</w:t>
            </w:r>
          </w:p>
          <w:p>
            <w:pPr>
              <w:pStyle w:val="TableParagraph"/>
              <w:spacing w:line="240" w:lineRule="auto" w:before="105"/>
              <w:ind w:left="387" w:right="0"/>
              <w:jc w:val="left"/>
              <w:rPr>
                <w:rFonts w:ascii="Times New Roman" w:hAnsi="Times New Roman" w:cs="Times New Roman" w:eastAsia="Times New Roman" w:hint="default"/>
                <w:sz w:val="18"/>
                <w:szCs w:val="18"/>
              </w:rPr>
            </w:pPr>
            <w:r>
              <w:rPr>
                <w:rFonts w:ascii="Times New Roman"/>
                <w:sz w:val="18"/>
              </w:rPr>
              <w:t>4.96</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1" w:right="0"/>
              <w:jc w:val="left"/>
              <w:rPr>
                <w:rFonts w:ascii="Times New Roman" w:hAnsi="Times New Roman" w:cs="Times New Roman" w:eastAsia="Times New Roman" w:hint="default"/>
                <w:sz w:val="18"/>
                <w:szCs w:val="18"/>
              </w:rPr>
            </w:pPr>
            <w:r>
              <w:rPr>
                <w:rFonts w:ascii="Times New Roman"/>
                <w:sz w:val="18"/>
              </w:rPr>
              <w:t>56,425,6</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92.93</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1" w:right="0"/>
              <w:jc w:val="left"/>
              <w:rPr>
                <w:rFonts w:ascii="Times New Roman" w:hAnsi="Times New Roman" w:cs="Times New Roman" w:eastAsia="Times New Roman" w:hint="default"/>
                <w:sz w:val="18"/>
                <w:szCs w:val="18"/>
              </w:rPr>
            </w:pPr>
            <w:r>
              <w:rPr>
                <w:rFonts w:ascii="Times New Roman"/>
                <w:sz w:val="18"/>
              </w:rPr>
              <w:t>85,941,1</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30.47</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1" w:right="0"/>
              <w:jc w:val="left"/>
              <w:rPr>
                <w:rFonts w:ascii="Times New Roman" w:hAnsi="Times New Roman" w:cs="Times New Roman" w:eastAsia="Times New Roman" w:hint="default"/>
                <w:sz w:val="18"/>
                <w:szCs w:val="18"/>
              </w:rPr>
            </w:pPr>
            <w:r>
              <w:rPr>
                <w:rFonts w:ascii="Times New Roman"/>
                <w:sz w:val="18"/>
              </w:rPr>
              <w:t>52,762,9</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38.35</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9" w:right="0"/>
              <w:jc w:val="center"/>
              <w:rPr>
                <w:rFonts w:ascii="Times New Roman" w:hAnsi="Times New Roman" w:cs="Times New Roman" w:eastAsia="Times New Roman" w:hint="default"/>
                <w:sz w:val="18"/>
                <w:szCs w:val="18"/>
              </w:rPr>
            </w:pPr>
            <w:r>
              <w:rPr>
                <w:rFonts w:ascii="Times New Roman"/>
                <w:sz w:val="18"/>
              </w:rPr>
              <w:t>138,704,</w:t>
            </w:r>
          </w:p>
          <w:p>
            <w:pPr>
              <w:pStyle w:val="TableParagraph"/>
              <w:spacing w:line="240" w:lineRule="auto" w:before="105"/>
              <w:ind w:left="185" w:right="0"/>
              <w:jc w:val="center"/>
              <w:rPr>
                <w:rFonts w:ascii="Times New Roman" w:hAnsi="Times New Roman" w:cs="Times New Roman" w:eastAsia="Times New Roman" w:hint="default"/>
                <w:sz w:val="18"/>
                <w:szCs w:val="18"/>
              </w:rPr>
            </w:pPr>
            <w:r>
              <w:rPr>
                <w:rFonts w:ascii="Times New Roman"/>
                <w:sz w:val="18"/>
              </w:rPr>
              <w:t>068.82</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4" w:right="0"/>
              <w:jc w:val="left"/>
              <w:rPr>
                <w:rFonts w:ascii="Times New Roman" w:hAnsi="Times New Roman" w:cs="Times New Roman" w:eastAsia="Times New Roman" w:hint="default"/>
                <w:sz w:val="18"/>
                <w:szCs w:val="18"/>
              </w:rPr>
            </w:pPr>
            <w:r>
              <w:rPr>
                <w:rFonts w:ascii="Times New Roman"/>
                <w:sz w:val="18"/>
              </w:rPr>
              <w:t>28,178,0</w:t>
            </w:r>
          </w:p>
          <w:p>
            <w:pPr>
              <w:pStyle w:val="TableParagraph"/>
              <w:spacing w:line="240" w:lineRule="auto" w:before="105"/>
              <w:ind w:left="299" w:right="0"/>
              <w:jc w:val="left"/>
              <w:rPr>
                <w:rFonts w:ascii="Times New Roman" w:hAnsi="Times New Roman" w:cs="Times New Roman" w:eastAsia="Times New Roman" w:hint="default"/>
                <w:sz w:val="18"/>
                <w:szCs w:val="18"/>
              </w:rPr>
            </w:pPr>
            <w:r>
              <w:rPr>
                <w:rFonts w:ascii="Times New Roman"/>
                <w:sz w:val="18"/>
              </w:rPr>
              <w:t>18.16</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4" w:right="0"/>
              <w:jc w:val="left"/>
              <w:rPr>
                <w:rFonts w:ascii="Times New Roman" w:hAnsi="Times New Roman" w:cs="Times New Roman" w:eastAsia="Times New Roman" w:hint="default"/>
                <w:sz w:val="18"/>
                <w:szCs w:val="18"/>
              </w:rPr>
            </w:pPr>
            <w:r>
              <w:rPr>
                <w:rFonts w:ascii="Times New Roman"/>
                <w:sz w:val="18"/>
              </w:rPr>
              <w:t>2,969,71</w:t>
            </w:r>
          </w:p>
          <w:p>
            <w:pPr>
              <w:pStyle w:val="TableParagraph"/>
              <w:spacing w:line="240" w:lineRule="auto" w:before="105"/>
              <w:ind w:left="389" w:right="0"/>
              <w:jc w:val="left"/>
              <w:rPr>
                <w:rFonts w:ascii="Times New Roman" w:hAnsi="Times New Roman" w:cs="Times New Roman" w:eastAsia="Times New Roman" w:hint="default"/>
                <w:sz w:val="18"/>
                <w:szCs w:val="18"/>
              </w:rPr>
            </w:pPr>
            <w:r>
              <w:rPr>
                <w:rFonts w:ascii="Times New Roman"/>
                <w:sz w:val="18"/>
              </w:rPr>
              <w:t>0.12</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3" w:right="0"/>
              <w:jc w:val="left"/>
              <w:rPr>
                <w:rFonts w:ascii="Times New Roman" w:hAnsi="Times New Roman" w:cs="Times New Roman" w:eastAsia="Times New Roman" w:hint="default"/>
                <w:sz w:val="18"/>
                <w:szCs w:val="18"/>
              </w:rPr>
            </w:pPr>
            <w:r>
              <w:rPr>
                <w:rFonts w:ascii="Times New Roman"/>
                <w:sz w:val="18"/>
              </w:rPr>
              <w:t>31,147,7</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28.28</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736"/>
        <w:gridCol w:w="737"/>
        <w:gridCol w:w="736"/>
        <w:gridCol w:w="736"/>
        <w:gridCol w:w="737"/>
        <w:gridCol w:w="735"/>
        <w:gridCol w:w="736"/>
        <w:gridCol w:w="734"/>
        <w:gridCol w:w="736"/>
        <w:gridCol w:w="735"/>
        <w:gridCol w:w="737"/>
        <w:gridCol w:w="737"/>
        <w:gridCol w:w="736"/>
      </w:tblGrid>
      <w:tr>
        <w:trPr>
          <w:trHeight w:val="674"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61"/>
              <w:jc w:val="left"/>
              <w:rPr>
                <w:rFonts w:ascii="宋体" w:hAnsi="宋体" w:cs="宋体" w:eastAsia="宋体" w:hint="default"/>
                <w:sz w:val="18"/>
                <w:szCs w:val="18"/>
              </w:rPr>
            </w:pPr>
            <w:r>
              <w:rPr>
                <w:rFonts w:ascii="宋体" w:hAnsi="宋体" w:cs="宋体" w:eastAsia="宋体" w:hint="default"/>
                <w:sz w:val="18"/>
                <w:szCs w:val="18"/>
              </w:rPr>
              <w:t>有限责 任公司</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 w:right="0"/>
              <w:jc w:val="center"/>
              <w:rPr>
                <w:rFonts w:ascii="Times New Roman" w:hAnsi="Times New Roman" w:cs="Times New Roman" w:eastAsia="Times New Roman" w:hint="default"/>
                <w:sz w:val="18"/>
                <w:szCs w:val="18"/>
              </w:rPr>
            </w:pPr>
            <w:r>
              <w:rPr>
                <w:rFonts w:ascii="Times New Roman"/>
                <w:sz w:val="18"/>
              </w:rPr>
              <w:t>626,416,</w:t>
            </w:r>
          </w:p>
          <w:p>
            <w:pPr>
              <w:pStyle w:val="TableParagraph"/>
              <w:spacing w:line="240" w:lineRule="auto" w:before="105"/>
              <w:ind w:left="188" w:right="0"/>
              <w:jc w:val="center"/>
              <w:rPr>
                <w:rFonts w:ascii="Times New Roman" w:hAnsi="Times New Roman" w:cs="Times New Roman" w:eastAsia="Times New Roman" w:hint="default"/>
                <w:sz w:val="18"/>
                <w:szCs w:val="18"/>
              </w:rPr>
            </w:pPr>
            <w:r>
              <w:rPr>
                <w:rFonts w:ascii="Times New Roman"/>
                <w:sz w:val="18"/>
              </w:rPr>
              <w:t>535.92</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center"/>
              <w:rPr>
                <w:rFonts w:ascii="Times New Roman" w:hAnsi="Times New Roman" w:cs="Times New Roman" w:eastAsia="Times New Roman" w:hint="default"/>
                <w:sz w:val="18"/>
                <w:szCs w:val="18"/>
              </w:rPr>
            </w:pPr>
            <w:r>
              <w:rPr>
                <w:rFonts w:ascii="Times New Roman"/>
                <w:sz w:val="18"/>
              </w:rPr>
              <w:t>300,746,</w:t>
            </w:r>
          </w:p>
          <w:p>
            <w:pPr>
              <w:pStyle w:val="TableParagraph"/>
              <w:spacing w:line="240" w:lineRule="auto" w:before="105"/>
              <w:ind w:left="186" w:right="0"/>
              <w:jc w:val="center"/>
              <w:rPr>
                <w:rFonts w:ascii="Times New Roman" w:hAnsi="Times New Roman" w:cs="Times New Roman" w:eastAsia="Times New Roman" w:hint="default"/>
                <w:sz w:val="18"/>
                <w:szCs w:val="18"/>
              </w:rPr>
            </w:pPr>
            <w:r>
              <w:rPr>
                <w:rFonts w:ascii="Times New Roman"/>
                <w:sz w:val="18"/>
              </w:rPr>
              <w:t>231.45</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center"/>
              <w:rPr>
                <w:rFonts w:ascii="Times New Roman" w:hAnsi="Times New Roman" w:cs="Times New Roman" w:eastAsia="Times New Roman" w:hint="default"/>
                <w:sz w:val="18"/>
                <w:szCs w:val="18"/>
              </w:rPr>
            </w:pPr>
            <w:r>
              <w:rPr>
                <w:rFonts w:ascii="Times New Roman"/>
                <w:sz w:val="18"/>
              </w:rPr>
              <w:t>927,162,</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767.37</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 w:right="0"/>
              <w:jc w:val="center"/>
              <w:rPr>
                <w:rFonts w:ascii="Times New Roman" w:hAnsi="Times New Roman" w:cs="Times New Roman" w:eastAsia="Times New Roman" w:hint="default"/>
                <w:sz w:val="18"/>
                <w:szCs w:val="18"/>
              </w:rPr>
            </w:pPr>
            <w:r>
              <w:rPr>
                <w:rFonts w:ascii="Times New Roman"/>
                <w:sz w:val="18"/>
              </w:rPr>
              <w:t>296,197,</w:t>
            </w:r>
          </w:p>
          <w:p>
            <w:pPr>
              <w:pStyle w:val="TableParagraph"/>
              <w:spacing w:line="240" w:lineRule="auto" w:before="105"/>
              <w:ind w:left="188" w:right="0"/>
              <w:jc w:val="center"/>
              <w:rPr>
                <w:rFonts w:ascii="Times New Roman" w:hAnsi="Times New Roman" w:cs="Times New Roman" w:eastAsia="Times New Roman" w:hint="default"/>
                <w:sz w:val="18"/>
                <w:szCs w:val="18"/>
              </w:rPr>
            </w:pPr>
            <w:r>
              <w:rPr>
                <w:rFonts w:ascii="Times New Roman"/>
                <w:sz w:val="18"/>
              </w:rPr>
              <w:t>365.72</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2" w:right="0"/>
              <w:jc w:val="left"/>
              <w:rPr>
                <w:rFonts w:ascii="Times New Roman" w:hAnsi="Times New Roman" w:cs="Times New Roman" w:eastAsia="Times New Roman" w:hint="default"/>
                <w:sz w:val="18"/>
                <w:szCs w:val="18"/>
              </w:rPr>
            </w:pPr>
            <w:r>
              <w:rPr>
                <w:rFonts w:ascii="Times New Roman"/>
                <w:sz w:val="18"/>
              </w:rPr>
              <w:t>20,128,6</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57.43</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8" w:right="0"/>
              <w:jc w:val="center"/>
              <w:rPr>
                <w:rFonts w:ascii="Times New Roman" w:hAnsi="Times New Roman" w:cs="Times New Roman" w:eastAsia="Times New Roman" w:hint="default"/>
                <w:sz w:val="18"/>
                <w:szCs w:val="18"/>
              </w:rPr>
            </w:pPr>
            <w:r>
              <w:rPr>
                <w:rFonts w:ascii="Times New Roman"/>
                <w:sz w:val="18"/>
              </w:rPr>
              <w:t>316,326,</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023.15</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9" w:right="0"/>
              <w:jc w:val="center"/>
              <w:rPr>
                <w:rFonts w:ascii="Times New Roman" w:hAnsi="Times New Roman" w:cs="Times New Roman" w:eastAsia="Times New Roman" w:hint="default"/>
                <w:sz w:val="18"/>
                <w:szCs w:val="18"/>
              </w:rPr>
            </w:pPr>
            <w:r>
              <w:rPr>
                <w:rFonts w:ascii="Times New Roman"/>
                <w:sz w:val="18"/>
              </w:rPr>
              <w:t>545,420,</w:t>
            </w:r>
          </w:p>
          <w:p>
            <w:pPr>
              <w:pStyle w:val="TableParagraph"/>
              <w:spacing w:line="240" w:lineRule="auto" w:before="105"/>
              <w:ind w:left="185" w:right="0"/>
              <w:jc w:val="center"/>
              <w:rPr>
                <w:rFonts w:ascii="Times New Roman" w:hAnsi="Times New Roman" w:cs="Times New Roman" w:eastAsia="Times New Roman" w:hint="default"/>
                <w:sz w:val="18"/>
                <w:szCs w:val="18"/>
              </w:rPr>
            </w:pPr>
            <w:r>
              <w:rPr>
                <w:rFonts w:ascii="Times New Roman"/>
                <w:sz w:val="18"/>
              </w:rPr>
              <w:t>387.00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5" w:right="0"/>
              <w:jc w:val="center"/>
              <w:rPr>
                <w:rFonts w:ascii="Times New Roman" w:hAnsi="Times New Roman" w:cs="Times New Roman" w:eastAsia="Times New Roman" w:hint="default"/>
                <w:sz w:val="18"/>
                <w:szCs w:val="18"/>
              </w:rPr>
            </w:pPr>
            <w:r>
              <w:rPr>
                <w:rFonts w:ascii="Times New Roman"/>
                <w:sz w:val="18"/>
              </w:rPr>
              <w:t>311,439,</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794.47</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9" w:right="0"/>
              <w:jc w:val="center"/>
              <w:rPr>
                <w:rFonts w:ascii="Times New Roman" w:hAnsi="Times New Roman" w:cs="Times New Roman" w:eastAsia="Times New Roman" w:hint="default"/>
                <w:sz w:val="18"/>
                <w:szCs w:val="18"/>
              </w:rPr>
            </w:pPr>
            <w:r>
              <w:rPr>
                <w:rFonts w:ascii="Times New Roman"/>
                <w:sz w:val="18"/>
              </w:rPr>
              <w:t>856,860,</w:t>
            </w:r>
          </w:p>
          <w:p>
            <w:pPr>
              <w:pStyle w:val="TableParagraph"/>
              <w:spacing w:line="240" w:lineRule="auto" w:before="105"/>
              <w:ind w:left="185" w:right="0"/>
              <w:jc w:val="center"/>
              <w:rPr>
                <w:rFonts w:ascii="Times New Roman" w:hAnsi="Times New Roman" w:cs="Times New Roman" w:eastAsia="Times New Roman" w:hint="default"/>
                <w:sz w:val="18"/>
                <w:szCs w:val="18"/>
              </w:rPr>
            </w:pPr>
            <w:r>
              <w:rPr>
                <w:rFonts w:ascii="Times New Roman"/>
                <w:sz w:val="18"/>
              </w:rPr>
              <w:t>181.47</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 w:right="0"/>
              <w:jc w:val="center"/>
              <w:rPr>
                <w:rFonts w:ascii="Times New Roman" w:hAnsi="Times New Roman" w:cs="Times New Roman" w:eastAsia="Times New Roman" w:hint="default"/>
                <w:sz w:val="18"/>
                <w:szCs w:val="18"/>
              </w:rPr>
            </w:pPr>
            <w:r>
              <w:rPr>
                <w:rFonts w:ascii="Times New Roman"/>
                <w:sz w:val="18"/>
              </w:rPr>
              <w:t>305,009,</w:t>
            </w:r>
          </w:p>
          <w:p>
            <w:pPr>
              <w:pStyle w:val="TableParagraph"/>
              <w:spacing w:line="240" w:lineRule="auto" w:before="105"/>
              <w:ind w:left="188" w:right="0"/>
              <w:jc w:val="center"/>
              <w:rPr>
                <w:rFonts w:ascii="Times New Roman" w:hAnsi="Times New Roman" w:cs="Times New Roman" w:eastAsia="Times New Roman" w:hint="default"/>
                <w:sz w:val="18"/>
                <w:szCs w:val="18"/>
              </w:rPr>
            </w:pPr>
            <w:r>
              <w:rPr>
                <w:rFonts w:ascii="Times New Roman"/>
                <w:sz w:val="18"/>
              </w:rPr>
              <w:t>588.57</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21,107,7</w:t>
            </w:r>
          </w:p>
          <w:p>
            <w:pPr>
              <w:pStyle w:val="TableParagraph"/>
              <w:spacing w:line="240" w:lineRule="auto" w:before="105"/>
              <w:ind w:left="299" w:right="0"/>
              <w:jc w:val="left"/>
              <w:rPr>
                <w:rFonts w:ascii="Times New Roman" w:hAnsi="Times New Roman" w:cs="Times New Roman" w:eastAsia="Times New Roman" w:hint="default"/>
                <w:sz w:val="18"/>
                <w:szCs w:val="18"/>
              </w:rPr>
            </w:pPr>
            <w:r>
              <w:rPr>
                <w:rFonts w:ascii="Times New Roman"/>
                <w:sz w:val="18"/>
              </w:rPr>
              <w:t>00.61</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center"/>
              <w:rPr>
                <w:rFonts w:ascii="Times New Roman" w:hAnsi="Times New Roman" w:cs="Times New Roman" w:eastAsia="Times New Roman" w:hint="default"/>
                <w:sz w:val="18"/>
                <w:szCs w:val="18"/>
              </w:rPr>
            </w:pPr>
            <w:r>
              <w:rPr>
                <w:rFonts w:ascii="Times New Roman"/>
                <w:sz w:val="18"/>
              </w:rPr>
              <w:t>326,117,</w:t>
            </w:r>
          </w:p>
          <w:p>
            <w:pPr>
              <w:pStyle w:val="TableParagraph"/>
              <w:spacing w:line="240" w:lineRule="auto" w:before="105"/>
              <w:ind w:left="186" w:right="0"/>
              <w:jc w:val="center"/>
              <w:rPr>
                <w:rFonts w:ascii="Times New Roman" w:hAnsi="Times New Roman" w:cs="Times New Roman" w:eastAsia="Times New Roman" w:hint="default"/>
                <w:sz w:val="18"/>
                <w:szCs w:val="18"/>
              </w:rPr>
            </w:pPr>
            <w:r>
              <w:rPr>
                <w:rFonts w:ascii="Times New Roman"/>
                <w:sz w:val="18"/>
              </w:rPr>
              <w:t>289.18</w:t>
            </w:r>
          </w:p>
        </w:tc>
      </w:tr>
    </w:tbl>
    <w:p>
      <w:pPr>
        <w:pStyle w:val="BodyText"/>
        <w:spacing w:line="240" w:lineRule="auto" w:before="51"/>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1"/>
        <w:gridCol w:w="1061"/>
        <w:gridCol w:w="1062"/>
        <w:gridCol w:w="1066"/>
        <w:gridCol w:w="1064"/>
        <w:gridCol w:w="1063"/>
        <w:gridCol w:w="1064"/>
        <w:gridCol w:w="1063"/>
        <w:gridCol w:w="1066"/>
      </w:tblGrid>
      <w:tr>
        <w:trPr>
          <w:trHeight w:val="402" w:hRule="exact"/>
        </w:trPr>
        <w:tc>
          <w:tcPr>
            <w:tcW w:w="106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75"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4253"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425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4" w:hRule="exact"/>
        </w:trPr>
        <w:tc>
          <w:tcPr>
            <w:tcW w:w="1061" w:type="dxa"/>
            <w:vMerge/>
            <w:tcBorders>
              <w:left w:val="single" w:sz="4" w:space="0" w:color="000000"/>
              <w:bottom w:val="single" w:sz="4" w:space="0" w:color="000000"/>
              <w:right w:val="single" w:sz="4" w:space="0" w:color="000000"/>
            </w:tcBorders>
            <w:shd w:val="clear" w:color="auto" w:fill="D2D2D2"/>
          </w:tcPr>
          <w:p>
            <w:pP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56"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37" w:right="76"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56" w:right="77"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净利润</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35" w:right="77"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57" w:right="77"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r>
      <w:tr>
        <w:trPr>
          <w:trHeight w:val="1026"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6"/>
              <w:jc w:val="both"/>
              <w:rPr>
                <w:rFonts w:ascii="宋体" w:hAnsi="宋体" w:cs="宋体" w:eastAsia="宋体" w:hint="default"/>
                <w:sz w:val="18"/>
                <w:szCs w:val="18"/>
              </w:rPr>
            </w:pPr>
            <w:r>
              <w:rPr>
                <w:rFonts w:ascii="宋体" w:hAnsi="宋体" w:cs="宋体" w:eastAsia="宋体" w:hint="default"/>
                <w:sz w:val="18"/>
                <w:szCs w:val="18"/>
              </w:rPr>
              <w:t>江西丰彩丽 印刷包装有 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63,843,591.2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7,838,764.85</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7,838,764.85</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19,903,252.6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56,322,832.4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1" w:right="0"/>
              <w:jc w:val="center"/>
              <w:rPr>
                <w:rFonts w:ascii="Times New Roman" w:hAnsi="Times New Roman" w:cs="Times New Roman" w:eastAsia="Times New Roman" w:hint="default"/>
                <w:sz w:val="18"/>
                <w:szCs w:val="18"/>
              </w:rPr>
            </w:pPr>
            <w:r>
              <w:rPr>
                <w:rFonts w:ascii="Times New Roman"/>
                <w:sz w:val="18"/>
              </w:rPr>
              <w:t>4,200,781.08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4,200,781.08</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3,715,402.56</w:t>
            </w:r>
          </w:p>
        </w:tc>
      </w:tr>
      <w:tr>
        <w:trPr>
          <w:trHeight w:val="714"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6"/>
              <w:jc w:val="left"/>
              <w:rPr>
                <w:rFonts w:ascii="宋体" w:hAnsi="宋体" w:cs="宋体" w:eastAsia="宋体" w:hint="default"/>
                <w:sz w:val="18"/>
                <w:szCs w:val="18"/>
              </w:rPr>
            </w:pPr>
            <w:r>
              <w:rPr>
                <w:rFonts w:ascii="宋体" w:hAnsi="宋体" w:cs="宋体" w:eastAsia="宋体" w:hint="default"/>
                <w:sz w:val="18"/>
                <w:szCs w:val="18"/>
              </w:rPr>
              <w:t>昆明彩印有 限责任公司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199,179,305.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98</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27,577,678.0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27,577,678.0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5" w:right="0"/>
              <w:jc w:val="center"/>
              <w:rPr>
                <w:rFonts w:ascii="Times New Roman" w:hAnsi="Times New Roman" w:cs="Times New Roman" w:eastAsia="Times New Roman" w:hint="default"/>
                <w:sz w:val="18"/>
                <w:szCs w:val="18"/>
              </w:rPr>
            </w:pPr>
            <w:r>
              <w:rPr>
                <w:rFonts w:ascii="Times New Roman"/>
                <w:sz w:val="18"/>
              </w:rPr>
              <w:t>6,535,003.78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187,034,002.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39</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25,144,005.9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25,144,005.9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50,132,136.5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6"/>
              <w:jc w:val="both"/>
              <w:rPr>
                <w:rFonts w:ascii="宋体" w:hAnsi="宋体" w:cs="宋体" w:eastAsia="宋体" w:hint="default"/>
                <w:sz w:val="18"/>
                <w:szCs w:val="18"/>
              </w:rPr>
            </w:pPr>
            <w:r>
              <w:rPr>
                <w:rFonts w:ascii="宋体" w:hAnsi="宋体" w:cs="宋体" w:eastAsia="宋体" w:hint="default"/>
                <w:sz w:val="18"/>
                <w:szCs w:val="18"/>
              </w:rPr>
              <w:t>江苏劲嘉新 型包装材料 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444,483,786.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73</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129,153,018.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61</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129,153,018.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61</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144,006,748.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489,170,316.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96</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160,613,899.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160,613,899.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75</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166,563,538.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45</w:t>
            </w:r>
          </w:p>
        </w:tc>
      </w:tr>
      <w:tr>
        <w:trPr>
          <w:trHeight w:val="1026"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6"/>
              <w:jc w:val="both"/>
              <w:rPr>
                <w:rFonts w:ascii="宋体" w:hAnsi="宋体" w:cs="宋体" w:eastAsia="宋体" w:hint="default"/>
                <w:sz w:val="18"/>
                <w:szCs w:val="18"/>
              </w:rPr>
            </w:pPr>
            <w:r>
              <w:rPr>
                <w:rFonts w:ascii="宋体" w:hAnsi="宋体" w:cs="宋体" w:eastAsia="宋体" w:hint="default"/>
                <w:sz w:val="18"/>
                <w:szCs w:val="18"/>
              </w:rPr>
              <w:t>贵州瑞源包 装有限责任 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34,887,367.3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-69,413.56</w:t>
            </w:r>
            <w:r>
              <w:rPr>
                <w:rFonts w:ascii="Times New Roman"/>
                <w:sz w:val="18"/>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-69,413.56</w:t>
            </w:r>
            <w:r>
              <w:rPr>
                <w:rFonts w:ascii="Times New Roman"/>
                <w:sz w:val="18"/>
              </w:rPr>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 w:right="0"/>
              <w:jc w:val="center"/>
              <w:rPr>
                <w:rFonts w:ascii="Times New Roman" w:hAnsi="Times New Roman" w:cs="Times New Roman" w:eastAsia="Times New Roman" w:hint="default"/>
                <w:sz w:val="18"/>
                <w:szCs w:val="18"/>
              </w:rPr>
            </w:pPr>
            <w:r>
              <w:rPr>
                <w:rFonts w:ascii="Times New Roman"/>
                <w:sz w:val="18"/>
              </w:rPr>
              <w:t>-5,363,371.67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34,409,206.7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-1,010,327.85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-1,010,327.85</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8,533,779.88</w:t>
            </w:r>
          </w:p>
        </w:tc>
      </w:tr>
      <w:tr>
        <w:trPr>
          <w:trHeight w:val="1026"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6"/>
              <w:jc w:val="both"/>
              <w:rPr>
                <w:rFonts w:ascii="宋体" w:hAnsi="宋体" w:cs="宋体" w:eastAsia="宋体" w:hint="default"/>
                <w:sz w:val="18"/>
                <w:szCs w:val="18"/>
              </w:rPr>
            </w:pPr>
            <w:r>
              <w:rPr>
                <w:rFonts w:ascii="宋体" w:hAnsi="宋体" w:cs="宋体" w:eastAsia="宋体" w:hint="default"/>
                <w:sz w:val="18"/>
                <w:szCs w:val="18"/>
              </w:rPr>
              <w:t>长春吉星印 务有限责任 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125,513,958.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61</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38,223,409.2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38,223,409.2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54,908,763.3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80,483,710.9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21,973,710.1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21,973,710.1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33,682,198.6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r>
      <w:tr>
        <w:trPr>
          <w:trHeight w:val="714"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867,908,009.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92</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202,723,457.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24</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202,723,457.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24</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219,990,396.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847,420,069.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45</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210,922,069.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210,922,069.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04</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262,627,056.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06</w:t>
            </w:r>
          </w:p>
        </w:tc>
      </w:tr>
    </w:tbl>
    <w:p>
      <w:pPr>
        <w:pStyle w:val="BodyText"/>
        <w:spacing w:line="240" w:lineRule="auto" w:before="51"/>
        <w:ind w:right="0"/>
        <w:jc w:val="left"/>
      </w:pPr>
      <w:r>
        <w:rPr/>
        <w:t>其他说明：无</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2、在子公司的所有者权益份额发生变化且仍控制子公司的交易" w:id="332"/>
      <w:bookmarkEnd w:id="332"/>
      <w:r>
        <w:rPr>
          <w:b w:val="0"/>
          <w:bCs w:val="0"/>
        </w:rPr>
      </w:r>
      <w:r>
        <w:rPr>
          <w:rFonts w:ascii="Times New Roman" w:hAnsi="Times New Roman" w:cs="Times New Roman" w:eastAsia="Times New Roman" w:hint="default"/>
        </w:rPr>
        <w:t>2</w:t>
      </w:r>
      <w:r>
        <w:rPr/>
        <w:t>、在子公司的所有者权益份额发生变化且仍控制子公司的交易</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在子公司所有者权益份额发生变化的情况说明" w:id="333"/>
      <w:bookmarkEnd w:id="333"/>
      <w:r>
        <w:rPr>
          <w:b w:val="0"/>
          <w:bCs w:val="0"/>
        </w:rPr>
      </w:r>
      <w:r>
        <w:rPr/>
        <w:t>（</w:t>
      </w:r>
      <w:r>
        <w:rPr>
          <w:rFonts w:ascii="Times New Roman" w:hAnsi="Times New Roman" w:cs="Times New Roman" w:eastAsia="Times New Roman" w:hint="default"/>
        </w:rPr>
        <w:t>1</w:t>
      </w:r>
      <w:r>
        <w:rPr/>
        <w:t>）在子公司所有者权益份额发生变化的情况说明</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right="1135"/>
        <w:jc w:val="left"/>
      </w:pPr>
      <w:r>
        <w:rPr/>
        <w:t>本期公司以自有资金人民币 </w:t>
      </w:r>
      <w:r>
        <w:rPr>
          <w:rFonts w:ascii="Times New Roman" w:hAnsi="Times New Roman" w:cs="Times New Roman" w:eastAsia="Times New Roman" w:hint="default"/>
        </w:rPr>
        <w:t>1,470 </w:t>
      </w:r>
      <w:r>
        <w:rPr/>
        <w:t>万元收购 </w:t>
      </w:r>
      <w:r>
        <w:rPr>
          <w:rFonts w:ascii="Times New Roman" w:hAnsi="Times New Roman" w:cs="Times New Roman" w:eastAsia="Times New Roman" w:hint="default"/>
        </w:rPr>
        <w:t>WANG WEIXING</w:t>
      </w:r>
      <w:r>
        <w:rPr>
          <w:rFonts w:ascii="Times New Roman" w:hAnsi="Times New Roman" w:cs="Times New Roman" w:eastAsia="Times New Roman" w:hint="default"/>
          <w:spacing w:val="17"/>
        </w:rPr>
        <w:t> </w:t>
      </w:r>
      <w:r>
        <w:rPr/>
        <w:t>先生持有的深圳劲嘉健康</w:t>
      </w:r>
      <w:r>
        <w:rPr>
          <w:rFonts w:ascii="Times New Roman" w:hAnsi="Times New Roman" w:cs="Times New Roman" w:eastAsia="Times New Roman" w:hint="default"/>
        </w:rPr>
        <w:t>49%</w:t>
      </w:r>
      <w:r>
        <w:rPr/>
        <w:t>的股权，交易完成后，深圳劲 嘉健康成为公司全资子公司。</w:t>
      </w:r>
    </w:p>
    <w:p>
      <w:pPr>
        <w:spacing w:line="240" w:lineRule="auto" w:before="6"/>
        <w:rPr>
          <w:rFonts w:ascii="宋体" w:hAnsi="宋体" w:cs="宋体" w:eastAsia="宋体" w:hint="default"/>
          <w:sz w:val="23"/>
          <w:szCs w:val="23"/>
        </w:rPr>
      </w:pPr>
    </w:p>
    <w:p>
      <w:pPr>
        <w:pStyle w:val="Heading3"/>
        <w:spacing w:line="240" w:lineRule="auto"/>
        <w:ind w:right="0"/>
        <w:jc w:val="left"/>
        <w:rPr>
          <w:b w:val="0"/>
          <w:bCs w:val="0"/>
        </w:rPr>
      </w:pPr>
      <w:bookmarkStart w:name="（2）交易对于少数股东权益及归属于母公司所有者权益的影响" w:id="334"/>
      <w:bookmarkEnd w:id="334"/>
      <w:r>
        <w:rPr>
          <w:b w:val="0"/>
          <w:bCs w:val="0"/>
        </w:rPr>
      </w:r>
      <w:r>
        <w:rPr/>
        <w:t>（</w:t>
      </w:r>
      <w:r>
        <w:rPr>
          <w:rFonts w:ascii="Times New Roman" w:hAnsi="Times New Roman" w:cs="Times New Roman" w:eastAsia="Times New Roman" w:hint="default"/>
        </w:rPr>
        <w:t>2</w:t>
      </w:r>
      <w:r>
        <w:rPr/>
        <w:t>）交易对于少数股东权益及归属于母公司所有者权益的影响</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78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深圳劲嘉健康</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现金</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14,700,000.00</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购买成本</w:t>
            </w:r>
            <w:r>
              <w:rPr>
                <w:rFonts w:ascii="Times New Roman" w:hAnsi="Times New Roman" w:cs="Times New Roman" w:eastAsia="Times New Roman" w:hint="default"/>
                <w:sz w:val="18"/>
                <w:szCs w:val="18"/>
              </w:rPr>
              <w:t>/</w:t>
            </w:r>
            <w:r>
              <w:rPr>
                <w:rFonts w:ascii="宋体" w:hAnsi="宋体" w:cs="宋体" w:eastAsia="宋体" w:hint="default"/>
                <w:sz w:val="18"/>
                <w:szCs w:val="18"/>
              </w:rPr>
              <w:t>处置对价合计</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14,700,000.00</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减：按取得</w:t>
            </w:r>
            <w:r>
              <w:rPr>
                <w:rFonts w:ascii="Times New Roman" w:hAnsi="Times New Roman" w:cs="Times New Roman" w:eastAsia="Times New Roman" w:hint="default"/>
                <w:sz w:val="18"/>
                <w:szCs w:val="18"/>
              </w:rPr>
              <w:t>/</w:t>
            </w:r>
            <w:r>
              <w:rPr>
                <w:rFonts w:ascii="宋体" w:hAnsi="宋体" w:cs="宋体" w:eastAsia="宋体" w:hint="default"/>
                <w:sz w:val="18"/>
                <w:szCs w:val="18"/>
              </w:rPr>
              <w:t>处置的股权比例计算的子公司净资产份额</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11,142,949.68</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差额</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3,557,050.32</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其中：调整资本公积</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3,557,050.32</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在合营安排或联营企业中的权益" w:id="335"/>
      <w:bookmarkEnd w:id="335"/>
      <w:r>
        <w:rPr>
          <w:b w:val="0"/>
          <w:bCs w:val="0"/>
        </w:rPr>
      </w:r>
      <w:r>
        <w:rPr>
          <w:rFonts w:ascii="Times New Roman" w:hAnsi="Times New Roman" w:cs="Times New Roman" w:eastAsia="Times New Roman" w:hint="default"/>
        </w:rPr>
        <w:t>3</w:t>
      </w:r>
      <w:r>
        <w:rPr/>
        <w:t>、在合营安排或联营企业中的权益</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重要的合营企业或联营企业" w:id="336"/>
      <w:bookmarkEnd w:id="336"/>
      <w:r>
        <w:rPr>
          <w:b w:val="0"/>
          <w:bCs w:val="0"/>
        </w:rPr>
      </w:r>
      <w:r>
        <w:rPr/>
        <w:t>（</w:t>
      </w:r>
      <w:r>
        <w:rPr>
          <w:rFonts w:ascii="Times New Roman" w:hAnsi="Times New Roman" w:cs="Times New Roman" w:eastAsia="Times New Roman" w:hint="default"/>
        </w:rPr>
        <w:t>1</w:t>
      </w:r>
      <w:r>
        <w:rPr/>
        <w:t>）重要的合营企业或联营企业</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402" w:hRule="exact"/>
        </w:trPr>
        <w:tc>
          <w:tcPr>
            <w:tcW w:w="137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320" w:right="51" w:hanging="270"/>
              <w:jc w:val="left"/>
              <w:rPr>
                <w:rFonts w:ascii="宋体" w:hAnsi="宋体" w:cs="宋体" w:eastAsia="宋体" w:hint="default"/>
                <w:sz w:val="18"/>
                <w:szCs w:val="18"/>
              </w:rPr>
            </w:pPr>
            <w:r>
              <w:rPr>
                <w:rFonts w:ascii="宋体" w:hAnsi="宋体" w:cs="宋体" w:eastAsia="宋体" w:hint="default"/>
                <w:sz w:val="18"/>
                <w:szCs w:val="18"/>
              </w:rPr>
              <w:t>合营企业或联营 企业名称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408"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317"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47" w:right="47"/>
              <w:jc w:val="center"/>
              <w:rPr>
                <w:rFonts w:ascii="宋体" w:hAnsi="宋体" w:cs="宋体" w:eastAsia="宋体" w:hint="default"/>
                <w:sz w:val="18"/>
                <w:szCs w:val="18"/>
              </w:rPr>
            </w:pPr>
            <w:r>
              <w:rPr>
                <w:rFonts w:ascii="宋体" w:hAnsi="宋体" w:cs="宋体" w:eastAsia="宋体" w:hint="default"/>
                <w:sz w:val="18"/>
                <w:szCs w:val="18"/>
              </w:rPr>
              <w:t>对合营企业或联 营企业投资的会 计处理方法</w:t>
            </w:r>
          </w:p>
        </w:tc>
      </w:tr>
      <w:tr>
        <w:trPr>
          <w:trHeight w:val="623" w:hRule="exact"/>
        </w:trPr>
        <w:tc>
          <w:tcPr>
            <w:tcW w:w="1372"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b/>
                <w:bCs/>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直接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b/>
                <w:bCs/>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7"/>
              <w:jc w:val="left"/>
              <w:rPr>
                <w:rFonts w:ascii="宋体" w:hAnsi="宋体" w:cs="宋体" w:eastAsia="宋体" w:hint="default"/>
                <w:sz w:val="18"/>
                <w:szCs w:val="18"/>
              </w:rPr>
            </w:pPr>
            <w:r>
              <w:rPr>
                <w:rFonts w:ascii="宋体" w:hAnsi="宋体" w:cs="宋体" w:eastAsia="宋体" w:hint="default"/>
                <w:sz w:val="18"/>
                <w:szCs w:val="18"/>
              </w:rPr>
              <w:t>重庆宏声印务有 限责任公司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重庆市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重庆市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包装印刷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66.00%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权益法</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7"/>
              <w:jc w:val="left"/>
              <w:rPr>
                <w:rFonts w:ascii="宋体" w:hAnsi="宋体" w:cs="宋体" w:eastAsia="宋体" w:hint="default"/>
                <w:sz w:val="18"/>
                <w:szCs w:val="18"/>
              </w:rPr>
            </w:pPr>
            <w:r>
              <w:rPr>
                <w:rFonts w:ascii="宋体" w:hAnsi="宋体" w:cs="宋体" w:eastAsia="宋体" w:hint="default"/>
                <w:sz w:val="18"/>
                <w:szCs w:val="18"/>
              </w:rPr>
              <w:t>青岛嘉泽包装有 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青岛市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青岛市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包装印刷</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779" w:right="0"/>
              <w:jc w:val="left"/>
              <w:rPr>
                <w:rFonts w:ascii="Times New Roman" w:hAnsi="Times New Roman" w:cs="Times New Roman" w:eastAsia="Times New Roman" w:hint="default"/>
                <w:sz w:val="18"/>
                <w:szCs w:val="18"/>
              </w:rPr>
            </w:pPr>
            <w:r>
              <w:rPr>
                <w:rFonts w:ascii="Times New Roman"/>
                <w:sz w:val="18"/>
              </w:rPr>
              <w:t>30.00%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权益法</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7"/>
              <w:jc w:val="both"/>
              <w:rPr>
                <w:rFonts w:ascii="宋体" w:hAnsi="宋体" w:cs="宋体" w:eastAsia="宋体" w:hint="default"/>
                <w:sz w:val="18"/>
                <w:szCs w:val="18"/>
              </w:rPr>
            </w:pPr>
            <w:r>
              <w:rPr>
                <w:rFonts w:ascii="宋体" w:hAnsi="宋体" w:cs="宋体" w:eastAsia="宋体" w:hint="default"/>
                <w:sz w:val="18"/>
                <w:szCs w:val="18"/>
              </w:rPr>
              <w:t>贵州省仁怀市申 仁包装有限责任 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贵州市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贵州市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包装印刷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35.00%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权益法</w:t>
            </w:r>
          </w:p>
        </w:tc>
      </w:tr>
      <w:tr>
        <w:trPr>
          <w:trHeight w:val="715"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7"/>
              <w:jc w:val="left"/>
              <w:rPr>
                <w:rFonts w:ascii="宋体" w:hAnsi="宋体" w:cs="宋体" w:eastAsia="宋体" w:hint="default"/>
                <w:sz w:val="18"/>
                <w:szCs w:val="18"/>
              </w:rPr>
            </w:pPr>
            <w:r>
              <w:rPr>
                <w:rFonts w:ascii="宋体" w:hAnsi="宋体" w:cs="宋体" w:eastAsia="宋体" w:hint="default"/>
                <w:sz w:val="18"/>
                <w:szCs w:val="18"/>
              </w:rPr>
              <w:t>香港润伟实业有 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投资</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权益法</w:t>
            </w:r>
          </w:p>
        </w:tc>
      </w:tr>
    </w:tbl>
    <w:p>
      <w:pPr>
        <w:pStyle w:val="BodyText"/>
        <w:spacing w:line="240" w:lineRule="auto" w:before="51"/>
        <w:ind w:right="0"/>
        <w:jc w:val="both"/>
      </w:pPr>
      <w:r>
        <w:rPr/>
        <w:t>在合营企业或联营企业的持股比例不同于表决权比例的说明：</w:t>
      </w:r>
    </w:p>
    <w:p>
      <w:pPr>
        <w:pStyle w:val="BodyText"/>
        <w:spacing w:line="300" w:lineRule="auto" w:before="115"/>
        <w:ind w:right="1109" w:firstLine="360"/>
        <w:jc w:val="both"/>
      </w:pP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4</w:t>
      </w:r>
      <w:r>
        <w:rPr>
          <w:spacing w:val="-2"/>
        </w:rPr>
        <w:t>日，本公司</w:t>
      </w:r>
      <w:r>
        <w:rPr>
          <w:rFonts w:ascii="Times New Roman" w:hAnsi="Times New Roman" w:cs="Times New Roman" w:eastAsia="Times New Roman" w:hint="default"/>
          <w:spacing w:val="-2"/>
        </w:rPr>
        <w:t>2017</w:t>
      </w:r>
      <w:r>
        <w:rPr>
          <w:spacing w:val="-2"/>
        </w:rPr>
        <w:t>年第一次临时股东大会决议通过了《关于与重庆宏声实业（集团）有限责任公司签署战略合</w:t>
      </w:r>
      <w:r>
        <w:rPr/>
        <w:t> </w:t>
      </w:r>
      <w:r>
        <w:rPr>
          <w:spacing w:val="-1"/>
        </w:rPr>
        <w:t>作协议的议案》，本公司对重庆宏声的经营业务、生产管理做出安排，并就本公司将所持重庆宏声</w:t>
      </w:r>
      <w:r>
        <w:rPr>
          <w:rFonts w:ascii="Times New Roman" w:hAnsi="Times New Roman" w:cs="Times New Roman" w:eastAsia="Times New Roman" w:hint="default"/>
          <w:spacing w:val="-1"/>
        </w:rPr>
        <w:t>20%</w:t>
      </w:r>
      <w:r>
        <w:rPr>
          <w:spacing w:val="-1"/>
        </w:rPr>
        <w:t>表决权委托于重庆宏</w:t>
      </w:r>
      <w:r>
        <w:rPr/>
        <w:t> 声实业（集团）有限责任公司（以下简称</w:t>
      </w:r>
      <w:r>
        <w:rPr>
          <w:rFonts w:ascii="Times New Roman" w:hAnsi="Times New Roman" w:cs="Times New Roman" w:eastAsia="Times New Roman" w:hint="default"/>
        </w:rPr>
        <w:t>“</w:t>
      </w:r>
      <w:r>
        <w:rPr/>
        <w:t>宏声集团</w:t>
      </w:r>
      <w:r>
        <w:rPr>
          <w:rFonts w:ascii="Times New Roman" w:hAnsi="Times New Roman" w:cs="Times New Roman" w:eastAsia="Times New Roman" w:hint="default"/>
        </w:rPr>
        <w:t>”</w:t>
      </w:r>
      <w:r>
        <w:rPr/>
        <w:t>）行使达成一致意见。</w:t>
      </w:r>
    </w:p>
    <w:p>
      <w:pPr>
        <w:pStyle w:val="BodyText"/>
        <w:spacing w:line="307" w:lineRule="auto" w:before="52"/>
        <w:ind w:right="1109"/>
        <w:jc w:val="both"/>
      </w:pPr>
      <w:r>
        <w:rPr/>
        <w:t>根据上述协议，自</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日，本公司持有重庆宏声</w:t>
      </w:r>
      <w:r>
        <w:rPr>
          <w:rFonts w:ascii="Times New Roman" w:hAnsi="Times New Roman" w:cs="Times New Roman" w:eastAsia="Times New Roman" w:hint="default"/>
        </w:rPr>
        <w:t>46%</w:t>
      </w:r>
      <w:r>
        <w:rPr/>
        <w:t>表决权，宏声集团持有重庆宏声</w:t>
      </w:r>
      <w:r>
        <w:rPr>
          <w:rFonts w:ascii="Times New Roman" w:hAnsi="Times New Roman" w:cs="Times New Roman" w:eastAsia="Times New Roman" w:hint="default"/>
        </w:rPr>
        <w:t>54%</w:t>
      </w:r>
      <w:r>
        <w:rPr/>
        <w:t>表决权， </w:t>
      </w:r>
      <w:r>
        <w:rPr>
          <w:spacing w:val="-1"/>
        </w:rPr>
        <w:t>宏声集团为重庆宏声的实际控股股东，重庆宏声及其控股子公司重庆宏劲（重庆宏声持有其</w:t>
      </w:r>
      <w:r>
        <w:rPr>
          <w:rFonts w:ascii="Times New Roman" w:hAnsi="Times New Roman" w:cs="Times New Roman" w:eastAsia="Times New Roman" w:hint="default"/>
          <w:spacing w:val="-1"/>
        </w:rPr>
        <w:t>67%</w:t>
      </w:r>
      <w:r>
        <w:rPr>
          <w:spacing w:val="-1"/>
        </w:rPr>
        <w:t>股权）成为本公司的联营企</w:t>
      </w:r>
      <w:r>
        <w:rPr>
          <w:spacing w:val="-85"/>
        </w:rPr>
        <w:t> </w:t>
      </w:r>
      <w:r>
        <w:rPr>
          <w:spacing w:val="-85"/>
        </w:rPr>
      </w:r>
      <w:r>
        <w:rPr>
          <w:spacing w:val="-2"/>
        </w:rPr>
        <w:t>业，公司将不再合并重庆宏声及其控股子公司重庆宏劲的财务报表，并将按照权益法核算对重庆宏声及其控股子公司重庆宏</w:t>
      </w:r>
      <w:r>
        <w:rPr>
          <w:spacing w:val="-64"/>
        </w:rPr>
        <w:t> </w:t>
      </w:r>
      <w:r>
        <w:rPr>
          <w:spacing w:val="-64"/>
        </w:rPr>
      </w:r>
      <w:r>
        <w:rPr/>
        <w:t>劲的长期股权投资及投资收益。</w:t>
      </w: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13"/>
          <w:szCs w:val="13"/>
        </w:rPr>
      </w:pPr>
    </w:p>
    <w:p>
      <w:pPr>
        <w:pStyle w:val="BodyText"/>
        <w:spacing w:line="338" w:lineRule="auto"/>
        <w:ind w:right="3344"/>
        <w:jc w:val="left"/>
      </w:pPr>
      <w:r>
        <w:rPr/>
        <w:t>持有</w:t>
      </w:r>
      <w:r>
        <w:rPr>
          <w:spacing w:val="-46"/>
        </w:rPr>
        <w:t> </w:t>
      </w:r>
      <w:r>
        <w:rPr>
          <w:rFonts w:ascii="Times New Roman" w:hAnsi="Times New Roman" w:cs="Times New Roman" w:eastAsia="Times New Roman" w:hint="default"/>
        </w:rPr>
        <w:t>20%</w:t>
      </w:r>
      <w:r>
        <w:rPr/>
        <w:t>以下表决权但具有重大影响，或者持有</w:t>
      </w:r>
      <w:r>
        <w:rPr>
          <w:spacing w:val="-46"/>
        </w:rPr>
        <w:t> </w:t>
      </w:r>
      <w:r>
        <w:rPr>
          <w:rFonts w:ascii="Times New Roman" w:hAnsi="Times New Roman" w:cs="Times New Roman" w:eastAsia="Times New Roman" w:hint="default"/>
        </w:rPr>
        <w:t>20%</w:t>
      </w:r>
      <w:r>
        <w:rPr/>
        <w:t>或以上表决权但不具有重大影响的依据： 无</w:t>
      </w:r>
    </w:p>
    <w:p>
      <w:pPr>
        <w:spacing w:line="240" w:lineRule="auto" w:before="4"/>
        <w:rPr>
          <w:rFonts w:ascii="宋体" w:hAnsi="宋体" w:cs="宋体" w:eastAsia="宋体" w:hint="default"/>
          <w:sz w:val="21"/>
          <w:szCs w:val="21"/>
        </w:rPr>
      </w:pPr>
    </w:p>
    <w:p>
      <w:pPr>
        <w:pStyle w:val="Heading3"/>
        <w:spacing w:line="240" w:lineRule="auto"/>
        <w:ind w:right="0"/>
        <w:jc w:val="both"/>
        <w:rPr>
          <w:b w:val="0"/>
          <w:bCs w:val="0"/>
        </w:rPr>
      </w:pPr>
      <w:bookmarkStart w:name="（2）重要联营企业的主要财务信息" w:id="337"/>
      <w:bookmarkEnd w:id="337"/>
      <w:r>
        <w:rPr>
          <w:b w:val="0"/>
          <w:bCs w:val="0"/>
        </w:rPr>
      </w:r>
      <w:r>
        <w:rPr/>
        <w:t>（</w:t>
      </w:r>
      <w:r>
        <w:rPr>
          <w:rFonts w:ascii="Times New Roman" w:hAnsi="Times New Roman" w:cs="Times New Roman" w:eastAsia="Times New Roman" w:hint="default"/>
        </w:rPr>
        <w:t>2</w:t>
      </w:r>
      <w:r>
        <w:rPr/>
        <w:t>）重要联营企业的主要财务信息</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173"/>
        <w:gridCol w:w="1207"/>
        <w:gridCol w:w="1196"/>
        <w:gridCol w:w="1197"/>
        <w:gridCol w:w="1195"/>
        <w:gridCol w:w="1197"/>
        <w:gridCol w:w="1196"/>
        <w:gridCol w:w="1195"/>
      </w:tblGrid>
      <w:tr>
        <w:trPr>
          <w:trHeight w:val="403" w:hRule="exact"/>
        </w:trPr>
        <w:tc>
          <w:tcPr>
            <w:tcW w:w="117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79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563"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58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53"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1" w:hRule="exact"/>
        </w:trPr>
        <w:tc>
          <w:tcPr>
            <w:tcW w:w="1173" w:type="dxa"/>
            <w:tcBorders>
              <w:top w:val="single" w:sz="4" w:space="0" w:color="000000"/>
              <w:left w:val="single" w:sz="4" w:space="0" w:color="000000"/>
              <w:bottom w:val="single" w:sz="4" w:space="0" w:color="000000"/>
              <w:right w:val="single" w:sz="13" w:space="0" w:color="D9D9D9"/>
            </w:tcBorders>
            <w:shd w:val="clear" w:color="auto" w:fill="D2D2D2"/>
          </w:tcPr>
          <w:p>
            <w:pPr/>
          </w:p>
        </w:tc>
        <w:tc>
          <w:tcPr>
            <w:tcW w:w="1207" w:type="dxa"/>
            <w:tcBorders>
              <w:top w:val="single" w:sz="4" w:space="0" w:color="000000"/>
              <w:left w:val="single" w:sz="13" w:space="0" w:color="D2D2D2"/>
              <w:bottom w:val="single" w:sz="4" w:space="0" w:color="000000"/>
              <w:right w:val="single" w:sz="4" w:space="0" w:color="000000"/>
            </w:tcBorders>
            <w:shd w:val="clear" w:color="auto" w:fill="D9D9D9"/>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重庆宏声</w:t>
            </w:r>
          </w:p>
        </w:tc>
        <w:tc>
          <w:tcPr>
            <w:tcW w:w="119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33" w:right="0"/>
              <w:jc w:val="left"/>
              <w:rPr>
                <w:rFonts w:ascii="宋体" w:hAnsi="宋体" w:cs="宋体" w:eastAsia="宋体" w:hint="default"/>
                <w:sz w:val="18"/>
                <w:szCs w:val="18"/>
              </w:rPr>
            </w:pPr>
            <w:r>
              <w:rPr>
                <w:rFonts w:ascii="宋体" w:hAnsi="宋体" w:cs="宋体" w:eastAsia="宋体" w:hint="default"/>
                <w:sz w:val="18"/>
                <w:szCs w:val="18"/>
              </w:rPr>
              <w:t>青岛嘉泽</w:t>
            </w:r>
          </w:p>
        </w:tc>
        <w:tc>
          <w:tcPr>
            <w:tcW w:w="119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33" w:right="0"/>
              <w:jc w:val="left"/>
              <w:rPr>
                <w:rFonts w:ascii="宋体" w:hAnsi="宋体" w:cs="宋体" w:eastAsia="宋体" w:hint="default"/>
                <w:sz w:val="18"/>
                <w:szCs w:val="18"/>
              </w:rPr>
            </w:pPr>
            <w:r>
              <w:rPr>
                <w:rFonts w:ascii="宋体" w:hAnsi="宋体" w:cs="宋体" w:eastAsia="宋体" w:hint="default"/>
                <w:sz w:val="18"/>
                <w:szCs w:val="18"/>
              </w:rPr>
              <w:t>贵州申仁</w:t>
            </w:r>
          </w:p>
        </w:tc>
        <w:tc>
          <w:tcPr>
            <w:tcW w:w="119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32" w:right="0"/>
              <w:jc w:val="left"/>
              <w:rPr>
                <w:rFonts w:ascii="宋体" w:hAnsi="宋体" w:cs="宋体" w:eastAsia="宋体" w:hint="default"/>
                <w:sz w:val="18"/>
                <w:szCs w:val="18"/>
              </w:rPr>
            </w:pPr>
            <w:r>
              <w:rPr>
                <w:rFonts w:ascii="宋体" w:hAnsi="宋体" w:cs="宋体" w:eastAsia="宋体" w:hint="default"/>
                <w:sz w:val="18"/>
                <w:szCs w:val="18"/>
              </w:rPr>
              <w:t>香港润伟</w:t>
            </w:r>
          </w:p>
        </w:tc>
        <w:tc>
          <w:tcPr>
            <w:tcW w:w="119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重庆宏声</w:t>
            </w:r>
          </w:p>
        </w:tc>
        <w:tc>
          <w:tcPr>
            <w:tcW w:w="119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32" w:right="0"/>
              <w:jc w:val="left"/>
              <w:rPr>
                <w:rFonts w:ascii="宋体" w:hAnsi="宋体" w:cs="宋体" w:eastAsia="宋体" w:hint="default"/>
                <w:sz w:val="18"/>
                <w:szCs w:val="18"/>
              </w:rPr>
            </w:pPr>
            <w:r>
              <w:rPr>
                <w:rFonts w:ascii="宋体" w:hAnsi="宋体" w:cs="宋体" w:eastAsia="宋体" w:hint="default"/>
                <w:sz w:val="18"/>
                <w:szCs w:val="18"/>
              </w:rPr>
              <w:t>青岛嘉泽</w:t>
            </w:r>
          </w:p>
        </w:tc>
        <w:tc>
          <w:tcPr>
            <w:tcW w:w="119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32" w:right="0"/>
              <w:jc w:val="left"/>
              <w:rPr>
                <w:rFonts w:ascii="宋体" w:hAnsi="宋体" w:cs="宋体" w:eastAsia="宋体" w:hint="default"/>
                <w:sz w:val="18"/>
                <w:szCs w:val="18"/>
              </w:rPr>
            </w:pPr>
            <w:r>
              <w:rPr>
                <w:rFonts w:ascii="宋体" w:hAnsi="宋体" w:cs="宋体" w:eastAsia="宋体" w:hint="default"/>
                <w:sz w:val="18"/>
                <w:szCs w:val="18"/>
              </w:rPr>
              <w:t>贵州申仁</w:t>
            </w:r>
          </w:p>
        </w:tc>
      </w:tr>
      <w:tr>
        <w:trPr>
          <w:trHeight w:val="402" w:hRule="exact"/>
        </w:trPr>
        <w:tc>
          <w:tcPr>
            <w:tcW w:w="1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12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16" w:right="0"/>
              <w:jc w:val="center"/>
              <w:rPr>
                <w:rFonts w:ascii="Times New Roman" w:hAnsi="Times New Roman" w:cs="Times New Roman" w:eastAsia="Times New Roman" w:hint="default"/>
                <w:sz w:val="18"/>
                <w:szCs w:val="18"/>
              </w:rPr>
            </w:pPr>
            <w:r>
              <w:rPr>
                <w:rFonts w:ascii="Times New Roman"/>
                <w:sz w:val="18"/>
              </w:rPr>
              <w:t>463,088,660.86</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442,497,816.34</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258,413,716.09</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251,255,558.33</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6" w:right="0"/>
              <w:jc w:val="center"/>
              <w:rPr>
                <w:rFonts w:ascii="Times New Roman" w:hAnsi="Times New Roman" w:cs="Times New Roman" w:eastAsia="Times New Roman" w:hint="default"/>
                <w:sz w:val="18"/>
                <w:szCs w:val="18"/>
              </w:rPr>
            </w:pPr>
            <w:r>
              <w:rPr>
                <w:rFonts w:ascii="Times New Roman"/>
                <w:sz w:val="18"/>
              </w:rPr>
              <w:t>477,588,827.31</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431,486,982.52</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155,519,636.03</w:t>
            </w:r>
          </w:p>
        </w:tc>
      </w:tr>
      <w:tr>
        <w:trPr>
          <w:trHeight w:val="402" w:hRule="exact"/>
        </w:trPr>
        <w:tc>
          <w:tcPr>
            <w:tcW w:w="1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12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16" w:right="0"/>
              <w:jc w:val="center"/>
              <w:rPr>
                <w:rFonts w:ascii="Times New Roman" w:hAnsi="Times New Roman" w:cs="Times New Roman" w:eastAsia="Times New Roman" w:hint="default"/>
                <w:sz w:val="18"/>
                <w:szCs w:val="18"/>
              </w:rPr>
            </w:pPr>
            <w:r>
              <w:rPr>
                <w:rFonts w:ascii="Times New Roman"/>
                <w:sz w:val="18"/>
              </w:rPr>
              <w:t>370,149,413.53</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66,114,068.33</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186,362,984.86</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193,103,901.16</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6" w:right="0"/>
              <w:jc w:val="center"/>
              <w:rPr>
                <w:rFonts w:ascii="Times New Roman" w:hAnsi="Times New Roman" w:cs="Times New Roman" w:eastAsia="Times New Roman" w:hint="default"/>
                <w:sz w:val="18"/>
                <w:szCs w:val="18"/>
              </w:rPr>
            </w:pPr>
            <w:r>
              <w:rPr>
                <w:rFonts w:ascii="Times New Roman"/>
                <w:sz w:val="18"/>
              </w:rPr>
              <w:t>382,087,717.26</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74,295,871.57</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165,285,628.82</w:t>
            </w:r>
          </w:p>
        </w:tc>
      </w:tr>
      <w:tr>
        <w:trPr>
          <w:trHeight w:val="402" w:hRule="exact"/>
        </w:trPr>
        <w:tc>
          <w:tcPr>
            <w:tcW w:w="1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资产合计</w:t>
            </w:r>
          </w:p>
        </w:tc>
        <w:tc>
          <w:tcPr>
            <w:tcW w:w="12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6" w:right="0"/>
              <w:jc w:val="center"/>
              <w:rPr>
                <w:rFonts w:ascii="Times New Roman" w:hAnsi="Times New Roman" w:cs="Times New Roman" w:eastAsia="Times New Roman" w:hint="default"/>
                <w:sz w:val="18"/>
                <w:szCs w:val="18"/>
              </w:rPr>
            </w:pPr>
            <w:r>
              <w:rPr>
                <w:rFonts w:ascii="Times New Roman"/>
                <w:sz w:val="18"/>
              </w:rPr>
              <w:t>833,238,074.39</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508,611,884.67</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444,776,700.95</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444,359,459.49</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6" w:right="0"/>
              <w:jc w:val="center"/>
              <w:rPr>
                <w:rFonts w:ascii="Times New Roman" w:hAnsi="Times New Roman" w:cs="Times New Roman" w:eastAsia="Times New Roman" w:hint="default"/>
                <w:sz w:val="18"/>
                <w:szCs w:val="18"/>
              </w:rPr>
            </w:pPr>
            <w:r>
              <w:rPr>
                <w:rFonts w:ascii="Times New Roman"/>
                <w:sz w:val="18"/>
              </w:rPr>
              <w:t>859,676,544.57</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505,782,854.09</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320,805,264.85</w:t>
            </w:r>
          </w:p>
        </w:tc>
      </w:tr>
      <w:tr>
        <w:trPr>
          <w:trHeight w:val="402" w:hRule="exact"/>
        </w:trPr>
        <w:tc>
          <w:tcPr>
            <w:tcW w:w="1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12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6" w:right="0"/>
              <w:jc w:val="center"/>
              <w:rPr>
                <w:rFonts w:ascii="Times New Roman" w:hAnsi="Times New Roman" w:cs="Times New Roman" w:eastAsia="Times New Roman" w:hint="default"/>
                <w:sz w:val="18"/>
                <w:szCs w:val="18"/>
              </w:rPr>
            </w:pPr>
            <w:r>
              <w:rPr>
                <w:rFonts w:ascii="Times New Roman"/>
                <w:sz w:val="18"/>
              </w:rPr>
              <w:t>372,494,730.75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299,877,876.79</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63,931,998.54</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88,010,889.01</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6" w:right="0"/>
              <w:jc w:val="center"/>
              <w:rPr>
                <w:rFonts w:ascii="Times New Roman" w:hAnsi="Times New Roman" w:cs="Times New Roman" w:eastAsia="Times New Roman" w:hint="default"/>
                <w:sz w:val="18"/>
                <w:szCs w:val="18"/>
              </w:rPr>
            </w:pPr>
            <w:r>
              <w:rPr>
                <w:rFonts w:ascii="Times New Roman"/>
                <w:sz w:val="18"/>
              </w:rPr>
              <w:t>441,879,588.77</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333,064,465.08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72,995,186.26</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197"/>
        <w:gridCol w:w="1195"/>
        <w:gridCol w:w="1196"/>
        <w:gridCol w:w="1197"/>
        <w:gridCol w:w="1195"/>
        <w:gridCol w:w="1197"/>
        <w:gridCol w:w="1196"/>
        <w:gridCol w:w="1195"/>
      </w:tblGrid>
      <w:tr>
        <w:trPr>
          <w:trHeight w:val="402"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26,789,652.02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1,133,872.35</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6,623,286.66</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6" w:right="0"/>
              <w:jc w:val="center"/>
              <w:rPr>
                <w:rFonts w:ascii="Times New Roman" w:hAnsi="Times New Roman" w:cs="Times New Roman" w:eastAsia="Times New Roman" w:hint="default"/>
                <w:sz w:val="18"/>
                <w:szCs w:val="18"/>
              </w:rPr>
            </w:pPr>
            <w:r>
              <w:rPr>
                <w:rFonts w:ascii="Times New Roman"/>
                <w:sz w:val="18"/>
              </w:rPr>
              <w:t>29,497,237.21</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8,355,108.96</w:t>
            </w:r>
          </w:p>
        </w:tc>
      </w:tr>
      <w:tr>
        <w:trPr>
          <w:trHeight w:val="402"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399,284,382.77</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301,011,749.14</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70,555,285.20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88,010,889.01</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6" w:right="0"/>
              <w:jc w:val="center"/>
              <w:rPr>
                <w:rFonts w:ascii="Times New Roman" w:hAnsi="Times New Roman" w:cs="Times New Roman" w:eastAsia="Times New Roman" w:hint="default"/>
                <w:sz w:val="18"/>
                <w:szCs w:val="18"/>
              </w:rPr>
            </w:pPr>
            <w:r>
              <w:rPr>
                <w:rFonts w:ascii="Times New Roman"/>
                <w:sz w:val="18"/>
              </w:rPr>
              <w:t>471,376,825.98</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333,064,465.08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81,350,295.22</w:t>
            </w:r>
          </w:p>
        </w:tc>
      </w:tr>
      <w:tr>
        <w:trPr>
          <w:trHeight w:val="402"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106,932,007.26</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148,071,912.91</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6" w:right="0"/>
              <w:jc w:val="center"/>
              <w:rPr>
                <w:rFonts w:ascii="Times New Roman" w:hAnsi="Times New Roman" w:cs="Times New Roman" w:eastAsia="Times New Roman" w:hint="default"/>
                <w:sz w:val="18"/>
                <w:szCs w:val="18"/>
              </w:rPr>
            </w:pPr>
            <w:r>
              <w:rPr>
                <w:rFonts w:ascii="Times New Roman"/>
                <w:sz w:val="18"/>
              </w:rPr>
              <w:t>102,962,871.17</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82"/>
              <w:jc w:val="left"/>
              <w:rPr>
                <w:rFonts w:ascii="宋体" w:hAnsi="宋体" w:cs="宋体" w:eastAsia="宋体" w:hint="default"/>
                <w:sz w:val="18"/>
                <w:szCs w:val="18"/>
              </w:rPr>
            </w:pPr>
            <w:r>
              <w:rPr>
                <w:rFonts w:ascii="宋体" w:hAnsi="宋体" w:cs="宋体" w:eastAsia="宋体" w:hint="default"/>
                <w:sz w:val="18"/>
                <w:szCs w:val="18"/>
              </w:rPr>
              <w:t>归属于母公司 股东权益</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327,021,684.36</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207,600,135.53</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374,221,415.76</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208,276,657.56</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6" w:right="0"/>
              <w:jc w:val="center"/>
              <w:rPr>
                <w:rFonts w:ascii="Times New Roman" w:hAnsi="Times New Roman" w:cs="Times New Roman" w:eastAsia="Times New Roman" w:hint="default"/>
                <w:sz w:val="18"/>
                <w:szCs w:val="18"/>
              </w:rPr>
            </w:pPr>
            <w:r>
              <w:rPr>
                <w:rFonts w:ascii="Times New Roman"/>
                <w:sz w:val="18"/>
              </w:rPr>
              <w:t>285,336,847.42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172,718,389.01</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239,454,969.63</w:t>
            </w:r>
          </w:p>
        </w:tc>
      </w:tr>
      <w:tr>
        <w:trPr>
          <w:trHeight w:val="1026"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82"/>
              <w:jc w:val="both"/>
              <w:rPr>
                <w:rFonts w:ascii="宋体" w:hAnsi="宋体" w:cs="宋体" w:eastAsia="宋体" w:hint="default"/>
                <w:sz w:val="18"/>
                <w:szCs w:val="18"/>
              </w:rPr>
            </w:pPr>
            <w:r>
              <w:rPr>
                <w:rFonts w:ascii="宋体" w:hAnsi="宋体" w:cs="宋体" w:eastAsia="宋体" w:hint="default"/>
                <w:sz w:val="18"/>
                <w:szCs w:val="18"/>
              </w:rPr>
              <w:t>按持股比例计 算的净资产份 额</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215,834,311.68</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62,280,040.66</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130,977,495.52</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62,482,997.27</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6" w:right="0"/>
              <w:jc w:val="center"/>
              <w:rPr>
                <w:rFonts w:ascii="Times New Roman" w:hAnsi="Times New Roman" w:cs="Times New Roman" w:eastAsia="Times New Roman" w:hint="default"/>
                <w:sz w:val="18"/>
                <w:szCs w:val="18"/>
              </w:rPr>
            </w:pPr>
            <w:r>
              <w:rPr>
                <w:rFonts w:ascii="Times New Roman"/>
                <w:sz w:val="18"/>
              </w:rPr>
              <w:t>188,322,319.30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51,815,516.70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69,441,941.19</w:t>
            </w:r>
          </w:p>
        </w:tc>
      </w:tr>
      <w:tr>
        <w:trPr>
          <w:trHeight w:val="402"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调整事项</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335,332,467.99</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-3,452,089.53</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189,363,218.69</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32,524,256.64</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6" w:right="0"/>
              <w:jc w:val="center"/>
              <w:rPr>
                <w:rFonts w:ascii="Times New Roman" w:hAnsi="Times New Roman" w:cs="Times New Roman" w:eastAsia="Times New Roman" w:hint="default"/>
                <w:sz w:val="18"/>
                <w:szCs w:val="18"/>
              </w:rPr>
            </w:pPr>
            <w:r>
              <w:rPr>
                <w:rFonts w:ascii="Times New Roman"/>
                <w:sz w:val="18"/>
              </w:rPr>
              <w:t>339,028,467.99</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-3,271,294.82</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156,758,058.81</w:t>
            </w:r>
          </w:p>
        </w:tc>
      </w:tr>
      <w:tr>
        <w:trPr>
          <w:trHeight w:val="402"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商誉</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156,758,058.81</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156,758,058.81</w:t>
            </w:r>
          </w:p>
        </w:tc>
      </w:tr>
      <w:tr>
        <w:trPr>
          <w:trHeight w:val="402"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其他</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335,332,467.99</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-3,452,089.53</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32,605,159.88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32,524,256.64</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6" w:right="0"/>
              <w:jc w:val="center"/>
              <w:rPr>
                <w:rFonts w:ascii="Times New Roman" w:hAnsi="Times New Roman" w:cs="Times New Roman" w:eastAsia="Times New Roman" w:hint="default"/>
                <w:sz w:val="18"/>
                <w:szCs w:val="18"/>
              </w:rPr>
            </w:pPr>
            <w:r>
              <w:rPr>
                <w:rFonts w:ascii="Times New Roman"/>
                <w:sz w:val="18"/>
              </w:rPr>
              <w:t>339,028,467.99</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-3,271,294.82</w:t>
            </w: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82"/>
              <w:jc w:val="both"/>
              <w:rPr>
                <w:rFonts w:ascii="宋体" w:hAnsi="宋体" w:cs="宋体" w:eastAsia="宋体" w:hint="default"/>
                <w:sz w:val="18"/>
                <w:szCs w:val="18"/>
              </w:rPr>
            </w:pPr>
            <w:r>
              <w:rPr>
                <w:rFonts w:ascii="宋体" w:hAnsi="宋体" w:cs="宋体" w:eastAsia="宋体" w:hint="default"/>
                <w:sz w:val="18"/>
                <w:szCs w:val="18"/>
              </w:rPr>
              <w:t>对联营企业权 益投资的账面 价值</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551,166,779.67</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58,827,951.13</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320,340,714.21</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95,007,253.91</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6" w:right="0"/>
              <w:jc w:val="center"/>
              <w:rPr>
                <w:rFonts w:ascii="Times New Roman" w:hAnsi="Times New Roman" w:cs="Times New Roman" w:eastAsia="Times New Roman" w:hint="default"/>
                <w:sz w:val="18"/>
                <w:szCs w:val="18"/>
              </w:rPr>
            </w:pPr>
            <w:r>
              <w:rPr>
                <w:rFonts w:ascii="Times New Roman"/>
                <w:sz w:val="18"/>
              </w:rPr>
              <w:t>527,350,787.29</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48,544,221.88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226,200,000.00</w:t>
            </w:r>
          </w:p>
        </w:tc>
      </w:tr>
      <w:tr>
        <w:trPr>
          <w:trHeight w:val="402"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472,676,738.86</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649,284,230.07</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259,950,922.09</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209,541,470.76</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6" w:right="0"/>
              <w:jc w:val="center"/>
              <w:rPr>
                <w:rFonts w:ascii="Times New Roman" w:hAnsi="Times New Roman" w:cs="Times New Roman" w:eastAsia="Times New Roman" w:hint="default"/>
                <w:sz w:val="18"/>
                <w:szCs w:val="18"/>
              </w:rPr>
            </w:pPr>
            <w:r>
              <w:rPr>
                <w:rFonts w:ascii="Times New Roman"/>
                <w:sz w:val="18"/>
              </w:rPr>
              <w:t>370,430,422.81</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612,283,534.19</w:t>
            </w: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45,653,973.03</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34,279,097.49</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33,709,855.37</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25,730,138.68</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6" w:right="0"/>
              <w:jc w:val="center"/>
              <w:rPr>
                <w:rFonts w:ascii="Times New Roman" w:hAnsi="Times New Roman" w:cs="Times New Roman" w:eastAsia="Times New Roman" w:hint="default"/>
                <w:sz w:val="18"/>
                <w:szCs w:val="18"/>
              </w:rPr>
            </w:pPr>
            <w:r>
              <w:rPr>
                <w:rFonts w:ascii="Times New Roman"/>
                <w:sz w:val="18"/>
              </w:rPr>
              <w:t>33,006,914.43</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15,990,772.34</w:t>
            </w: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16,126.82</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综合收益总额</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45,653,973.03</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34,279,097.49</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33,709,855.37</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25,746,265.50</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6" w:right="0"/>
              <w:jc w:val="center"/>
              <w:rPr>
                <w:rFonts w:ascii="Times New Roman" w:hAnsi="Times New Roman" w:cs="Times New Roman" w:eastAsia="Times New Roman" w:hint="default"/>
                <w:sz w:val="18"/>
                <w:szCs w:val="18"/>
              </w:rPr>
            </w:pPr>
            <w:r>
              <w:rPr>
                <w:rFonts w:ascii="Times New Roman"/>
                <w:sz w:val="18"/>
              </w:rPr>
              <w:t>33,006,914.43</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15,990,772.34</w:t>
            </w: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82"/>
              <w:jc w:val="both"/>
              <w:rPr>
                <w:rFonts w:ascii="宋体" w:hAnsi="宋体" w:cs="宋体" w:eastAsia="宋体" w:hint="default"/>
                <w:sz w:val="18"/>
                <w:szCs w:val="18"/>
              </w:rPr>
            </w:pPr>
            <w:r>
              <w:rPr>
                <w:rFonts w:ascii="宋体" w:hAnsi="宋体" w:cs="宋体" w:eastAsia="宋体" w:hint="default"/>
                <w:sz w:val="18"/>
                <w:szCs w:val="18"/>
              </w:rPr>
              <w:t>本年度收到的 来自联营企业 的股利</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15,000,000.00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5,136,300.00</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06" w:right="0"/>
              <w:jc w:val="center"/>
              <w:rPr>
                <w:rFonts w:ascii="Times New Roman" w:hAnsi="Times New Roman" w:cs="Times New Roman" w:eastAsia="Times New Roman" w:hint="default"/>
                <w:sz w:val="18"/>
                <w:szCs w:val="18"/>
              </w:rPr>
            </w:pPr>
            <w:r>
              <w:rPr>
                <w:rFonts w:ascii="Times New Roman"/>
                <w:sz w:val="18"/>
              </w:rPr>
              <w:t>30,000,000.00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不重要的合营企业和联营企业的汇总财务信息" w:id="338"/>
      <w:bookmarkEnd w:id="338"/>
      <w:r>
        <w:rPr>
          <w:b w:val="0"/>
          <w:bCs w:val="0"/>
        </w:rPr>
      </w:r>
      <w:r>
        <w:rPr/>
        <w:t>（</w:t>
      </w:r>
      <w:r>
        <w:rPr>
          <w:rFonts w:ascii="Times New Roman" w:hAnsi="Times New Roman" w:cs="Times New Roman" w:eastAsia="Times New Roman" w:hint="default"/>
        </w:rPr>
        <w:t>3</w:t>
      </w:r>
      <w:r>
        <w:rPr/>
        <w:t>）不重要的合营企业和联营企业的汇总财务信息</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其他说明</w:t>
      </w:r>
    </w:p>
    <w:p>
      <w:pPr>
        <w:pStyle w:val="BodyText"/>
        <w:spacing w:line="316" w:lineRule="auto" w:before="116"/>
        <w:ind w:right="1170" w:firstLine="420"/>
        <w:jc w:val="both"/>
      </w:pPr>
      <w:r>
        <w:rPr/>
        <w:t>本公司联营企业武汉欣亚欣纸业有限公司，该公司目前长年处于亏损状态，且几乎无经营活动，本公司长期股权投资 已全额计提长期股权投资减值准备，账面余额为</w:t>
      </w:r>
      <w:r>
        <w:rPr>
          <w:rFonts w:ascii="Times New Roman" w:hAnsi="Times New Roman" w:cs="Times New Roman" w:eastAsia="Times New Roman" w:hint="default"/>
        </w:rPr>
        <w:t>0</w:t>
      </w:r>
      <w:r>
        <w:rPr/>
        <w:t>。</w:t>
      </w:r>
    </w:p>
    <w:p>
      <w:pPr>
        <w:pStyle w:val="BodyText"/>
        <w:spacing w:line="300" w:lineRule="auto"/>
        <w:ind w:right="1130" w:firstLine="420"/>
        <w:jc w:val="both"/>
      </w:pPr>
      <w:r>
        <w:rPr>
          <w:spacing w:val="-1"/>
        </w:rPr>
        <w:t>本公司联营企业深圳华大北斗科技有限公司，</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日总资产</w:t>
      </w:r>
      <w:r>
        <w:rPr>
          <w:rFonts w:ascii="Times New Roman" w:hAnsi="Times New Roman" w:cs="Times New Roman" w:eastAsia="Times New Roman" w:hint="default"/>
          <w:spacing w:val="-1"/>
        </w:rPr>
        <w:t>411,405,780.28</w:t>
      </w:r>
      <w:r>
        <w:rPr>
          <w:spacing w:val="-1"/>
        </w:rPr>
        <w:t>元，总负债</w:t>
      </w:r>
      <w:r>
        <w:rPr>
          <w:rFonts w:ascii="Times New Roman" w:hAnsi="Times New Roman" w:cs="Times New Roman" w:eastAsia="Times New Roman" w:hint="default"/>
          <w:spacing w:val="-1"/>
        </w:rPr>
        <w:t>112,060,386.00</w:t>
      </w:r>
      <w:r>
        <w:rPr>
          <w:spacing w:val="-1"/>
        </w:rPr>
        <w:t>元，</w:t>
      </w:r>
      <w:r>
        <w:rPr>
          <w:rFonts w:ascii="Times New Roman" w:hAnsi="Times New Roman" w:cs="Times New Roman" w:eastAsia="Times New Roman" w:hint="default"/>
          <w:spacing w:val="-1"/>
        </w:rPr>
        <w:t>2018</w:t>
      </w:r>
      <w:r>
        <w:rPr>
          <w:rFonts w:ascii="Times New Roman" w:hAnsi="Times New Roman" w:cs="Times New Roman" w:eastAsia="Times New Roman" w:hint="default"/>
        </w:rPr>
        <w:t> </w:t>
      </w:r>
      <w:r>
        <w:rPr/>
        <w:t>年净利润</w:t>
      </w:r>
      <w:r>
        <w:rPr>
          <w:rFonts w:ascii="Times New Roman" w:hAnsi="Times New Roman" w:cs="Times New Roman" w:eastAsia="Times New Roman" w:hint="default"/>
        </w:rPr>
        <w:t>-18,837,471.71</w:t>
      </w:r>
      <w:r>
        <w:rPr/>
        <w:t>元。</w:t>
      </w:r>
    </w:p>
    <w:p>
      <w:pPr>
        <w:pStyle w:val="BodyText"/>
        <w:spacing w:line="300" w:lineRule="auto" w:before="13"/>
        <w:ind w:right="1130" w:firstLine="420"/>
        <w:jc w:val="both"/>
      </w:pPr>
      <w:r>
        <w:rPr/>
        <w:t>本公司联营企业上海仁彩印务有限公司，</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日总资产</w:t>
      </w:r>
      <w:r>
        <w:rPr>
          <w:rFonts w:ascii="Times New Roman" w:hAnsi="Times New Roman" w:cs="Times New Roman" w:eastAsia="Times New Roman" w:hint="default"/>
        </w:rPr>
        <w:t>441,790,273.04</w:t>
      </w:r>
      <w:r>
        <w:rPr/>
        <w:t>元，总负债</w:t>
      </w:r>
      <w:r>
        <w:rPr>
          <w:rFonts w:ascii="Times New Roman" w:hAnsi="Times New Roman" w:cs="Times New Roman" w:eastAsia="Times New Roman" w:hint="default"/>
        </w:rPr>
        <w:t>71,439,189.77</w:t>
      </w:r>
      <w:r>
        <w:rPr/>
        <w:t>元</w:t>
      </w:r>
      <w:r>
        <w:rPr>
          <w:spacing w:val="-52"/>
        </w:rPr>
        <w:t> </w:t>
      </w:r>
      <w:r>
        <w:rPr/>
        <w:t>，</w:t>
      </w:r>
      <w:r>
        <w:rPr>
          <w:rFonts w:ascii="Times New Roman" w:hAnsi="Times New Roman" w:cs="Times New Roman" w:eastAsia="Times New Roman" w:hint="default"/>
        </w:rPr>
        <w:t>2018</w:t>
      </w:r>
      <w:r>
        <w:rPr/>
        <w:t>年净 利润</w:t>
      </w:r>
      <w:r>
        <w:rPr>
          <w:rFonts w:ascii="Times New Roman" w:hAnsi="Times New Roman" w:cs="Times New Roman" w:eastAsia="Times New Roman" w:hint="default"/>
        </w:rPr>
        <w:t>28,018,808.73</w:t>
      </w:r>
      <w:r>
        <w:rPr/>
        <w:t>元。</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2"/>
        <w:spacing w:line="240" w:lineRule="auto" w:before="145"/>
        <w:ind w:right="0"/>
        <w:jc w:val="left"/>
        <w:rPr>
          <w:b w:val="0"/>
          <w:bCs w:val="0"/>
        </w:rPr>
      </w:pPr>
      <w:bookmarkStart w:name="十、与金融工具相关的风险" w:id="339"/>
      <w:bookmarkEnd w:id="339"/>
      <w:r>
        <w:rPr>
          <w:b w:val="0"/>
          <w:bCs w:val="0"/>
        </w:rPr>
      </w:r>
      <w:r>
        <w:rPr/>
        <w:t>十、与金融工具相关的风险</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right="1130" w:firstLine="480"/>
        <w:jc w:val="both"/>
      </w:pPr>
      <w:r>
        <w:rPr>
          <w:spacing w:val="-1"/>
        </w:rPr>
        <w:t>本公司的主要金融工具包括股权投资、借款、应收账款、应付账款等，各项金融工具的详细情况说明见本附注七相关</w:t>
      </w:r>
      <w:r>
        <w:rPr>
          <w:spacing w:val="1"/>
        </w:rPr>
        <w:t> </w:t>
      </w:r>
      <w:r>
        <w:rPr>
          <w:spacing w:val="-2"/>
        </w:rPr>
        <w:t>项目。与这些金融工具有关的风险，以及本公司为降低这些风险所采取的风险管理政策如下所述。本公司管理层对这些风险</w:t>
      </w:r>
      <w:r>
        <w:rPr>
          <w:spacing w:val="-66"/>
        </w:rPr>
        <w:t> </w:t>
      </w:r>
      <w:r>
        <w:rPr>
          <w:spacing w:val="-66"/>
        </w:rPr>
      </w:r>
      <w:r>
        <w:rPr/>
        <w:t>敞口进行管理和监控以确保将上述风险控制在限定的范围之内。</w:t>
      </w:r>
    </w:p>
    <w:p>
      <w:pPr>
        <w:pStyle w:val="BodyText"/>
        <w:spacing w:line="316" w:lineRule="auto" w:before="17"/>
        <w:ind w:right="1131" w:firstLine="480"/>
        <w:jc w:val="both"/>
      </w:pPr>
      <w:r>
        <w:rPr>
          <w:spacing w:val="-1"/>
        </w:rPr>
        <w:t>本公司采用敏感性分析技术分析风险变量的合理、可能变化对当期损益或股东权益可能产生的影响。由于任何风险变</w:t>
      </w:r>
      <w:r>
        <w:rPr/>
        <w:t> </w:t>
      </w:r>
      <w:r>
        <w:rPr>
          <w:spacing w:val="-2"/>
        </w:rPr>
        <w:t>量很少孤立地发生变化，而变量之间存在的相关性对某一风险变量的变化的最终影响金额将产生重大作用，因此下述内容是</w:t>
      </w:r>
    </w:p>
    <w:p>
      <w:pPr>
        <w:spacing w:after="0" w:line="316" w:lineRule="auto"/>
        <w:jc w:val="both"/>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240" w:lineRule="auto" w:before="44"/>
        <w:ind w:right="0"/>
        <w:jc w:val="both"/>
      </w:pPr>
      <w:r>
        <w:rPr/>
        <w:t>在假设每一变量的变化是在独立的情况下进行的。</w:t>
      </w:r>
    </w:p>
    <w:p>
      <w:pPr>
        <w:spacing w:line="316" w:lineRule="auto" w:before="76"/>
        <w:ind w:left="634" w:right="0" w:firstLine="2"/>
        <w:jc w:val="left"/>
        <w:rPr>
          <w:rFonts w:ascii="宋体" w:hAnsi="宋体" w:cs="宋体" w:eastAsia="宋体" w:hint="default"/>
          <w:sz w:val="18"/>
          <w:szCs w:val="18"/>
        </w:rPr>
      </w:pPr>
      <w:r>
        <w:rPr>
          <w:rFonts w:ascii="宋体" w:hAnsi="宋体" w:cs="宋体" w:eastAsia="宋体" w:hint="default"/>
          <w:b/>
          <w:bCs/>
          <w:sz w:val="18"/>
          <w:szCs w:val="18"/>
        </w:rPr>
        <w:t>（一）风险管理目标和政策</w:t>
      </w:r>
      <w:r>
        <w:rPr>
          <w:rFonts w:ascii="宋体" w:hAnsi="宋体" w:cs="宋体" w:eastAsia="宋体" w:hint="default"/>
          <w:b/>
          <w:bCs/>
          <w:w w:val="99"/>
          <w:sz w:val="18"/>
          <w:szCs w:val="18"/>
        </w:rPr>
        <w:t> </w:t>
      </w:r>
      <w:r>
        <w:rPr>
          <w:rFonts w:ascii="宋体" w:hAnsi="宋体" w:cs="宋体" w:eastAsia="宋体" w:hint="default"/>
          <w:spacing w:val="-1"/>
          <w:sz w:val="18"/>
          <w:szCs w:val="18"/>
        </w:rPr>
        <w:t>本公司从事风险管理的目标是在风险和收益之间取得适当的平衡，将风险对本公司经营业绩的负面影响降低到最低水</w:t>
      </w:r>
    </w:p>
    <w:p>
      <w:pPr>
        <w:pStyle w:val="BodyText"/>
        <w:spacing w:line="319" w:lineRule="auto" w:before="19"/>
        <w:ind w:right="1133"/>
        <w:jc w:val="both"/>
      </w:pPr>
      <w:r>
        <w:rPr>
          <w:spacing w:val="-2"/>
        </w:rPr>
        <w:t>平，使股东及其其他权益投资者的利益最大化。基于该风险管理目标，本公司风险管理的基本策略是确定和分析本公司所面</w:t>
      </w:r>
      <w:r>
        <w:rPr>
          <w:spacing w:val="-66"/>
        </w:rPr>
        <w:t> </w:t>
      </w:r>
      <w:r>
        <w:rPr>
          <w:spacing w:val="-66"/>
        </w:rPr>
      </w:r>
      <w:r>
        <w:rPr>
          <w:spacing w:val="-2"/>
        </w:rPr>
        <w:t>临的各种风险，建立适当的风险承受底线和进行风险管理，并及时可靠地对各种风险进行监督，将风险控制在限定的范围之</w:t>
      </w:r>
      <w:r>
        <w:rPr>
          <w:spacing w:val="-66"/>
        </w:rPr>
        <w:t> </w:t>
      </w:r>
      <w:r>
        <w:rPr>
          <w:spacing w:val="-66"/>
        </w:rPr>
      </w:r>
      <w:r>
        <w:rPr/>
        <w:t>内。</w:t>
      </w:r>
    </w:p>
    <w:p>
      <w:pPr>
        <w:pStyle w:val="Heading4"/>
        <w:spacing w:line="240" w:lineRule="auto" w:before="17"/>
        <w:ind w:left="636" w:right="0"/>
        <w:jc w:val="left"/>
        <w:rPr>
          <w:b w:val="0"/>
          <w:bCs w:val="0"/>
        </w:rPr>
      </w:pPr>
      <w:r>
        <w:rPr>
          <w:rFonts w:ascii="Times New Roman" w:hAnsi="Times New Roman" w:cs="Times New Roman" w:eastAsia="Times New Roman" w:hint="default"/>
        </w:rPr>
        <w:t>1</w:t>
      </w:r>
      <w:r>
        <w:rPr/>
        <w:t>、市场风险</w:t>
      </w:r>
      <w:r>
        <w:rPr>
          <w:b w:val="0"/>
          <w:bCs w:val="0"/>
        </w:rPr>
      </w:r>
    </w:p>
    <w:p>
      <w:pPr>
        <w:pStyle w:val="BodyText"/>
        <w:spacing w:line="300" w:lineRule="auto" w:before="63"/>
        <w:ind w:left="634" w:right="1118"/>
        <w:jc w:val="left"/>
      </w:pPr>
      <w:r>
        <w:rPr/>
        <w:t>（</w:t>
      </w:r>
      <w:r>
        <w:rPr>
          <w:rFonts w:ascii="Times New Roman" w:hAnsi="Times New Roman" w:cs="Times New Roman" w:eastAsia="Times New Roman" w:hint="default"/>
        </w:rPr>
        <w:t>1</w:t>
      </w:r>
      <w:r>
        <w:rPr/>
        <w:t>）外汇风险 </w:t>
      </w:r>
      <w:r>
        <w:rPr>
          <w:spacing w:val="-1"/>
        </w:rPr>
        <w:t>外汇风险指因汇率变动产生损失的风险。本公司承受外汇风险主要与港币和美元有关，除本公司的几个下属子公司以</w:t>
      </w:r>
    </w:p>
    <w:p>
      <w:pPr>
        <w:pStyle w:val="BodyText"/>
        <w:spacing w:line="309" w:lineRule="auto" w:before="31"/>
        <w:ind w:right="1131"/>
        <w:jc w:val="both"/>
      </w:pPr>
      <w:r>
        <w:rPr>
          <w:spacing w:val="-2"/>
        </w:rPr>
        <w:t>港币和美元进行采购和销售外，本公司的其他主要业务活动以人民币计价结算。于</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日，除下表所述资产或负债</w:t>
      </w:r>
      <w:r>
        <w:rPr>
          <w:spacing w:val="-58"/>
        </w:rPr>
        <w:t> </w:t>
      </w:r>
      <w:r>
        <w:rPr>
          <w:spacing w:val="-58"/>
        </w:rPr>
      </w:r>
      <w:r>
        <w:rPr>
          <w:spacing w:val="-2"/>
        </w:rPr>
        <w:t>为港币和美元余额外，本公司的资产及负债均为人民币余额。该等外币余额的资产和负债产生的外汇风险可能对本公司的经</w:t>
      </w:r>
      <w:r>
        <w:rPr>
          <w:spacing w:val="-64"/>
        </w:rPr>
        <w:t> </w:t>
      </w:r>
      <w:r>
        <w:rPr>
          <w:spacing w:val="-64"/>
        </w:rPr>
      </w:r>
      <w:r>
        <w:rPr/>
        <w:t>营业绩产生影响。</w:t>
      </w:r>
    </w:p>
    <w:tbl>
      <w:tblPr>
        <w:tblW w:w="0" w:type="auto"/>
        <w:jc w:val="left"/>
        <w:tblInd w:w="149" w:type="dxa"/>
        <w:tblLayout w:type="fixed"/>
        <w:tblCellMar>
          <w:top w:w="0" w:type="dxa"/>
          <w:left w:w="0" w:type="dxa"/>
          <w:bottom w:w="0" w:type="dxa"/>
          <w:right w:w="0" w:type="dxa"/>
        </w:tblCellMar>
        <w:tblLook w:val="01E0"/>
      </w:tblPr>
      <w:tblGrid>
        <w:gridCol w:w="3222"/>
        <w:gridCol w:w="3226"/>
        <w:gridCol w:w="3225"/>
      </w:tblGrid>
      <w:tr>
        <w:trPr>
          <w:trHeight w:val="342" w:hRule="exact"/>
        </w:trPr>
        <w:tc>
          <w:tcPr>
            <w:tcW w:w="322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2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年末数</w:t>
            </w:r>
          </w:p>
        </w:tc>
        <w:tc>
          <w:tcPr>
            <w:tcW w:w="322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年初数</w:t>
            </w:r>
          </w:p>
        </w:tc>
      </w:tr>
      <w:tr>
        <w:trPr>
          <w:trHeight w:val="342" w:hRule="exact"/>
        </w:trPr>
        <w:tc>
          <w:tcPr>
            <w:tcW w:w="3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现金及现金等价物</w:t>
            </w:r>
          </w:p>
        </w:tc>
        <w:tc>
          <w:tcPr>
            <w:tcW w:w="3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25,642,922.03</w:t>
            </w:r>
          </w:p>
        </w:tc>
        <w:tc>
          <w:tcPr>
            <w:tcW w:w="3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37,330,866.22</w:t>
            </w:r>
          </w:p>
        </w:tc>
      </w:tr>
      <w:tr>
        <w:trPr>
          <w:trHeight w:val="342" w:hRule="exact"/>
        </w:trPr>
        <w:tc>
          <w:tcPr>
            <w:tcW w:w="3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应收账款及应收票据</w:t>
            </w:r>
          </w:p>
        </w:tc>
        <w:tc>
          <w:tcPr>
            <w:tcW w:w="3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1,078,675.97</w:t>
            </w:r>
          </w:p>
        </w:tc>
        <w:tc>
          <w:tcPr>
            <w:tcW w:w="3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11,541,418.42</w:t>
            </w:r>
          </w:p>
        </w:tc>
      </w:tr>
      <w:tr>
        <w:trPr>
          <w:trHeight w:val="342" w:hRule="exact"/>
        </w:trPr>
        <w:tc>
          <w:tcPr>
            <w:tcW w:w="3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1,481,289.96</w:t>
            </w:r>
          </w:p>
        </w:tc>
        <w:tc>
          <w:tcPr>
            <w:tcW w:w="3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412,308.02</w:t>
            </w:r>
          </w:p>
        </w:tc>
      </w:tr>
    </w:tbl>
    <w:p>
      <w:pPr>
        <w:pStyle w:val="BodyText"/>
        <w:spacing w:line="316" w:lineRule="auto" w:before="24"/>
        <w:ind w:left="634" w:right="6132"/>
        <w:jc w:val="left"/>
      </w:pPr>
      <w:r>
        <w:rPr/>
        <w:t>本公司密切关注汇率变动对本公司外汇风险的影响。 外汇风险敏感性分析：</w:t>
      </w:r>
    </w:p>
    <w:p>
      <w:pPr>
        <w:pStyle w:val="BodyText"/>
        <w:spacing w:line="316" w:lineRule="auto" w:before="19"/>
        <w:ind w:right="0" w:firstLine="480"/>
        <w:jc w:val="left"/>
      </w:pPr>
      <w:r>
        <w:rPr>
          <w:spacing w:val="-1"/>
        </w:rPr>
        <w:t>外汇风险敏感性分析假设：所有境外经营净投资套期及现金流量套期均高度有效。在上述假设的基础上，在其他变量</w:t>
      </w:r>
      <w:r>
        <w:rPr/>
        <w:t> 不变的情况下，汇率可能发生的合理变动对当期损益和股东权益的税前影响如下：</w:t>
      </w:r>
    </w:p>
    <w:tbl>
      <w:tblPr>
        <w:tblW w:w="0" w:type="auto"/>
        <w:jc w:val="left"/>
        <w:tblInd w:w="149" w:type="dxa"/>
        <w:tblLayout w:type="fixed"/>
        <w:tblCellMar>
          <w:top w:w="0" w:type="dxa"/>
          <w:left w:w="0" w:type="dxa"/>
          <w:bottom w:w="0" w:type="dxa"/>
          <w:right w:w="0" w:type="dxa"/>
        </w:tblCellMar>
        <w:tblLook w:val="01E0"/>
      </w:tblPr>
      <w:tblGrid>
        <w:gridCol w:w="2093"/>
        <w:gridCol w:w="2411"/>
        <w:gridCol w:w="2622"/>
        <w:gridCol w:w="2622"/>
      </w:tblGrid>
      <w:tr>
        <w:trPr>
          <w:trHeight w:val="342" w:hRule="exact"/>
        </w:trPr>
        <w:tc>
          <w:tcPr>
            <w:tcW w:w="2093"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411"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汇率变动</w:t>
            </w:r>
          </w:p>
        </w:tc>
        <w:tc>
          <w:tcPr>
            <w:tcW w:w="5244" w:type="dxa"/>
            <w:gridSpan w:val="2"/>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本年</w:t>
            </w:r>
          </w:p>
        </w:tc>
      </w:tr>
      <w:tr>
        <w:trPr>
          <w:trHeight w:val="342" w:hRule="exact"/>
        </w:trPr>
        <w:tc>
          <w:tcPr>
            <w:tcW w:w="2093" w:type="dxa"/>
            <w:vMerge/>
            <w:tcBorders>
              <w:left w:val="single" w:sz="4" w:space="0" w:color="000000"/>
              <w:bottom w:val="single" w:sz="4" w:space="0" w:color="000000"/>
              <w:right w:val="single" w:sz="4" w:space="0" w:color="000000"/>
            </w:tcBorders>
            <w:shd w:val="clear" w:color="auto" w:fill="D9D9D9"/>
          </w:tcPr>
          <w:p>
            <w:pPr/>
          </w:p>
        </w:tc>
        <w:tc>
          <w:tcPr>
            <w:tcW w:w="2411" w:type="dxa"/>
            <w:vMerge/>
            <w:tcBorders>
              <w:left w:val="single" w:sz="4" w:space="0" w:color="000000"/>
              <w:bottom w:val="single" w:sz="4" w:space="0" w:color="000000"/>
              <w:right w:val="single" w:sz="4" w:space="0" w:color="000000"/>
            </w:tcBorders>
            <w:shd w:val="clear" w:color="auto" w:fill="D9D9D9"/>
          </w:tcPr>
          <w:p>
            <w:pPr/>
          </w:p>
        </w:tc>
        <w:tc>
          <w:tcPr>
            <w:tcW w:w="262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1"/>
              <w:ind w:left="765" w:right="0"/>
              <w:jc w:val="left"/>
              <w:rPr>
                <w:rFonts w:ascii="宋体" w:hAnsi="宋体" w:cs="宋体" w:eastAsia="宋体" w:hint="default"/>
                <w:sz w:val="18"/>
                <w:szCs w:val="18"/>
              </w:rPr>
            </w:pPr>
            <w:r>
              <w:rPr>
                <w:rFonts w:ascii="宋体" w:hAnsi="宋体" w:cs="宋体" w:eastAsia="宋体" w:hint="default"/>
                <w:sz w:val="18"/>
                <w:szCs w:val="18"/>
              </w:rPr>
              <w:t>对利润的影响</w:t>
            </w:r>
          </w:p>
        </w:tc>
        <w:tc>
          <w:tcPr>
            <w:tcW w:w="262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1"/>
              <w:ind w:left="585" w:right="0"/>
              <w:jc w:val="left"/>
              <w:rPr>
                <w:rFonts w:ascii="宋体" w:hAnsi="宋体" w:cs="宋体" w:eastAsia="宋体" w:hint="default"/>
                <w:sz w:val="18"/>
                <w:szCs w:val="18"/>
              </w:rPr>
            </w:pPr>
            <w:r>
              <w:rPr>
                <w:rFonts w:ascii="宋体" w:hAnsi="宋体" w:cs="宋体" w:eastAsia="宋体" w:hint="default"/>
                <w:sz w:val="18"/>
                <w:szCs w:val="18"/>
              </w:rPr>
              <w:t>对股东权益的影响</w:t>
            </w:r>
          </w:p>
        </w:tc>
      </w:tr>
      <w:tr>
        <w:trPr>
          <w:trHeight w:val="342"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美元</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539"/>
              <w:jc w:val="right"/>
              <w:rPr>
                <w:rFonts w:ascii="Times New Roman" w:hAnsi="Times New Roman" w:cs="Times New Roman" w:eastAsia="Times New Roman" w:hint="default"/>
                <w:sz w:val="18"/>
                <w:szCs w:val="18"/>
              </w:rPr>
            </w:pPr>
            <w:r>
              <w:rPr>
                <w:rFonts w:ascii="宋体" w:hAnsi="宋体" w:cs="宋体" w:eastAsia="宋体" w:hint="default"/>
                <w:sz w:val="18"/>
                <w:szCs w:val="18"/>
              </w:rPr>
              <w:t>对人民币升值</w:t>
            </w:r>
            <w:r>
              <w:rPr>
                <w:rFonts w:ascii="Times New Roman" w:hAnsi="Times New Roman" w:cs="Times New Roman" w:eastAsia="Times New Roman" w:hint="default"/>
                <w:sz w:val="18"/>
                <w:szCs w:val="18"/>
              </w:rPr>
              <w:t>1%</w:t>
            </w:r>
          </w:p>
        </w:tc>
        <w:tc>
          <w:tcPr>
            <w:tcW w:w="2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z w:val="18"/>
              </w:rPr>
              <w:t>280,258.06</w:t>
            </w:r>
          </w:p>
        </w:tc>
        <w:tc>
          <w:tcPr>
            <w:tcW w:w="2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z w:val="18"/>
              </w:rPr>
              <w:t>280,258.06</w:t>
            </w:r>
          </w:p>
        </w:tc>
      </w:tr>
      <w:tr>
        <w:trPr>
          <w:trHeight w:val="343"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539"/>
              <w:jc w:val="right"/>
              <w:rPr>
                <w:rFonts w:ascii="Times New Roman" w:hAnsi="Times New Roman" w:cs="Times New Roman" w:eastAsia="Times New Roman" w:hint="default"/>
                <w:sz w:val="18"/>
                <w:szCs w:val="18"/>
              </w:rPr>
            </w:pPr>
            <w:r>
              <w:rPr>
                <w:rFonts w:ascii="宋体" w:hAnsi="宋体" w:cs="宋体" w:eastAsia="宋体" w:hint="default"/>
                <w:sz w:val="18"/>
                <w:szCs w:val="18"/>
              </w:rPr>
              <w:t>对人民币升值</w:t>
            </w:r>
            <w:r>
              <w:rPr>
                <w:rFonts w:ascii="Times New Roman" w:hAnsi="Times New Roman" w:cs="Times New Roman" w:eastAsia="Times New Roman" w:hint="default"/>
                <w:sz w:val="18"/>
                <w:szCs w:val="18"/>
              </w:rPr>
              <w:t>1%</w:t>
            </w:r>
          </w:p>
        </w:tc>
        <w:tc>
          <w:tcPr>
            <w:tcW w:w="2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z w:val="18"/>
              </w:rPr>
              <w:t>54,026.93</w:t>
            </w:r>
          </w:p>
        </w:tc>
        <w:tc>
          <w:tcPr>
            <w:tcW w:w="2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z w:val="18"/>
              </w:rPr>
              <w:t>54,026.93</w:t>
            </w:r>
          </w:p>
        </w:tc>
      </w:tr>
    </w:tbl>
    <w:p>
      <w:pPr>
        <w:pStyle w:val="BodyText"/>
        <w:spacing w:line="240" w:lineRule="auto" w:before="19"/>
        <w:ind w:left="634" w:right="0"/>
        <w:jc w:val="left"/>
      </w:pPr>
      <w:r>
        <w:rPr/>
        <w:t>续</w:t>
      </w:r>
    </w:p>
    <w:p>
      <w:pPr>
        <w:spacing w:line="240" w:lineRule="auto" w:before="0"/>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2093"/>
        <w:gridCol w:w="2411"/>
        <w:gridCol w:w="2622"/>
        <w:gridCol w:w="2622"/>
      </w:tblGrid>
      <w:tr>
        <w:trPr>
          <w:trHeight w:val="342" w:hRule="exact"/>
        </w:trPr>
        <w:tc>
          <w:tcPr>
            <w:tcW w:w="2093"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411"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汇率变动</w:t>
            </w:r>
          </w:p>
        </w:tc>
        <w:tc>
          <w:tcPr>
            <w:tcW w:w="5244" w:type="dxa"/>
            <w:gridSpan w:val="2"/>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上年</w:t>
            </w:r>
          </w:p>
        </w:tc>
      </w:tr>
      <w:tr>
        <w:trPr>
          <w:trHeight w:val="341" w:hRule="exact"/>
        </w:trPr>
        <w:tc>
          <w:tcPr>
            <w:tcW w:w="2093" w:type="dxa"/>
            <w:vMerge/>
            <w:tcBorders>
              <w:left w:val="single" w:sz="4" w:space="0" w:color="000000"/>
              <w:bottom w:val="single" w:sz="4" w:space="0" w:color="000000"/>
              <w:right w:val="single" w:sz="4" w:space="0" w:color="000000"/>
            </w:tcBorders>
            <w:shd w:val="clear" w:color="auto" w:fill="D9D9D9"/>
          </w:tcPr>
          <w:p>
            <w:pPr/>
          </w:p>
        </w:tc>
        <w:tc>
          <w:tcPr>
            <w:tcW w:w="2411" w:type="dxa"/>
            <w:vMerge/>
            <w:tcBorders>
              <w:left w:val="single" w:sz="4" w:space="0" w:color="000000"/>
              <w:bottom w:val="single" w:sz="4" w:space="0" w:color="000000"/>
              <w:right w:val="single" w:sz="4" w:space="0" w:color="000000"/>
            </w:tcBorders>
            <w:shd w:val="clear" w:color="auto" w:fill="D9D9D9"/>
          </w:tcPr>
          <w:p>
            <w:pPr/>
          </w:p>
        </w:tc>
        <w:tc>
          <w:tcPr>
            <w:tcW w:w="262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0"/>
              <w:ind w:left="765" w:right="0"/>
              <w:jc w:val="left"/>
              <w:rPr>
                <w:rFonts w:ascii="宋体" w:hAnsi="宋体" w:cs="宋体" w:eastAsia="宋体" w:hint="default"/>
                <w:sz w:val="18"/>
                <w:szCs w:val="18"/>
              </w:rPr>
            </w:pPr>
            <w:r>
              <w:rPr>
                <w:rFonts w:ascii="宋体" w:hAnsi="宋体" w:cs="宋体" w:eastAsia="宋体" w:hint="default"/>
                <w:sz w:val="18"/>
                <w:szCs w:val="18"/>
              </w:rPr>
              <w:t>对利润的影响</w:t>
            </w:r>
          </w:p>
        </w:tc>
        <w:tc>
          <w:tcPr>
            <w:tcW w:w="262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0"/>
              <w:ind w:left="585" w:right="0"/>
              <w:jc w:val="left"/>
              <w:rPr>
                <w:rFonts w:ascii="宋体" w:hAnsi="宋体" w:cs="宋体" w:eastAsia="宋体" w:hint="default"/>
                <w:sz w:val="18"/>
                <w:szCs w:val="18"/>
              </w:rPr>
            </w:pPr>
            <w:r>
              <w:rPr>
                <w:rFonts w:ascii="宋体" w:hAnsi="宋体" w:cs="宋体" w:eastAsia="宋体" w:hint="default"/>
                <w:sz w:val="18"/>
                <w:szCs w:val="18"/>
              </w:rPr>
              <w:t>对股东权益的影响</w:t>
            </w:r>
          </w:p>
        </w:tc>
      </w:tr>
      <w:tr>
        <w:trPr>
          <w:trHeight w:val="343"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美元</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539"/>
              <w:jc w:val="right"/>
              <w:rPr>
                <w:rFonts w:ascii="Times New Roman" w:hAnsi="Times New Roman" w:cs="Times New Roman" w:eastAsia="Times New Roman" w:hint="default"/>
                <w:sz w:val="18"/>
                <w:szCs w:val="18"/>
              </w:rPr>
            </w:pPr>
            <w:r>
              <w:rPr>
                <w:rFonts w:ascii="宋体" w:hAnsi="宋体" w:cs="宋体" w:eastAsia="宋体" w:hint="default"/>
                <w:sz w:val="18"/>
                <w:szCs w:val="18"/>
              </w:rPr>
              <w:t>对人民币升值</w:t>
            </w:r>
            <w:r>
              <w:rPr>
                <w:rFonts w:ascii="Times New Roman" w:hAnsi="Times New Roman" w:cs="Times New Roman" w:eastAsia="Times New Roman" w:hint="default"/>
                <w:sz w:val="18"/>
                <w:szCs w:val="18"/>
              </w:rPr>
              <w:t>1%</w:t>
            </w:r>
          </w:p>
        </w:tc>
        <w:tc>
          <w:tcPr>
            <w:tcW w:w="2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z w:val="18"/>
              </w:rPr>
              <w:t>492,846.02</w:t>
            </w:r>
          </w:p>
        </w:tc>
        <w:tc>
          <w:tcPr>
            <w:tcW w:w="2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z w:val="18"/>
              </w:rPr>
              <w:t>492,846.02</w:t>
            </w:r>
          </w:p>
        </w:tc>
      </w:tr>
      <w:tr>
        <w:trPr>
          <w:trHeight w:val="342"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539"/>
              <w:jc w:val="right"/>
              <w:rPr>
                <w:rFonts w:ascii="Times New Roman" w:hAnsi="Times New Roman" w:cs="Times New Roman" w:eastAsia="Times New Roman" w:hint="default"/>
                <w:sz w:val="18"/>
                <w:szCs w:val="18"/>
              </w:rPr>
            </w:pPr>
            <w:r>
              <w:rPr>
                <w:rFonts w:ascii="宋体" w:hAnsi="宋体" w:cs="宋体" w:eastAsia="宋体" w:hint="default"/>
                <w:sz w:val="18"/>
                <w:szCs w:val="18"/>
              </w:rPr>
              <w:t>对人民币升值</w:t>
            </w:r>
            <w:r>
              <w:rPr>
                <w:rFonts w:ascii="Times New Roman" w:hAnsi="Times New Roman" w:cs="Times New Roman" w:eastAsia="Times New Roman" w:hint="default"/>
                <w:sz w:val="18"/>
                <w:szCs w:val="18"/>
              </w:rPr>
              <w:t>1%</w:t>
            </w:r>
          </w:p>
        </w:tc>
        <w:tc>
          <w:tcPr>
            <w:tcW w:w="2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z w:val="18"/>
              </w:rPr>
              <w:t>7,534.22</w:t>
            </w:r>
          </w:p>
        </w:tc>
        <w:tc>
          <w:tcPr>
            <w:tcW w:w="2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z w:val="18"/>
              </w:rPr>
              <w:t>7,534.22</w:t>
            </w:r>
          </w:p>
        </w:tc>
      </w:tr>
    </w:tbl>
    <w:p>
      <w:pPr>
        <w:pStyle w:val="BodyText"/>
        <w:spacing w:line="300" w:lineRule="auto" w:before="10"/>
        <w:ind w:left="634" w:right="8742"/>
        <w:jc w:val="left"/>
      </w:pPr>
      <w:r>
        <w:rPr/>
        <w:t>（</w:t>
      </w:r>
      <w:r>
        <w:rPr>
          <w:rFonts w:ascii="Times New Roman" w:hAnsi="Times New Roman" w:cs="Times New Roman" w:eastAsia="Times New Roman" w:hint="default"/>
        </w:rPr>
        <w:t>2</w:t>
      </w:r>
      <w:r>
        <w:rPr/>
        <w:t>）其他价格风险 无。</w:t>
      </w:r>
    </w:p>
    <w:p>
      <w:pPr>
        <w:pStyle w:val="Heading4"/>
        <w:spacing w:line="240" w:lineRule="auto" w:before="31"/>
        <w:ind w:left="636" w:right="0"/>
        <w:jc w:val="left"/>
        <w:rPr>
          <w:b w:val="0"/>
          <w:bCs w:val="0"/>
        </w:rPr>
      </w:pPr>
      <w:r>
        <w:rPr>
          <w:rFonts w:ascii="Times New Roman" w:hAnsi="Times New Roman" w:cs="Times New Roman" w:eastAsia="Times New Roman" w:hint="default"/>
        </w:rPr>
        <w:t>2</w:t>
      </w:r>
      <w:r>
        <w:rPr/>
        <w:t>、信用风险</w:t>
      </w:r>
      <w:r>
        <w:rPr>
          <w:b w:val="0"/>
          <w:bCs w:val="0"/>
        </w:rPr>
      </w:r>
    </w:p>
    <w:p>
      <w:pPr>
        <w:pStyle w:val="BodyText"/>
        <w:spacing w:line="300" w:lineRule="auto" w:before="63"/>
        <w:ind w:right="0" w:firstLine="480"/>
        <w:jc w:val="left"/>
      </w:pP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日，可能引起本公司财务损失的最大信用风险敞口主要来自于合同另一方未能履行义务而导致本公司金</w:t>
      </w:r>
      <w:r>
        <w:rPr/>
        <w:t> 融资产产生的损失，具体包括：</w:t>
      </w:r>
    </w:p>
    <w:p>
      <w:pPr>
        <w:pStyle w:val="BodyText"/>
        <w:spacing w:line="316" w:lineRule="auto" w:before="31"/>
        <w:ind w:right="0" w:firstLine="480"/>
        <w:jc w:val="left"/>
      </w:pPr>
      <w:r>
        <w:rPr>
          <w:spacing w:val="-3"/>
        </w:rPr>
        <w:t>合并资产负债表中已确认的金融资产的账面金额；对于以公允价值计量的金融工具而言，账面价值反映了其风险敞口，</w:t>
      </w:r>
      <w:r>
        <w:rPr/>
        <w:t> 但并非最大风险敞口，其最大风险敞口将随着未来公允价值的变化而改变。</w:t>
      </w:r>
    </w:p>
    <w:p>
      <w:pPr>
        <w:pStyle w:val="BodyText"/>
        <w:spacing w:line="316" w:lineRule="auto" w:before="19"/>
        <w:ind w:right="0" w:firstLine="480"/>
        <w:jc w:val="left"/>
      </w:pPr>
      <w:r>
        <w:rPr>
          <w:spacing w:val="-1"/>
        </w:rPr>
        <w:t>为降低信用风险，本公司于每个资产负债表日审核每一单项应收款的回收情况，以确保就无法回收的款项计提充分的</w:t>
      </w:r>
      <w:r>
        <w:rPr/>
        <w:t> 坏账准备。因此，本公司管理层认为本公司所承担的信用风险已经大为降低。</w:t>
      </w:r>
    </w:p>
    <w:p>
      <w:pPr>
        <w:pStyle w:val="BodyText"/>
        <w:spacing w:line="319" w:lineRule="auto" w:before="19"/>
        <w:ind w:left="634" w:right="2892"/>
        <w:jc w:val="left"/>
        <w:rPr>
          <w:rFonts w:ascii="宋体" w:hAnsi="宋体" w:cs="宋体" w:eastAsia="宋体" w:hint="default"/>
        </w:rPr>
      </w:pPr>
      <w:r>
        <w:rPr/>
        <w:t>本公司的流动资金存放在信用评级较高的银行，故流动资金的信用风险较低。 由于本公司的风险敞口分布在多个合同方和多个客户，因此本公司没有重大的信用集中风险。 </w:t>
      </w:r>
      <w:r>
        <w:rPr>
          <w:rFonts w:ascii="Times New Roman" w:hAnsi="Times New Roman" w:cs="Times New Roman" w:eastAsia="Times New Roman" w:hint="default"/>
          <w:b/>
          <w:bCs/>
        </w:rPr>
        <w:t>3</w:t>
      </w:r>
      <w:r>
        <w:rPr>
          <w:rFonts w:ascii="宋体" w:hAnsi="宋体" w:cs="宋体" w:eastAsia="宋体" w:hint="default"/>
          <w:b/>
          <w:bCs/>
        </w:rPr>
        <w:t>、流动风险</w:t>
      </w:r>
      <w:r>
        <w:rPr>
          <w:rFonts w:ascii="宋体" w:hAnsi="宋体" w:cs="宋体" w:eastAsia="宋体" w:hint="default"/>
        </w:rPr>
      </w:r>
    </w:p>
    <w:p>
      <w:pPr>
        <w:pStyle w:val="BodyText"/>
        <w:spacing w:line="316" w:lineRule="auto"/>
        <w:ind w:right="0" w:firstLine="480"/>
        <w:jc w:val="left"/>
      </w:pPr>
      <w:r>
        <w:rPr>
          <w:spacing w:val="-1"/>
        </w:rPr>
        <w:t>管理流动风险时，本公司保持管理层认为充分的现金及现金等价物并对其进行监控，以满足本公司经营需要，并降低</w:t>
      </w:r>
      <w:r>
        <w:rPr/>
        <w:t> 现金流量波动的影响。本公司将银行借款作为补充资金来源</w:t>
      </w:r>
      <w:r>
        <w:rPr>
          <w:rFonts w:ascii="Times New Roman" w:hAnsi="Times New Roman" w:cs="Times New Roman" w:eastAsia="Times New Roman" w:hint="default"/>
        </w:rPr>
        <w:t>,</w:t>
      </w:r>
      <w:r>
        <w:rPr/>
        <w:t>本公司管理层对银行借款的使用情况进行监控并确保遵守借款</w:t>
      </w:r>
    </w:p>
    <w:p>
      <w:pPr>
        <w:spacing w:after="0" w:line="316"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240" w:lineRule="auto" w:before="44"/>
        <w:ind w:right="0"/>
        <w:jc w:val="left"/>
      </w:pPr>
      <w:r>
        <w:rPr/>
        <w:t>协议。</w:t>
      </w:r>
    </w:p>
    <w:p>
      <w:pPr>
        <w:spacing w:line="240" w:lineRule="auto" w:before="4"/>
        <w:rPr>
          <w:rFonts w:ascii="宋体" w:hAnsi="宋体" w:cs="宋体" w:eastAsia="宋体" w:hint="default"/>
          <w:sz w:val="26"/>
          <w:szCs w:val="26"/>
        </w:rPr>
      </w:pPr>
    </w:p>
    <w:p>
      <w:pPr>
        <w:spacing w:after="0" w:line="240" w:lineRule="auto"/>
        <w:rPr>
          <w:rFonts w:ascii="宋体" w:hAnsi="宋体" w:cs="宋体" w:eastAsia="宋体" w:hint="default"/>
          <w:sz w:val="26"/>
          <w:szCs w:val="26"/>
        </w:rPr>
        <w:sectPr>
          <w:pgSz w:w="11910" w:h="16840"/>
          <w:pgMar w:header="747" w:footer="979" w:top="1060" w:bottom="1160" w:left="980" w:right="0"/>
        </w:sect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20"/>
          <w:szCs w:val="20"/>
        </w:rPr>
      </w:pPr>
    </w:p>
    <w:p>
      <w:pPr>
        <w:pStyle w:val="BodyText"/>
        <w:spacing w:line="240" w:lineRule="auto"/>
        <w:ind w:right="-20"/>
        <w:jc w:val="left"/>
      </w:pPr>
      <w:r>
        <w:rPr/>
        <w:t>款</w:t>
      </w:r>
      <w:r>
        <w:rPr>
          <w:rFonts w:ascii="Times New Roman" w:hAnsi="Times New Roman" w:cs="Times New Roman" w:eastAsia="Times New Roman" w:hint="default"/>
        </w:rPr>
        <w:t>”</w:t>
      </w:r>
      <w:r>
        <w:rPr/>
        <w:t>。</w:t>
      </w:r>
    </w:p>
    <w:p>
      <w:pPr>
        <w:pStyle w:val="Heading4"/>
        <w:spacing w:line="240" w:lineRule="auto" w:before="44"/>
        <w:ind w:left="1" w:right="0"/>
        <w:jc w:val="left"/>
        <w:rPr>
          <w:b w:val="0"/>
          <w:bCs w:val="0"/>
        </w:rPr>
      </w:pPr>
      <w:r>
        <w:rPr>
          <w:b w:val="0"/>
          <w:bCs w:val="0"/>
        </w:rPr>
        <w:br w:type="column"/>
      </w:r>
      <w:r>
        <w:rPr/>
        <w:t>（二）金融资产转移</w:t>
      </w:r>
      <w:r>
        <w:rPr>
          <w:b w:val="0"/>
          <w:bCs w:val="0"/>
        </w:rPr>
      </w:r>
    </w:p>
    <w:p>
      <w:pPr>
        <w:spacing w:line="300" w:lineRule="auto" w:before="76"/>
        <w:ind w:left="-1" w:right="0" w:firstLine="2"/>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、已转移但未整体终止确认的金融资产</w:t>
      </w:r>
      <w:r>
        <w:rPr>
          <w:rFonts w:ascii="宋体" w:hAnsi="宋体" w:cs="宋体" w:eastAsia="宋体" w:hint="default"/>
          <w:b/>
          <w:bCs/>
          <w:w w:val="99"/>
          <w:sz w:val="18"/>
          <w:szCs w:val="18"/>
        </w:rPr>
        <w:t> </w:t>
      </w:r>
      <w:r>
        <w:rPr>
          <w:rFonts w:ascii="宋体" w:hAnsi="宋体" w:cs="宋体" w:eastAsia="宋体" w:hint="default"/>
          <w:spacing w:val="-1"/>
          <w:sz w:val="18"/>
          <w:szCs w:val="18"/>
        </w:rPr>
        <w:t>本年度，本公司无贴现的商业承兑汇票，本年度附追索权的银行承兑汇票贴现金额详见附注七、</w:t>
      </w: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应收票据及应收账</w:t>
      </w:r>
    </w:p>
    <w:p>
      <w:pPr>
        <w:spacing w:line="240" w:lineRule="auto" w:before="11"/>
        <w:rPr>
          <w:rFonts w:ascii="宋体" w:hAnsi="宋体" w:cs="宋体" w:eastAsia="宋体" w:hint="default"/>
          <w:sz w:val="24"/>
          <w:szCs w:val="24"/>
        </w:rPr>
      </w:pPr>
    </w:p>
    <w:p>
      <w:pPr>
        <w:spacing w:line="300" w:lineRule="auto" w:before="0"/>
        <w:ind w:left="-1" w:right="4693" w:firstLine="2"/>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、已整体终止确认但转出方继续涉入已转移金融资产</w:t>
      </w:r>
      <w:r>
        <w:rPr>
          <w:rFonts w:ascii="宋体" w:hAnsi="宋体" w:cs="宋体" w:eastAsia="宋体" w:hint="default"/>
          <w:b/>
          <w:bCs/>
          <w:w w:val="99"/>
          <w:sz w:val="18"/>
          <w:szCs w:val="18"/>
        </w:rPr>
        <w:t> </w:t>
      </w:r>
      <w:r>
        <w:rPr>
          <w:rFonts w:ascii="宋体" w:hAnsi="宋体" w:cs="宋体" w:eastAsia="宋体" w:hint="default"/>
          <w:sz w:val="18"/>
          <w:szCs w:val="18"/>
        </w:rPr>
        <w:t>本年度，本公司无已整体终止确认但转出方继续涉入已转移金融资产。</w:t>
      </w:r>
    </w:p>
    <w:p>
      <w:pPr>
        <w:spacing w:line="240" w:lineRule="auto" w:before="3"/>
        <w:rPr>
          <w:rFonts w:ascii="宋体" w:hAnsi="宋体" w:cs="宋体" w:eastAsia="宋体" w:hint="default"/>
          <w:sz w:val="26"/>
          <w:szCs w:val="26"/>
        </w:rPr>
      </w:pPr>
    </w:p>
    <w:p>
      <w:pPr>
        <w:pStyle w:val="Heading4"/>
        <w:spacing w:line="316" w:lineRule="auto"/>
        <w:ind w:left="59" w:right="7560" w:hanging="58"/>
        <w:jc w:val="left"/>
        <w:rPr>
          <w:rFonts w:ascii="宋体" w:hAnsi="宋体" w:cs="宋体" w:eastAsia="宋体" w:hint="default"/>
          <w:b w:val="0"/>
          <w:bCs w:val="0"/>
        </w:rPr>
      </w:pPr>
      <w:r>
        <w:rPr/>
        <w:t>（三）金融资产与金融负债的抵销</w:t>
      </w:r>
      <w:r>
        <w:rPr>
          <w:w w:val="99"/>
        </w:rPr>
        <w:t> </w:t>
      </w:r>
      <w:r>
        <w:rPr>
          <w:rFonts w:ascii="宋体" w:hAnsi="宋体" w:cs="宋体" w:eastAsia="宋体" w:hint="default"/>
          <w:b w:val="0"/>
          <w:bCs w:val="0"/>
        </w:rPr>
        <w:t>无。</w:t>
      </w:r>
    </w:p>
    <w:p>
      <w:pPr>
        <w:spacing w:after="0" w:line="316" w:lineRule="auto"/>
        <w:jc w:val="left"/>
        <w:rPr>
          <w:rFonts w:ascii="宋体" w:hAnsi="宋体" w:cs="宋体" w:eastAsia="宋体" w:hint="default"/>
        </w:rPr>
        <w:sectPr>
          <w:type w:val="continuous"/>
          <w:pgSz w:w="11910" w:h="16840"/>
          <w:pgMar w:top="1060" w:bottom="1160" w:left="980" w:right="0"/>
          <w:cols w:num="2" w:equalWidth="0">
            <w:col w:w="595" w:space="40"/>
            <w:col w:w="10295"/>
          </w:cols>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2"/>
          <w:szCs w:val="22"/>
        </w:rPr>
      </w:pPr>
    </w:p>
    <w:p>
      <w:pPr>
        <w:pStyle w:val="Heading2"/>
        <w:spacing w:line="240" w:lineRule="auto" w:before="26"/>
        <w:ind w:right="0"/>
        <w:jc w:val="left"/>
        <w:rPr>
          <w:b w:val="0"/>
          <w:bCs w:val="0"/>
        </w:rPr>
      </w:pPr>
      <w:bookmarkStart w:name="十一、关联方及关联交易" w:id="340"/>
      <w:bookmarkEnd w:id="340"/>
      <w:r>
        <w:rPr>
          <w:b w:val="0"/>
          <w:bCs w:val="0"/>
        </w:rPr>
      </w:r>
      <w:r>
        <w:rPr/>
        <w:t>十一、关联方及关联交易</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本企业的母公司情况" w:id="341"/>
      <w:bookmarkEnd w:id="341"/>
      <w:r>
        <w:rPr>
          <w:b w:val="0"/>
          <w:bCs w:val="0"/>
        </w:rPr>
      </w:r>
      <w:r>
        <w:rPr>
          <w:rFonts w:ascii="Times New Roman" w:hAnsi="Times New Roman" w:cs="Times New Roman" w:eastAsia="Times New Roman" w:hint="default"/>
        </w:rPr>
        <w:t>1</w:t>
      </w:r>
      <w:r>
        <w:rPr/>
        <w:t>、本企业的母公司情况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595"/>
        <w:gridCol w:w="1595"/>
        <w:gridCol w:w="1594"/>
        <w:gridCol w:w="1594"/>
        <w:gridCol w:w="1595"/>
        <w:gridCol w:w="1595"/>
      </w:tblGrid>
      <w:tr>
        <w:trPr>
          <w:trHeight w:val="714"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342" w:right="0"/>
              <w:jc w:val="left"/>
              <w:rPr>
                <w:rFonts w:ascii="宋体" w:hAnsi="宋体" w:cs="宋体" w:eastAsia="宋体" w:hint="default"/>
                <w:sz w:val="18"/>
                <w:szCs w:val="18"/>
              </w:rPr>
            </w:pPr>
            <w:r>
              <w:rPr>
                <w:rFonts w:ascii="宋体" w:hAnsi="宋体" w:cs="宋体" w:eastAsia="宋体" w:hint="default"/>
                <w:sz w:val="18"/>
                <w:szCs w:val="18"/>
              </w:rPr>
              <w:t>母公司名称</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522"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32" w:right="71" w:hanging="360"/>
              <w:jc w:val="left"/>
              <w:rPr>
                <w:rFonts w:ascii="宋体" w:hAnsi="宋体" w:cs="宋体" w:eastAsia="宋体" w:hint="default"/>
                <w:sz w:val="18"/>
                <w:szCs w:val="18"/>
              </w:rPr>
            </w:pPr>
            <w:r>
              <w:rPr>
                <w:rFonts w:ascii="宋体" w:hAnsi="宋体" w:cs="宋体" w:eastAsia="宋体" w:hint="default"/>
                <w:sz w:val="18"/>
                <w:szCs w:val="18"/>
              </w:rPr>
              <w:t>母公司对本企业的 持股比例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41" w:right="71" w:hanging="270"/>
              <w:jc w:val="left"/>
              <w:rPr>
                <w:rFonts w:ascii="宋体" w:hAnsi="宋体" w:cs="宋体" w:eastAsia="宋体" w:hint="default"/>
                <w:sz w:val="18"/>
                <w:szCs w:val="18"/>
              </w:rPr>
            </w:pPr>
            <w:r>
              <w:rPr>
                <w:rFonts w:ascii="宋体" w:hAnsi="宋体" w:cs="宋体" w:eastAsia="宋体" w:hint="default"/>
                <w:sz w:val="18"/>
                <w:szCs w:val="18"/>
              </w:rPr>
              <w:t>母公司对本企业的 表决权比例</w:t>
            </w: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0"/>
              <w:jc w:val="left"/>
              <w:rPr>
                <w:rFonts w:ascii="宋体" w:hAnsi="宋体" w:cs="宋体" w:eastAsia="宋体" w:hint="default"/>
                <w:sz w:val="18"/>
                <w:szCs w:val="18"/>
              </w:rPr>
            </w:pPr>
            <w:r>
              <w:rPr>
                <w:rFonts w:ascii="宋体" w:hAnsi="宋体" w:cs="宋体" w:eastAsia="宋体" w:hint="default"/>
                <w:sz w:val="18"/>
                <w:szCs w:val="18"/>
              </w:rPr>
              <w:t>深圳市劲嘉创业投 资有限公司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综合经营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007" w:right="0"/>
              <w:jc w:val="left"/>
              <w:rPr>
                <w:rFonts w:ascii="Times New Roman" w:hAnsi="Times New Roman" w:cs="Times New Roman" w:eastAsia="Times New Roman" w:hint="default"/>
                <w:sz w:val="18"/>
                <w:szCs w:val="18"/>
              </w:rPr>
            </w:pPr>
            <w:r>
              <w:rPr>
                <w:rFonts w:ascii="Times New Roman"/>
                <w:sz w:val="18"/>
              </w:rPr>
              <w:t>30.98%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006" w:right="0"/>
              <w:jc w:val="left"/>
              <w:rPr>
                <w:rFonts w:ascii="Times New Roman" w:hAnsi="Times New Roman" w:cs="Times New Roman" w:eastAsia="Times New Roman" w:hint="default"/>
                <w:sz w:val="18"/>
                <w:szCs w:val="18"/>
              </w:rPr>
            </w:pPr>
            <w:r>
              <w:rPr>
                <w:rFonts w:ascii="Times New Roman"/>
                <w:sz w:val="18"/>
              </w:rPr>
              <w:t>30.98%</w:t>
            </w:r>
          </w:p>
        </w:tc>
      </w:tr>
    </w:tbl>
    <w:p>
      <w:pPr>
        <w:pStyle w:val="BodyText"/>
        <w:spacing w:line="360" w:lineRule="auto" w:before="51"/>
        <w:ind w:right="8232"/>
        <w:jc w:val="left"/>
      </w:pPr>
      <w:r>
        <w:rPr/>
        <w:t>本企业的母公司情况的说明：无 本企业最终控制方是乔鲁予。 其他说明：无</w:t>
      </w:r>
    </w:p>
    <w:p>
      <w:pPr>
        <w:spacing w:line="240" w:lineRule="auto" w:before="12"/>
        <w:rPr>
          <w:rFonts w:ascii="宋体" w:hAnsi="宋体" w:cs="宋体" w:eastAsia="宋体" w:hint="default"/>
          <w:sz w:val="19"/>
          <w:szCs w:val="19"/>
        </w:rPr>
      </w:pPr>
    </w:p>
    <w:p>
      <w:pPr>
        <w:spacing w:line="547" w:lineRule="auto" w:before="0"/>
        <w:ind w:left="154" w:right="7692" w:firstLine="0"/>
        <w:jc w:val="left"/>
        <w:rPr>
          <w:rFonts w:ascii="宋体" w:hAnsi="宋体" w:cs="宋体" w:eastAsia="宋体" w:hint="default"/>
          <w:sz w:val="21"/>
          <w:szCs w:val="21"/>
        </w:rPr>
      </w:pPr>
      <w:bookmarkStart w:name="2、本企业的子公司情况" w:id="342"/>
      <w:bookmarkEnd w:id="342"/>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、本企业的子公司情况</w:t>
      </w:r>
      <w:r>
        <w:rPr>
          <w:rFonts w:ascii="宋体" w:hAnsi="宋体" w:cs="宋体" w:eastAsia="宋体" w:hint="default"/>
          <w:b/>
          <w:bCs/>
          <w:w w:val="99"/>
          <w:sz w:val="21"/>
          <w:szCs w:val="21"/>
        </w:rPr>
        <w:t> </w:t>
      </w:r>
      <w:r>
        <w:rPr>
          <w:rFonts w:ascii="宋体" w:hAnsi="宋体" w:cs="宋体" w:eastAsia="宋体" w:hint="default"/>
          <w:sz w:val="18"/>
          <w:szCs w:val="18"/>
        </w:rPr>
        <w:t>本企业子公司的情况详见附注九、</w:t>
      </w:r>
      <w:r>
        <w:rPr>
          <w:rFonts w:ascii="Times New Roman" w:hAnsi="Times New Roman" w:cs="Times New Roman" w:eastAsia="Times New Roman" w:hint="default"/>
          <w:sz w:val="18"/>
          <w:szCs w:val="18"/>
        </w:rPr>
        <w:t>1</w:t>
      </w:r>
      <w:r>
        <w:rPr>
          <w:rFonts w:ascii="宋体" w:hAnsi="宋体" w:cs="宋体" w:eastAsia="宋体" w:hint="default"/>
          <w:sz w:val="18"/>
          <w:szCs w:val="18"/>
        </w:rPr>
        <w:t>。 </w:t>
      </w:r>
      <w:bookmarkStart w:name="3、本企业合营和联营企业情况" w:id="343"/>
      <w:bookmarkEnd w:id="343"/>
      <w:r>
        <w:rPr>
          <w:rFonts w:ascii="宋体" w:hAnsi="宋体" w:cs="宋体" w:eastAsia="宋体" w:hint="default"/>
          <w:sz w:val="18"/>
          <w:szCs w:val="18"/>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、本企业合营和联营企业情况</w:t>
      </w:r>
      <w:r>
        <w:rPr>
          <w:rFonts w:ascii="宋体" w:hAnsi="宋体" w:cs="宋体" w:eastAsia="宋体" w:hint="default"/>
          <w:sz w:val="21"/>
          <w:szCs w:val="21"/>
        </w:rPr>
      </w:r>
    </w:p>
    <w:p>
      <w:pPr>
        <w:pStyle w:val="BodyText"/>
        <w:spacing w:line="338" w:lineRule="auto" w:before="51"/>
        <w:ind w:right="2292"/>
        <w:jc w:val="left"/>
      </w:pPr>
      <w:r>
        <w:rPr/>
        <w:t>本企业重要的合营或联营企业详见附注九、</w:t>
      </w:r>
      <w:r>
        <w:rPr>
          <w:rFonts w:ascii="Times New Roman" w:hAnsi="Times New Roman" w:cs="Times New Roman" w:eastAsia="Times New Roman" w:hint="default"/>
        </w:rPr>
        <w:t>3</w:t>
      </w:r>
      <w:r>
        <w:rPr/>
        <w:t>。 本期与本公司发生关联方交易，或前期与本公司发生关联方交易形成余额的其他合营或联营企业情况如下：</w:t>
      </w:r>
    </w:p>
    <w:p>
      <w:pPr>
        <w:spacing w:line="240" w:lineRule="auto" w:before="5"/>
        <w:rPr>
          <w:rFonts w:ascii="宋体" w:hAnsi="宋体" w:cs="宋体" w:eastAsia="宋体" w:hint="default"/>
          <w:sz w:val="2"/>
          <w:szCs w:val="2"/>
        </w:rPr>
      </w:pPr>
    </w:p>
    <w:tbl>
      <w:tblPr>
        <w:tblW w:w="0" w:type="auto"/>
        <w:jc w:val="left"/>
        <w:tblInd w:w="149" w:type="dxa"/>
        <w:tblLayout w:type="fixed"/>
        <w:tblCellMar>
          <w:top w:w="0" w:type="dxa"/>
          <w:left w:w="0" w:type="dxa"/>
          <w:bottom w:w="0" w:type="dxa"/>
          <w:right w:w="0" w:type="dxa"/>
        </w:tblCellMar>
        <w:tblLook w:val="01E0"/>
      </w:tblPr>
      <w:tblGrid>
        <w:gridCol w:w="4783"/>
        <w:gridCol w:w="4786"/>
      </w:tblGrid>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576" w:right="0"/>
              <w:jc w:val="left"/>
              <w:rPr>
                <w:rFonts w:ascii="宋体" w:hAnsi="宋体" w:cs="宋体" w:eastAsia="宋体" w:hint="default"/>
                <w:sz w:val="18"/>
                <w:szCs w:val="18"/>
              </w:rPr>
            </w:pPr>
            <w:r>
              <w:rPr>
                <w:rFonts w:ascii="宋体" w:hAnsi="宋体" w:cs="宋体" w:eastAsia="宋体" w:hint="default"/>
                <w:sz w:val="18"/>
                <w:szCs w:val="18"/>
              </w:rPr>
              <w:t>合营或联营企业名称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与本企业关系</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重庆宏声印务有限责任公司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本公司之联营企业</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重庆宏劲印务有限责任公司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本公司之联营企业</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青岛嘉泽包装有限公司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本公司之联营企业</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贵州省仁怀市申仁包装有限责任公司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本公司之联营企业</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上海仁彩印务有限公司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本公司之联营企业</w:t>
            </w:r>
          </w:p>
        </w:tc>
      </w:tr>
    </w:tbl>
    <w:p>
      <w:pPr>
        <w:spacing w:after="0" w:line="240" w:lineRule="auto"/>
        <w:jc w:val="left"/>
        <w:rPr>
          <w:rFonts w:ascii="宋体" w:hAnsi="宋体" w:cs="宋体" w:eastAsia="宋体" w:hint="default"/>
          <w:sz w:val="18"/>
          <w:szCs w:val="18"/>
        </w:rPr>
        <w:sectPr>
          <w:type w:val="continuous"/>
          <w:pgSz w:w="11910" w:h="16840"/>
          <w:pgMar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right="0"/>
        <w:jc w:val="left"/>
        <w:rPr>
          <w:b w:val="0"/>
          <w:bCs w:val="0"/>
        </w:rPr>
      </w:pPr>
      <w:bookmarkStart w:name="4、其他关联方情况" w:id="344"/>
      <w:bookmarkEnd w:id="344"/>
      <w:r>
        <w:rPr>
          <w:b w:val="0"/>
          <w:bCs w:val="0"/>
        </w:rPr>
      </w:r>
      <w:r>
        <w:rPr>
          <w:rFonts w:ascii="Times New Roman" w:hAnsi="Times New Roman" w:cs="Times New Roman" w:eastAsia="Times New Roman" w:hint="default"/>
        </w:rPr>
        <w:t>4</w:t>
      </w:r>
      <w:r>
        <w:rPr/>
        <w:t>、其他关联方情况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其他关联方名称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398" w:right="0"/>
              <w:jc w:val="left"/>
              <w:rPr>
                <w:rFonts w:ascii="宋体" w:hAnsi="宋体" w:cs="宋体" w:eastAsia="宋体" w:hint="default"/>
                <w:sz w:val="18"/>
                <w:szCs w:val="18"/>
              </w:rPr>
            </w:pPr>
            <w:r>
              <w:rPr>
                <w:rFonts w:ascii="宋体" w:hAnsi="宋体" w:cs="宋体" w:eastAsia="宋体" w:hint="default"/>
                <w:sz w:val="18"/>
                <w:szCs w:val="18"/>
              </w:rPr>
              <w:t>其他关联方与本企业关系</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深圳劲嘉投资控股有限公司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本公司实际控制人控制之公司</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致高置业有限公司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本公司实际控制人配偶有重大影响之公司</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深圳市华旭科技开发有限公司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本公司实际控制人有重大影响的其他公司</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亚东复星瑞哲安泰发展有限公司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持有本公司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以上股份之股东</w:t>
            </w:r>
          </w:p>
        </w:tc>
      </w:tr>
    </w:tbl>
    <w:p>
      <w:pPr>
        <w:spacing w:line="240" w:lineRule="auto" w:before="2"/>
        <w:rPr>
          <w:rFonts w:ascii="宋体" w:hAnsi="宋体" w:cs="宋体" w:eastAsia="宋体" w:hint="default"/>
          <w:b/>
          <w:bCs/>
          <w:sz w:val="19"/>
          <w:szCs w:val="19"/>
        </w:rPr>
      </w:pPr>
    </w:p>
    <w:p>
      <w:pPr>
        <w:pStyle w:val="Heading3"/>
        <w:spacing w:line="240" w:lineRule="auto" w:before="35"/>
        <w:ind w:right="0"/>
        <w:jc w:val="left"/>
        <w:rPr>
          <w:b w:val="0"/>
          <w:bCs w:val="0"/>
        </w:rPr>
      </w:pPr>
      <w:bookmarkStart w:name="5、关联交易情况" w:id="345"/>
      <w:bookmarkEnd w:id="345"/>
      <w:r>
        <w:rPr>
          <w:b w:val="0"/>
          <w:bCs w:val="0"/>
        </w:rPr>
      </w:r>
      <w:r>
        <w:rPr>
          <w:rFonts w:ascii="Times New Roman" w:hAnsi="Times New Roman" w:cs="Times New Roman" w:eastAsia="Times New Roman" w:hint="default"/>
        </w:rPr>
        <w:t>5</w:t>
      </w:r>
      <w:r>
        <w:rPr/>
        <w:t>、关联交易情况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购销商品、提供和接受劳务的关联交易" w:id="346"/>
      <w:bookmarkEnd w:id="346"/>
      <w:r>
        <w:rPr>
          <w:b w:val="0"/>
          <w:bCs w:val="0"/>
        </w:rPr>
      </w:r>
      <w:r>
        <w:rPr/>
        <w:t>（</w:t>
      </w:r>
      <w:r>
        <w:rPr>
          <w:rFonts w:ascii="Times New Roman" w:hAnsi="Times New Roman" w:cs="Times New Roman" w:eastAsia="Times New Roman" w:hint="default"/>
        </w:rPr>
        <w:t>1</w:t>
      </w:r>
      <w:r>
        <w:rPr/>
        <w:t>）购销商品、提供和接受劳务的关联交易</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0"/>
        <w:jc w:val="left"/>
      </w:pPr>
      <w:r>
        <w:rPr/>
        <w:t>采购商品</w:t>
      </w:r>
      <w:r>
        <w:rPr>
          <w:rFonts w:ascii="Times New Roman" w:hAnsi="Times New Roman" w:cs="Times New Roman" w:eastAsia="Times New Roman" w:hint="default"/>
        </w:rPr>
        <w:t>/</w:t>
      </w:r>
      <w:r>
        <w:rPr/>
        <w:t>接受劳务情况表</w:t>
      </w:r>
    </w:p>
    <w:p>
      <w:pPr>
        <w:pStyle w:val="BodyText"/>
        <w:spacing w:line="240" w:lineRule="auto" w:before="102"/>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40"/>
        <w:gridCol w:w="1454"/>
        <w:gridCol w:w="1455"/>
        <w:gridCol w:w="1706"/>
        <w:gridCol w:w="1708"/>
        <w:gridCol w:w="1706"/>
      </w:tblGrid>
      <w:tr>
        <w:trPr>
          <w:trHeight w:val="401" w:hRule="exact"/>
        </w:trPr>
        <w:tc>
          <w:tcPr>
            <w:tcW w:w="15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94"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14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82"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1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7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18" w:right="0"/>
              <w:jc w:val="left"/>
              <w:rPr>
                <w:rFonts w:ascii="宋体" w:hAnsi="宋体" w:cs="宋体" w:eastAsia="宋体" w:hint="default"/>
                <w:sz w:val="18"/>
                <w:szCs w:val="18"/>
              </w:rPr>
            </w:pPr>
            <w:r>
              <w:rPr>
                <w:rFonts w:ascii="宋体" w:hAnsi="宋体" w:cs="宋体" w:eastAsia="宋体" w:hint="default"/>
                <w:sz w:val="18"/>
                <w:szCs w:val="18"/>
              </w:rPr>
              <w:t>获批的交易额度</w:t>
            </w:r>
          </w:p>
        </w:tc>
        <w:tc>
          <w:tcPr>
            <w:tcW w:w="1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8" w:right="0"/>
              <w:jc w:val="left"/>
              <w:rPr>
                <w:rFonts w:ascii="宋体" w:hAnsi="宋体" w:cs="宋体" w:eastAsia="宋体" w:hint="default"/>
                <w:sz w:val="18"/>
                <w:szCs w:val="18"/>
              </w:rPr>
            </w:pPr>
            <w:r>
              <w:rPr>
                <w:rFonts w:ascii="宋体" w:hAnsi="宋体" w:cs="宋体" w:eastAsia="宋体" w:hint="default"/>
                <w:sz w:val="18"/>
                <w:szCs w:val="18"/>
              </w:rPr>
              <w:t>是否超过交易额度</w:t>
            </w:r>
          </w:p>
        </w:tc>
        <w:tc>
          <w:tcPr>
            <w:tcW w:w="1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98"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4" w:hRule="exact"/>
        </w:trPr>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65"/>
              <w:jc w:val="left"/>
              <w:rPr>
                <w:rFonts w:ascii="宋体" w:hAnsi="宋体" w:cs="宋体" w:eastAsia="宋体" w:hint="default"/>
                <w:sz w:val="18"/>
                <w:szCs w:val="18"/>
              </w:rPr>
            </w:pPr>
            <w:r>
              <w:rPr>
                <w:rFonts w:ascii="宋体" w:hAnsi="宋体" w:cs="宋体" w:eastAsia="宋体" w:hint="default"/>
                <w:sz w:val="18"/>
                <w:szCs w:val="18"/>
              </w:rPr>
              <w:t>重庆宏劲印务有限 责任公司</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外购商品</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74,825,540.93</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150,000,000.00</w:t>
            </w:r>
          </w:p>
        </w:tc>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1,470,858.29</w:t>
            </w:r>
          </w:p>
        </w:tc>
      </w:tr>
      <w:tr>
        <w:trPr>
          <w:trHeight w:val="714" w:hRule="exact"/>
        </w:trPr>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65"/>
              <w:jc w:val="left"/>
              <w:rPr>
                <w:rFonts w:ascii="宋体" w:hAnsi="宋体" w:cs="宋体" w:eastAsia="宋体" w:hint="default"/>
                <w:sz w:val="18"/>
                <w:szCs w:val="18"/>
              </w:rPr>
            </w:pPr>
            <w:r>
              <w:rPr>
                <w:rFonts w:ascii="宋体" w:hAnsi="宋体" w:cs="宋体" w:eastAsia="宋体" w:hint="default"/>
                <w:sz w:val="18"/>
                <w:szCs w:val="18"/>
              </w:rPr>
              <w:t>青岛嘉泽包装有限 公司</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采购原材料</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11,690,779.22</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30,000,000.00</w:t>
            </w:r>
          </w:p>
        </w:tc>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6,946,948.52</w:t>
            </w:r>
          </w:p>
        </w:tc>
      </w:tr>
      <w:tr>
        <w:trPr>
          <w:trHeight w:val="716" w:hRule="exact"/>
        </w:trPr>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22" w:right="65"/>
              <w:jc w:val="left"/>
              <w:rPr>
                <w:rFonts w:ascii="宋体" w:hAnsi="宋体" w:cs="宋体" w:eastAsia="宋体" w:hint="default"/>
                <w:sz w:val="18"/>
                <w:szCs w:val="18"/>
              </w:rPr>
            </w:pPr>
            <w:r>
              <w:rPr>
                <w:rFonts w:ascii="宋体" w:hAnsi="宋体" w:cs="宋体" w:eastAsia="宋体" w:hint="default"/>
                <w:sz w:val="18"/>
                <w:szCs w:val="18"/>
              </w:rPr>
              <w:t>深圳市枫树湾投资 有限公司</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咨询顾问费</w:t>
            </w:r>
          </w:p>
        </w:tc>
        <w:tc>
          <w:tcPr>
            <w:tcW w:w="1455"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c>
          <w:tcPr>
            <w:tcW w:w="1708"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240,738.00</w:t>
            </w:r>
          </w:p>
        </w:tc>
      </w:tr>
    </w:tbl>
    <w:p>
      <w:pPr>
        <w:pStyle w:val="BodyText"/>
        <w:spacing w:line="240" w:lineRule="auto" w:before="51"/>
        <w:ind w:right="0"/>
        <w:jc w:val="left"/>
      </w:pPr>
      <w:r>
        <w:rPr/>
        <w:t>出售商品</w:t>
      </w:r>
      <w:r>
        <w:rPr>
          <w:rFonts w:ascii="Times New Roman" w:hAnsi="Times New Roman" w:cs="Times New Roman" w:eastAsia="Times New Roman" w:hint="default"/>
        </w:rPr>
        <w:t>/</w:t>
      </w:r>
      <w:r>
        <w:rPr/>
        <w:t>提供劳务情况表</w:t>
      </w:r>
    </w:p>
    <w:p>
      <w:pPr>
        <w:pStyle w:val="BodyText"/>
        <w:spacing w:line="240" w:lineRule="auto" w:before="102"/>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8"/>
        <w:gridCol w:w="2259"/>
        <w:gridCol w:w="2260"/>
        <w:gridCol w:w="2652"/>
      </w:tblGrid>
      <w:tr>
        <w:trPr>
          <w:trHeight w:val="402" w:hRule="exact"/>
        </w:trPr>
        <w:tc>
          <w:tcPr>
            <w:tcW w:w="23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84"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74"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71"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重庆宏劲印务有限责任公司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50,163,642.15</w:t>
            </w: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48,208,034.19</w:t>
            </w:r>
          </w:p>
        </w:tc>
      </w:tr>
      <w:tr>
        <w:trPr>
          <w:trHeight w:val="402"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重庆宏劲印务有限责任公司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销售固定资产</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1,918,800.00</w:t>
            </w: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742,000.00</w:t>
            </w:r>
          </w:p>
        </w:tc>
      </w:tr>
      <w:tr>
        <w:trPr>
          <w:trHeight w:val="402"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深圳市劲嘉创业投资有限公司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物业管理及水电</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293,604.08</w:t>
            </w: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272,606.83</w:t>
            </w:r>
          </w:p>
        </w:tc>
      </w:tr>
      <w:tr>
        <w:trPr>
          <w:trHeight w:val="402"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重庆宏声印务有限责任公司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44,971,761.01</w:t>
            </w: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41,952,427.91</w:t>
            </w:r>
          </w:p>
        </w:tc>
      </w:tr>
      <w:tr>
        <w:trPr>
          <w:trHeight w:val="402"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青岛嘉泽包装有限公司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93,404,046.11</w:t>
            </w: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100,322,729.91</w:t>
            </w:r>
          </w:p>
        </w:tc>
      </w:tr>
      <w:tr>
        <w:trPr>
          <w:trHeight w:val="402"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青岛嘉泽包装有限公司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物业管理费及水电费</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6,295,130.11</w:t>
            </w: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9,748,901.92</w:t>
            </w:r>
          </w:p>
        </w:tc>
      </w:tr>
      <w:tr>
        <w:trPr>
          <w:trHeight w:val="714"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贵州省仁怀市申仁包装印务有 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602,608.46</w:t>
            </w:r>
          </w:p>
        </w:tc>
        <w:tc>
          <w:tcPr>
            <w:tcW w:w="2652"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right="0"/>
        <w:jc w:val="left"/>
      </w:pPr>
      <w:r>
        <w:rPr/>
        <w:t>购销商品、提供和接受劳务的关联交易说明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2）关联租赁情况" w:id="347"/>
      <w:bookmarkEnd w:id="347"/>
      <w:r>
        <w:rPr>
          <w:b w:val="0"/>
          <w:bCs w:val="0"/>
        </w:rPr>
      </w:r>
      <w:r>
        <w:rPr/>
        <w:t>（</w:t>
      </w:r>
      <w:r>
        <w:rPr>
          <w:rFonts w:ascii="Times New Roman" w:hAnsi="Times New Roman" w:cs="Times New Roman" w:eastAsia="Times New Roman" w:hint="default"/>
        </w:rPr>
        <w:t>2</w:t>
      </w:r>
      <w:r>
        <w:rPr/>
        <w:t>）关联租赁情况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t>本公司作为出租方：</w:t>
      </w:r>
    </w:p>
    <w:p>
      <w:pPr>
        <w:pStyle w:val="BodyText"/>
        <w:spacing w:line="240" w:lineRule="auto" w:before="117"/>
        <w:ind w:left="0" w:right="1130"/>
        <w:jc w:val="right"/>
      </w:pPr>
      <w:r>
        <w:rPr/>
        <w:t>单位： 元</w:t>
      </w:r>
    </w:p>
    <w:p>
      <w:pPr>
        <w:spacing w:after="0" w:line="240" w:lineRule="auto"/>
        <w:jc w:val="right"/>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388"/>
        <w:gridCol w:w="2394"/>
        <w:gridCol w:w="2393"/>
        <w:gridCol w:w="2393"/>
      </w:tblGrid>
      <w:tr>
        <w:trPr>
          <w:trHeight w:val="402"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8" w:right="0"/>
              <w:jc w:val="left"/>
              <w:rPr>
                <w:rFonts w:ascii="宋体" w:hAnsi="宋体" w:cs="宋体" w:eastAsia="宋体" w:hint="default"/>
                <w:sz w:val="18"/>
                <w:szCs w:val="18"/>
              </w:rPr>
            </w:pPr>
            <w:r>
              <w:rPr>
                <w:rFonts w:ascii="宋体" w:hAnsi="宋体" w:cs="宋体" w:eastAsia="宋体" w:hint="default"/>
                <w:sz w:val="18"/>
                <w:szCs w:val="18"/>
              </w:rPr>
              <w:t>承租方名称</w:t>
            </w:r>
          </w:p>
        </w:tc>
        <w:tc>
          <w:tcPr>
            <w:tcW w:w="2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1"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1" w:right="0"/>
              <w:jc w:val="left"/>
              <w:rPr>
                <w:rFonts w:ascii="宋体" w:hAnsi="宋体" w:cs="宋体" w:eastAsia="宋体" w:hint="default"/>
                <w:sz w:val="18"/>
                <w:szCs w:val="18"/>
              </w:rPr>
            </w:pPr>
            <w:r>
              <w:rPr>
                <w:rFonts w:ascii="宋体" w:hAnsi="宋体" w:cs="宋体" w:eastAsia="宋体" w:hint="default"/>
                <w:sz w:val="18"/>
                <w:szCs w:val="18"/>
              </w:rPr>
              <w:t>本期确认的租赁收入</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1" w:right="0"/>
              <w:jc w:val="left"/>
              <w:rPr>
                <w:rFonts w:ascii="宋体" w:hAnsi="宋体" w:cs="宋体" w:eastAsia="宋体" w:hint="default"/>
                <w:sz w:val="18"/>
                <w:szCs w:val="18"/>
              </w:rPr>
            </w:pPr>
            <w:r>
              <w:rPr>
                <w:rFonts w:ascii="宋体" w:hAnsi="宋体" w:cs="宋体" w:eastAsia="宋体" w:hint="default"/>
                <w:sz w:val="18"/>
                <w:szCs w:val="18"/>
              </w:rPr>
              <w:t>上期确认的租赁收入</w:t>
            </w:r>
          </w:p>
        </w:tc>
      </w:tr>
      <w:tr>
        <w:trPr>
          <w:trHeight w:val="714"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95"/>
              <w:jc w:val="left"/>
              <w:rPr>
                <w:rFonts w:ascii="宋体" w:hAnsi="宋体" w:cs="宋体" w:eastAsia="宋体" w:hint="default"/>
                <w:sz w:val="18"/>
                <w:szCs w:val="18"/>
              </w:rPr>
            </w:pPr>
            <w:r>
              <w:rPr>
                <w:rFonts w:ascii="宋体" w:hAnsi="宋体" w:cs="宋体" w:eastAsia="宋体" w:hint="default"/>
                <w:sz w:val="18"/>
                <w:szCs w:val="18"/>
              </w:rPr>
              <w:t>深圳市劲嘉创业投资有限公 司</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写字楼</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647,520.00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679,892.41</w:t>
            </w:r>
          </w:p>
        </w:tc>
      </w:tr>
      <w:tr>
        <w:trPr>
          <w:trHeight w:val="402"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青岛嘉泽包装有限公司</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办公楼及厂房</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4,360,000.00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3,927,927.93</w:t>
            </w:r>
          </w:p>
        </w:tc>
      </w:tr>
    </w:tbl>
    <w:p>
      <w:pPr>
        <w:pStyle w:val="BodyText"/>
        <w:spacing w:line="240" w:lineRule="auto" w:before="51"/>
        <w:ind w:right="0"/>
        <w:jc w:val="left"/>
      </w:pPr>
      <w:r>
        <w:rPr/>
        <w:t>本公司作为承租方：</w:t>
      </w:r>
    </w:p>
    <w:p>
      <w:pPr>
        <w:pStyle w:val="BodyText"/>
        <w:spacing w:line="240" w:lineRule="auto" w:before="117"/>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1"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40" w:right="0"/>
              <w:jc w:val="left"/>
              <w:rPr>
                <w:rFonts w:ascii="宋体" w:hAnsi="宋体" w:cs="宋体" w:eastAsia="宋体" w:hint="default"/>
                <w:sz w:val="18"/>
                <w:szCs w:val="18"/>
              </w:rPr>
            </w:pPr>
            <w:r>
              <w:rPr>
                <w:rFonts w:ascii="宋体" w:hAnsi="宋体" w:cs="宋体" w:eastAsia="宋体" w:hint="default"/>
                <w:sz w:val="18"/>
                <w:szCs w:val="18"/>
              </w:rPr>
              <w:t>出租方名称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51"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70" w:right="0"/>
              <w:jc w:val="left"/>
              <w:rPr>
                <w:rFonts w:ascii="宋体" w:hAnsi="宋体" w:cs="宋体" w:eastAsia="宋体" w:hint="default"/>
                <w:sz w:val="18"/>
                <w:szCs w:val="18"/>
              </w:rPr>
            </w:pPr>
            <w:r>
              <w:rPr>
                <w:rFonts w:ascii="宋体" w:hAnsi="宋体" w:cs="宋体" w:eastAsia="宋体" w:hint="default"/>
                <w:sz w:val="18"/>
                <w:szCs w:val="18"/>
              </w:rPr>
              <w:t>本期确认的租赁费</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70" w:right="0"/>
              <w:jc w:val="left"/>
              <w:rPr>
                <w:rFonts w:ascii="宋体" w:hAnsi="宋体" w:cs="宋体" w:eastAsia="宋体" w:hint="default"/>
                <w:sz w:val="18"/>
                <w:szCs w:val="18"/>
              </w:rPr>
            </w:pPr>
            <w:r>
              <w:rPr>
                <w:rFonts w:ascii="宋体" w:hAnsi="宋体" w:cs="宋体" w:eastAsia="宋体" w:hint="default"/>
                <w:sz w:val="18"/>
                <w:szCs w:val="18"/>
              </w:rPr>
              <w:t>上期确认的租赁费</w:t>
            </w:r>
          </w:p>
        </w:tc>
      </w:tr>
      <w:tr>
        <w:trPr>
          <w:trHeight w:val="403"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致高置业有限公司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写字楼</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549" w:right="0"/>
              <w:jc w:val="left"/>
              <w:rPr>
                <w:rFonts w:ascii="Times New Roman" w:hAnsi="Times New Roman" w:cs="Times New Roman" w:eastAsia="Times New Roman" w:hint="default"/>
                <w:sz w:val="18"/>
                <w:szCs w:val="18"/>
              </w:rPr>
            </w:pPr>
            <w:r>
              <w:rPr>
                <w:rFonts w:ascii="Times New Roman"/>
                <w:sz w:val="18"/>
              </w:rPr>
              <w:t>162,225.00</w:t>
            </w:r>
          </w:p>
        </w:tc>
      </w:tr>
    </w:tbl>
    <w:p>
      <w:pPr>
        <w:pStyle w:val="BodyText"/>
        <w:spacing w:line="240" w:lineRule="auto" w:before="51"/>
        <w:ind w:right="0"/>
        <w:jc w:val="left"/>
      </w:pPr>
      <w:r>
        <w:rPr/>
        <w:t>关联租赁情况说明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3）关键管理人员报酬" w:id="348"/>
      <w:bookmarkEnd w:id="348"/>
      <w:r>
        <w:rPr>
          <w:b w:val="0"/>
          <w:bCs w:val="0"/>
        </w:rPr>
      </w:r>
      <w:r>
        <w:rPr/>
        <w:t>（</w:t>
      </w:r>
      <w:r>
        <w:rPr>
          <w:rFonts w:ascii="Times New Roman" w:hAnsi="Times New Roman" w:cs="Times New Roman" w:eastAsia="Times New Roman" w:hint="default"/>
        </w:rPr>
        <w:t>3</w:t>
      </w:r>
      <w:r>
        <w:rPr/>
        <w:t>）关键管理人员报酬</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1"/>
      </w:tblGrid>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关键管理人员报酬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9,425,929.00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8,548,467.00</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4）其他关联交易" w:id="349"/>
      <w:bookmarkEnd w:id="349"/>
      <w:r>
        <w:rPr>
          <w:b w:val="0"/>
          <w:bCs w:val="0"/>
        </w:rPr>
      </w:r>
      <w:r>
        <w:rPr/>
        <w:t>（</w:t>
      </w:r>
      <w:r>
        <w:rPr>
          <w:rFonts w:ascii="Times New Roman" w:hAnsi="Times New Roman" w:cs="Times New Roman" w:eastAsia="Times New Roman" w:hint="default"/>
        </w:rPr>
        <w:t>4</w:t>
      </w:r>
      <w:r>
        <w:rPr/>
        <w:t>）其他关联交易</w:t>
      </w:r>
      <w:r>
        <w:rPr>
          <w:b w:val="0"/>
          <w:bCs w:val="0"/>
        </w:rPr>
      </w:r>
    </w:p>
    <w:p>
      <w:pPr>
        <w:spacing w:line="240" w:lineRule="auto" w:before="7"/>
        <w:rPr>
          <w:rFonts w:ascii="宋体" w:hAnsi="宋体" w:cs="宋体" w:eastAsia="宋体" w:hint="default"/>
          <w:b/>
          <w:bCs/>
          <w:sz w:val="26"/>
          <w:szCs w:val="26"/>
        </w:rPr>
      </w:pPr>
    </w:p>
    <w:p>
      <w:pPr>
        <w:pStyle w:val="BodyText"/>
        <w:spacing w:line="302" w:lineRule="auto"/>
        <w:ind w:right="1130" w:firstLine="145"/>
        <w:jc w:val="left"/>
      </w:pP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3</w:t>
      </w:r>
      <w:r>
        <w:rPr>
          <w:spacing w:val="-1"/>
        </w:rPr>
        <w:t>月</w:t>
      </w:r>
      <w:r>
        <w:rPr>
          <w:rFonts w:ascii="Times New Roman" w:hAnsi="Times New Roman" w:cs="Times New Roman" w:eastAsia="Times New Roman" w:hint="default"/>
          <w:spacing w:val="-1"/>
        </w:rPr>
        <w:t>27</w:t>
      </w:r>
      <w:r>
        <w:rPr>
          <w:spacing w:val="-1"/>
        </w:rPr>
        <w:t>日，本公司与茅台技开司、上海仁彩共同对申仁包装进行增资，本公司</w:t>
      </w:r>
      <w:r>
        <w:rPr>
          <w:rFonts w:ascii="Times New Roman" w:hAnsi="Times New Roman" w:cs="Times New Roman" w:eastAsia="Times New Roman" w:hint="default"/>
          <w:spacing w:val="-1"/>
        </w:rPr>
        <w:t>2018</w:t>
      </w:r>
      <w:r>
        <w:rPr>
          <w:spacing w:val="-1"/>
        </w:rPr>
        <w:t>年度实际增资</w:t>
      </w:r>
      <w:r>
        <w:rPr>
          <w:rFonts w:ascii="Times New Roman" w:hAnsi="Times New Roman" w:cs="Times New Roman" w:eastAsia="Times New Roman" w:hint="default"/>
          <w:spacing w:val="-1"/>
        </w:rPr>
        <w:t>8,320.00</w:t>
      </w:r>
      <w:r>
        <w:rPr>
          <w:spacing w:val="-1"/>
        </w:rPr>
        <w:t>万元，增资</w:t>
      </w:r>
      <w:r>
        <w:rPr/>
        <w:t> 完成后本公司直接持有申仁包装的比例变为</w:t>
      </w:r>
      <w:r>
        <w:rPr>
          <w:rFonts w:ascii="Times New Roman" w:hAnsi="Times New Roman" w:cs="Times New Roman" w:eastAsia="Times New Roman" w:hint="default"/>
        </w:rPr>
        <w:t>35%</w:t>
      </w:r>
      <w:r>
        <w:rPr/>
        <w:t>，详见附注九、</w:t>
      </w:r>
      <w:r>
        <w:rPr>
          <w:rFonts w:ascii="Times New Roman" w:hAnsi="Times New Roman" w:cs="Times New Roman" w:eastAsia="Times New Roman" w:hint="default"/>
        </w:rPr>
        <w:t>3“</w:t>
      </w:r>
      <w:r>
        <w:rPr/>
        <w:t>在合营企业或联营企业中的权益</w:t>
      </w:r>
      <w:r>
        <w:rPr>
          <w:rFonts w:ascii="Times New Roman" w:hAnsi="Times New Roman" w:cs="Times New Roman" w:eastAsia="Times New Roman" w:hint="default"/>
        </w:rPr>
        <w:t>”</w:t>
      </w:r>
      <w:r>
        <w:rPr/>
        <w:t>。</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2"/>
          <w:szCs w:val="12"/>
        </w:rPr>
      </w:pPr>
    </w:p>
    <w:p>
      <w:pPr>
        <w:pStyle w:val="Heading3"/>
        <w:spacing w:line="240" w:lineRule="auto"/>
        <w:ind w:right="0"/>
        <w:jc w:val="left"/>
        <w:rPr>
          <w:b w:val="0"/>
          <w:bCs w:val="0"/>
        </w:rPr>
      </w:pPr>
      <w:bookmarkStart w:name="6、关联方应收应付款项" w:id="350"/>
      <w:bookmarkEnd w:id="350"/>
      <w:r>
        <w:rPr>
          <w:b w:val="0"/>
          <w:bCs w:val="0"/>
        </w:rPr>
      </w:r>
      <w:r>
        <w:rPr>
          <w:rFonts w:ascii="Times New Roman" w:hAnsi="Times New Roman" w:cs="Times New Roman" w:eastAsia="Times New Roman" w:hint="default"/>
        </w:rPr>
        <w:t>6</w:t>
      </w:r>
      <w:r>
        <w:rPr/>
        <w:t>、关联方应收应付款项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应收项目" w:id="351"/>
      <w:bookmarkEnd w:id="351"/>
      <w:r>
        <w:rPr>
          <w:b w:val="0"/>
          <w:bCs w:val="0"/>
        </w:rPr>
      </w:r>
      <w:r>
        <w:rPr/>
        <w:t>（</w:t>
      </w:r>
      <w:r>
        <w:rPr>
          <w:rFonts w:ascii="Times New Roman" w:hAnsi="Times New Roman" w:cs="Times New Roman" w:eastAsia="Times New Roman" w:hint="default"/>
        </w:rPr>
        <w:t>1</w:t>
      </w:r>
      <w:r>
        <w:rPr/>
        <w:t>）应收项目</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5"/>
        <w:gridCol w:w="1595"/>
        <w:gridCol w:w="1595"/>
        <w:gridCol w:w="1594"/>
        <w:gridCol w:w="1594"/>
        <w:gridCol w:w="1595"/>
      </w:tblGrid>
      <w:tr>
        <w:trPr>
          <w:trHeight w:val="402" w:hRule="exact"/>
        </w:trPr>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522"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31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595" w:type="dxa"/>
            <w:vMerge/>
            <w:tcBorders>
              <w:left w:val="single" w:sz="4" w:space="0" w:color="000000"/>
              <w:bottom w:val="single" w:sz="4" w:space="0" w:color="000000"/>
              <w:right w:val="single" w:sz="4" w:space="0" w:color="000000"/>
            </w:tcBorders>
            <w:shd w:val="clear" w:color="auto" w:fill="D2D2D2"/>
          </w:tcPr>
          <w:p>
            <w:pPr/>
          </w:p>
        </w:tc>
        <w:tc>
          <w:tcPr>
            <w:tcW w:w="1595" w:type="dxa"/>
            <w:vMerge/>
            <w:tcBorders>
              <w:left w:val="single" w:sz="4" w:space="0" w:color="000000"/>
              <w:bottom w:val="single" w:sz="4" w:space="0" w:color="000000"/>
              <w:right w:val="single" w:sz="4" w:space="0" w:color="000000"/>
            </w:tcBorders>
            <w:shd w:val="clear" w:color="auto" w:fill="D2D2D2"/>
          </w:tcPr>
          <w:p>
            <w:pP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02"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0"/>
              <w:jc w:val="left"/>
              <w:rPr>
                <w:rFonts w:ascii="宋体" w:hAnsi="宋体" w:cs="宋体" w:eastAsia="宋体" w:hint="default"/>
                <w:sz w:val="18"/>
                <w:szCs w:val="18"/>
              </w:rPr>
            </w:pPr>
            <w:r>
              <w:rPr>
                <w:rFonts w:ascii="宋体" w:hAnsi="宋体" w:cs="宋体" w:eastAsia="宋体" w:hint="default"/>
                <w:sz w:val="18"/>
                <w:szCs w:val="18"/>
              </w:rPr>
              <w:t>重庆宏劲印务有限 责任公司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5,970,799.45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298,539.97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20,829,969.52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1,041,498.48</w:t>
            </w: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0"/>
              <w:jc w:val="left"/>
              <w:rPr>
                <w:rFonts w:ascii="宋体" w:hAnsi="宋体" w:cs="宋体" w:eastAsia="宋体" w:hint="default"/>
                <w:sz w:val="18"/>
                <w:szCs w:val="18"/>
              </w:rPr>
            </w:pPr>
            <w:r>
              <w:rPr>
                <w:rFonts w:ascii="宋体" w:hAnsi="宋体" w:cs="宋体" w:eastAsia="宋体" w:hint="default"/>
                <w:sz w:val="18"/>
                <w:szCs w:val="18"/>
              </w:rPr>
              <w:t>青岛嘉泽包装有限 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27,289,735.14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1,364,486.76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59,328,738.35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2,966,436.92</w:t>
            </w: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0"/>
              <w:jc w:val="left"/>
              <w:rPr>
                <w:rFonts w:ascii="宋体" w:hAnsi="宋体" w:cs="宋体" w:eastAsia="宋体" w:hint="default"/>
                <w:sz w:val="18"/>
                <w:szCs w:val="18"/>
              </w:rPr>
            </w:pPr>
            <w:r>
              <w:rPr>
                <w:rFonts w:ascii="宋体" w:hAnsi="宋体" w:cs="宋体" w:eastAsia="宋体" w:hint="default"/>
                <w:sz w:val="18"/>
                <w:szCs w:val="18"/>
              </w:rPr>
              <w:t>重庆宏声印务有限 责任公司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44,969,344.08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2,248,467.20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37,866,317.20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1,893,315.86</w:t>
            </w:r>
          </w:p>
        </w:tc>
      </w:tr>
      <w:tr>
        <w:trPr>
          <w:trHeight w:val="402" w:hRule="exact"/>
        </w:trPr>
        <w:tc>
          <w:tcPr>
            <w:tcW w:w="1595"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78,229,878.67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3,911,493.93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118,025,025.07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5,901,251.26</w:t>
            </w:r>
          </w:p>
        </w:tc>
      </w:tr>
      <w:tr>
        <w:trPr>
          <w:trHeight w:val="402"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5"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青岛嘉泽包装有限</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1,320,000.00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700,000.00</w:t>
            </w:r>
          </w:p>
        </w:tc>
        <w:tc>
          <w:tcPr>
            <w:tcW w:w="1595"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595"/>
        <w:gridCol w:w="1595"/>
        <w:gridCol w:w="1595"/>
        <w:gridCol w:w="1594"/>
        <w:gridCol w:w="1594"/>
        <w:gridCol w:w="1595"/>
      </w:tblGrid>
      <w:tr>
        <w:trPr>
          <w:trHeight w:val="362" w:hRule="exact"/>
        </w:trPr>
        <w:tc>
          <w:tcPr>
            <w:tcW w:w="1595"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0"/>
              <w:jc w:val="left"/>
              <w:rPr>
                <w:rFonts w:ascii="宋体" w:hAnsi="宋体" w:cs="宋体" w:eastAsia="宋体" w:hint="default"/>
                <w:sz w:val="18"/>
                <w:szCs w:val="18"/>
              </w:rPr>
            </w:pPr>
            <w:r>
              <w:rPr>
                <w:rFonts w:ascii="宋体" w:hAnsi="宋体" w:cs="宋体" w:eastAsia="宋体" w:hint="default"/>
                <w:sz w:val="18"/>
                <w:szCs w:val="18"/>
              </w:rPr>
              <w:t>重庆宏劲印务有限 责任公司</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5,000,000.00</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5"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1,320,000.00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5,700,000.00</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0"/>
              <w:jc w:val="left"/>
              <w:rPr>
                <w:rFonts w:ascii="宋体" w:hAnsi="宋体" w:cs="宋体" w:eastAsia="宋体" w:hint="default"/>
                <w:sz w:val="18"/>
                <w:szCs w:val="18"/>
              </w:rPr>
            </w:pPr>
            <w:r>
              <w:rPr>
                <w:rFonts w:ascii="宋体" w:hAnsi="宋体" w:cs="宋体" w:eastAsia="宋体" w:hint="default"/>
                <w:sz w:val="18"/>
                <w:szCs w:val="18"/>
              </w:rPr>
              <w:t>重庆宏声印务有限 责任公司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57,467,025.46</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72,467,025.46</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0"/>
              <w:jc w:val="left"/>
              <w:rPr>
                <w:rFonts w:ascii="宋体" w:hAnsi="宋体" w:cs="宋体" w:eastAsia="宋体" w:hint="default"/>
                <w:sz w:val="18"/>
                <w:szCs w:val="18"/>
              </w:rPr>
            </w:pPr>
            <w:r>
              <w:rPr>
                <w:rFonts w:ascii="宋体" w:hAnsi="宋体" w:cs="宋体" w:eastAsia="宋体" w:hint="default"/>
                <w:sz w:val="18"/>
                <w:szCs w:val="18"/>
              </w:rPr>
              <w:t>青岛嘉泽包装有限 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15,146,815.30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15,146,815.30</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5"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72,613,840.76</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87,613,840.76</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0"/>
              <w:jc w:val="left"/>
              <w:rPr>
                <w:rFonts w:ascii="宋体" w:hAnsi="宋体" w:cs="宋体" w:eastAsia="宋体" w:hint="default"/>
                <w:sz w:val="18"/>
                <w:szCs w:val="18"/>
              </w:rPr>
            </w:pPr>
            <w:r>
              <w:rPr>
                <w:rFonts w:ascii="宋体" w:hAnsi="宋体" w:cs="宋体" w:eastAsia="宋体" w:hint="default"/>
                <w:sz w:val="18"/>
                <w:szCs w:val="18"/>
              </w:rPr>
              <w:t>青岛嘉泽包装有限 公司</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0"/>
              <w:jc w:val="left"/>
              <w:rPr>
                <w:rFonts w:ascii="宋体" w:hAnsi="宋体" w:cs="宋体" w:eastAsia="宋体" w:hint="default"/>
                <w:sz w:val="18"/>
                <w:szCs w:val="18"/>
              </w:rPr>
            </w:pPr>
            <w:r>
              <w:rPr>
                <w:rFonts w:ascii="宋体" w:hAnsi="宋体" w:cs="宋体" w:eastAsia="宋体" w:hint="default"/>
                <w:sz w:val="18"/>
                <w:szCs w:val="18"/>
              </w:rPr>
              <w:t>重庆宏劲印务有限 责任公司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2,660,800.00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133,040.00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742,000.00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37,100.00</w:t>
            </w:r>
          </w:p>
        </w:tc>
      </w:tr>
      <w:tr>
        <w:trPr>
          <w:trHeight w:val="402" w:hRule="exact"/>
        </w:trPr>
        <w:tc>
          <w:tcPr>
            <w:tcW w:w="1595"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2,660,800.00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133,040.00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742,000.00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37,100.00</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应付项目" w:id="352"/>
      <w:bookmarkEnd w:id="352"/>
      <w:r>
        <w:rPr>
          <w:b w:val="0"/>
          <w:bCs w:val="0"/>
        </w:rPr>
      </w:r>
      <w:r>
        <w:rPr/>
        <w:t>（</w:t>
      </w:r>
      <w:r>
        <w:rPr>
          <w:rFonts w:ascii="Times New Roman" w:hAnsi="Times New Roman" w:cs="Times New Roman" w:eastAsia="Times New Roman" w:hint="default"/>
        </w:rPr>
        <w:t>2</w:t>
      </w:r>
      <w:r>
        <w:rPr/>
        <w:t>）应付项目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1"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重庆宏劲印务有限责任公司</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27,789,836.96</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青岛嘉泽包装有限公司</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6,807,918.91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3,098,381.16</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34,597,755.87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3,098,381.16</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重庆宏劲印务有限责任公司</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140,223.66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140,223.66</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上海仁彩印务有限公司</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113,100,000.00</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92"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113,240,223.66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140,223.66</w:t>
            </w:r>
          </w:p>
        </w:tc>
      </w:tr>
    </w:tbl>
    <w:p>
      <w:pPr>
        <w:spacing w:line="240" w:lineRule="auto" w:before="2"/>
        <w:rPr>
          <w:rFonts w:ascii="宋体" w:hAnsi="宋体" w:cs="宋体" w:eastAsia="宋体" w:hint="default"/>
          <w:sz w:val="18"/>
          <w:szCs w:val="18"/>
        </w:rPr>
      </w:pPr>
    </w:p>
    <w:p>
      <w:pPr>
        <w:pStyle w:val="Heading2"/>
        <w:spacing w:line="240" w:lineRule="auto" w:before="26"/>
        <w:ind w:right="0"/>
        <w:jc w:val="left"/>
        <w:rPr>
          <w:b w:val="0"/>
          <w:bCs w:val="0"/>
        </w:rPr>
      </w:pPr>
      <w:bookmarkStart w:name="十二、承诺及或有事项" w:id="353"/>
      <w:bookmarkEnd w:id="353"/>
      <w:r>
        <w:rPr>
          <w:b w:val="0"/>
          <w:bCs w:val="0"/>
        </w:rPr>
      </w:r>
      <w:r>
        <w:rPr/>
        <w:t>十二、承诺及或有事项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重要承诺事项" w:id="354"/>
      <w:bookmarkEnd w:id="354"/>
      <w:r>
        <w:rPr>
          <w:b w:val="0"/>
          <w:bCs w:val="0"/>
        </w:rPr>
      </w:r>
      <w:r>
        <w:rPr>
          <w:rFonts w:ascii="Times New Roman" w:hAnsi="Times New Roman" w:cs="Times New Roman" w:eastAsia="Times New Roman" w:hint="default"/>
        </w:rPr>
        <w:t>1</w:t>
      </w:r>
      <w:r>
        <w:rPr/>
        <w:t>、重要承诺事项</w:t>
      </w:r>
      <w:r>
        <w:rPr>
          <w:b w:val="0"/>
          <w:bCs w:val="0"/>
        </w:rPr>
      </w:r>
    </w:p>
    <w:p>
      <w:pPr>
        <w:spacing w:line="240" w:lineRule="auto" w:before="8"/>
        <w:rPr>
          <w:rFonts w:ascii="宋体" w:hAnsi="宋体" w:cs="宋体" w:eastAsia="宋体" w:hint="default"/>
          <w:b/>
          <w:bCs/>
          <w:sz w:val="26"/>
          <w:szCs w:val="26"/>
        </w:rPr>
      </w:pPr>
    </w:p>
    <w:p>
      <w:pPr>
        <w:pStyle w:val="BodyText"/>
        <w:spacing w:line="357" w:lineRule="auto"/>
        <w:ind w:left="634" w:right="4692" w:hanging="480"/>
        <w:jc w:val="left"/>
      </w:pPr>
      <w:r>
        <w:rPr/>
        <w:t>资产负债表日存在的重要承诺 年末，本公司登记注册的子公司中，投资款尚未足额支付的明细如下：</w:t>
      </w:r>
    </w:p>
    <w:tbl>
      <w:tblPr>
        <w:tblW w:w="0" w:type="auto"/>
        <w:jc w:val="left"/>
        <w:tblInd w:w="149" w:type="dxa"/>
        <w:tblLayout w:type="fixed"/>
        <w:tblCellMar>
          <w:top w:w="0" w:type="dxa"/>
          <w:left w:w="0" w:type="dxa"/>
          <w:bottom w:w="0" w:type="dxa"/>
          <w:right w:w="0" w:type="dxa"/>
        </w:tblCellMar>
        <w:tblLook w:val="01E0"/>
      </w:tblPr>
      <w:tblGrid>
        <w:gridCol w:w="2986"/>
        <w:gridCol w:w="1560"/>
        <w:gridCol w:w="2129"/>
        <w:gridCol w:w="1559"/>
        <w:gridCol w:w="1556"/>
      </w:tblGrid>
      <w:tr>
        <w:trPr>
          <w:trHeight w:val="326" w:hRule="exact"/>
        </w:trPr>
        <w:tc>
          <w:tcPr>
            <w:tcW w:w="298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35" w:lineRule="exact"/>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56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35" w:lineRule="exact"/>
              <w:ind w:right="0"/>
              <w:jc w:val="center"/>
              <w:rPr>
                <w:rFonts w:ascii="宋体" w:hAnsi="宋体" w:cs="宋体" w:eastAsia="宋体" w:hint="default"/>
                <w:sz w:val="18"/>
                <w:szCs w:val="18"/>
              </w:rPr>
            </w:pPr>
            <w:r>
              <w:rPr>
                <w:rFonts w:ascii="宋体" w:hAnsi="宋体" w:cs="宋体" w:eastAsia="宋体" w:hint="default"/>
                <w:sz w:val="18"/>
                <w:szCs w:val="18"/>
              </w:rPr>
              <w:t>登记注册时间</w:t>
            </w:r>
          </w:p>
        </w:tc>
        <w:tc>
          <w:tcPr>
            <w:tcW w:w="212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35" w:lineRule="exact"/>
              <w:ind w:right="0"/>
              <w:jc w:val="center"/>
              <w:rPr>
                <w:rFonts w:ascii="宋体" w:hAnsi="宋体" w:cs="宋体" w:eastAsia="宋体" w:hint="default"/>
                <w:sz w:val="18"/>
                <w:szCs w:val="18"/>
              </w:rPr>
            </w:pPr>
            <w:r>
              <w:rPr>
                <w:rFonts w:ascii="宋体" w:hAnsi="宋体" w:cs="宋体" w:eastAsia="宋体" w:hint="default"/>
                <w:sz w:val="18"/>
                <w:szCs w:val="18"/>
              </w:rPr>
              <w:t>资本交付时间</w:t>
            </w:r>
          </w:p>
        </w:tc>
        <w:tc>
          <w:tcPr>
            <w:tcW w:w="155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35" w:lineRule="exact"/>
              <w:ind w:left="324" w:right="0"/>
              <w:jc w:val="left"/>
              <w:rPr>
                <w:rFonts w:ascii="宋体" w:hAnsi="宋体" w:cs="宋体" w:eastAsia="宋体" w:hint="default"/>
                <w:sz w:val="18"/>
                <w:szCs w:val="18"/>
              </w:rPr>
            </w:pPr>
            <w:r>
              <w:rPr>
                <w:rFonts w:ascii="宋体" w:hAnsi="宋体" w:cs="宋体" w:eastAsia="宋体" w:hint="default"/>
                <w:sz w:val="18"/>
                <w:szCs w:val="18"/>
              </w:rPr>
              <w:t>应缴投资款</w:t>
            </w:r>
          </w:p>
        </w:tc>
        <w:tc>
          <w:tcPr>
            <w:tcW w:w="155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35" w:lineRule="exact"/>
              <w:ind w:left="322" w:right="0"/>
              <w:jc w:val="left"/>
              <w:rPr>
                <w:rFonts w:ascii="宋体" w:hAnsi="宋体" w:cs="宋体" w:eastAsia="宋体" w:hint="default"/>
                <w:sz w:val="18"/>
                <w:szCs w:val="18"/>
              </w:rPr>
            </w:pPr>
            <w:r>
              <w:rPr>
                <w:rFonts w:ascii="宋体" w:hAnsi="宋体" w:cs="宋体" w:eastAsia="宋体" w:hint="default"/>
                <w:sz w:val="18"/>
                <w:szCs w:val="18"/>
              </w:rPr>
              <w:t>未缴投资款</w:t>
            </w:r>
          </w:p>
        </w:tc>
      </w:tr>
      <w:tr>
        <w:trPr>
          <w:trHeight w:val="342" w:hRule="exact"/>
        </w:trPr>
        <w:tc>
          <w:tcPr>
            <w:tcW w:w="2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4" w:right="0"/>
              <w:jc w:val="left"/>
              <w:rPr>
                <w:rFonts w:ascii="宋体" w:hAnsi="宋体" w:cs="宋体" w:eastAsia="宋体" w:hint="default"/>
                <w:sz w:val="18"/>
                <w:szCs w:val="18"/>
              </w:rPr>
            </w:pPr>
            <w:r>
              <w:rPr>
                <w:rFonts w:ascii="宋体" w:hAnsi="宋体" w:cs="宋体" w:eastAsia="宋体" w:hint="default"/>
                <w:sz w:val="18"/>
                <w:szCs w:val="18"/>
              </w:rPr>
              <w:t>深圳合元劲嘉电子科技有限公司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
              <w:jc w:val="center"/>
              <w:rPr>
                <w:rFonts w:ascii="Times New Roman" w:hAnsi="Times New Roman" w:cs="Times New Roman" w:eastAsia="Times New Roman" w:hint="default"/>
                <w:sz w:val="18"/>
                <w:szCs w:val="18"/>
              </w:rPr>
            </w:pPr>
            <w:r>
              <w:rPr>
                <w:rFonts w:ascii="Times New Roman"/>
                <w:sz w:val="18"/>
              </w:rPr>
              <w:t>2014-4-30</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center"/>
              <w:rPr>
                <w:rFonts w:ascii="宋体" w:hAnsi="宋体" w:cs="宋体" w:eastAsia="宋体" w:hint="default"/>
                <w:sz w:val="18"/>
                <w:szCs w:val="18"/>
              </w:rPr>
            </w:pPr>
            <w:r>
              <w:rPr>
                <w:rFonts w:ascii="宋体" w:hAnsi="宋体" w:cs="宋体" w:eastAsia="宋体" w:hint="default"/>
                <w:sz w:val="18"/>
                <w:szCs w:val="18"/>
              </w:rPr>
              <w:t>根据实际经营需要</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73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10000</w:t>
            </w:r>
            <w:r>
              <w:rPr>
                <w:rFonts w:ascii="宋体" w:hAnsi="宋体" w:cs="宋体" w:eastAsia="宋体" w:hint="default"/>
                <w:sz w:val="18"/>
                <w:szCs w:val="18"/>
              </w:rPr>
              <w:t>万元</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73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10000</w:t>
            </w:r>
            <w:r>
              <w:rPr>
                <w:rFonts w:ascii="宋体" w:hAnsi="宋体" w:cs="宋体" w:eastAsia="宋体" w:hint="default"/>
                <w:sz w:val="18"/>
                <w:szCs w:val="18"/>
              </w:rPr>
              <w:t>万元</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986"/>
        <w:gridCol w:w="1560"/>
        <w:gridCol w:w="2129"/>
        <w:gridCol w:w="1559"/>
        <w:gridCol w:w="1556"/>
      </w:tblGrid>
      <w:tr>
        <w:trPr>
          <w:trHeight w:val="342" w:hRule="exact"/>
        </w:trPr>
        <w:tc>
          <w:tcPr>
            <w:tcW w:w="2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深圳前海蓝莓文化传播有限公司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45" w:right="0"/>
              <w:jc w:val="left"/>
              <w:rPr>
                <w:rFonts w:ascii="Times New Roman" w:hAnsi="Times New Roman" w:cs="Times New Roman" w:eastAsia="Times New Roman" w:hint="default"/>
                <w:sz w:val="18"/>
                <w:szCs w:val="18"/>
              </w:rPr>
            </w:pPr>
            <w:r>
              <w:rPr>
                <w:rFonts w:ascii="Times New Roman"/>
                <w:sz w:val="18"/>
              </w:rPr>
              <w:t>2016-3-9</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339" w:right="0"/>
              <w:jc w:val="left"/>
              <w:rPr>
                <w:rFonts w:ascii="宋体" w:hAnsi="宋体" w:cs="宋体" w:eastAsia="宋体" w:hint="default"/>
                <w:sz w:val="18"/>
                <w:szCs w:val="18"/>
              </w:rPr>
            </w:pPr>
            <w:r>
              <w:rPr>
                <w:rFonts w:ascii="宋体" w:hAnsi="宋体" w:cs="宋体" w:eastAsia="宋体" w:hint="default"/>
                <w:sz w:val="18"/>
                <w:szCs w:val="18"/>
              </w:rPr>
              <w:t>根据实际经营需要</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5"/>
              <w:jc w:val="right"/>
              <w:rPr>
                <w:rFonts w:ascii="宋体" w:hAnsi="宋体" w:cs="宋体" w:eastAsia="宋体" w:hint="default"/>
                <w:sz w:val="18"/>
                <w:szCs w:val="18"/>
              </w:rPr>
            </w:pPr>
            <w:r>
              <w:rPr>
                <w:rFonts w:ascii="Times New Roman" w:hAnsi="Times New Roman" w:cs="Times New Roman" w:eastAsia="Times New Roman" w:hint="default"/>
                <w:sz w:val="18"/>
                <w:szCs w:val="18"/>
              </w:rPr>
              <w:t>820</w:t>
            </w:r>
            <w:r>
              <w:rPr>
                <w:rFonts w:ascii="宋体" w:hAnsi="宋体" w:cs="宋体" w:eastAsia="宋体" w:hint="default"/>
                <w:sz w:val="18"/>
                <w:szCs w:val="18"/>
              </w:rPr>
              <w:t>万元</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
              <w:jc w:val="right"/>
              <w:rPr>
                <w:rFonts w:ascii="宋体" w:hAnsi="宋体" w:cs="宋体" w:eastAsia="宋体" w:hint="default"/>
                <w:sz w:val="18"/>
                <w:szCs w:val="18"/>
              </w:rPr>
            </w:pPr>
            <w:r>
              <w:rPr>
                <w:rFonts w:ascii="Times New Roman" w:hAnsi="Times New Roman" w:cs="Times New Roman" w:eastAsia="Times New Roman" w:hint="default"/>
                <w:sz w:val="18"/>
                <w:szCs w:val="18"/>
              </w:rPr>
              <w:t>656</w:t>
            </w:r>
            <w:r>
              <w:rPr>
                <w:rFonts w:ascii="宋体" w:hAnsi="宋体" w:cs="宋体" w:eastAsia="宋体" w:hint="default"/>
                <w:sz w:val="18"/>
                <w:szCs w:val="18"/>
              </w:rPr>
              <w:t>万元</w:t>
            </w:r>
          </w:p>
        </w:tc>
      </w:tr>
      <w:tr>
        <w:trPr>
          <w:trHeight w:val="342" w:hRule="exact"/>
        </w:trPr>
        <w:tc>
          <w:tcPr>
            <w:tcW w:w="2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劲嘉集团（香港森洋）有限公司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399" w:right="0"/>
              <w:jc w:val="left"/>
              <w:rPr>
                <w:rFonts w:ascii="Times New Roman" w:hAnsi="Times New Roman" w:cs="Times New Roman" w:eastAsia="Times New Roman" w:hint="default"/>
                <w:sz w:val="18"/>
                <w:szCs w:val="18"/>
              </w:rPr>
            </w:pPr>
            <w:r>
              <w:rPr>
                <w:rFonts w:ascii="Times New Roman"/>
                <w:sz w:val="18"/>
              </w:rPr>
              <w:t>2016-8-30</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339" w:right="0"/>
              <w:jc w:val="left"/>
              <w:rPr>
                <w:rFonts w:ascii="宋体" w:hAnsi="宋体" w:cs="宋体" w:eastAsia="宋体" w:hint="default"/>
                <w:sz w:val="18"/>
                <w:szCs w:val="18"/>
              </w:rPr>
            </w:pPr>
            <w:r>
              <w:rPr>
                <w:rFonts w:ascii="宋体" w:hAnsi="宋体" w:cs="宋体" w:eastAsia="宋体" w:hint="default"/>
                <w:sz w:val="18"/>
                <w:szCs w:val="18"/>
              </w:rPr>
              <w:t>根据实际经营需要</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5"/>
              <w:jc w:val="right"/>
              <w:rPr>
                <w:rFonts w:ascii="宋体" w:hAnsi="宋体" w:cs="宋体" w:eastAsia="宋体" w:hint="default"/>
                <w:sz w:val="18"/>
                <w:szCs w:val="18"/>
              </w:rPr>
            </w:pPr>
            <w:r>
              <w:rPr>
                <w:rFonts w:ascii="Times New Roman" w:hAnsi="Times New Roman" w:cs="Times New Roman" w:eastAsia="Times New Roman" w:hint="default"/>
                <w:sz w:val="18"/>
                <w:szCs w:val="18"/>
              </w:rPr>
              <w:t>5000</w:t>
            </w:r>
            <w:r>
              <w:rPr>
                <w:rFonts w:ascii="宋体" w:hAnsi="宋体" w:cs="宋体" w:eastAsia="宋体" w:hint="default"/>
                <w:sz w:val="18"/>
                <w:szCs w:val="18"/>
              </w:rPr>
              <w:t>万港元</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
              <w:jc w:val="right"/>
              <w:rPr>
                <w:rFonts w:ascii="宋体" w:hAnsi="宋体" w:cs="宋体" w:eastAsia="宋体" w:hint="default"/>
                <w:sz w:val="18"/>
                <w:szCs w:val="18"/>
              </w:rPr>
            </w:pPr>
            <w:r>
              <w:rPr>
                <w:rFonts w:ascii="Times New Roman" w:hAnsi="Times New Roman" w:cs="Times New Roman" w:eastAsia="Times New Roman" w:hint="default"/>
                <w:sz w:val="18"/>
                <w:szCs w:val="18"/>
              </w:rPr>
              <w:t>5000</w:t>
            </w:r>
            <w:r>
              <w:rPr>
                <w:rFonts w:ascii="宋体" w:hAnsi="宋体" w:cs="宋体" w:eastAsia="宋体" w:hint="default"/>
                <w:sz w:val="18"/>
                <w:szCs w:val="18"/>
              </w:rPr>
              <w:t>万港元</w:t>
            </w:r>
          </w:p>
        </w:tc>
      </w:tr>
      <w:tr>
        <w:trPr>
          <w:trHeight w:val="342" w:hRule="exact"/>
        </w:trPr>
        <w:tc>
          <w:tcPr>
            <w:tcW w:w="2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深圳嘉星健康科技有限公司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399" w:right="0"/>
              <w:jc w:val="left"/>
              <w:rPr>
                <w:rFonts w:ascii="Times New Roman" w:hAnsi="Times New Roman" w:cs="Times New Roman" w:eastAsia="Times New Roman" w:hint="default"/>
                <w:sz w:val="18"/>
                <w:szCs w:val="18"/>
              </w:rPr>
            </w:pPr>
            <w:r>
              <w:rPr>
                <w:rFonts w:ascii="Times New Roman"/>
                <w:sz w:val="18"/>
              </w:rPr>
              <w:t>2018-5-29</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339" w:right="0"/>
              <w:jc w:val="left"/>
              <w:rPr>
                <w:rFonts w:ascii="宋体" w:hAnsi="宋体" w:cs="宋体" w:eastAsia="宋体" w:hint="default"/>
                <w:sz w:val="18"/>
                <w:szCs w:val="18"/>
              </w:rPr>
            </w:pPr>
            <w:r>
              <w:rPr>
                <w:rFonts w:ascii="宋体" w:hAnsi="宋体" w:cs="宋体" w:eastAsia="宋体" w:hint="default"/>
                <w:sz w:val="18"/>
                <w:szCs w:val="18"/>
              </w:rPr>
              <w:t>根据实际经营需要</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5"/>
              <w:jc w:val="right"/>
              <w:rPr>
                <w:rFonts w:ascii="宋体" w:hAnsi="宋体" w:cs="宋体" w:eastAsia="宋体" w:hint="default"/>
                <w:sz w:val="18"/>
                <w:szCs w:val="18"/>
              </w:rPr>
            </w:pPr>
            <w:r>
              <w:rPr>
                <w:rFonts w:ascii="Times New Roman" w:hAnsi="Times New Roman" w:cs="Times New Roman" w:eastAsia="Times New Roman" w:hint="default"/>
                <w:sz w:val="18"/>
                <w:szCs w:val="18"/>
              </w:rPr>
              <w:t>10000</w:t>
            </w:r>
            <w:r>
              <w:rPr>
                <w:rFonts w:ascii="宋体" w:hAnsi="宋体" w:cs="宋体" w:eastAsia="宋体" w:hint="default"/>
                <w:sz w:val="18"/>
                <w:szCs w:val="18"/>
              </w:rPr>
              <w:t>万元</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
              <w:jc w:val="right"/>
              <w:rPr>
                <w:rFonts w:ascii="宋体" w:hAnsi="宋体" w:cs="宋体" w:eastAsia="宋体" w:hint="default"/>
                <w:sz w:val="18"/>
                <w:szCs w:val="18"/>
              </w:rPr>
            </w:pPr>
            <w:r>
              <w:rPr>
                <w:rFonts w:ascii="Times New Roman" w:hAnsi="Times New Roman" w:cs="Times New Roman" w:eastAsia="Times New Roman" w:hint="default"/>
                <w:sz w:val="18"/>
                <w:szCs w:val="18"/>
              </w:rPr>
              <w:t>10000</w:t>
            </w:r>
            <w:r>
              <w:rPr>
                <w:rFonts w:ascii="宋体" w:hAnsi="宋体" w:cs="宋体" w:eastAsia="宋体" w:hint="default"/>
                <w:sz w:val="18"/>
                <w:szCs w:val="18"/>
              </w:rPr>
              <w:t>万元</w:t>
            </w:r>
          </w:p>
        </w:tc>
      </w:tr>
    </w:tbl>
    <w:p>
      <w:pPr>
        <w:pStyle w:val="BodyText"/>
        <w:spacing w:line="300" w:lineRule="auto" w:before="10"/>
        <w:ind w:right="0" w:firstLine="480"/>
        <w:jc w:val="left"/>
      </w:pPr>
      <w:r>
        <w:rPr/>
        <w:t>应缴投资款及未缴投资款系子公司的全额注册资本，本公司持有合元劲嘉</w:t>
      </w:r>
      <w:r>
        <w:rPr>
          <w:rFonts w:ascii="Times New Roman" w:hAnsi="Times New Roman" w:cs="Times New Roman" w:eastAsia="Times New Roman" w:hint="default"/>
        </w:rPr>
        <w:t>51%</w:t>
      </w:r>
      <w:r>
        <w:rPr/>
        <w:t>股权、持有蓝莓文化</w:t>
      </w:r>
      <w:r>
        <w:rPr>
          <w:rFonts w:ascii="Times New Roman" w:hAnsi="Times New Roman" w:cs="Times New Roman" w:eastAsia="Times New Roman" w:hint="default"/>
        </w:rPr>
        <w:t>41%</w:t>
      </w:r>
      <w:r>
        <w:rPr/>
        <w:t>股权、持有香 港森洋</w:t>
      </w:r>
      <w:r>
        <w:rPr>
          <w:rFonts w:ascii="Times New Roman" w:hAnsi="Times New Roman" w:cs="Times New Roman" w:eastAsia="Times New Roman" w:hint="default"/>
        </w:rPr>
        <w:t>51%</w:t>
      </w:r>
      <w:r>
        <w:rPr/>
        <w:t>股权，持有嘉星健康</w:t>
      </w:r>
      <w:r>
        <w:rPr>
          <w:rFonts w:ascii="Times New Roman" w:hAnsi="Times New Roman" w:cs="Times New Roman" w:eastAsia="Times New Roman" w:hint="default"/>
        </w:rPr>
        <w:t>51%</w:t>
      </w:r>
      <w:r>
        <w:rPr/>
        <w:t>股权，本公司根据持股比例缴纳投资款。</w:t>
      </w:r>
    </w:p>
    <w:p>
      <w:pPr>
        <w:pStyle w:val="BodyText"/>
        <w:spacing w:line="240" w:lineRule="auto" w:before="13"/>
        <w:ind w:left="634" w:right="0"/>
        <w:jc w:val="left"/>
      </w:pPr>
      <w:r>
        <w:rPr/>
        <w:t>除此之外，本公司无需要披露的其他重大承诺事项。</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4"/>
          <w:szCs w:val="14"/>
        </w:rPr>
      </w:pPr>
    </w:p>
    <w:p>
      <w:pPr>
        <w:pStyle w:val="Heading3"/>
        <w:spacing w:line="240" w:lineRule="auto"/>
        <w:ind w:right="0"/>
        <w:jc w:val="left"/>
        <w:rPr>
          <w:b w:val="0"/>
          <w:bCs w:val="0"/>
        </w:rPr>
      </w:pPr>
      <w:bookmarkStart w:name="2、或有事项" w:id="355"/>
      <w:bookmarkEnd w:id="355"/>
      <w:r>
        <w:rPr>
          <w:b w:val="0"/>
          <w:bCs w:val="0"/>
        </w:rPr>
      </w:r>
      <w:r>
        <w:rPr>
          <w:rFonts w:ascii="Times New Roman" w:hAnsi="Times New Roman" w:cs="Times New Roman" w:eastAsia="Times New Roman" w:hint="default"/>
        </w:rPr>
        <w:t>2</w:t>
      </w:r>
      <w:r>
        <w:rPr/>
        <w:t>、或有事项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资产负债表日存在的重要或有事项" w:id="356"/>
      <w:bookmarkEnd w:id="356"/>
      <w:r>
        <w:rPr>
          <w:b w:val="0"/>
          <w:bCs w:val="0"/>
        </w:rPr>
      </w:r>
      <w:r>
        <w:rPr/>
        <w:t>（</w:t>
      </w:r>
      <w:r>
        <w:rPr>
          <w:rFonts w:ascii="Times New Roman" w:hAnsi="Times New Roman" w:cs="Times New Roman" w:eastAsia="Times New Roman" w:hint="default"/>
        </w:rPr>
        <w:t>1</w:t>
      </w:r>
      <w:r>
        <w:rPr/>
        <w:t>）资产负债表日存在的重要或有事项</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bookmarkStart w:name="（2）公司没有需要披露的重要或有事项，也应予以说明" w:id="357"/>
      <w:bookmarkEnd w:id="357"/>
      <w:r>
        <w:rPr>
          <w:b w:val="0"/>
          <w:bCs w:val="0"/>
        </w:rPr>
      </w:r>
      <w:r>
        <w:rPr/>
        <w:t>（</w:t>
      </w:r>
      <w:r>
        <w:rPr>
          <w:rFonts w:ascii="Times New Roman" w:hAnsi="Times New Roman" w:cs="Times New Roman" w:eastAsia="Times New Roman" w:hint="default"/>
        </w:rPr>
        <w:t>2</w:t>
      </w:r>
      <w:r>
        <w:rPr/>
        <w:t>）公司没有需要披露的重要或有事项，也应予以说明</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公司不存在需要披露的重要或有事项。</w:t>
      </w:r>
    </w:p>
    <w:p>
      <w:pPr>
        <w:spacing w:line="240" w:lineRule="auto" w:before="13"/>
        <w:rPr>
          <w:rFonts w:ascii="宋体" w:hAnsi="宋体" w:cs="宋体" w:eastAsia="宋体" w:hint="default"/>
          <w:sz w:val="24"/>
          <w:szCs w:val="24"/>
        </w:rPr>
      </w:pPr>
    </w:p>
    <w:p>
      <w:pPr>
        <w:pStyle w:val="Heading2"/>
        <w:spacing w:line="240" w:lineRule="auto"/>
        <w:ind w:right="0"/>
        <w:jc w:val="left"/>
        <w:rPr>
          <w:b w:val="0"/>
          <w:bCs w:val="0"/>
        </w:rPr>
      </w:pPr>
      <w:bookmarkStart w:name="十三、资产负债表日后事项" w:id="358"/>
      <w:bookmarkEnd w:id="358"/>
      <w:r>
        <w:rPr>
          <w:b w:val="0"/>
          <w:bCs w:val="0"/>
        </w:rPr>
      </w:r>
      <w:r>
        <w:rPr/>
        <w:t>十三、资产负债表日后事项</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利润分配情况" w:id="359"/>
      <w:bookmarkEnd w:id="359"/>
      <w:r>
        <w:rPr>
          <w:b w:val="0"/>
          <w:bCs w:val="0"/>
        </w:rPr>
      </w:r>
      <w:r>
        <w:rPr>
          <w:rFonts w:ascii="Times New Roman" w:hAnsi="Times New Roman" w:cs="Times New Roman" w:eastAsia="Times New Roman" w:hint="default"/>
        </w:rPr>
        <w:t>1</w:t>
      </w:r>
      <w:r>
        <w:rPr/>
        <w:t>、利润分配情况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984"/>
        <w:gridCol w:w="4585"/>
      </w:tblGrid>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拟分配的利润或股利</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439,461,135.00</w:t>
            </w:r>
          </w:p>
        </w:tc>
      </w:tr>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经审议批准宣告发放的利润或股利</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439,461,135.00</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其他资产负债表日后事项说明" w:id="360"/>
      <w:bookmarkEnd w:id="360"/>
      <w:r>
        <w:rPr>
          <w:b w:val="0"/>
          <w:bCs w:val="0"/>
        </w:rPr>
      </w:r>
      <w:r>
        <w:rPr>
          <w:rFonts w:ascii="Times New Roman" w:hAnsi="Times New Roman" w:cs="Times New Roman" w:eastAsia="Times New Roman" w:hint="default"/>
        </w:rPr>
        <w:t>2</w:t>
      </w:r>
      <w:r>
        <w:rPr/>
        <w:t>、其他资产负债表日后事项说明</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left="514" w:right="1122"/>
        <w:jc w:val="left"/>
      </w:pPr>
      <w:r>
        <w:rPr>
          <w:rFonts w:ascii="Times New Roman" w:hAnsi="Times New Roman" w:cs="Times New Roman" w:eastAsia="Times New Roman" w:hint="default"/>
        </w:rPr>
        <w:t>1</w:t>
      </w:r>
      <w:r>
        <w:rPr/>
        <w:t>）股份回购事项 公司于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11</w:t>
      </w:r>
      <w:r>
        <w:rPr/>
        <w:t>日召开的第五届董事会</w:t>
      </w:r>
      <w:r>
        <w:rPr>
          <w:rFonts w:ascii="Times New Roman" w:hAnsi="Times New Roman" w:cs="Times New Roman" w:eastAsia="Times New Roman" w:hint="default"/>
        </w:rPr>
        <w:t>2018</w:t>
      </w:r>
      <w:r>
        <w:rPr/>
        <w:t>年第二次会议、于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5</w:t>
      </w:r>
      <w:r>
        <w:rPr/>
        <w:t>日召开的</w:t>
      </w:r>
      <w:r>
        <w:rPr>
          <w:rFonts w:ascii="Times New Roman" w:hAnsi="Times New Roman" w:cs="Times New Roman" w:eastAsia="Times New Roman" w:hint="default"/>
        </w:rPr>
        <w:t>2018</w:t>
      </w:r>
      <w:r>
        <w:rPr/>
        <w:t>年第二次临时股东大会审议</w:t>
      </w:r>
    </w:p>
    <w:p>
      <w:pPr>
        <w:pStyle w:val="BodyText"/>
        <w:spacing w:line="300" w:lineRule="auto" w:before="13"/>
        <w:ind w:right="0"/>
        <w:jc w:val="left"/>
      </w:pPr>
      <w:r>
        <w:rPr>
          <w:spacing w:val="-2"/>
        </w:rPr>
        <w:t>通过了《关于回购部分社会公众股份的预案》，具体详见本财务报表项目注释十五、</w:t>
      </w:r>
      <w:r>
        <w:rPr>
          <w:rFonts w:ascii="Times New Roman" w:hAnsi="Times New Roman" w:cs="Times New Roman" w:eastAsia="Times New Roman" w:hint="default"/>
          <w:spacing w:val="-2"/>
        </w:rPr>
        <w:t>7“</w:t>
      </w:r>
      <w:r>
        <w:rPr>
          <w:spacing w:val="-2"/>
        </w:rPr>
        <w:t>其他重要事项</w:t>
      </w:r>
      <w:r>
        <w:rPr>
          <w:rFonts w:ascii="Times New Roman" w:hAnsi="Times New Roman" w:cs="Times New Roman" w:eastAsia="Times New Roman" w:hint="default"/>
          <w:spacing w:val="-2"/>
        </w:rPr>
        <w:t>”</w:t>
      </w:r>
      <w:r>
        <w:rPr>
          <w:spacing w:val="-2"/>
        </w:rPr>
        <w:t>，截至</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3</w:t>
      </w:r>
      <w:r>
        <w:rPr>
          <w:spacing w:val="-2"/>
        </w:rPr>
        <w:t>月</w:t>
      </w:r>
      <w:r>
        <w:rPr>
          <w:rFonts w:ascii="Times New Roman" w:hAnsi="Times New Roman" w:cs="Times New Roman" w:eastAsia="Times New Roman" w:hint="default"/>
          <w:spacing w:val="-2"/>
        </w:rPr>
        <w:t>5</w:t>
      </w:r>
      <w:r>
        <w:rPr>
          <w:spacing w:val="-2"/>
        </w:rPr>
        <w:t>日，</w:t>
      </w:r>
      <w:r>
        <w:rPr>
          <w:spacing w:val="-40"/>
        </w:rPr>
        <w:t> </w:t>
      </w:r>
      <w:r>
        <w:rPr/>
        <w:t>本次回购股份实施期限届满，回购方案实施完毕，截止</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13</w:t>
      </w:r>
      <w:r>
        <w:rPr/>
        <w:t>日，公司在中国证券登记结算有限责任公司深圳分公司 办理完毕上述无限售流通股份</w:t>
      </w:r>
      <w:r>
        <w:rPr>
          <w:spacing w:val="-20"/>
        </w:rPr>
        <w:t> </w:t>
      </w:r>
      <w:r>
        <w:rPr>
          <w:rFonts w:ascii="Times New Roman" w:hAnsi="Times New Roman" w:cs="Times New Roman" w:eastAsia="Times New Roman" w:hint="default"/>
        </w:rPr>
        <w:t>29,963,932</w:t>
      </w:r>
      <w:r>
        <w:rPr/>
        <w:t>股回购股份注销手续。本次注销完成后，公司股份总额、股份结构相应发生变化， 本次注销后公司总股本由</w:t>
      </w:r>
      <w:r>
        <w:rPr>
          <w:rFonts w:ascii="Times New Roman" w:hAnsi="Times New Roman" w:cs="Times New Roman" w:eastAsia="Times New Roman" w:hint="default"/>
        </w:rPr>
        <w:t>1,494,834,382</w:t>
      </w:r>
      <w:r>
        <w:rPr/>
        <w:t>股变动为</w:t>
      </w:r>
      <w:r>
        <w:rPr>
          <w:rFonts w:ascii="Times New Roman" w:hAnsi="Times New Roman" w:cs="Times New Roman" w:eastAsia="Times New Roman" w:hint="default"/>
        </w:rPr>
        <w:t>1,464,870,450</w:t>
      </w:r>
      <w:r>
        <w:rPr/>
        <w:t>股。</w:t>
      </w:r>
    </w:p>
    <w:p>
      <w:pPr>
        <w:pStyle w:val="BodyText"/>
        <w:spacing w:line="240" w:lineRule="auto" w:before="13"/>
        <w:ind w:left="514" w:right="0"/>
        <w:jc w:val="left"/>
      </w:pPr>
      <w:r>
        <w:rPr>
          <w:rFonts w:ascii="Times New Roman" w:hAnsi="Times New Roman" w:cs="Times New Roman" w:eastAsia="Times New Roman" w:hint="default"/>
        </w:rPr>
        <w:t>2</w:t>
      </w:r>
      <w:r>
        <w:rPr/>
        <w:t>）高新技术企业复审通过</w:t>
      </w:r>
    </w:p>
    <w:p>
      <w:pPr>
        <w:pStyle w:val="BodyText"/>
        <w:spacing w:line="300" w:lineRule="auto" w:before="63"/>
        <w:ind w:right="1130" w:firstLine="360"/>
        <w:jc w:val="both"/>
      </w:pPr>
      <w:r>
        <w:rPr/>
        <w:t>本公司于</w:t>
      </w:r>
      <w:r>
        <w:rPr>
          <w:spacing w:val="-29"/>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4"/>
        </w:rPr>
        <w:t> </w:t>
      </w:r>
      <w:r>
        <w:rPr/>
        <w:t>年</w:t>
      </w:r>
      <w:r>
        <w:rPr>
          <w:spacing w:val="-29"/>
        </w:rPr>
        <w:t> </w:t>
      </w:r>
      <w:r>
        <w:rPr>
          <w:rFonts w:ascii="Times New Roman" w:hAnsi="Times New Roman" w:cs="Times New Roman" w:eastAsia="Times New Roman" w:hint="default"/>
        </w:rPr>
        <w:t>2</w:t>
      </w:r>
      <w:r>
        <w:rPr>
          <w:rFonts w:ascii="Times New Roman" w:hAnsi="Times New Roman" w:cs="Times New Roman" w:eastAsia="Times New Roman" w:hint="default"/>
          <w:spacing w:val="16"/>
        </w:rPr>
        <w:t> </w:t>
      </w:r>
      <w:r>
        <w:rPr/>
        <w:t>月</w:t>
      </w:r>
      <w:r>
        <w:rPr>
          <w:spacing w:val="-29"/>
        </w:rPr>
        <w:t> </w:t>
      </w:r>
      <w:r>
        <w:rPr>
          <w:rFonts w:ascii="Times New Roman" w:hAnsi="Times New Roman" w:cs="Times New Roman" w:eastAsia="Times New Roman" w:hint="default"/>
        </w:rPr>
        <w:t>25</w:t>
      </w:r>
      <w:r>
        <w:rPr>
          <w:rFonts w:ascii="Times New Roman" w:hAnsi="Times New Roman" w:cs="Times New Roman" w:eastAsia="Times New Roman" w:hint="default"/>
          <w:spacing w:val="16"/>
        </w:rPr>
        <w:t> </w:t>
      </w:r>
      <w:r>
        <w:rPr/>
        <w:t>日收到由深圳市科技创新委员会、深圳市财政委员会、国家税务总局、深圳市税务局联合颁 发的《高新技术企业证书》 （证书编号：</w:t>
      </w:r>
      <w:r>
        <w:rPr>
          <w:rFonts w:ascii="Times New Roman" w:hAnsi="Times New Roman" w:cs="Times New Roman" w:eastAsia="Times New Roman" w:hint="default"/>
        </w:rPr>
        <w:t>GR201844201266</w:t>
      </w:r>
      <w:r>
        <w:rPr/>
        <w:t>，发证时间：</w:t>
      </w:r>
      <w:r>
        <w:rPr>
          <w:rFonts w:ascii="Times New Roman" w:hAnsi="Times New Roman" w:cs="Times New Roman" w:eastAsia="Times New Roman" w:hint="default"/>
        </w:rPr>
        <w:t>2018 </w:t>
      </w:r>
      <w:r>
        <w:rPr/>
        <w:t>年</w:t>
      </w:r>
      <w:r>
        <w:rPr>
          <w:rFonts w:ascii="Times New Roman" w:hAnsi="Times New Roman" w:cs="Times New Roman" w:eastAsia="Times New Roman" w:hint="default"/>
        </w:rPr>
        <w:t>10 </w:t>
      </w:r>
      <w:r>
        <w:rPr/>
        <w:t>月 </w:t>
      </w:r>
      <w:r>
        <w:rPr>
          <w:rFonts w:ascii="Times New Roman" w:hAnsi="Times New Roman" w:cs="Times New Roman" w:eastAsia="Times New Roman" w:hint="default"/>
        </w:rPr>
        <w:t>16</w:t>
      </w:r>
      <w:r>
        <w:rPr>
          <w:rFonts w:ascii="Times New Roman" w:hAnsi="Times New Roman" w:cs="Times New Roman" w:eastAsia="Times New Roman" w:hint="default"/>
          <w:spacing w:val="23"/>
        </w:rPr>
        <w:t> </w:t>
      </w:r>
      <w:r>
        <w:rPr/>
        <w:t>日，有效期三年）。根据相关规 定，公司高新技术企业认证通过后三年内（</w:t>
      </w:r>
      <w:r>
        <w:rPr>
          <w:rFonts w:ascii="Times New Roman" w:hAnsi="Times New Roman" w:cs="Times New Roman" w:eastAsia="Times New Roman" w:hint="default"/>
        </w:rPr>
        <w:t>2018 </w:t>
      </w:r>
      <w:r>
        <w:rPr/>
        <w:t>年</w:t>
      </w:r>
      <w:r>
        <w:rPr>
          <w:rFonts w:ascii="Times New Roman" w:hAnsi="Times New Roman" w:cs="Times New Roman" w:eastAsia="Times New Roman" w:hint="default"/>
        </w:rPr>
        <w:t>-2020 </w:t>
      </w:r>
      <w:r>
        <w:rPr/>
        <w:t>年） ，享受国家关于高新技术企业的相关税收优惠政策，</w:t>
      </w:r>
      <w:r>
        <w:rPr>
          <w:spacing w:val="-53"/>
        </w:rPr>
        <w:t> </w:t>
      </w:r>
      <w:r>
        <w:rPr/>
        <w:t>即企业</w:t>
      </w:r>
      <w:r>
        <w:rPr/>
        <w:t> 所得税按</w:t>
      </w:r>
      <w:r>
        <w:rPr>
          <w:spacing w:val="-19"/>
        </w:rPr>
        <w:t> </w:t>
      </w:r>
      <w:r>
        <w:rPr>
          <w:rFonts w:ascii="Times New Roman" w:hAnsi="Times New Roman" w:cs="Times New Roman" w:eastAsia="Times New Roman" w:hint="default"/>
        </w:rPr>
        <w:t>15%</w:t>
      </w:r>
      <w:r>
        <w:rPr/>
        <w:t>的税率征收。</w:t>
      </w:r>
    </w:p>
    <w:p>
      <w:pPr>
        <w:spacing w:after="0" w:line="300" w:lineRule="auto"/>
        <w:jc w:val="both"/>
        <w:sectPr>
          <w:pgSz w:w="11910" w:h="16840"/>
          <w:pgMar w:header="747" w:footer="979" w:top="1060" w:bottom="1160" w:left="980" w:right="0"/>
        </w:sectPr>
      </w:pPr>
    </w:p>
    <w:p>
      <w:pPr>
        <w:spacing w:line="240" w:lineRule="auto" w:before="9"/>
        <w:rPr>
          <w:rFonts w:ascii="宋体" w:hAnsi="宋体" w:cs="宋体" w:eastAsia="宋体" w:hint="default"/>
          <w:sz w:val="23"/>
          <w:szCs w:val="23"/>
        </w:rPr>
      </w:pPr>
    </w:p>
    <w:p>
      <w:pPr>
        <w:pStyle w:val="Heading2"/>
        <w:spacing w:line="240" w:lineRule="auto" w:before="26"/>
        <w:ind w:right="0"/>
        <w:jc w:val="left"/>
        <w:rPr>
          <w:b w:val="0"/>
          <w:bCs w:val="0"/>
        </w:rPr>
      </w:pPr>
      <w:bookmarkStart w:name="十四、其他重要事项" w:id="361"/>
      <w:bookmarkEnd w:id="361"/>
      <w:r>
        <w:rPr>
          <w:b w:val="0"/>
          <w:bCs w:val="0"/>
        </w:rPr>
      </w:r>
      <w:r>
        <w:rPr/>
        <w:t>十四、其他重要事项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分部信息" w:id="362"/>
      <w:bookmarkEnd w:id="362"/>
      <w:r>
        <w:rPr>
          <w:b w:val="0"/>
          <w:bCs w:val="0"/>
        </w:rPr>
      </w:r>
      <w:r>
        <w:rPr>
          <w:rFonts w:ascii="Times New Roman" w:hAnsi="Times New Roman" w:cs="Times New Roman" w:eastAsia="Times New Roman" w:hint="default"/>
        </w:rPr>
        <w:t>1</w:t>
      </w:r>
      <w:r>
        <w:rPr/>
        <w:t>、分部信息</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报告分部的确定依据与会计政策" w:id="363"/>
      <w:bookmarkEnd w:id="363"/>
      <w:r>
        <w:rPr>
          <w:b w:val="0"/>
          <w:bCs w:val="0"/>
        </w:rPr>
      </w:r>
      <w:r>
        <w:rPr/>
        <w:t>（</w:t>
      </w:r>
      <w:r>
        <w:rPr>
          <w:rFonts w:ascii="Times New Roman" w:hAnsi="Times New Roman" w:cs="Times New Roman" w:eastAsia="Times New Roman" w:hint="default"/>
        </w:rPr>
        <w:t>1</w:t>
      </w:r>
      <w:r>
        <w:rPr/>
        <w:t>）报告分部的确定依据与会计政策</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根据本公司的经营业务活动，按照公司产品行业分类作为确定报告分部的标准。</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bookmarkStart w:name="（2）报告分部的财务信息" w:id="364"/>
      <w:bookmarkEnd w:id="364"/>
      <w:r>
        <w:rPr>
          <w:b w:val="0"/>
          <w:bCs w:val="0"/>
        </w:rPr>
      </w:r>
      <w:r>
        <w:rPr/>
        <w:t>（</w:t>
      </w:r>
      <w:r>
        <w:rPr>
          <w:rFonts w:ascii="Times New Roman" w:hAnsi="Times New Roman" w:cs="Times New Roman" w:eastAsia="Times New Roman" w:hint="default"/>
        </w:rPr>
        <w:t>2</w:t>
      </w:r>
      <w:r>
        <w:rPr/>
        <w:t>）报告分部的财务信息</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344"/>
        <w:gridCol w:w="1378"/>
        <w:gridCol w:w="1368"/>
        <w:gridCol w:w="1367"/>
        <w:gridCol w:w="1367"/>
        <w:gridCol w:w="1367"/>
        <w:gridCol w:w="1367"/>
      </w:tblGrid>
      <w:tr>
        <w:trPr>
          <w:trHeight w:val="402" w:hRule="exact"/>
        </w:trPr>
        <w:tc>
          <w:tcPr>
            <w:tcW w:w="1344" w:type="dxa"/>
            <w:tcBorders>
              <w:top w:val="single" w:sz="4" w:space="0" w:color="000000"/>
              <w:left w:val="single" w:sz="4" w:space="0" w:color="000000"/>
              <w:bottom w:val="single" w:sz="4" w:space="0" w:color="000000"/>
              <w:right w:val="single" w:sz="13" w:space="0" w:color="D9D9D9"/>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78" w:type="dxa"/>
            <w:tcBorders>
              <w:top w:val="single" w:sz="4" w:space="0" w:color="000000"/>
              <w:left w:val="single" w:sz="13" w:space="0" w:color="D2D2D2"/>
              <w:bottom w:val="single" w:sz="4" w:space="0" w:color="000000"/>
              <w:right w:val="single" w:sz="4" w:space="0" w:color="000000"/>
            </w:tcBorders>
            <w:shd w:val="clear" w:color="auto" w:fill="D9D9D9"/>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包装印刷</w:t>
            </w:r>
          </w:p>
        </w:tc>
        <w:tc>
          <w:tcPr>
            <w:tcW w:w="13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139" w:right="0"/>
              <w:jc w:val="left"/>
              <w:rPr>
                <w:rFonts w:ascii="宋体" w:hAnsi="宋体" w:cs="宋体" w:eastAsia="宋体" w:hint="default"/>
                <w:sz w:val="18"/>
                <w:szCs w:val="18"/>
              </w:rPr>
            </w:pPr>
            <w:r>
              <w:rPr>
                <w:rFonts w:ascii="宋体" w:hAnsi="宋体" w:cs="宋体" w:eastAsia="宋体" w:hint="default"/>
                <w:sz w:val="18"/>
                <w:szCs w:val="18"/>
              </w:rPr>
              <w:t>镭射包装材料</w:t>
            </w:r>
          </w:p>
        </w:tc>
        <w:tc>
          <w:tcPr>
            <w:tcW w:w="13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物业管理</w:t>
            </w:r>
          </w:p>
        </w:tc>
        <w:tc>
          <w:tcPr>
            <w:tcW w:w="13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3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分部间抵销</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34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1378"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91"/>
              <w:ind w:left="50" w:right="0"/>
              <w:jc w:val="center"/>
              <w:rPr>
                <w:rFonts w:ascii="Times New Roman" w:hAnsi="Times New Roman" w:cs="Times New Roman" w:eastAsia="Times New Roman" w:hint="default"/>
                <w:sz w:val="18"/>
                <w:szCs w:val="18"/>
              </w:rPr>
            </w:pPr>
            <w:r>
              <w:rPr>
                <w:rFonts w:ascii="Times New Roman"/>
                <w:sz w:val="18"/>
              </w:rPr>
              <w:t>3,074,825,992.84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608,456,923.43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12,718,294.55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278,555,702.19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8" w:right="0"/>
              <w:jc w:val="center"/>
              <w:rPr>
                <w:rFonts w:ascii="Times New Roman" w:hAnsi="Times New Roman" w:cs="Times New Roman" w:eastAsia="Times New Roman" w:hint="default"/>
                <w:sz w:val="18"/>
                <w:szCs w:val="18"/>
              </w:rPr>
            </w:pPr>
            <w:r>
              <w:rPr>
                <w:rFonts w:ascii="Times New Roman"/>
                <w:sz w:val="18"/>
              </w:rPr>
              <w:t>-676,226,475.81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center"/>
              <w:rPr>
                <w:rFonts w:ascii="Times New Roman" w:hAnsi="Times New Roman" w:cs="Times New Roman" w:eastAsia="Times New Roman" w:hint="default"/>
                <w:sz w:val="18"/>
                <w:szCs w:val="18"/>
              </w:rPr>
            </w:pPr>
            <w:r>
              <w:rPr>
                <w:rFonts w:ascii="Times New Roman"/>
                <w:sz w:val="18"/>
              </w:rPr>
              <w:t>3,298,330,437.20</w:t>
            </w:r>
          </w:p>
        </w:tc>
      </w:tr>
      <w:tr>
        <w:trPr>
          <w:trHeight w:val="402" w:hRule="exact"/>
        </w:trPr>
        <w:tc>
          <w:tcPr>
            <w:tcW w:w="134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主营业务成本</w:t>
            </w:r>
          </w:p>
        </w:tc>
        <w:tc>
          <w:tcPr>
            <w:tcW w:w="1378"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91"/>
              <w:ind w:left="50" w:right="0"/>
              <w:jc w:val="center"/>
              <w:rPr>
                <w:rFonts w:ascii="Times New Roman" w:hAnsi="Times New Roman" w:cs="Times New Roman" w:eastAsia="Times New Roman" w:hint="default"/>
                <w:sz w:val="18"/>
                <w:szCs w:val="18"/>
              </w:rPr>
            </w:pPr>
            <w:r>
              <w:rPr>
                <w:rFonts w:ascii="Times New Roman"/>
                <w:sz w:val="18"/>
              </w:rPr>
              <w:t>1,803,696,512.54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467,617,842.47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8,113,514.78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233,862,731.72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8" w:right="0"/>
              <w:jc w:val="center"/>
              <w:rPr>
                <w:rFonts w:ascii="Times New Roman" w:hAnsi="Times New Roman" w:cs="Times New Roman" w:eastAsia="Times New Roman" w:hint="default"/>
                <w:sz w:val="18"/>
                <w:szCs w:val="18"/>
              </w:rPr>
            </w:pPr>
            <w:r>
              <w:rPr>
                <w:rFonts w:ascii="Times New Roman"/>
                <w:sz w:val="18"/>
              </w:rPr>
              <w:t>-651,447,242.83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center"/>
              <w:rPr>
                <w:rFonts w:ascii="Times New Roman" w:hAnsi="Times New Roman" w:cs="Times New Roman" w:eastAsia="Times New Roman" w:hint="default"/>
                <w:sz w:val="18"/>
                <w:szCs w:val="18"/>
              </w:rPr>
            </w:pPr>
            <w:r>
              <w:rPr>
                <w:rFonts w:ascii="Times New Roman"/>
                <w:sz w:val="18"/>
              </w:rPr>
              <w:t>1,861,843,358.68</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其他" w:id="365"/>
      <w:bookmarkEnd w:id="365"/>
      <w:r>
        <w:rPr>
          <w:b w:val="0"/>
          <w:bCs w:val="0"/>
        </w:rPr>
      </w:r>
      <w:r>
        <w:rPr>
          <w:rFonts w:ascii="Times New Roman" w:hAnsi="Times New Roman" w:cs="Times New Roman" w:eastAsia="Times New Roman" w:hint="default"/>
        </w:rPr>
        <w:t>2</w:t>
      </w:r>
      <w:r>
        <w:rPr/>
        <w:t>、其他</w:t>
      </w:r>
      <w:r>
        <w:rPr>
          <w:b w:val="0"/>
          <w:bCs w:val="0"/>
        </w:rPr>
      </w:r>
    </w:p>
    <w:p>
      <w:pPr>
        <w:spacing w:line="240" w:lineRule="auto" w:before="7"/>
        <w:rPr>
          <w:rFonts w:ascii="宋体" w:hAnsi="宋体" w:cs="宋体" w:eastAsia="宋体" w:hint="default"/>
          <w:b/>
          <w:bCs/>
          <w:sz w:val="26"/>
          <w:szCs w:val="26"/>
        </w:rPr>
      </w:pPr>
    </w:p>
    <w:p>
      <w:pPr>
        <w:pStyle w:val="BodyText"/>
        <w:spacing w:line="309" w:lineRule="auto"/>
        <w:ind w:right="1099" w:firstLine="360"/>
        <w:jc w:val="right"/>
      </w:pPr>
      <w:r>
        <w:rPr/>
        <w:t>公司于 </w:t>
      </w:r>
      <w:r>
        <w:rPr>
          <w:rFonts w:ascii="Times New Roman" w:hAnsi="Times New Roman" w:cs="Times New Roman" w:eastAsia="Times New Roman" w:hint="default"/>
        </w:rPr>
        <w:t>2018 </w:t>
      </w:r>
      <w:r>
        <w:rPr/>
        <w:t>年 </w:t>
      </w:r>
      <w:r>
        <w:rPr>
          <w:rFonts w:ascii="Times New Roman" w:hAnsi="Times New Roman" w:cs="Times New Roman" w:eastAsia="Times New Roman" w:hint="default"/>
        </w:rPr>
        <w:t>2 </w:t>
      </w:r>
      <w:r>
        <w:rPr/>
        <w:t>月 </w:t>
      </w:r>
      <w:r>
        <w:rPr>
          <w:rFonts w:ascii="Times New Roman" w:hAnsi="Times New Roman" w:cs="Times New Roman" w:eastAsia="Times New Roman" w:hint="default"/>
        </w:rPr>
        <w:t>11 </w:t>
      </w:r>
      <w:r>
        <w:rPr/>
        <w:t>日召开的第五届董事会 </w:t>
      </w:r>
      <w:r>
        <w:rPr>
          <w:rFonts w:ascii="Times New Roman" w:hAnsi="Times New Roman" w:cs="Times New Roman" w:eastAsia="Times New Roman" w:hint="default"/>
        </w:rPr>
        <w:t>2018 </w:t>
      </w:r>
      <w:r>
        <w:rPr/>
        <w:t>年第二次会议、于</w:t>
      </w:r>
      <w:r>
        <w:rPr>
          <w:rFonts w:ascii="Times New Roman" w:hAnsi="Times New Roman" w:cs="Times New Roman" w:eastAsia="Times New Roman" w:hint="default"/>
        </w:rPr>
        <w:t>2018 </w:t>
      </w:r>
      <w:r>
        <w:rPr/>
        <w:t>年 </w:t>
      </w:r>
      <w:r>
        <w:rPr>
          <w:rFonts w:ascii="Times New Roman" w:hAnsi="Times New Roman" w:cs="Times New Roman" w:eastAsia="Times New Roman" w:hint="default"/>
        </w:rPr>
        <w:t>3 </w:t>
      </w:r>
      <w:r>
        <w:rPr/>
        <w:t>月 </w:t>
      </w:r>
      <w:r>
        <w:rPr>
          <w:rFonts w:ascii="Times New Roman" w:hAnsi="Times New Roman" w:cs="Times New Roman" w:eastAsia="Times New Roman" w:hint="default"/>
        </w:rPr>
        <w:t>5 </w:t>
      </w:r>
      <w:r>
        <w:rPr/>
        <w:t>日召开的 </w:t>
      </w:r>
      <w:r>
        <w:rPr>
          <w:rFonts w:ascii="Times New Roman" w:hAnsi="Times New Roman" w:cs="Times New Roman" w:eastAsia="Times New Roman" w:hint="default"/>
        </w:rPr>
        <w:t>2018</w:t>
      </w:r>
      <w:r>
        <w:rPr>
          <w:rFonts w:ascii="Times New Roman" w:hAnsi="Times New Roman" w:cs="Times New Roman" w:eastAsia="Times New Roman" w:hint="default"/>
          <w:spacing w:val="4"/>
        </w:rPr>
        <w:t> </w:t>
      </w:r>
      <w:r>
        <w:rPr/>
        <w:t>年第二次临时 </w:t>
      </w:r>
      <w:r>
        <w:rPr>
          <w:spacing w:val="-2"/>
        </w:rPr>
        <w:t>股东大会审议通过了《关于回购部分社会公众股份的预案》，本公司计划以自有资金在不低于人民币</w:t>
      </w:r>
      <w:r>
        <w:rPr>
          <w:rFonts w:ascii="Times New Roman" w:hAnsi="Times New Roman" w:cs="Times New Roman" w:eastAsia="Times New Roman" w:hint="default"/>
          <w:spacing w:val="-2"/>
        </w:rPr>
        <w:t>1</w:t>
      </w:r>
      <w:r>
        <w:rPr>
          <w:spacing w:val="-2"/>
        </w:rPr>
        <w:t>亿元，不高于人民币</w:t>
      </w:r>
      <w:r>
        <w:rPr>
          <w:rFonts w:ascii="Times New Roman" w:hAnsi="Times New Roman" w:cs="Times New Roman" w:eastAsia="Times New Roman" w:hint="default"/>
          <w:spacing w:val="-2"/>
        </w:rPr>
        <w:t>3</w:t>
      </w:r>
      <w:r>
        <w:rPr>
          <w:rFonts w:ascii="Times New Roman" w:hAnsi="Times New Roman" w:cs="Times New Roman" w:eastAsia="Times New Roman" w:hint="default"/>
        </w:rPr>
        <w:t> </w:t>
      </w:r>
      <w:r>
        <w:rPr>
          <w:w w:val="95"/>
        </w:rPr>
        <w:t>亿元的资金总额内，通过深圳证券交易所股票交易系统以集中竞价交易方式对公司发行的人民币普通股（</w:t>
      </w:r>
      <w:r>
        <w:rPr>
          <w:rFonts w:ascii="Times New Roman" w:hAnsi="Times New Roman" w:cs="Times New Roman" w:eastAsia="Times New Roman" w:hint="default"/>
          <w:w w:val="95"/>
        </w:rPr>
        <w:t>A</w:t>
      </w:r>
      <w:r>
        <w:rPr>
          <w:w w:val="95"/>
        </w:rPr>
        <w:t>股）进行回购。</w:t>
      </w:r>
      <w:r>
        <w:rPr>
          <w:spacing w:val="48"/>
          <w:w w:val="95"/>
        </w:rPr>
        <w:t> </w:t>
      </w:r>
      <w:r>
        <w:rPr>
          <w:spacing w:val="2"/>
        </w:rPr>
        <w:t>公司于</w:t>
      </w:r>
      <w:r>
        <w:rPr>
          <w:rFonts w:ascii="宋体" w:hAnsi="宋体" w:cs="宋体" w:eastAsia="宋体" w:hint="default"/>
          <w:spacing w:val="2"/>
        </w:rPr>
        <w:t>2018</w:t>
      </w:r>
      <w:r>
        <w:rPr>
          <w:spacing w:val="2"/>
        </w:rPr>
        <w:t>年</w:t>
      </w:r>
      <w:r>
        <w:rPr>
          <w:rFonts w:ascii="宋体" w:hAnsi="宋体" w:cs="宋体" w:eastAsia="宋体" w:hint="default"/>
          <w:spacing w:val="2"/>
        </w:rPr>
        <w:t>8</w:t>
      </w:r>
      <w:r>
        <w:rPr>
          <w:spacing w:val="2"/>
        </w:rPr>
        <w:t>月</w:t>
      </w:r>
      <w:r>
        <w:rPr>
          <w:rFonts w:ascii="宋体" w:hAnsi="宋体" w:cs="宋体" w:eastAsia="宋体" w:hint="default"/>
          <w:spacing w:val="2"/>
        </w:rPr>
        <w:t>17</w:t>
      </w:r>
      <w:r>
        <w:rPr>
          <w:spacing w:val="2"/>
        </w:rPr>
        <w:t>日召开的第五届董事会</w:t>
      </w:r>
      <w:r>
        <w:rPr>
          <w:rFonts w:ascii="宋体" w:hAnsi="宋体" w:cs="宋体" w:eastAsia="宋体" w:hint="default"/>
          <w:spacing w:val="2"/>
        </w:rPr>
        <w:t>2018</w:t>
      </w:r>
      <w:r>
        <w:rPr>
          <w:spacing w:val="2"/>
        </w:rPr>
        <w:t>年第八次会议审议通过了《关于调整回购部分社会公众股份事项的议</w:t>
      </w:r>
      <w:r>
        <w:rPr/>
        <w:t> 案》，同意对原回购股份方案的回购股份的金额及实施期限进行调整，即由原计划“以自有资金在不低于人民币</w:t>
      </w:r>
      <w:r>
        <w:rPr>
          <w:rFonts w:ascii="宋体" w:hAnsi="宋体" w:cs="宋体" w:eastAsia="宋体" w:hint="default"/>
        </w:rPr>
        <w:t>1</w:t>
      </w:r>
      <w:r>
        <w:rPr/>
        <w:t>亿元，不 高于人民币</w:t>
      </w:r>
      <w:r>
        <w:rPr>
          <w:rFonts w:ascii="宋体" w:hAnsi="宋体" w:cs="宋体" w:eastAsia="宋体" w:hint="default"/>
        </w:rPr>
        <w:t>3</w:t>
      </w:r>
      <w:r>
        <w:rPr/>
        <w:t>亿元的资金总额内，自股东大会审议通过本次回购股份方案之日起不超过</w:t>
      </w:r>
      <w:r>
        <w:rPr>
          <w:rFonts w:ascii="宋体" w:hAnsi="宋体" w:cs="宋体" w:eastAsia="宋体" w:hint="default"/>
        </w:rPr>
        <w:t>6</w:t>
      </w:r>
      <w:r>
        <w:rPr/>
        <w:t>个月（即在</w:t>
      </w:r>
      <w:r>
        <w:rPr>
          <w:rFonts w:ascii="宋体" w:hAnsi="宋体" w:cs="宋体" w:eastAsia="宋体" w:hint="default"/>
        </w:rPr>
        <w:t>2018</w:t>
      </w:r>
      <w:r>
        <w:rPr/>
        <w:t>年</w:t>
      </w:r>
      <w:r>
        <w:rPr>
          <w:rFonts w:ascii="宋体" w:hAnsi="宋体" w:cs="宋体" w:eastAsia="宋体" w:hint="default"/>
        </w:rPr>
        <w:t>3</w:t>
      </w:r>
      <w:r>
        <w:rPr/>
        <w:t>月</w:t>
      </w:r>
      <w:r>
        <w:rPr>
          <w:rFonts w:ascii="宋体" w:hAnsi="宋体" w:cs="宋体" w:eastAsia="宋体" w:hint="default"/>
        </w:rPr>
        <w:t>5</w:t>
      </w:r>
      <w:r>
        <w:rPr/>
        <w:t>日至</w:t>
      </w:r>
      <w:r>
        <w:rPr>
          <w:rFonts w:ascii="宋体" w:hAnsi="宋体" w:cs="宋体" w:eastAsia="宋体" w:hint="default"/>
        </w:rPr>
        <w:t>2018</w:t>
      </w:r>
      <w:r>
        <w:rPr/>
        <w:t>年</w:t>
      </w:r>
      <w:r>
        <w:rPr>
          <w:rFonts w:ascii="宋体" w:hAnsi="宋体" w:cs="宋体" w:eastAsia="宋体" w:hint="default"/>
        </w:rPr>
        <w:t>9 </w:t>
      </w:r>
      <w:r>
        <w:rPr/>
        <w:t>月</w:t>
      </w:r>
      <w:r>
        <w:rPr>
          <w:rFonts w:ascii="宋体" w:hAnsi="宋体" w:cs="宋体" w:eastAsia="宋体" w:hint="default"/>
        </w:rPr>
        <w:t>5</w:t>
      </w:r>
      <w:r>
        <w:rPr/>
        <w:t>日期限内）进行股份回购”调整为“以自有资金在不低于人民币</w:t>
      </w:r>
      <w:r>
        <w:rPr>
          <w:rFonts w:ascii="宋体" w:hAnsi="宋体" w:cs="宋体" w:eastAsia="宋体" w:hint="default"/>
        </w:rPr>
        <w:t>1</w:t>
      </w:r>
      <w:r>
        <w:rPr/>
        <w:t>亿元，不高于人民币</w:t>
      </w:r>
      <w:r>
        <w:rPr>
          <w:rFonts w:ascii="宋体" w:hAnsi="宋体" w:cs="宋体" w:eastAsia="宋体" w:hint="default"/>
        </w:rPr>
        <w:t>6</w:t>
      </w:r>
      <w:r>
        <w:rPr/>
        <w:t>亿元的资金总额内，自股东大会</w:t>
      </w:r>
    </w:p>
    <w:p>
      <w:pPr>
        <w:pStyle w:val="BodyText"/>
        <w:spacing w:line="316" w:lineRule="auto" w:before="24"/>
        <w:ind w:left="514" w:right="1127" w:hanging="360"/>
        <w:jc w:val="left"/>
      </w:pPr>
      <w:r>
        <w:rPr/>
        <w:t>审议通过本次回购股份方案之日起不超过</w:t>
      </w:r>
      <w:r>
        <w:rPr>
          <w:rFonts w:ascii="宋体" w:hAnsi="宋体" w:cs="宋体" w:eastAsia="宋体" w:hint="default"/>
        </w:rPr>
        <w:t>12</w:t>
      </w:r>
      <w:r>
        <w:rPr/>
        <w:t>个月（即在</w:t>
      </w:r>
      <w:r>
        <w:rPr>
          <w:rFonts w:ascii="宋体" w:hAnsi="宋体" w:cs="宋体" w:eastAsia="宋体" w:hint="default"/>
        </w:rPr>
        <w:t>2018</w:t>
      </w:r>
      <w:r>
        <w:rPr/>
        <w:t>年</w:t>
      </w:r>
      <w:r>
        <w:rPr>
          <w:rFonts w:ascii="宋体" w:hAnsi="宋体" w:cs="宋体" w:eastAsia="宋体" w:hint="default"/>
        </w:rPr>
        <w:t>3</w:t>
      </w:r>
      <w:r>
        <w:rPr/>
        <w:t>月</w:t>
      </w:r>
      <w:r>
        <w:rPr>
          <w:rFonts w:ascii="宋体" w:hAnsi="宋体" w:cs="宋体" w:eastAsia="宋体" w:hint="default"/>
        </w:rPr>
        <w:t>5</w:t>
      </w:r>
      <w:r>
        <w:rPr/>
        <w:t>日至</w:t>
      </w:r>
      <w:r>
        <w:rPr>
          <w:rFonts w:ascii="宋体" w:hAnsi="宋体" w:cs="宋体" w:eastAsia="宋体" w:hint="default"/>
        </w:rPr>
        <w:t>2019</w:t>
      </w:r>
      <w:r>
        <w:rPr/>
        <w:t>年</w:t>
      </w:r>
      <w:r>
        <w:rPr>
          <w:rFonts w:ascii="宋体" w:hAnsi="宋体" w:cs="宋体" w:eastAsia="宋体" w:hint="default"/>
        </w:rPr>
        <w:t>3</w:t>
      </w:r>
      <w:r>
        <w:rPr/>
        <w:t>月</w:t>
      </w:r>
      <w:r>
        <w:rPr>
          <w:rFonts w:ascii="宋体" w:hAnsi="宋体" w:cs="宋体" w:eastAsia="宋体" w:hint="default"/>
        </w:rPr>
        <w:t>5</w:t>
      </w:r>
      <w:r>
        <w:rPr/>
        <w:t>日期限内）进行股份回购”。 </w:t>
      </w:r>
      <w:r>
        <w:rPr>
          <w:spacing w:val="12"/>
        </w:rPr>
        <w:t>截止本次回购股份方案实施完毕日，公司已累计回购股份 </w:t>
      </w:r>
      <w:r>
        <w:rPr>
          <w:rFonts w:ascii="Times New Roman" w:hAnsi="Times New Roman" w:cs="Times New Roman" w:eastAsia="Times New Roman" w:hint="default"/>
        </w:rPr>
        <w:t>29,963,932 </w:t>
      </w:r>
      <w:r>
        <w:rPr>
          <w:rFonts w:ascii="Times New Roman" w:hAnsi="Times New Roman" w:cs="Times New Roman" w:eastAsia="Times New Roman" w:hint="default"/>
          <w:spacing w:val="7"/>
        </w:rPr>
        <w:t> </w:t>
      </w:r>
      <w:r>
        <w:rPr>
          <w:spacing w:val="12"/>
        </w:rPr>
        <w:t>股，占公司截止至回购完毕之日总股本的</w:t>
      </w:r>
    </w:p>
    <w:p>
      <w:pPr>
        <w:pStyle w:val="BodyText"/>
        <w:spacing w:line="248" w:lineRule="exact"/>
        <w:ind w:right="0"/>
        <w:jc w:val="left"/>
      </w:pPr>
      <w:r>
        <w:rPr>
          <w:rFonts w:ascii="Times New Roman" w:hAnsi="Times New Roman" w:cs="Times New Roman" w:eastAsia="Times New Roman" w:hint="default"/>
        </w:rPr>
        <w:t>2.0045%</w:t>
      </w:r>
      <w:r>
        <w:rPr/>
        <w:t>，成交金额为 </w:t>
      </w:r>
      <w:r>
        <w:rPr>
          <w:rFonts w:ascii="Times New Roman" w:hAnsi="Times New Roman" w:cs="Times New Roman" w:eastAsia="Times New Roman" w:hint="default"/>
        </w:rPr>
        <w:t>230,222,172.45</w:t>
      </w:r>
      <w:r>
        <w:rPr>
          <w:rFonts w:ascii="Times New Roman" w:hAnsi="Times New Roman" w:cs="Times New Roman" w:eastAsia="Times New Roman" w:hint="default"/>
          <w:spacing w:val="4"/>
        </w:rPr>
        <w:t> </w:t>
      </w:r>
      <w:r>
        <w:rPr/>
        <w:t>元（不含交易费用）。</w:t>
      </w:r>
    </w:p>
    <w:p>
      <w:pPr>
        <w:spacing w:line="240" w:lineRule="auto" w:before="1"/>
        <w:rPr>
          <w:rFonts w:ascii="宋体" w:hAnsi="宋体" w:cs="宋体" w:eastAsia="宋体" w:hint="default"/>
          <w:sz w:val="24"/>
          <w:szCs w:val="24"/>
        </w:rPr>
      </w:pPr>
    </w:p>
    <w:p>
      <w:pPr>
        <w:pStyle w:val="Heading2"/>
        <w:spacing w:line="240" w:lineRule="auto"/>
        <w:ind w:right="0"/>
        <w:jc w:val="left"/>
        <w:rPr>
          <w:b w:val="0"/>
          <w:bCs w:val="0"/>
        </w:rPr>
      </w:pPr>
      <w:bookmarkStart w:name="十五、母公司财务报表主要项目注释" w:id="366"/>
      <w:bookmarkEnd w:id="366"/>
      <w:r>
        <w:rPr>
          <w:b w:val="0"/>
          <w:bCs w:val="0"/>
        </w:rPr>
      </w:r>
      <w:r>
        <w:rPr/>
        <w:t>十五、母公司财务报表主要项目注释</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应收票据及应收账款" w:id="367"/>
      <w:bookmarkEnd w:id="367"/>
      <w:r>
        <w:rPr>
          <w:b w:val="0"/>
          <w:bCs w:val="0"/>
        </w:rPr>
      </w:r>
      <w:r>
        <w:rPr>
          <w:rFonts w:ascii="Times New Roman" w:hAnsi="Times New Roman" w:cs="Times New Roman" w:eastAsia="Times New Roman" w:hint="default"/>
        </w:rPr>
        <w:t>1</w:t>
      </w:r>
      <w:r>
        <w:rPr/>
        <w:t>、应收票据及应收账款</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95,233,367.39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85,260,327.74</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289,440,541.57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256,387,022.90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384,673,908.96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341,647,350.64</w:t>
            </w:r>
          </w:p>
        </w:tc>
      </w:tr>
    </w:tbl>
    <w:p>
      <w:pPr>
        <w:spacing w:line="240" w:lineRule="auto" w:before="3"/>
        <w:rPr>
          <w:rFonts w:ascii="宋体" w:hAnsi="宋体" w:cs="宋体" w:eastAsia="宋体" w:hint="default"/>
          <w:sz w:val="19"/>
          <w:szCs w:val="19"/>
        </w:rPr>
      </w:pPr>
    </w:p>
    <w:p>
      <w:pPr>
        <w:pStyle w:val="Heading3"/>
        <w:spacing w:line="240" w:lineRule="auto" w:before="35"/>
        <w:ind w:right="0"/>
        <w:jc w:val="left"/>
        <w:rPr>
          <w:b w:val="0"/>
          <w:bCs w:val="0"/>
        </w:rPr>
      </w:pPr>
      <w:bookmarkStart w:name="（1）应收票据" w:id="368"/>
      <w:bookmarkEnd w:id="368"/>
      <w:r>
        <w:rPr>
          <w:b w:val="0"/>
          <w:bCs w:val="0"/>
        </w:rPr>
      </w:r>
      <w:r>
        <w:rPr/>
        <w:t>（</w:t>
      </w:r>
      <w:r>
        <w:rPr>
          <w:rFonts w:ascii="Times New Roman" w:hAnsi="Times New Roman" w:cs="Times New Roman" w:eastAsia="Times New Roman" w:hint="default"/>
        </w:rPr>
        <w:t>1</w:t>
      </w:r>
      <w:r>
        <w:rPr/>
        <w:t>）应收票据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1)</w:t>
      </w:r>
      <w:r>
        <w:rPr/>
        <w:t>应收票据分类列示</w:t>
      </w:r>
    </w:p>
    <w:p>
      <w:pPr>
        <w:pStyle w:val="BodyText"/>
        <w:spacing w:line="240" w:lineRule="auto" w:before="102"/>
        <w:ind w:left="0" w:right="1130"/>
        <w:jc w:val="right"/>
      </w:pPr>
      <w:r>
        <w:rPr/>
        <w:t>单位： 元</w:t>
      </w:r>
    </w:p>
    <w:p>
      <w:pPr>
        <w:spacing w:after="0" w:line="240" w:lineRule="auto"/>
        <w:jc w:val="right"/>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95,233,367.39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85,260,327.74</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95,233,367.39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85,260,327.74</w:t>
            </w:r>
          </w:p>
        </w:tc>
      </w:tr>
    </w:tbl>
    <w:p>
      <w:pPr>
        <w:pStyle w:val="BodyText"/>
        <w:spacing w:line="240" w:lineRule="auto" w:before="51"/>
        <w:ind w:right="0"/>
        <w:jc w:val="left"/>
      </w:pPr>
      <w:r>
        <w:rPr>
          <w:rFonts w:ascii="Times New Roman" w:hAnsi="Times New Roman" w:cs="Times New Roman" w:eastAsia="Times New Roman" w:hint="default"/>
        </w:rPr>
        <w:t>2)</w:t>
      </w:r>
      <w:r>
        <w:rPr/>
        <w:t>期末公司已背书或贴现且在资产负债表日尚未到期的应收票据</w:t>
      </w:r>
    </w:p>
    <w:p>
      <w:pPr>
        <w:pStyle w:val="BodyText"/>
        <w:spacing w:line="240" w:lineRule="auto" w:before="103"/>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82" w:right="0"/>
              <w:jc w:val="left"/>
              <w:rPr>
                <w:rFonts w:ascii="宋体" w:hAnsi="宋体" w:cs="宋体" w:eastAsia="宋体" w:hint="default"/>
                <w:sz w:val="18"/>
                <w:szCs w:val="18"/>
              </w:rPr>
            </w:pPr>
            <w:r>
              <w:rPr>
                <w:rFonts w:ascii="宋体" w:hAnsi="宋体" w:cs="宋体" w:eastAsia="宋体" w:hint="default"/>
                <w:sz w:val="18"/>
                <w:szCs w:val="18"/>
              </w:rPr>
              <w:t>期末终止确认金额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80" w:right="0"/>
              <w:jc w:val="left"/>
              <w:rPr>
                <w:rFonts w:ascii="宋体" w:hAnsi="宋体" w:cs="宋体" w:eastAsia="宋体" w:hint="default"/>
                <w:sz w:val="18"/>
                <w:szCs w:val="18"/>
              </w:rPr>
            </w:pPr>
            <w:r>
              <w:rPr>
                <w:rFonts w:ascii="宋体" w:hAnsi="宋体" w:cs="宋体" w:eastAsia="宋体" w:hint="default"/>
                <w:sz w:val="18"/>
                <w:szCs w:val="18"/>
              </w:rPr>
              <w:t>期末未终止确认金额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22,040,338.72</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22,040,338.72</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应收账款" w:id="369"/>
      <w:bookmarkEnd w:id="369"/>
      <w:r>
        <w:rPr>
          <w:b w:val="0"/>
          <w:bCs w:val="0"/>
        </w:rPr>
      </w:r>
      <w:r>
        <w:rPr/>
        <w:t>（</w:t>
      </w:r>
      <w:r>
        <w:rPr>
          <w:rFonts w:ascii="Times New Roman" w:hAnsi="Times New Roman" w:cs="Times New Roman" w:eastAsia="Times New Roman" w:hint="default"/>
        </w:rPr>
        <w:t>2</w:t>
      </w:r>
      <w:r>
        <w:rPr/>
        <w:t>）应收账款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1)</w:t>
      </w:r>
      <w:r>
        <w:rPr/>
        <w:t>应收账款分类披露</w:t>
      </w:r>
    </w:p>
    <w:p>
      <w:pPr>
        <w:pStyle w:val="BodyText"/>
        <w:spacing w:line="240" w:lineRule="auto" w:before="102"/>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611"/>
        <w:gridCol w:w="775"/>
        <w:gridCol w:w="762"/>
        <w:gridCol w:w="762"/>
        <w:gridCol w:w="762"/>
        <w:gridCol w:w="790"/>
        <w:gridCol w:w="654"/>
        <w:gridCol w:w="762"/>
        <w:gridCol w:w="813"/>
        <w:gridCol w:w="932"/>
        <w:gridCol w:w="932"/>
      </w:tblGrid>
      <w:tr>
        <w:trPr>
          <w:trHeight w:val="403" w:hRule="exact"/>
        </w:trPr>
        <w:tc>
          <w:tcPr>
            <w:tcW w:w="1611" w:type="dxa"/>
            <w:vMerge w:val="restart"/>
            <w:tcBorders>
              <w:top w:val="single" w:sz="4" w:space="0" w:color="000000"/>
              <w:left w:val="single" w:sz="4" w:space="0" w:color="000000"/>
              <w:right w:val="single" w:sz="4" w:space="0" w:color="000000"/>
            </w:tcBorders>
            <w:shd w:val="clear" w:color="auto" w:fill="D2D2D2"/>
          </w:tcPr>
          <w:p>
            <w:pPr/>
          </w:p>
        </w:tc>
        <w:tc>
          <w:tcPr>
            <w:tcW w:w="385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1" w:hRule="exact"/>
        </w:trPr>
        <w:tc>
          <w:tcPr>
            <w:tcW w:w="1611" w:type="dxa"/>
            <w:vMerge/>
            <w:tcBorders>
              <w:left w:val="single" w:sz="4" w:space="0" w:color="000000"/>
              <w:bottom w:val="nil" w:sz="6" w:space="0" w:color="auto"/>
              <w:right w:val="single" w:sz="4" w:space="0" w:color="000000"/>
            </w:tcBorders>
            <w:shd w:val="clear" w:color="auto" w:fill="D2D2D2"/>
          </w:tcPr>
          <w:p>
            <w:pPr/>
          </w:p>
        </w:tc>
        <w:tc>
          <w:tcPr>
            <w:tcW w:w="153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40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4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1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537"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9" w:hRule="exact"/>
        </w:trPr>
        <w:tc>
          <w:tcPr>
            <w:tcW w:w="1611" w:type="dxa"/>
            <w:vMerge/>
            <w:tcBorders>
              <w:left w:val="single" w:sz="4" w:space="0" w:color="000000"/>
              <w:bottom w:val="single" w:sz="4" w:space="0" w:color="FFFFFF"/>
              <w:right w:val="single" w:sz="4" w:space="0" w:color="000000"/>
            </w:tcBorders>
            <w:shd w:val="clear" w:color="auto" w:fill="D2D2D2"/>
          </w:tcPr>
          <w:p>
            <w:pPr/>
          </w:p>
        </w:tc>
        <w:tc>
          <w:tcPr>
            <w:tcW w:w="775"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2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4" w:hRule="exact"/>
        </w:trPr>
        <w:tc>
          <w:tcPr>
            <w:tcW w:w="1611" w:type="dxa"/>
            <w:vMerge w:val="restart"/>
            <w:tcBorders>
              <w:top w:val="single" w:sz="4" w:space="0" w:color="FFFFFF"/>
              <w:left w:val="single" w:sz="4" w:space="0" w:color="000000"/>
              <w:right w:val="single" w:sz="4" w:space="0" w:color="000000"/>
            </w:tcBorders>
            <w:shd w:val="clear" w:color="auto" w:fill="D2D2D2"/>
          </w:tcPr>
          <w:p>
            <w:pPr/>
          </w:p>
        </w:tc>
        <w:tc>
          <w:tcPr>
            <w:tcW w:w="775"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20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0" w:hRule="exact"/>
        </w:trPr>
        <w:tc>
          <w:tcPr>
            <w:tcW w:w="1611" w:type="dxa"/>
            <w:vMerge/>
            <w:tcBorders>
              <w:left w:val="single" w:sz="4" w:space="0" w:color="000000"/>
              <w:right w:val="single" w:sz="4" w:space="0" w:color="000000"/>
            </w:tcBorders>
            <w:shd w:val="clear" w:color="auto" w:fill="D2D2D2"/>
          </w:tcPr>
          <w:p>
            <w:pPr/>
          </w:p>
        </w:tc>
        <w:tc>
          <w:tcPr>
            <w:tcW w:w="775"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11" w:type="dxa"/>
            <w:vMerge/>
            <w:tcBorders>
              <w:left w:val="single" w:sz="4" w:space="0" w:color="000000"/>
              <w:bottom w:val="single" w:sz="4" w:space="0" w:color="000000"/>
              <w:right w:val="single" w:sz="4" w:space="0" w:color="000000"/>
            </w:tcBorders>
            <w:shd w:val="clear" w:color="auto" w:fill="D2D2D2"/>
          </w:tcPr>
          <w:p>
            <w:pPr/>
          </w:p>
        </w:tc>
        <w:tc>
          <w:tcPr>
            <w:tcW w:w="77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11" w:right="148"/>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75" w:right="0"/>
              <w:jc w:val="center"/>
              <w:rPr>
                <w:rFonts w:ascii="Times New Roman" w:hAnsi="Times New Roman" w:cs="Times New Roman" w:eastAsia="Times New Roman" w:hint="default"/>
                <w:sz w:val="18"/>
                <w:szCs w:val="18"/>
              </w:rPr>
            </w:pPr>
            <w:r>
              <w:rPr>
                <w:rFonts w:ascii="Times New Roman"/>
                <w:sz w:val="18"/>
              </w:rPr>
              <w:t>302,956,</w:t>
            </w:r>
          </w:p>
          <w:p>
            <w:pPr>
              <w:pStyle w:val="TableParagraph"/>
              <w:spacing w:line="240" w:lineRule="auto" w:before="105"/>
              <w:ind w:left="212" w:right="0"/>
              <w:jc w:val="center"/>
              <w:rPr>
                <w:rFonts w:ascii="Times New Roman" w:hAnsi="Times New Roman" w:cs="Times New Roman" w:eastAsia="Times New Roman" w:hint="default"/>
                <w:sz w:val="18"/>
                <w:szCs w:val="18"/>
              </w:rPr>
            </w:pPr>
            <w:r>
              <w:rPr>
                <w:rFonts w:ascii="Times New Roman"/>
                <w:sz w:val="18"/>
              </w:rPr>
              <w:t>730.39</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99.92%</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13,516,1</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88.82</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4.46%</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289,440,5</w:t>
            </w:r>
          </w:p>
          <w:p>
            <w:pPr>
              <w:pStyle w:val="TableParagraph"/>
              <w:spacing w:line="240" w:lineRule="auto" w:before="105"/>
              <w:ind w:left="352" w:right="0"/>
              <w:jc w:val="left"/>
              <w:rPr>
                <w:rFonts w:ascii="Times New Roman" w:hAnsi="Times New Roman" w:cs="Times New Roman" w:eastAsia="Times New Roman" w:hint="default"/>
                <w:sz w:val="18"/>
                <w:szCs w:val="18"/>
              </w:rPr>
            </w:pPr>
            <w:r>
              <w:rPr>
                <w:rFonts w:ascii="Times New Roman"/>
                <w:sz w:val="18"/>
              </w:rPr>
              <w:t>41.57</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6" w:right="0"/>
              <w:jc w:val="left"/>
              <w:rPr>
                <w:rFonts w:ascii="Times New Roman" w:hAnsi="Times New Roman" w:cs="Times New Roman" w:eastAsia="Times New Roman" w:hint="default"/>
                <w:sz w:val="18"/>
                <w:szCs w:val="18"/>
              </w:rPr>
            </w:pPr>
            <w:r>
              <w:rPr>
                <w:rFonts w:ascii="Times New Roman"/>
                <w:sz w:val="18"/>
              </w:rPr>
              <w:t>268,969</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,839.60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99.91%</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12,582,81</w:t>
            </w:r>
          </w:p>
          <w:p>
            <w:pPr>
              <w:pStyle w:val="TableParagraph"/>
              <w:spacing w:line="240" w:lineRule="auto" w:before="105"/>
              <w:ind w:left="465" w:right="0"/>
              <w:jc w:val="left"/>
              <w:rPr>
                <w:rFonts w:ascii="Times New Roman" w:hAnsi="Times New Roman" w:cs="Times New Roman" w:eastAsia="Times New Roman" w:hint="default"/>
                <w:sz w:val="18"/>
                <w:szCs w:val="18"/>
              </w:rPr>
            </w:pPr>
            <w:r>
              <w:rPr>
                <w:rFonts w:ascii="Times New Roman"/>
                <w:sz w:val="18"/>
              </w:rPr>
              <w:t>6.70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4.68%</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256,387,02</w:t>
            </w:r>
          </w:p>
          <w:p>
            <w:pPr>
              <w:pStyle w:val="TableParagraph"/>
              <w:spacing w:line="240" w:lineRule="auto" w:before="105"/>
              <w:ind w:left="584" w:right="0"/>
              <w:jc w:val="left"/>
              <w:rPr>
                <w:rFonts w:ascii="Times New Roman" w:hAnsi="Times New Roman" w:cs="Times New Roman" w:eastAsia="Times New Roman" w:hint="default"/>
                <w:sz w:val="18"/>
                <w:szCs w:val="18"/>
              </w:rPr>
            </w:pPr>
            <w:r>
              <w:rPr>
                <w:rFonts w:ascii="Times New Roman"/>
                <w:sz w:val="18"/>
              </w:rPr>
              <w:t>2.90</w:t>
            </w:r>
          </w:p>
        </w:tc>
      </w:tr>
      <w:tr>
        <w:trPr>
          <w:trHeight w:val="1026" w:hRule="exact"/>
        </w:trPr>
        <w:tc>
          <w:tcPr>
            <w:tcW w:w="1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48"/>
              <w:jc w:val="both"/>
              <w:rPr>
                <w:rFonts w:ascii="宋体" w:hAnsi="宋体" w:cs="宋体" w:eastAsia="宋体" w:hint="default"/>
                <w:sz w:val="18"/>
                <w:szCs w:val="18"/>
              </w:rPr>
            </w:pPr>
            <w:r>
              <w:rPr>
                <w:rFonts w:ascii="宋体" w:hAnsi="宋体" w:cs="宋体" w:eastAsia="宋体" w:hint="default"/>
                <w:sz w:val="18"/>
                <w:szCs w:val="18"/>
              </w:rPr>
              <w:t>单项金额不重大但 单独计提坏账准备 的应收账款</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240,000.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0.08%</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240,000.</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790" w:type="dxa"/>
            <w:tcBorders>
              <w:top w:val="single" w:sz="4" w:space="0" w:color="000000"/>
              <w:left w:val="single" w:sz="4" w:space="0" w:color="000000"/>
              <w:bottom w:val="single" w:sz="4" w:space="0" w:color="000000"/>
              <w:right w:val="single" w:sz="4" w:space="0" w:color="000000"/>
            </w:tcBorders>
          </w:tcPr>
          <w:p>
            <w:pP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6" w:right="0"/>
              <w:jc w:val="left"/>
              <w:rPr>
                <w:rFonts w:ascii="Times New Roman" w:hAnsi="Times New Roman" w:cs="Times New Roman" w:eastAsia="Times New Roman" w:hint="default"/>
                <w:sz w:val="18"/>
                <w:szCs w:val="18"/>
              </w:rPr>
            </w:pPr>
            <w:r>
              <w:rPr>
                <w:rFonts w:ascii="Times New Roman"/>
                <w:sz w:val="18"/>
              </w:rPr>
              <w:t>240,000</w:t>
            </w:r>
          </w:p>
          <w:p>
            <w:pPr>
              <w:pStyle w:val="TableParagraph"/>
              <w:spacing w:line="240" w:lineRule="auto" w:before="105"/>
              <w:ind w:left="396" w:right="0"/>
              <w:jc w:val="left"/>
              <w:rPr>
                <w:rFonts w:ascii="Times New Roman" w:hAnsi="Times New Roman" w:cs="Times New Roman" w:eastAsia="Times New Roman" w:hint="default"/>
                <w:sz w:val="18"/>
                <w:szCs w:val="18"/>
              </w:rPr>
            </w:pPr>
            <w:r>
              <w:rPr>
                <w:rFonts w:ascii="Times New Roman"/>
                <w:sz w:val="18"/>
              </w:rPr>
              <w:t>.00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0.09%</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240,000.0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w:t>
            </w: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162" w:hRule="exact"/>
        </w:trPr>
        <w:tc>
          <w:tcPr>
            <w:tcW w:w="1611" w:type="dxa"/>
            <w:tcBorders>
              <w:top w:val="single" w:sz="4" w:space="0" w:color="000000"/>
              <w:left w:val="single" w:sz="4" w:space="0" w:color="000000"/>
              <w:bottom w:val="nil" w:sz="6" w:space="0" w:color="auto"/>
              <w:right w:val="single" w:sz="4" w:space="0" w:color="000000"/>
            </w:tcBorders>
            <w:shd w:val="clear" w:color="auto" w:fill="D2D2D2"/>
          </w:tcPr>
          <w:p>
            <w:pPr/>
          </w:p>
        </w:tc>
        <w:tc>
          <w:tcPr>
            <w:tcW w:w="775" w:type="dxa"/>
            <w:vMerge w:val="restart"/>
            <w:tcBorders>
              <w:top w:val="single" w:sz="4" w:space="0" w:color="000000"/>
              <w:left w:val="single" w:sz="9" w:space="0" w:color="D2D2D2"/>
              <w:right w:val="single" w:sz="4" w:space="0" w:color="000000"/>
            </w:tcBorders>
          </w:tcPr>
          <w:p>
            <w:pPr>
              <w:pStyle w:val="TableParagraph"/>
              <w:spacing w:line="240" w:lineRule="auto" w:before="92"/>
              <w:ind w:left="81" w:right="0"/>
              <w:jc w:val="center"/>
              <w:rPr>
                <w:rFonts w:ascii="Times New Roman" w:hAnsi="Times New Roman" w:cs="Times New Roman" w:eastAsia="Times New Roman" w:hint="default"/>
                <w:sz w:val="18"/>
                <w:szCs w:val="18"/>
              </w:rPr>
            </w:pPr>
            <w:r>
              <w:rPr>
                <w:rFonts w:ascii="Times New Roman"/>
                <w:sz w:val="18"/>
              </w:rPr>
              <w:t>303,196,</w:t>
            </w:r>
          </w:p>
          <w:p>
            <w:pPr>
              <w:pStyle w:val="TableParagraph"/>
              <w:spacing w:line="240" w:lineRule="auto" w:before="105"/>
              <w:ind w:left="217" w:right="0"/>
              <w:jc w:val="center"/>
              <w:rPr>
                <w:rFonts w:ascii="Times New Roman" w:hAnsi="Times New Roman" w:cs="Times New Roman" w:eastAsia="Times New Roman" w:hint="default"/>
                <w:sz w:val="18"/>
                <w:szCs w:val="18"/>
              </w:rPr>
            </w:pPr>
            <w:r>
              <w:rPr>
                <w:rFonts w:ascii="Times New Roman"/>
                <w:sz w:val="18"/>
              </w:rPr>
              <w:t>730.39</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92"/>
              <w:ind w:left="98" w:right="0"/>
              <w:jc w:val="left"/>
              <w:rPr>
                <w:rFonts w:ascii="Times New Roman" w:hAnsi="Times New Roman" w:cs="Times New Roman" w:eastAsia="Times New Roman" w:hint="default"/>
                <w:sz w:val="18"/>
                <w:szCs w:val="18"/>
              </w:rPr>
            </w:pPr>
            <w:r>
              <w:rPr>
                <w:rFonts w:ascii="Times New Roman"/>
                <w:sz w:val="18"/>
              </w:rPr>
              <w:t>13,756,1</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88.82</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4.54%</w:t>
            </w: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92"/>
              <w:ind w:left="37" w:right="0"/>
              <w:jc w:val="left"/>
              <w:rPr>
                <w:rFonts w:ascii="Times New Roman" w:hAnsi="Times New Roman" w:cs="Times New Roman" w:eastAsia="Times New Roman" w:hint="default"/>
                <w:sz w:val="18"/>
                <w:szCs w:val="18"/>
              </w:rPr>
            </w:pPr>
            <w:r>
              <w:rPr>
                <w:rFonts w:ascii="Times New Roman"/>
                <w:sz w:val="18"/>
              </w:rPr>
              <w:t>289,440,5</w:t>
            </w:r>
          </w:p>
          <w:p>
            <w:pPr>
              <w:pStyle w:val="TableParagraph"/>
              <w:spacing w:line="240" w:lineRule="auto" w:before="105"/>
              <w:ind w:left="352" w:right="0"/>
              <w:jc w:val="left"/>
              <w:rPr>
                <w:rFonts w:ascii="Times New Roman" w:hAnsi="Times New Roman" w:cs="Times New Roman" w:eastAsia="Times New Roman" w:hint="default"/>
                <w:sz w:val="18"/>
                <w:szCs w:val="18"/>
              </w:rPr>
            </w:pPr>
            <w:r>
              <w:rPr>
                <w:rFonts w:ascii="Times New Roman"/>
                <w:sz w:val="18"/>
              </w:rPr>
              <w:t>41.57</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2"/>
              <w:ind w:left="36" w:right="0"/>
              <w:jc w:val="left"/>
              <w:rPr>
                <w:rFonts w:ascii="Times New Roman" w:hAnsi="Times New Roman" w:cs="Times New Roman" w:eastAsia="Times New Roman" w:hint="default"/>
                <w:sz w:val="18"/>
                <w:szCs w:val="18"/>
              </w:rPr>
            </w:pPr>
            <w:r>
              <w:rPr>
                <w:rFonts w:ascii="Times New Roman"/>
                <w:sz w:val="18"/>
              </w:rPr>
              <w:t>269,209</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,839.60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92"/>
              <w:ind w:left="59" w:right="0"/>
              <w:jc w:val="left"/>
              <w:rPr>
                <w:rFonts w:ascii="Times New Roman" w:hAnsi="Times New Roman" w:cs="Times New Roman" w:eastAsia="Times New Roman" w:hint="default"/>
                <w:sz w:val="18"/>
                <w:szCs w:val="18"/>
              </w:rPr>
            </w:pPr>
            <w:r>
              <w:rPr>
                <w:rFonts w:ascii="Times New Roman"/>
                <w:sz w:val="18"/>
              </w:rPr>
              <w:t>12,822,81</w:t>
            </w:r>
          </w:p>
          <w:p>
            <w:pPr>
              <w:pStyle w:val="TableParagraph"/>
              <w:spacing w:line="240" w:lineRule="auto" w:before="105"/>
              <w:ind w:left="465" w:right="0"/>
              <w:jc w:val="left"/>
              <w:rPr>
                <w:rFonts w:ascii="Times New Roman" w:hAnsi="Times New Roman" w:cs="Times New Roman" w:eastAsia="Times New Roman" w:hint="default"/>
                <w:sz w:val="18"/>
                <w:szCs w:val="18"/>
              </w:rPr>
            </w:pPr>
            <w:r>
              <w:rPr>
                <w:rFonts w:ascii="Times New Roman"/>
                <w:sz w:val="18"/>
              </w:rPr>
              <w:t>6.70</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4.76%</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92"/>
              <w:ind w:left="88" w:right="0"/>
              <w:jc w:val="left"/>
              <w:rPr>
                <w:rFonts w:ascii="Times New Roman" w:hAnsi="Times New Roman" w:cs="Times New Roman" w:eastAsia="Times New Roman" w:hint="default"/>
                <w:sz w:val="18"/>
                <w:szCs w:val="18"/>
              </w:rPr>
            </w:pPr>
            <w:r>
              <w:rPr>
                <w:rFonts w:ascii="Times New Roman"/>
                <w:sz w:val="18"/>
              </w:rPr>
              <w:t>256,387,02</w:t>
            </w:r>
          </w:p>
          <w:p>
            <w:pPr>
              <w:pStyle w:val="TableParagraph"/>
              <w:spacing w:line="240" w:lineRule="auto" w:before="105"/>
              <w:ind w:left="584" w:right="0"/>
              <w:jc w:val="left"/>
              <w:rPr>
                <w:rFonts w:ascii="Times New Roman" w:hAnsi="Times New Roman" w:cs="Times New Roman" w:eastAsia="Times New Roman" w:hint="default"/>
                <w:sz w:val="18"/>
                <w:szCs w:val="18"/>
              </w:rPr>
            </w:pPr>
            <w:r>
              <w:rPr>
                <w:rFonts w:ascii="Times New Roman"/>
                <w:sz w:val="18"/>
              </w:rPr>
              <w:t>2.90</w:t>
            </w:r>
          </w:p>
        </w:tc>
      </w:tr>
      <w:tr>
        <w:trPr>
          <w:trHeight w:val="391" w:hRule="exact"/>
        </w:trPr>
        <w:tc>
          <w:tcPr>
            <w:tcW w:w="161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5"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162" w:hRule="exact"/>
        </w:trPr>
        <w:tc>
          <w:tcPr>
            <w:tcW w:w="1611" w:type="dxa"/>
            <w:tcBorders>
              <w:top w:val="nil" w:sz="6" w:space="0" w:color="auto"/>
              <w:left w:val="single" w:sz="4" w:space="0" w:color="000000"/>
              <w:bottom w:val="single" w:sz="4" w:space="0" w:color="000000"/>
              <w:right w:val="single" w:sz="4" w:space="0" w:color="000000"/>
            </w:tcBorders>
            <w:shd w:val="clear" w:color="auto" w:fill="D2D2D2"/>
          </w:tcPr>
          <w:p>
            <w:pPr/>
          </w:p>
        </w:tc>
        <w:tc>
          <w:tcPr>
            <w:tcW w:w="775"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pStyle w:val="BodyText"/>
        <w:spacing w:line="240" w:lineRule="auto" w:before="51"/>
        <w:ind w:right="-20"/>
        <w:jc w:val="left"/>
      </w:pPr>
      <w:r>
        <w:rPr/>
        <w:t>期末单项金额重大并单项计提坏账准备的应收账款：</w:t>
      </w:r>
    </w:p>
    <w:p>
      <w:pPr>
        <w:pStyle w:val="BodyText"/>
        <w:spacing w:line="340" w:lineRule="auto" w:before="116"/>
        <w:ind w:right="34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组合中，按账龄分析法计提坏账准备的应收账款：</w:t>
      </w:r>
    </w:p>
    <w:p>
      <w:pPr>
        <w:pStyle w:val="BodyText"/>
        <w:spacing w:line="338" w:lineRule="auto" w:before="40"/>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组合中，采用余额百分比法计提坏账准备的应收账款：</w:t>
      </w:r>
    </w:p>
    <w:p>
      <w:pPr>
        <w:pStyle w:val="BodyText"/>
        <w:spacing w:line="240" w:lineRule="auto" w:before="43"/>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1"/>
          <w:szCs w:val="21"/>
        </w:rPr>
      </w:pPr>
    </w:p>
    <w:p>
      <w:pPr>
        <w:pStyle w:val="BodyText"/>
        <w:spacing w:line="240" w:lineRule="auto"/>
        <w:ind w:left="153" w:right="0"/>
        <w:jc w:val="left"/>
      </w:pPr>
      <w:r>
        <w:rPr/>
        <w:t>单位： 元</w:t>
      </w:r>
    </w:p>
    <w:p>
      <w:pPr>
        <w:spacing w:after="0" w:line="240" w:lineRule="auto"/>
        <w:jc w:val="left"/>
        <w:sectPr>
          <w:type w:val="continuous"/>
          <w:pgSz w:w="11910" w:h="16840"/>
          <w:pgMar w:top="1060" w:bottom="1160" w:left="980" w:right="0"/>
          <w:cols w:num="2" w:equalWidth="0">
            <w:col w:w="4475" w:space="4355"/>
            <w:col w:w="2100"/>
          </w:cols>
        </w:sectPr>
      </w:pP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94"/>
        <w:gridCol w:w="2295"/>
        <w:gridCol w:w="2391"/>
        <w:gridCol w:w="2389"/>
      </w:tblGrid>
      <w:tr>
        <w:trPr>
          <w:trHeight w:val="402" w:hRule="exact"/>
        </w:trPr>
        <w:tc>
          <w:tcPr>
            <w:tcW w:w="24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7075"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2494" w:type="dxa"/>
            <w:vMerge/>
            <w:tcBorders>
              <w:left w:val="single" w:sz="4" w:space="0" w:color="000000"/>
              <w:bottom w:val="single" w:sz="4" w:space="0" w:color="000000"/>
              <w:right w:val="single" w:sz="4" w:space="0" w:color="000000"/>
            </w:tcBorders>
            <w:shd w:val="clear" w:color="auto" w:fill="D2D2D2"/>
          </w:tcPr>
          <w:p>
            <w:pPr/>
          </w:p>
        </w:tc>
        <w:tc>
          <w:tcPr>
            <w:tcW w:w="2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2" w:hRule="exact"/>
        </w:trPr>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应收集团内部单位应收账款</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32,632,954.11</w:t>
            </w: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19"/>
              <w:jc w:val="left"/>
              <w:rPr>
                <w:rFonts w:ascii="宋体" w:hAnsi="宋体" w:cs="宋体" w:eastAsia="宋体" w:hint="default"/>
                <w:sz w:val="18"/>
                <w:szCs w:val="18"/>
              </w:rPr>
            </w:pPr>
            <w:r>
              <w:rPr>
                <w:rFonts w:ascii="宋体" w:hAnsi="宋体" w:cs="宋体" w:eastAsia="宋体" w:hint="default"/>
                <w:sz w:val="18"/>
                <w:szCs w:val="18"/>
              </w:rPr>
              <w:t>单项金额重大未出现减值迹象 的应收账款</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253,455,708.19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12,672,785.41</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5.00%</w:t>
            </w:r>
          </w:p>
        </w:tc>
      </w:tr>
      <w:tr>
        <w:trPr>
          <w:trHeight w:val="403" w:hRule="exact"/>
        </w:trPr>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单项金额不重大未出现减值迹</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16,868,068.09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843,403.41</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209" w:type="dxa"/>
        <w:tblLayout w:type="fixed"/>
        <w:tblCellMar>
          <w:top w:w="0" w:type="dxa"/>
          <w:left w:w="0" w:type="dxa"/>
          <w:bottom w:w="0" w:type="dxa"/>
          <w:right w:w="0" w:type="dxa"/>
        </w:tblCellMar>
        <w:tblLook w:val="01E0"/>
      </w:tblPr>
      <w:tblGrid>
        <w:gridCol w:w="2494"/>
        <w:gridCol w:w="2295"/>
        <w:gridCol w:w="2391"/>
        <w:gridCol w:w="2389"/>
      </w:tblGrid>
      <w:tr>
        <w:trPr>
          <w:trHeight w:val="362" w:hRule="exact"/>
        </w:trPr>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象的应收账款</w:t>
            </w:r>
          </w:p>
        </w:tc>
        <w:tc>
          <w:tcPr>
            <w:tcW w:w="2295"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125" w:right="0"/>
              <w:jc w:val="left"/>
              <w:rPr>
                <w:rFonts w:ascii="Times New Roman" w:hAnsi="Times New Roman" w:cs="Times New Roman" w:eastAsia="Times New Roman" w:hint="default"/>
                <w:sz w:val="18"/>
                <w:szCs w:val="18"/>
              </w:rPr>
            </w:pPr>
            <w:r>
              <w:rPr>
                <w:rFonts w:ascii="Times New Roman"/>
                <w:sz w:val="18"/>
              </w:rPr>
              <w:t>302,956,730.39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22" w:right="0"/>
              <w:jc w:val="left"/>
              <w:rPr>
                <w:rFonts w:ascii="Times New Roman" w:hAnsi="Times New Roman" w:cs="Times New Roman" w:eastAsia="Times New Roman" w:hint="default"/>
                <w:sz w:val="18"/>
                <w:szCs w:val="18"/>
              </w:rPr>
            </w:pPr>
            <w:r>
              <w:rPr>
                <w:rFonts w:ascii="Times New Roman"/>
                <w:sz w:val="18"/>
              </w:rPr>
              <w:t>13,516,188.82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4.46%</w:t>
            </w:r>
          </w:p>
        </w:tc>
      </w:tr>
    </w:tbl>
    <w:p>
      <w:pPr>
        <w:pStyle w:val="BodyText"/>
        <w:spacing w:line="357" w:lineRule="auto" w:before="51"/>
        <w:ind w:left="214" w:right="1592"/>
        <w:jc w:val="left"/>
      </w:pPr>
      <w:r>
        <w:rPr/>
        <w:t>确定该组合依据的说明： 详见第十一节、七合并财务报表项目注释、</w:t>
      </w:r>
      <w:r>
        <w:rPr>
          <w:rFonts w:ascii="Times New Roman" w:hAnsi="Times New Roman" w:cs="Times New Roman" w:eastAsia="Times New Roman" w:hint="default"/>
        </w:rPr>
        <w:t>2</w:t>
      </w:r>
      <w:r>
        <w:rPr/>
        <w:t>应收票据及应收账款、（</w:t>
      </w:r>
      <w:r>
        <w:rPr>
          <w:rFonts w:ascii="Times New Roman" w:hAnsi="Times New Roman" w:cs="Times New Roman" w:eastAsia="Times New Roman" w:hint="default"/>
        </w:rPr>
        <w:t>2</w:t>
      </w:r>
      <w:r>
        <w:rPr/>
        <w:t>）应收账款分类披露</w:t>
      </w:r>
      <w:r>
        <w:rPr>
          <w:rFonts w:ascii="Times New Roman" w:hAnsi="Times New Roman" w:cs="Times New Roman" w:eastAsia="Times New Roman" w:hint="default"/>
        </w:rPr>
        <w:t>”</w:t>
      </w:r>
      <w:r>
        <w:rPr/>
        <w:t>确定组合依据的说明</w:t>
      </w:r>
      <w:r>
        <w:rPr>
          <w:rFonts w:ascii="Times New Roman" w:hAnsi="Times New Roman" w:cs="Times New Roman" w:eastAsia="Times New Roman" w:hint="default"/>
        </w:rPr>
        <w:t>“</w:t>
      </w:r>
      <w:r>
        <w:rPr/>
        <w:t>。</w:t>
      </w:r>
    </w:p>
    <w:p>
      <w:pPr>
        <w:spacing w:line="240" w:lineRule="auto" w:before="12"/>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747" w:footer="979" w:top="1060" w:bottom="1160" w:left="920" w:right="0"/>
        </w:sectPr>
      </w:pPr>
    </w:p>
    <w:p>
      <w:pPr>
        <w:pStyle w:val="BodyText"/>
        <w:spacing w:line="240" w:lineRule="auto" w:before="44"/>
        <w:ind w:left="214" w:right="-13"/>
        <w:jc w:val="left"/>
      </w:pPr>
      <w:r>
        <w:rPr/>
        <w:t>组合中，采用其他方法计提坏账准备的应收账款：</w:t>
      </w:r>
    </w:p>
    <w:p>
      <w:pPr>
        <w:pStyle w:val="BodyText"/>
        <w:spacing w:line="240" w:lineRule="auto" w:before="116"/>
        <w:ind w:left="214" w:right="-13"/>
        <w:jc w:val="left"/>
      </w:pPr>
      <w:r>
        <w:rPr>
          <w:rFonts w:ascii="Times New Roman" w:hAnsi="Times New Roman" w:cs="Times New Roman" w:eastAsia="Times New Roman" w:hint="default"/>
        </w:rPr>
        <w:t>2)</w:t>
      </w:r>
      <w:r>
        <w:rPr/>
        <w:t>本期计提、收回或转回的坏账准备情况</w:t>
      </w:r>
    </w:p>
    <w:p>
      <w:pPr>
        <w:pStyle w:val="BodyText"/>
        <w:spacing w:line="338" w:lineRule="auto" w:before="103"/>
        <w:ind w:left="214" w:right="-13"/>
        <w:jc w:val="left"/>
      </w:pPr>
      <w:r>
        <w:rPr/>
        <w:t>本期计提坏账准备金额</w:t>
      </w:r>
      <w:r>
        <w:rPr>
          <w:spacing w:val="-47"/>
        </w:rPr>
        <w:t> </w:t>
      </w:r>
      <w:r>
        <w:rPr>
          <w:rFonts w:ascii="Times New Roman" w:hAnsi="Times New Roman" w:cs="Times New Roman" w:eastAsia="Times New Roman" w:hint="default"/>
        </w:rPr>
        <w:t>1,287,134.87</w:t>
      </w:r>
      <w:r>
        <w:rPr>
          <w:rFonts w:ascii="Times New Roman" w:hAnsi="Times New Roman" w:cs="Times New Roman" w:eastAsia="Times New Roman" w:hint="default"/>
          <w:spacing w:val="-2"/>
        </w:rPr>
        <w:t> </w:t>
      </w:r>
      <w:r>
        <w:rPr/>
        <w:t>元；本期收回或转回坏账准备金额</w:t>
      </w:r>
      <w:r>
        <w:rPr>
          <w:spacing w:val="-47"/>
        </w:rPr>
        <w:t> </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 其中本期坏账准备收回或转回金额重要的：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3"/>
        <w:rPr>
          <w:rFonts w:ascii="宋体" w:hAnsi="宋体" w:cs="宋体" w:eastAsia="宋体" w:hint="default"/>
          <w:sz w:val="20"/>
          <w:szCs w:val="20"/>
        </w:rPr>
      </w:pPr>
    </w:p>
    <w:p>
      <w:pPr>
        <w:pStyle w:val="BodyText"/>
        <w:spacing w:line="240" w:lineRule="auto"/>
        <w:ind w:left="213" w:right="0"/>
        <w:jc w:val="left"/>
      </w:pPr>
      <w:r>
        <w:rPr/>
        <w:t>单位： 元</w:t>
      </w:r>
    </w:p>
    <w:p>
      <w:pPr>
        <w:spacing w:after="0" w:line="240" w:lineRule="auto"/>
        <w:jc w:val="left"/>
        <w:sectPr>
          <w:type w:val="continuous"/>
          <w:pgSz w:w="11910" w:h="16840"/>
          <w:pgMar w:top="1060" w:bottom="1160" w:left="920" w:right="0"/>
          <w:cols w:num="2" w:equalWidth="0">
            <w:col w:w="6514" w:space="2315"/>
            <w:col w:w="2161"/>
          </w:cols>
        </w:sectPr>
      </w:pPr>
    </w:p>
    <w:p>
      <w:pPr>
        <w:spacing w:line="240" w:lineRule="auto" w:before="1"/>
        <w:rPr>
          <w:rFonts w:ascii="宋体" w:hAnsi="宋体" w:cs="宋体" w:eastAsia="宋体" w:hint="default"/>
          <w:sz w:val="8"/>
          <w:szCs w:val="8"/>
        </w:rPr>
      </w:pPr>
    </w:p>
    <w:tbl>
      <w:tblPr>
        <w:tblW w:w="0" w:type="auto"/>
        <w:jc w:val="left"/>
        <w:tblInd w:w="209" w:type="dxa"/>
        <w:tblLayout w:type="fixed"/>
        <w:tblCellMar>
          <w:top w:w="0" w:type="dxa"/>
          <w:left w:w="0" w:type="dxa"/>
          <w:bottom w:w="0" w:type="dxa"/>
          <w:right w:w="0" w:type="dxa"/>
        </w:tblCellMar>
        <w:tblLook w:val="01E0"/>
      </w:tblPr>
      <w:tblGrid>
        <w:gridCol w:w="3369"/>
        <w:gridCol w:w="3100"/>
        <w:gridCol w:w="3100"/>
      </w:tblGrid>
      <w:tr>
        <w:trPr>
          <w:trHeight w:val="402"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4" w:right="0"/>
              <w:jc w:val="left"/>
              <w:rPr>
                <w:rFonts w:ascii="宋体" w:hAnsi="宋体" w:cs="宋体" w:eastAsia="宋体" w:hint="default"/>
                <w:sz w:val="18"/>
                <w:szCs w:val="18"/>
              </w:rPr>
            </w:pPr>
            <w:r>
              <w:rPr>
                <w:rFonts w:ascii="宋体" w:hAnsi="宋体" w:cs="宋体" w:eastAsia="宋体" w:hint="default"/>
                <w:sz w:val="18"/>
                <w:szCs w:val="18"/>
              </w:rPr>
              <w:t>收回或转回金额</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pStyle w:val="BodyText"/>
        <w:spacing w:line="240" w:lineRule="auto" w:before="51"/>
        <w:ind w:left="214" w:right="1032"/>
        <w:jc w:val="left"/>
      </w:pPr>
      <w:r>
        <w:rPr>
          <w:rFonts w:ascii="Times New Roman" w:hAnsi="Times New Roman" w:cs="Times New Roman" w:eastAsia="Times New Roman" w:hint="default"/>
        </w:rPr>
        <w:t>3)</w:t>
      </w:r>
      <w:r>
        <w:rPr/>
        <w:t>本期实际核销的应收账款情况</w:t>
      </w:r>
    </w:p>
    <w:p>
      <w:pPr>
        <w:pStyle w:val="BodyText"/>
        <w:spacing w:line="240" w:lineRule="auto" w:before="103"/>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209" w:type="dxa"/>
        <w:tblLayout w:type="fixed"/>
        <w:tblCellMar>
          <w:top w:w="0" w:type="dxa"/>
          <w:left w:w="0" w:type="dxa"/>
          <w:bottom w:w="0" w:type="dxa"/>
          <w:right w:w="0" w:type="dxa"/>
        </w:tblCellMar>
        <w:tblLook w:val="01E0"/>
      </w:tblPr>
      <w:tblGrid>
        <w:gridCol w:w="4984"/>
        <w:gridCol w:w="4584"/>
      </w:tblGrid>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5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402" w:hRule="exact"/>
        </w:trPr>
        <w:tc>
          <w:tcPr>
            <w:tcW w:w="4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实际核销的应收账款</w:t>
            </w:r>
          </w:p>
        </w:tc>
        <w:tc>
          <w:tcPr>
            <w:tcW w:w="4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353,762.75</w:t>
            </w:r>
          </w:p>
        </w:tc>
      </w:tr>
    </w:tbl>
    <w:p>
      <w:pPr>
        <w:pStyle w:val="BodyText"/>
        <w:spacing w:line="240" w:lineRule="auto" w:before="51"/>
        <w:ind w:left="214" w:right="1032"/>
        <w:jc w:val="left"/>
      </w:pPr>
      <w:r>
        <w:rPr/>
        <w:t>其中重要的应收账款核销情况：</w:t>
      </w:r>
    </w:p>
    <w:p>
      <w:pPr>
        <w:pStyle w:val="BodyText"/>
        <w:spacing w:line="240" w:lineRule="auto" w:before="117"/>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209" w:type="dxa"/>
        <w:tblLayout w:type="fixed"/>
        <w:tblCellMar>
          <w:top w:w="0" w:type="dxa"/>
          <w:left w:w="0" w:type="dxa"/>
          <w:bottom w:w="0" w:type="dxa"/>
          <w:right w:w="0" w:type="dxa"/>
        </w:tblCellMar>
        <w:tblLook w:val="01E0"/>
      </w:tblPr>
      <w:tblGrid>
        <w:gridCol w:w="1684"/>
        <w:gridCol w:w="1552"/>
        <w:gridCol w:w="1552"/>
        <w:gridCol w:w="1553"/>
        <w:gridCol w:w="1614"/>
        <w:gridCol w:w="1604"/>
      </w:tblGrid>
      <w:tr>
        <w:trPr>
          <w:trHeight w:val="714"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1"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71"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6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532" w:right="69" w:hanging="450"/>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pStyle w:val="BodyText"/>
        <w:spacing w:line="240" w:lineRule="auto" w:before="52"/>
        <w:ind w:left="214" w:right="1032"/>
        <w:jc w:val="left"/>
      </w:pPr>
      <w:r>
        <w:rPr/>
        <w:t>应收账款核销说明：</w:t>
      </w:r>
    </w:p>
    <w:p>
      <w:pPr>
        <w:pStyle w:val="BodyText"/>
        <w:spacing w:line="240" w:lineRule="auto" w:before="116"/>
        <w:ind w:left="214" w:right="1032"/>
        <w:jc w:val="left"/>
      </w:pPr>
      <w:r>
        <w:rPr>
          <w:rFonts w:ascii="Times New Roman" w:hAnsi="Times New Roman" w:cs="Times New Roman" w:eastAsia="Times New Roman" w:hint="default"/>
        </w:rPr>
        <w:t>4)</w:t>
      </w:r>
      <w:r>
        <w:rPr/>
        <w:t>按欠款方归集的期末余额前五名的应收账款情况</w:t>
      </w:r>
    </w:p>
    <w:p>
      <w:pPr>
        <w:spacing w:line="240" w:lineRule="auto" w:before="0"/>
        <w:rPr>
          <w:rFonts w:ascii="宋体" w:hAnsi="宋体" w:cs="宋体" w:eastAsia="宋体" w:hint="default"/>
          <w:sz w:val="7"/>
          <w:szCs w:val="7"/>
        </w:rPr>
      </w:pPr>
    </w:p>
    <w:tbl>
      <w:tblPr>
        <w:tblW w:w="0" w:type="auto"/>
        <w:jc w:val="left"/>
        <w:tblInd w:w="101" w:type="dxa"/>
        <w:tblLayout w:type="fixed"/>
        <w:tblCellMar>
          <w:top w:w="0" w:type="dxa"/>
          <w:left w:w="0" w:type="dxa"/>
          <w:bottom w:w="0" w:type="dxa"/>
          <w:right w:w="0" w:type="dxa"/>
        </w:tblCellMar>
        <w:tblLook w:val="01E0"/>
      </w:tblPr>
      <w:tblGrid>
        <w:gridCol w:w="1419"/>
        <w:gridCol w:w="1843"/>
        <w:gridCol w:w="1383"/>
        <w:gridCol w:w="1026"/>
        <w:gridCol w:w="2268"/>
        <w:gridCol w:w="1702"/>
      </w:tblGrid>
      <w:tr>
        <w:trPr>
          <w:trHeight w:val="797"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344"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与本公司关系</w:t>
            </w:r>
          </w:p>
        </w:tc>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327" w:right="0"/>
              <w:jc w:val="left"/>
              <w:rPr>
                <w:rFonts w:ascii="宋体" w:hAnsi="宋体" w:cs="宋体" w:eastAsia="宋体" w:hint="default"/>
                <w:sz w:val="18"/>
                <w:szCs w:val="18"/>
              </w:rPr>
            </w:pPr>
            <w:r>
              <w:rPr>
                <w:rFonts w:ascii="宋体" w:hAnsi="宋体" w:cs="宋体" w:eastAsia="宋体" w:hint="default"/>
                <w:sz w:val="18"/>
                <w:szCs w:val="18"/>
              </w:rPr>
              <w:t>年限</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占应收账款总额的比例</w:t>
            </w:r>
          </w:p>
          <w:p>
            <w:pPr>
              <w:pStyle w:val="TableParagraph"/>
              <w:spacing w:line="240" w:lineRule="auto" w:before="76"/>
              <w:ind w:right="1"/>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300" w:lineRule="auto"/>
              <w:ind w:left="755" w:right="185" w:hanging="570"/>
              <w:jc w:val="left"/>
              <w:rPr>
                <w:rFonts w:ascii="宋体" w:hAnsi="宋体" w:cs="宋体" w:eastAsia="宋体" w:hint="default"/>
                <w:sz w:val="18"/>
                <w:szCs w:val="18"/>
              </w:rPr>
            </w:pPr>
            <w:r>
              <w:rPr>
                <w:rFonts w:ascii="宋体" w:hAnsi="宋体" w:cs="宋体" w:eastAsia="宋体" w:hint="default"/>
                <w:sz w:val="18"/>
                <w:szCs w:val="18"/>
              </w:rPr>
              <w:t>坏账准备</w:t>
            </w:r>
            <w:r>
              <w:rPr>
                <w:rFonts w:ascii="Times New Roman" w:hAnsi="Times New Roman" w:cs="Times New Roman" w:eastAsia="Times New Roman" w:hint="default"/>
                <w:sz w:val="18"/>
                <w:szCs w:val="18"/>
              </w:rPr>
              <w:t>-</w:t>
            </w:r>
            <w:r>
              <w:rPr>
                <w:rFonts w:ascii="宋体" w:hAnsi="宋体" w:cs="宋体" w:eastAsia="宋体" w:hint="default"/>
                <w:sz w:val="18"/>
                <w:szCs w:val="18"/>
              </w:rPr>
              <w:t>期末余 额</w:t>
            </w:r>
          </w:p>
        </w:tc>
      </w:tr>
      <w:tr>
        <w:trPr>
          <w:trHeight w:val="485"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第一名公司</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86,320,217.27</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z w:val="18"/>
              </w:rPr>
              <w:t>28.47</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4,316,010.86</w:t>
            </w:r>
          </w:p>
        </w:tc>
      </w:tr>
      <w:tr>
        <w:trPr>
          <w:trHeight w:val="485"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第二名公司</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50,763,167.95</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z w:val="18"/>
              </w:rPr>
              <w:t>16.74</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2,538,158.40</w:t>
            </w:r>
          </w:p>
        </w:tc>
      </w:tr>
      <w:tr>
        <w:trPr>
          <w:trHeight w:val="485"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第三名公司</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33,530,680.21</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z w:val="18"/>
              </w:rPr>
              <w:t>11.06</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1,676,534.01</w:t>
            </w:r>
          </w:p>
        </w:tc>
      </w:tr>
      <w:tr>
        <w:trPr>
          <w:trHeight w:val="485"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第四名公司</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合并范围内关联方</w:t>
            </w:r>
          </w:p>
        </w:tc>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pacing w:val="-1"/>
                <w:sz w:val="18"/>
              </w:rPr>
              <w:t>21,195,477.43</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6.99</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86"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第五名公司</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pacing w:val="-1"/>
                <w:sz w:val="18"/>
              </w:rPr>
              <w:t>19,728,084.34</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6.51</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986,404.22</w:t>
            </w:r>
          </w:p>
        </w:tc>
      </w:tr>
      <w:tr>
        <w:trPr>
          <w:trHeight w:val="322"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843" w:type="dxa"/>
            <w:tcBorders>
              <w:top w:val="single" w:sz="4" w:space="0" w:color="000000"/>
              <w:left w:val="single" w:sz="4" w:space="0" w:color="000000"/>
              <w:bottom w:val="single" w:sz="4" w:space="0" w:color="000000"/>
              <w:right w:val="single" w:sz="4" w:space="0" w:color="000000"/>
            </w:tcBorders>
          </w:tcPr>
          <w:p>
            <w:pPr/>
          </w:p>
        </w:tc>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211,537,627.20</w:t>
            </w:r>
          </w:p>
        </w:tc>
        <w:tc>
          <w:tcPr>
            <w:tcW w:w="1026" w:type="dxa"/>
            <w:tcBorders>
              <w:top w:val="single" w:sz="4" w:space="0" w:color="000000"/>
              <w:left w:val="single" w:sz="4" w:space="0" w:color="000000"/>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z w:val="18"/>
              </w:rPr>
              <w:t>69.77</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9,517,107.49</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3"/>
          <w:szCs w:val="23"/>
        </w:rPr>
      </w:pPr>
    </w:p>
    <w:p>
      <w:pPr>
        <w:pStyle w:val="Heading3"/>
        <w:spacing w:line="240" w:lineRule="auto" w:before="35"/>
        <w:ind w:left="214" w:right="1032"/>
        <w:jc w:val="left"/>
        <w:rPr>
          <w:b w:val="0"/>
          <w:bCs w:val="0"/>
        </w:rPr>
      </w:pPr>
      <w:bookmarkStart w:name="2、其他应收款" w:id="370"/>
      <w:bookmarkEnd w:id="370"/>
      <w:r>
        <w:rPr>
          <w:b w:val="0"/>
          <w:bCs w:val="0"/>
        </w:rPr>
      </w:r>
      <w:r>
        <w:rPr>
          <w:rFonts w:ascii="Times New Roman" w:hAnsi="Times New Roman" w:cs="Times New Roman" w:eastAsia="Times New Roman" w:hint="default"/>
        </w:rPr>
        <w:t>2</w:t>
      </w:r>
      <w:r>
        <w:rPr/>
        <w:t>、其他应收款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22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1,570,444.47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3,938,238.35</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2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9"/>
        <w:gridCol w:w="3191"/>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77,076,246.82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72,467,025.46</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477,355,549.83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507,983,564.15</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556,002,241.12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584,388,827.96</w:t>
            </w:r>
          </w:p>
        </w:tc>
      </w:tr>
    </w:tbl>
    <w:p>
      <w:pPr>
        <w:spacing w:line="240" w:lineRule="auto" w:before="3"/>
        <w:rPr>
          <w:rFonts w:ascii="宋体" w:hAnsi="宋体" w:cs="宋体" w:eastAsia="宋体" w:hint="default"/>
          <w:sz w:val="19"/>
          <w:szCs w:val="19"/>
        </w:rPr>
      </w:pPr>
    </w:p>
    <w:p>
      <w:pPr>
        <w:pStyle w:val="Heading3"/>
        <w:spacing w:line="240" w:lineRule="auto" w:before="35"/>
        <w:ind w:right="0"/>
        <w:jc w:val="left"/>
        <w:rPr>
          <w:b w:val="0"/>
          <w:bCs w:val="0"/>
        </w:rPr>
      </w:pPr>
      <w:bookmarkStart w:name="（1）应收利息" w:id="371"/>
      <w:bookmarkEnd w:id="371"/>
      <w:r>
        <w:rPr>
          <w:b w:val="0"/>
          <w:bCs w:val="0"/>
        </w:rPr>
      </w:r>
      <w:r>
        <w:rPr/>
        <w:t>（</w:t>
      </w:r>
      <w:r>
        <w:rPr>
          <w:rFonts w:ascii="Times New Roman" w:hAnsi="Times New Roman" w:cs="Times New Roman" w:eastAsia="Times New Roman" w:hint="default"/>
        </w:rPr>
        <w:t>1</w:t>
      </w:r>
      <w:r>
        <w:rPr/>
        <w:t>）应收利息</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1)</w:t>
      </w:r>
      <w:r>
        <w:rPr/>
        <w:t>应收利息分类</w:t>
      </w:r>
    </w:p>
    <w:p>
      <w:pPr>
        <w:pStyle w:val="BodyText"/>
        <w:spacing w:line="240" w:lineRule="auto" w:before="103"/>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90"/>
        <w:gridCol w:w="3191"/>
        <w:gridCol w:w="318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银行保本理财产品利息</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1,570,444.47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3,938,238.35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1,570,444.47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3,938,238.35</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应收股利" w:id="372"/>
      <w:bookmarkEnd w:id="372"/>
      <w:r>
        <w:rPr>
          <w:b w:val="0"/>
          <w:bCs w:val="0"/>
        </w:rPr>
      </w:r>
      <w:r>
        <w:rPr/>
        <w:t>（</w:t>
      </w:r>
      <w:r>
        <w:rPr>
          <w:rFonts w:ascii="Times New Roman" w:hAnsi="Times New Roman" w:cs="Times New Roman" w:eastAsia="Times New Roman" w:hint="default"/>
        </w:rPr>
        <w:t>2</w:t>
      </w:r>
      <w:r>
        <w:rPr/>
        <w:t>）应收股利</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1)</w:t>
      </w:r>
      <w:r>
        <w:rPr/>
        <w:t>应收股利</w:t>
      </w:r>
    </w:p>
    <w:p>
      <w:pPr>
        <w:pStyle w:val="BodyText"/>
        <w:spacing w:line="240" w:lineRule="auto" w:before="103"/>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90"/>
        <w:gridCol w:w="3191"/>
        <w:gridCol w:w="318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1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应收子公司股利</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19,609,221.36</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应收联营企业股利</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57,467,025.46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72,467,025.46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77,076,246.82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72,467,025.46</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其他应收款" w:id="373"/>
      <w:bookmarkEnd w:id="373"/>
      <w:r>
        <w:rPr>
          <w:b w:val="0"/>
          <w:bCs w:val="0"/>
        </w:rPr>
      </w:r>
      <w:r>
        <w:rPr/>
        <w:t>（</w:t>
      </w:r>
      <w:r>
        <w:rPr>
          <w:rFonts w:ascii="Times New Roman" w:hAnsi="Times New Roman" w:cs="Times New Roman" w:eastAsia="Times New Roman" w:hint="default"/>
        </w:rPr>
        <w:t>3</w:t>
      </w:r>
      <w:r>
        <w:rPr/>
        <w:t>）其他应收款</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1)</w:t>
      </w:r>
      <w:r>
        <w:rPr/>
        <w:t>其他应收款分类披露</w:t>
      </w:r>
    </w:p>
    <w:p>
      <w:pPr>
        <w:pStyle w:val="BodyText"/>
        <w:spacing w:line="240" w:lineRule="auto" w:before="102"/>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611"/>
        <w:gridCol w:w="775"/>
        <w:gridCol w:w="762"/>
        <w:gridCol w:w="762"/>
        <w:gridCol w:w="762"/>
        <w:gridCol w:w="790"/>
        <w:gridCol w:w="654"/>
        <w:gridCol w:w="762"/>
        <w:gridCol w:w="813"/>
        <w:gridCol w:w="932"/>
        <w:gridCol w:w="932"/>
      </w:tblGrid>
      <w:tr>
        <w:trPr>
          <w:trHeight w:val="403" w:hRule="exact"/>
        </w:trPr>
        <w:tc>
          <w:tcPr>
            <w:tcW w:w="1611" w:type="dxa"/>
            <w:vMerge w:val="restart"/>
            <w:tcBorders>
              <w:top w:val="single" w:sz="4" w:space="0" w:color="000000"/>
              <w:left w:val="single" w:sz="4" w:space="0" w:color="000000"/>
              <w:right w:val="single" w:sz="4" w:space="0" w:color="000000"/>
            </w:tcBorders>
            <w:shd w:val="clear" w:color="auto" w:fill="D2D2D2"/>
          </w:tcPr>
          <w:p>
            <w:pPr/>
          </w:p>
        </w:tc>
        <w:tc>
          <w:tcPr>
            <w:tcW w:w="385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1" w:hRule="exact"/>
        </w:trPr>
        <w:tc>
          <w:tcPr>
            <w:tcW w:w="1611" w:type="dxa"/>
            <w:vMerge/>
            <w:tcBorders>
              <w:left w:val="single" w:sz="4" w:space="0" w:color="000000"/>
              <w:bottom w:val="nil" w:sz="6" w:space="0" w:color="auto"/>
              <w:right w:val="single" w:sz="4" w:space="0" w:color="000000"/>
            </w:tcBorders>
            <w:shd w:val="clear" w:color="auto" w:fill="D2D2D2"/>
          </w:tcPr>
          <w:p>
            <w:pPr/>
          </w:p>
        </w:tc>
        <w:tc>
          <w:tcPr>
            <w:tcW w:w="153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40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4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1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537"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9" w:hRule="exact"/>
        </w:trPr>
        <w:tc>
          <w:tcPr>
            <w:tcW w:w="1611" w:type="dxa"/>
            <w:vMerge/>
            <w:tcBorders>
              <w:left w:val="single" w:sz="4" w:space="0" w:color="000000"/>
              <w:bottom w:val="single" w:sz="4" w:space="0" w:color="FFFFFF"/>
              <w:right w:val="single" w:sz="4" w:space="0" w:color="000000"/>
            </w:tcBorders>
            <w:shd w:val="clear" w:color="auto" w:fill="D2D2D2"/>
          </w:tcPr>
          <w:p>
            <w:pPr/>
          </w:p>
        </w:tc>
        <w:tc>
          <w:tcPr>
            <w:tcW w:w="775"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2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3" w:hRule="exact"/>
        </w:trPr>
        <w:tc>
          <w:tcPr>
            <w:tcW w:w="1611" w:type="dxa"/>
            <w:vMerge w:val="restart"/>
            <w:tcBorders>
              <w:top w:val="single" w:sz="4" w:space="0" w:color="FFFFFF"/>
              <w:left w:val="single" w:sz="4" w:space="0" w:color="000000"/>
              <w:right w:val="single" w:sz="4" w:space="0" w:color="000000"/>
            </w:tcBorders>
            <w:shd w:val="clear" w:color="auto" w:fill="D2D2D2"/>
          </w:tcPr>
          <w:p>
            <w:pPr/>
          </w:p>
        </w:tc>
        <w:tc>
          <w:tcPr>
            <w:tcW w:w="775"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20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0" w:hRule="exact"/>
        </w:trPr>
        <w:tc>
          <w:tcPr>
            <w:tcW w:w="1611" w:type="dxa"/>
            <w:vMerge/>
            <w:tcBorders>
              <w:left w:val="single" w:sz="4" w:space="0" w:color="000000"/>
              <w:right w:val="single" w:sz="4" w:space="0" w:color="000000"/>
            </w:tcBorders>
            <w:shd w:val="clear" w:color="auto" w:fill="D2D2D2"/>
          </w:tcPr>
          <w:p>
            <w:pPr/>
          </w:p>
        </w:tc>
        <w:tc>
          <w:tcPr>
            <w:tcW w:w="775"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11" w:type="dxa"/>
            <w:vMerge/>
            <w:tcBorders>
              <w:left w:val="single" w:sz="4" w:space="0" w:color="000000"/>
              <w:bottom w:val="single" w:sz="4" w:space="0" w:color="000000"/>
              <w:right w:val="single" w:sz="4" w:space="0" w:color="000000"/>
            </w:tcBorders>
            <w:shd w:val="clear" w:color="auto" w:fill="D2D2D2"/>
          </w:tcPr>
          <w:p>
            <w:pPr/>
          </w:p>
        </w:tc>
        <w:tc>
          <w:tcPr>
            <w:tcW w:w="77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48"/>
              <w:jc w:val="both"/>
              <w:rPr>
                <w:rFonts w:ascii="宋体" w:hAnsi="宋体" w:cs="宋体" w:eastAsia="宋体" w:hint="default"/>
                <w:sz w:val="18"/>
                <w:szCs w:val="18"/>
              </w:rPr>
            </w:pPr>
            <w:r>
              <w:rPr>
                <w:rFonts w:ascii="宋体" w:hAnsi="宋体" w:cs="宋体" w:eastAsia="宋体" w:hint="default"/>
                <w:sz w:val="18"/>
                <w:szCs w:val="18"/>
              </w:rPr>
              <w:t>单项金额重大并单 独计提坏账准备的 其他应收款</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9" w:right="0"/>
              <w:jc w:val="left"/>
              <w:rPr>
                <w:rFonts w:ascii="Times New Roman" w:hAnsi="Times New Roman" w:cs="Times New Roman" w:eastAsia="Times New Roman" w:hint="default"/>
                <w:sz w:val="18"/>
                <w:szCs w:val="18"/>
              </w:rPr>
            </w:pPr>
            <w:r>
              <w:rPr>
                <w:rFonts w:ascii="Times New Roman"/>
                <w:sz w:val="18"/>
              </w:rPr>
              <w:t>1,000,00</w:t>
            </w:r>
          </w:p>
          <w:p>
            <w:pPr>
              <w:pStyle w:val="TableParagraph"/>
              <w:spacing w:line="240" w:lineRule="auto" w:before="105"/>
              <w:ind w:left="415" w:right="0"/>
              <w:jc w:val="left"/>
              <w:rPr>
                <w:rFonts w:ascii="Times New Roman" w:hAnsi="Times New Roman" w:cs="Times New Roman" w:eastAsia="Times New Roman" w:hint="default"/>
                <w:sz w:val="18"/>
                <w:szCs w:val="18"/>
              </w:rPr>
            </w:pPr>
            <w:r>
              <w:rPr>
                <w:rFonts w:ascii="Times New Roman"/>
                <w:sz w:val="18"/>
              </w:rPr>
              <w:t>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0.21%</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1,000,00</w:t>
            </w:r>
          </w:p>
          <w:p>
            <w:pPr>
              <w:pStyle w:val="TableParagraph"/>
              <w:spacing w:line="240" w:lineRule="auto" w:before="105"/>
              <w:ind w:left="413" w:right="0"/>
              <w:jc w:val="left"/>
              <w:rPr>
                <w:rFonts w:ascii="Times New Roman" w:hAnsi="Times New Roman" w:cs="Times New Roman" w:eastAsia="Times New Roman" w:hint="default"/>
                <w:sz w:val="18"/>
                <w:szCs w:val="18"/>
              </w:rPr>
            </w:pPr>
            <w:r>
              <w:rPr>
                <w:rFonts w:ascii="Times New Roman"/>
                <w:sz w:val="18"/>
              </w:rPr>
              <w:t>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790" w:type="dxa"/>
            <w:tcBorders>
              <w:top w:val="single" w:sz="4" w:space="0" w:color="000000"/>
              <w:left w:val="single" w:sz="4" w:space="0" w:color="000000"/>
              <w:bottom w:val="single" w:sz="4" w:space="0" w:color="000000"/>
              <w:right w:val="single" w:sz="4" w:space="0" w:color="000000"/>
            </w:tcBorders>
          </w:tcPr>
          <w:p>
            <w:pP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7" w:right="0"/>
              <w:jc w:val="center"/>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left="192" w:right="0"/>
              <w:jc w:val="center"/>
              <w:rPr>
                <w:rFonts w:ascii="Times New Roman" w:hAnsi="Times New Roman" w:cs="Times New Roman" w:eastAsia="Times New Roman" w:hint="default"/>
                <w:sz w:val="18"/>
                <w:szCs w:val="18"/>
              </w:rPr>
            </w:pPr>
            <w:r>
              <w:rPr>
                <w:rFonts w:ascii="Times New Roman"/>
                <w:sz w:val="18"/>
              </w:rPr>
              <w:t>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0.21%</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1,000,000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48"/>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75" w:right="0"/>
              <w:jc w:val="center"/>
              <w:rPr>
                <w:rFonts w:ascii="Times New Roman" w:hAnsi="Times New Roman" w:cs="Times New Roman" w:eastAsia="Times New Roman" w:hint="default"/>
                <w:sz w:val="18"/>
                <w:szCs w:val="18"/>
              </w:rPr>
            </w:pPr>
            <w:r>
              <w:rPr>
                <w:rFonts w:ascii="Times New Roman"/>
                <w:sz w:val="18"/>
              </w:rPr>
              <w:t>478,125,</w:t>
            </w:r>
          </w:p>
          <w:p>
            <w:pPr>
              <w:pStyle w:val="TableParagraph"/>
              <w:spacing w:line="240" w:lineRule="auto" w:before="105"/>
              <w:ind w:left="212" w:right="0"/>
              <w:jc w:val="center"/>
              <w:rPr>
                <w:rFonts w:ascii="Times New Roman" w:hAnsi="Times New Roman" w:cs="Times New Roman" w:eastAsia="Times New Roman" w:hint="default"/>
                <w:sz w:val="18"/>
                <w:szCs w:val="18"/>
              </w:rPr>
            </w:pPr>
            <w:r>
              <w:rPr>
                <w:rFonts w:ascii="Times New Roman"/>
                <w:sz w:val="18"/>
              </w:rPr>
              <w:t>088.67</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99.78%</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769,538.</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84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0.16%</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477,355,5</w:t>
            </w:r>
          </w:p>
          <w:p>
            <w:pPr>
              <w:pStyle w:val="TableParagraph"/>
              <w:spacing w:line="240" w:lineRule="auto" w:before="105"/>
              <w:ind w:left="352" w:right="0"/>
              <w:jc w:val="left"/>
              <w:rPr>
                <w:rFonts w:ascii="Times New Roman" w:hAnsi="Times New Roman" w:cs="Times New Roman" w:eastAsia="Times New Roman" w:hint="default"/>
                <w:sz w:val="18"/>
                <w:szCs w:val="18"/>
              </w:rPr>
            </w:pPr>
            <w:r>
              <w:rPr>
                <w:rFonts w:ascii="Times New Roman"/>
                <w:sz w:val="18"/>
              </w:rPr>
              <w:t>49.83</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6" w:right="0"/>
              <w:jc w:val="left"/>
              <w:rPr>
                <w:rFonts w:ascii="Times New Roman" w:hAnsi="Times New Roman" w:cs="Times New Roman" w:eastAsia="Times New Roman" w:hint="default"/>
                <w:sz w:val="18"/>
                <w:szCs w:val="18"/>
              </w:rPr>
            </w:pPr>
            <w:r>
              <w:rPr>
                <w:rFonts w:ascii="Times New Roman"/>
                <w:sz w:val="18"/>
              </w:rPr>
              <w:t>508,709</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,747.59</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99.80%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726,183.4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0.14%</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507,983,56</w:t>
            </w:r>
          </w:p>
          <w:p>
            <w:pPr>
              <w:pStyle w:val="TableParagraph"/>
              <w:spacing w:line="240" w:lineRule="auto" w:before="105"/>
              <w:ind w:left="584" w:right="0"/>
              <w:jc w:val="left"/>
              <w:rPr>
                <w:rFonts w:ascii="Times New Roman" w:hAnsi="Times New Roman" w:cs="Times New Roman" w:eastAsia="Times New Roman" w:hint="default"/>
                <w:sz w:val="18"/>
                <w:szCs w:val="18"/>
              </w:rPr>
            </w:pPr>
            <w:r>
              <w:rPr>
                <w:rFonts w:ascii="Times New Roman"/>
                <w:sz w:val="18"/>
              </w:rPr>
              <w:t>4.15</w:t>
            </w:r>
          </w:p>
        </w:tc>
      </w:tr>
      <w:tr>
        <w:trPr>
          <w:trHeight w:val="1026" w:hRule="exact"/>
        </w:trPr>
        <w:tc>
          <w:tcPr>
            <w:tcW w:w="1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1" w:right="148"/>
              <w:jc w:val="both"/>
              <w:rPr>
                <w:rFonts w:ascii="宋体" w:hAnsi="宋体" w:cs="宋体" w:eastAsia="宋体" w:hint="default"/>
                <w:sz w:val="18"/>
                <w:szCs w:val="18"/>
              </w:rPr>
            </w:pPr>
            <w:r>
              <w:rPr>
                <w:rFonts w:ascii="宋体" w:hAnsi="宋体" w:cs="宋体" w:eastAsia="宋体" w:hint="default"/>
                <w:sz w:val="18"/>
                <w:szCs w:val="18"/>
              </w:rPr>
              <w:t>单项金额不重大但 单独计提坏账准备 的其他应收款</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33,924.0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0.01%</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33,924.0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790" w:type="dxa"/>
            <w:tcBorders>
              <w:top w:val="single" w:sz="4" w:space="0" w:color="000000"/>
              <w:left w:val="single" w:sz="4" w:space="0" w:color="000000"/>
              <w:bottom w:val="single" w:sz="4" w:space="0" w:color="000000"/>
              <w:right w:val="single" w:sz="4" w:space="0" w:color="000000"/>
            </w:tcBorders>
          </w:tcPr>
          <w:p>
            <w:pP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33,924.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0.01%</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33,924.00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1"/>
              <w:ind w:left="99" w:right="0"/>
              <w:jc w:val="left"/>
              <w:rPr>
                <w:rFonts w:ascii="Times New Roman" w:hAnsi="Times New Roman" w:cs="Times New Roman" w:eastAsia="Times New Roman" w:hint="default"/>
                <w:sz w:val="18"/>
                <w:szCs w:val="18"/>
              </w:rPr>
            </w:pPr>
            <w:r>
              <w:rPr>
                <w:rFonts w:ascii="Times New Roman"/>
                <w:sz w:val="18"/>
              </w:rPr>
              <w:t>479,159,</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98" w:right="0"/>
              <w:jc w:val="left"/>
              <w:rPr>
                <w:rFonts w:ascii="Times New Roman" w:hAnsi="Times New Roman" w:cs="Times New Roman" w:eastAsia="Times New Roman" w:hint="default"/>
                <w:sz w:val="18"/>
                <w:szCs w:val="18"/>
              </w:rPr>
            </w:pPr>
            <w:r>
              <w:rPr>
                <w:rFonts w:ascii="Times New Roman"/>
                <w:sz w:val="18"/>
              </w:rPr>
              <w:t>1,803,46</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0.38%</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37" w:right="0"/>
              <w:jc w:val="left"/>
              <w:rPr>
                <w:rFonts w:ascii="Times New Roman" w:hAnsi="Times New Roman" w:cs="Times New Roman" w:eastAsia="Times New Roman" w:hint="default"/>
                <w:sz w:val="18"/>
                <w:szCs w:val="18"/>
              </w:rPr>
            </w:pPr>
            <w:r>
              <w:rPr>
                <w:rFonts w:ascii="Times New Roman"/>
                <w:sz w:val="18"/>
              </w:rPr>
              <w:t>477,355,5</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36" w:right="0"/>
              <w:jc w:val="left"/>
              <w:rPr>
                <w:rFonts w:ascii="Times New Roman" w:hAnsi="Times New Roman" w:cs="Times New Roman" w:eastAsia="Times New Roman" w:hint="default"/>
                <w:sz w:val="18"/>
                <w:szCs w:val="18"/>
              </w:rPr>
            </w:pPr>
            <w:r>
              <w:rPr>
                <w:rFonts w:ascii="Times New Roman"/>
                <w:sz w:val="18"/>
              </w:rPr>
              <w:t>509,743</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20"/>
              <w:jc w:val="right"/>
              <w:rPr>
                <w:rFonts w:ascii="Times New Roman" w:hAnsi="Times New Roman" w:cs="Times New Roman" w:eastAsia="Times New Roman" w:hint="default"/>
                <w:sz w:val="18"/>
                <w:szCs w:val="18"/>
              </w:rPr>
            </w:pPr>
            <w:r>
              <w:rPr>
                <w:rFonts w:ascii="Times New Roman"/>
                <w:sz w:val="18"/>
              </w:rPr>
              <w:t>1,760,107</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0.35%</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88" w:right="0"/>
              <w:jc w:val="left"/>
              <w:rPr>
                <w:rFonts w:ascii="Times New Roman" w:hAnsi="Times New Roman" w:cs="Times New Roman" w:eastAsia="Times New Roman" w:hint="default"/>
                <w:sz w:val="18"/>
                <w:szCs w:val="18"/>
              </w:rPr>
            </w:pPr>
            <w:r>
              <w:rPr>
                <w:rFonts w:ascii="Times New Roman"/>
                <w:sz w:val="18"/>
              </w:rPr>
              <w:t>507,983,56</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634"/>
        <w:gridCol w:w="764"/>
        <w:gridCol w:w="762"/>
        <w:gridCol w:w="762"/>
        <w:gridCol w:w="762"/>
        <w:gridCol w:w="790"/>
        <w:gridCol w:w="654"/>
        <w:gridCol w:w="762"/>
        <w:gridCol w:w="813"/>
        <w:gridCol w:w="932"/>
        <w:gridCol w:w="935"/>
      </w:tblGrid>
      <w:tr>
        <w:trPr>
          <w:trHeight w:val="362"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5" w:right="0"/>
              <w:jc w:val="left"/>
              <w:rPr>
                <w:rFonts w:ascii="Times New Roman" w:hAnsi="Times New Roman" w:cs="Times New Roman" w:eastAsia="Times New Roman" w:hint="default"/>
                <w:sz w:val="18"/>
                <w:szCs w:val="18"/>
              </w:rPr>
            </w:pPr>
            <w:r>
              <w:rPr>
                <w:rFonts w:ascii="Times New Roman"/>
                <w:sz w:val="18"/>
              </w:rPr>
              <w:t>012.67</w:t>
            </w:r>
          </w:p>
        </w:tc>
        <w:tc>
          <w:tcPr>
            <w:tcW w:w="762"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13" w:right="0"/>
              <w:jc w:val="left"/>
              <w:rPr>
                <w:rFonts w:ascii="Times New Roman" w:hAnsi="Times New Roman" w:cs="Times New Roman" w:eastAsia="Times New Roman" w:hint="default"/>
                <w:sz w:val="18"/>
                <w:szCs w:val="18"/>
              </w:rPr>
            </w:pPr>
            <w:r>
              <w:rPr>
                <w:rFonts w:ascii="Times New Roman"/>
                <w:sz w:val="18"/>
              </w:rPr>
              <w:t>2.84</w:t>
            </w:r>
          </w:p>
        </w:tc>
        <w:tc>
          <w:tcPr>
            <w:tcW w:w="762"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52" w:right="0"/>
              <w:jc w:val="left"/>
              <w:rPr>
                <w:rFonts w:ascii="Times New Roman" w:hAnsi="Times New Roman" w:cs="Times New Roman" w:eastAsia="Times New Roman" w:hint="default"/>
                <w:sz w:val="18"/>
                <w:szCs w:val="18"/>
              </w:rPr>
            </w:pPr>
            <w:r>
              <w:rPr>
                <w:rFonts w:ascii="Times New Roman"/>
                <w:sz w:val="18"/>
              </w:rPr>
              <w:t>49.83</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0" w:right="0"/>
              <w:jc w:val="left"/>
              <w:rPr>
                <w:rFonts w:ascii="Times New Roman" w:hAnsi="Times New Roman" w:cs="Times New Roman" w:eastAsia="Times New Roman" w:hint="default"/>
                <w:sz w:val="18"/>
                <w:szCs w:val="18"/>
              </w:rPr>
            </w:pPr>
            <w:r>
              <w:rPr>
                <w:rFonts w:ascii="Times New Roman"/>
                <w:sz w:val="18"/>
              </w:rPr>
              <w:t>,671.59</w:t>
            </w:r>
          </w:p>
        </w:tc>
        <w:tc>
          <w:tcPr>
            <w:tcW w:w="762" w:type="dxa"/>
            <w:tcBorders>
              <w:top w:val="single" w:sz="4" w:space="0" w:color="000000"/>
              <w:left w:val="single" w:sz="4" w:space="0" w:color="000000"/>
              <w:bottom w:val="single" w:sz="4" w:space="0" w:color="000000"/>
              <w:right w:val="single" w:sz="4" w:space="0" w:color="000000"/>
            </w:tcBorders>
          </w:tcPr>
          <w:p>
            <w:pP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Times New Roman" w:hAnsi="Times New Roman" w:cs="Times New Roman" w:eastAsia="Times New Roman" w:hint="default"/>
                <w:sz w:val="18"/>
                <w:szCs w:val="18"/>
              </w:rPr>
            </w:pPr>
            <w:r>
              <w:rPr>
                <w:rFonts w:ascii="Times New Roman"/>
                <w:sz w:val="18"/>
              </w:rPr>
              <w:t>.44</w:t>
            </w:r>
          </w:p>
        </w:tc>
        <w:tc>
          <w:tcPr>
            <w:tcW w:w="932"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4" w:right="0"/>
              <w:jc w:val="left"/>
              <w:rPr>
                <w:rFonts w:ascii="Times New Roman" w:hAnsi="Times New Roman" w:cs="Times New Roman" w:eastAsia="Times New Roman" w:hint="default"/>
                <w:sz w:val="18"/>
                <w:szCs w:val="18"/>
              </w:rPr>
            </w:pPr>
            <w:r>
              <w:rPr>
                <w:rFonts w:ascii="Times New Roman"/>
                <w:sz w:val="18"/>
              </w:rPr>
              <w:t>4.15</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pStyle w:val="BodyText"/>
        <w:spacing w:line="240" w:lineRule="auto" w:before="51"/>
        <w:ind w:right="-20"/>
        <w:jc w:val="left"/>
      </w:pPr>
      <w:r>
        <w:rPr/>
        <w:t>期末单项金额重大并单项计提坏账准备的其他应收款：</w:t>
      </w:r>
    </w:p>
    <w:p>
      <w:pPr>
        <w:pStyle w:val="BodyText"/>
        <w:spacing w:line="240" w:lineRule="auto" w:before="117"/>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pStyle w:val="BodyText"/>
        <w:spacing w:line="240" w:lineRule="auto"/>
        <w:ind w:left="153" w:right="0"/>
        <w:jc w:val="left"/>
      </w:pPr>
      <w:r>
        <w:rPr/>
        <w:t>单位： 元</w:t>
      </w:r>
    </w:p>
    <w:p>
      <w:pPr>
        <w:spacing w:after="0" w:line="240" w:lineRule="auto"/>
        <w:jc w:val="left"/>
        <w:sectPr>
          <w:type w:val="continuous"/>
          <w:pgSz w:w="11910" w:h="16840"/>
          <w:pgMar w:top="1060" w:bottom="1160" w:left="980" w:right="0"/>
          <w:cols w:num="2" w:equalWidth="0">
            <w:col w:w="4475" w:space="4355"/>
            <w:col w:w="2100"/>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95"/>
        <w:gridCol w:w="1838"/>
        <w:gridCol w:w="1913"/>
        <w:gridCol w:w="1913"/>
        <w:gridCol w:w="1913"/>
      </w:tblGrid>
      <w:tr>
        <w:trPr>
          <w:trHeight w:val="402" w:hRule="exact"/>
        </w:trPr>
        <w:tc>
          <w:tcPr>
            <w:tcW w:w="19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91" w:right="0"/>
              <w:jc w:val="left"/>
              <w:rPr>
                <w:rFonts w:ascii="宋体" w:hAnsi="宋体" w:cs="宋体" w:eastAsia="宋体" w:hint="default"/>
                <w:sz w:val="18"/>
                <w:szCs w:val="18"/>
              </w:rPr>
            </w:pPr>
            <w:r>
              <w:rPr>
                <w:rFonts w:ascii="宋体" w:hAnsi="宋体" w:cs="宋体" w:eastAsia="宋体" w:hint="default"/>
                <w:sz w:val="18"/>
                <w:szCs w:val="18"/>
              </w:rPr>
              <w:t>其他应收款（按单位）</w:t>
            </w:r>
          </w:p>
        </w:tc>
        <w:tc>
          <w:tcPr>
            <w:tcW w:w="757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995" w:type="dxa"/>
            <w:vMerge/>
            <w:tcBorders>
              <w:left w:val="single" w:sz="4" w:space="0" w:color="000000"/>
              <w:bottom w:val="single" w:sz="4" w:space="0" w:color="000000"/>
              <w:right w:val="single" w:sz="4" w:space="0" w:color="000000"/>
            </w:tcBorders>
            <w:shd w:val="clear" w:color="auto" w:fill="D2D2D2"/>
          </w:tcPr>
          <w:p>
            <w:pPr/>
          </w:p>
        </w:tc>
        <w:tc>
          <w:tcPr>
            <w:tcW w:w="1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589"/>
              <w:jc w:val="right"/>
              <w:rPr>
                <w:rFonts w:ascii="宋体" w:hAnsi="宋体" w:cs="宋体" w:eastAsia="宋体" w:hint="default"/>
                <w:sz w:val="18"/>
                <w:szCs w:val="18"/>
              </w:rPr>
            </w:pPr>
            <w:r>
              <w:rPr>
                <w:rFonts w:ascii="宋体" w:hAnsi="宋体" w:cs="宋体" w:eastAsia="宋体" w:hint="default"/>
                <w:sz w:val="18"/>
                <w:szCs w:val="18"/>
              </w:rPr>
              <w:t>计提理由</w:t>
            </w:r>
          </w:p>
        </w:tc>
      </w:tr>
      <w:tr>
        <w:trPr>
          <w:trHeight w:val="714" w:hRule="exact"/>
        </w:trPr>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60"/>
              <w:jc w:val="left"/>
              <w:rPr>
                <w:rFonts w:ascii="宋体" w:hAnsi="宋体" w:cs="宋体" w:eastAsia="宋体" w:hint="default"/>
                <w:sz w:val="18"/>
                <w:szCs w:val="18"/>
              </w:rPr>
            </w:pPr>
            <w:r>
              <w:rPr>
                <w:rFonts w:ascii="宋体" w:hAnsi="宋体" w:cs="宋体" w:eastAsia="宋体" w:hint="default"/>
                <w:sz w:val="18"/>
                <w:szCs w:val="18"/>
              </w:rPr>
              <w:t>深圳市泛彩溢实业有限 公司</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236" w:right="0"/>
              <w:jc w:val="left"/>
              <w:rPr>
                <w:rFonts w:ascii="Times New Roman" w:hAnsi="Times New Roman" w:cs="Times New Roman" w:eastAsia="Times New Roman" w:hint="default"/>
                <w:sz w:val="18"/>
                <w:szCs w:val="18"/>
              </w:rPr>
            </w:pPr>
            <w:r>
              <w:rPr>
                <w:rFonts w:ascii="Times New Roman"/>
                <w:sz w:val="18"/>
              </w:rPr>
              <w:t>100.00%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618"/>
              <w:jc w:val="right"/>
              <w:rPr>
                <w:rFonts w:ascii="宋体" w:hAnsi="宋体" w:cs="宋体" w:eastAsia="宋体" w:hint="default"/>
                <w:sz w:val="18"/>
                <w:szCs w:val="18"/>
              </w:rPr>
            </w:pPr>
            <w:r>
              <w:rPr>
                <w:rFonts w:ascii="宋体" w:hAnsi="宋体" w:cs="宋体" w:eastAsia="宋体" w:hint="default"/>
                <w:sz w:val="18"/>
                <w:szCs w:val="18"/>
              </w:rPr>
              <w:t>收回可能性较小</w:t>
            </w:r>
          </w:p>
        </w:tc>
      </w:tr>
      <w:tr>
        <w:trPr>
          <w:trHeight w:val="403"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1,000,000.00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1,000,000.00</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type w:val="continuous"/>
          <w:pgSz w:w="11910" w:h="16840"/>
          <w:pgMar w:top="1060" w:bottom="1160" w:left="980" w:right="0"/>
        </w:sectPr>
      </w:pPr>
    </w:p>
    <w:p>
      <w:pPr>
        <w:pStyle w:val="BodyText"/>
        <w:spacing w:line="240" w:lineRule="auto" w:before="51"/>
        <w:ind w:right="-20"/>
        <w:jc w:val="left"/>
      </w:pPr>
      <w:r>
        <w:rPr/>
        <w:t>组合中，按账龄分析法计提坏账准备的其他应收款：</w:t>
      </w:r>
    </w:p>
    <w:p>
      <w:pPr>
        <w:pStyle w:val="BodyText"/>
        <w:spacing w:line="340" w:lineRule="auto" w:before="116"/>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组合中，采用余额百分比法计提坏账准备的其他应收款：</w:t>
      </w:r>
    </w:p>
    <w:p>
      <w:pPr>
        <w:pStyle w:val="BodyText"/>
        <w:spacing w:line="240" w:lineRule="auto" w:before="40"/>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pStyle w:val="BodyText"/>
        <w:spacing w:line="240" w:lineRule="auto"/>
        <w:ind w:left="153" w:right="0"/>
        <w:jc w:val="left"/>
      </w:pPr>
      <w:r>
        <w:rPr/>
        <w:t>单位： 元</w:t>
      </w:r>
    </w:p>
    <w:p>
      <w:pPr>
        <w:spacing w:after="0" w:line="240" w:lineRule="auto"/>
        <w:jc w:val="left"/>
        <w:sectPr>
          <w:type w:val="continuous"/>
          <w:pgSz w:w="11910" w:h="16840"/>
          <w:pgMar w:top="1060" w:bottom="1160" w:left="980" w:right="0"/>
          <w:cols w:num="2" w:equalWidth="0">
            <w:col w:w="4655" w:space="4174"/>
            <w:col w:w="2101"/>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90"/>
        <w:gridCol w:w="2296"/>
        <w:gridCol w:w="2392"/>
        <w:gridCol w:w="2390"/>
      </w:tblGrid>
      <w:tr>
        <w:trPr>
          <w:trHeight w:val="402" w:hRule="exact"/>
        </w:trPr>
        <w:tc>
          <w:tcPr>
            <w:tcW w:w="24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707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490" w:type="dxa"/>
            <w:vMerge/>
            <w:tcBorders>
              <w:left w:val="single" w:sz="4" w:space="0" w:color="000000"/>
              <w:bottom w:val="single" w:sz="4" w:space="0" w:color="000000"/>
              <w:right w:val="single" w:sz="4" w:space="0" w:color="000000"/>
            </w:tcBorders>
            <w:shd w:val="clear" w:color="auto" w:fill="D2D2D2"/>
          </w:tcPr>
          <w:p>
            <w:pPr/>
          </w:p>
        </w:tc>
        <w:tc>
          <w:tcPr>
            <w:tcW w:w="2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9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2" w:hRule="exact"/>
        </w:trPr>
        <w:tc>
          <w:tcPr>
            <w:tcW w:w="2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应收集团内部单位其他应收款</w:t>
            </w:r>
          </w:p>
        </w:tc>
        <w:tc>
          <w:tcPr>
            <w:tcW w:w="2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462,734,311.84</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49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7"/>
              <w:jc w:val="left"/>
              <w:rPr>
                <w:rFonts w:ascii="宋体" w:hAnsi="宋体" w:cs="宋体" w:eastAsia="宋体" w:hint="default"/>
                <w:sz w:val="18"/>
                <w:szCs w:val="18"/>
              </w:rPr>
            </w:pPr>
            <w:r>
              <w:rPr>
                <w:rFonts w:ascii="宋体" w:hAnsi="宋体" w:cs="宋体" w:eastAsia="宋体" w:hint="default"/>
                <w:sz w:val="18"/>
                <w:szCs w:val="18"/>
              </w:rPr>
              <w:t>单项金额重大未出现减值迹象 的其他应收款</w:t>
            </w:r>
          </w:p>
        </w:tc>
        <w:tc>
          <w:tcPr>
            <w:tcW w:w="2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6,290,800.00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314,540.00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5.00%</w:t>
            </w:r>
          </w:p>
        </w:tc>
      </w:tr>
      <w:tr>
        <w:trPr>
          <w:trHeight w:val="714" w:hRule="exact"/>
        </w:trPr>
        <w:tc>
          <w:tcPr>
            <w:tcW w:w="24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7"/>
              <w:jc w:val="left"/>
              <w:rPr>
                <w:rFonts w:ascii="宋体" w:hAnsi="宋体" w:cs="宋体" w:eastAsia="宋体" w:hint="default"/>
                <w:sz w:val="18"/>
                <w:szCs w:val="18"/>
              </w:rPr>
            </w:pPr>
            <w:r>
              <w:rPr>
                <w:rFonts w:ascii="宋体" w:hAnsi="宋体" w:cs="宋体" w:eastAsia="宋体" w:hint="default"/>
                <w:sz w:val="18"/>
                <w:szCs w:val="18"/>
              </w:rPr>
              <w:t>单项金额不重大未出现减值迹 象的其他应收款</w:t>
            </w:r>
          </w:p>
        </w:tc>
        <w:tc>
          <w:tcPr>
            <w:tcW w:w="2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9,099,976.83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454,998.84</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4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478,125,088.67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769,538.84</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0.16%</w:t>
            </w:r>
          </w:p>
        </w:tc>
      </w:tr>
    </w:tbl>
    <w:p>
      <w:pPr>
        <w:pStyle w:val="BodyText"/>
        <w:spacing w:line="357" w:lineRule="auto" w:before="51"/>
        <w:ind w:right="2132"/>
        <w:jc w:val="left"/>
      </w:pPr>
      <w:r>
        <w:rPr/>
        <w:t>确定该组合依据的说明： 详见第十一节、七合并财务报表项目注释、</w:t>
      </w:r>
      <w:r>
        <w:rPr>
          <w:rFonts w:ascii="Times New Roman" w:hAnsi="Times New Roman" w:cs="Times New Roman" w:eastAsia="Times New Roman" w:hint="default"/>
        </w:rPr>
        <w:t>4</w:t>
      </w:r>
      <w:r>
        <w:rPr/>
        <w:t>其他应收款、（</w:t>
      </w:r>
      <w:r>
        <w:rPr>
          <w:rFonts w:ascii="Times New Roman" w:hAnsi="Times New Roman" w:cs="Times New Roman" w:eastAsia="Times New Roman" w:hint="default"/>
        </w:rPr>
        <w:t>3</w:t>
      </w:r>
      <w:r>
        <w:rPr/>
        <w:t>）其他应收款分类披露</w:t>
      </w:r>
      <w:r>
        <w:rPr>
          <w:rFonts w:ascii="Times New Roman" w:hAnsi="Times New Roman" w:cs="Times New Roman" w:eastAsia="Times New Roman" w:hint="default"/>
        </w:rPr>
        <w:t>”</w:t>
      </w:r>
      <w:r>
        <w:rPr/>
        <w:t>确定组合依据的说明</w:t>
      </w:r>
      <w:r>
        <w:rPr>
          <w:rFonts w:ascii="Times New Roman" w:hAnsi="Times New Roman" w:cs="Times New Roman" w:eastAsia="Times New Roman" w:hint="default"/>
        </w:rPr>
        <w:t>“</w:t>
      </w:r>
      <w:r>
        <w:rPr/>
        <w:t>。</w:t>
      </w:r>
    </w:p>
    <w:p>
      <w:pPr>
        <w:spacing w:line="240" w:lineRule="auto" w:before="12"/>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060" w:bottom="1160" w:left="980" w:right="0"/>
        </w:sectPr>
      </w:pPr>
    </w:p>
    <w:p>
      <w:pPr>
        <w:pStyle w:val="BodyText"/>
        <w:spacing w:line="240" w:lineRule="auto" w:before="44"/>
        <w:ind w:right="-17"/>
        <w:jc w:val="left"/>
      </w:pPr>
      <w:r>
        <w:rPr/>
        <w:t>组合中，采用其他方法计提坏账准备的其他应收款：</w:t>
      </w:r>
    </w:p>
    <w:p>
      <w:pPr>
        <w:pStyle w:val="BodyText"/>
        <w:spacing w:line="240" w:lineRule="auto" w:before="116"/>
        <w:ind w:right="-1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3"/>
        <w:ind w:right="-17"/>
        <w:jc w:val="left"/>
      </w:pPr>
      <w:r>
        <w:rPr>
          <w:rFonts w:ascii="Times New Roman" w:hAnsi="Times New Roman" w:cs="Times New Roman" w:eastAsia="Times New Roman" w:hint="default"/>
        </w:rPr>
        <w:t>2)</w:t>
      </w:r>
      <w:r>
        <w:rPr/>
        <w:t>本期计提、收回或转回的坏账准备情况</w:t>
      </w:r>
    </w:p>
    <w:p>
      <w:pPr>
        <w:pStyle w:val="BodyText"/>
        <w:spacing w:line="338" w:lineRule="auto" w:before="102"/>
        <w:ind w:right="-17"/>
        <w:jc w:val="left"/>
      </w:pPr>
      <w:r>
        <w:rPr/>
        <w:t>本期计提坏账准备金额</w:t>
      </w:r>
      <w:r>
        <w:rPr>
          <w:spacing w:val="-46"/>
        </w:rPr>
        <w:t> </w:t>
      </w:r>
      <w:r>
        <w:rPr>
          <w:rFonts w:ascii="Times New Roman" w:hAnsi="Times New Roman" w:cs="Times New Roman" w:eastAsia="Times New Roman" w:hint="default"/>
        </w:rPr>
        <w:t>43,355.40</w:t>
      </w:r>
      <w:r>
        <w:rPr>
          <w:rFonts w:ascii="Times New Roman" w:hAnsi="Times New Roman" w:cs="Times New Roman" w:eastAsia="Times New Roman" w:hint="default"/>
          <w:spacing w:val="-1"/>
        </w:rPr>
        <w:t> </w:t>
      </w:r>
      <w:r>
        <w:rPr/>
        <w:t>元；本期收回或转回坏账准备金额</w:t>
      </w:r>
      <w:r>
        <w:rPr>
          <w:spacing w:val="-46"/>
        </w:rPr>
        <w:t> </w:t>
      </w:r>
      <w:r>
        <w:rPr>
          <w:rFonts w:ascii="Times New Roman" w:hAnsi="Times New Roman" w:cs="Times New Roman" w:eastAsia="Times New Roman" w:hint="default"/>
        </w:rPr>
        <w:t>0 </w:t>
      </w:r>
      <w:r>
        <w:rPr/>
        <w:t>元。 其中本期坏账准备转回或收回金额重要的：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56"/>
        <w:ind w:left="153" w:right="0"/>
        <w:jc w:val="left"/>
      </w:pPr>
      <w:r>
        <w:rPr/>
        <w:t>单位： 元</w:t>
      </w:r>
    </w:p>
    <w:p>
      <w:pPr>
        <w:spacing w:after="0" w:line="240" w:lineRule="auto"/>
        <w:jc w:val="left"/>
        <w:sectPr>
          <w:type w:val="continuous"/>
          <w:pgSz w:w="11910" w:h="16840"/>
          <w:pgMar w:top="1060" w:bottom="1160" w:left="980" w:right="0"/>
          <w:cols w:num="2" w:equalWidth="0">
            <w:col w:w="6005" w:space="2824"/>
            <w:col w:w="2101"/>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369"/>
        <w:gridCol w:w="3100"/>
        <w:gridCol w:w="3100"/>
      </w:tblGrid>
      <w:tr>
        <w:trPr>
          <w:trHeight w:val="402"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4"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pStyle w:val="BodyText"/>
        <w:spacing w:line="240" w:lineRule="auto" w:before="51"/>
        <w:ind w:right="0"/>
        <w:jc w:val="left"/>
      </w:pPr>
      <w:r>
        <w:rPr>
          <w:rFonts w:ascii="Times New Roman" w:hAnsi="Times New Roman" w:cs="Times New Roman" w:eastAsia="Times New Roman" w:hint="default"/>
        </w:rPr>
        <w:t>3)</w:t>
      </w:r>
      <w:r>
        <w:rPr/>
        <w:t>本期实际核销的其他应收款情况</w:t>
      </w:r>
    </w:p>
    <w:p>
      <w:pPr>
        <w:pStyle w:val="BodyText"/>
        <w:spacing w:line="240" w:lineRule="auto" w:before="103"/>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84"/>
        <w:gridCol w:w="4584"/>
      </w:tblGrid>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5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pStyle w:val="BodyText"/>
        <w:spacing w:line="240" w:lineRule="auto" w:before="52"/>
        <w:ind w:right="0"/>
        <w:jc w:val="left"/>
      </w:pPr>
      <w:r>
        <w:rPr/>
        <w:t>其中重要的其他应收款核销情况：</w:t>
      </w:r>
    </w:p>
    <w:p>
      <w:pPr>
        <w:pStyle w:val="BodyText"/>
        <w:spacing w:line="240" w:lineRule="auto" w:before="116"/>
        <w:ind w:left="0" w:right="1130"/>
        <w:jc w:val="right"/>
      </w:pPr>
      <w:r>
        <w:rPr/>
        <w:t>单位： 元</w:t>
      </w:r>
    </w:p>
    <w:p>
      <w:pPr>
        <w:spacing w:after="0" w:line="240" w:lineRule="auto"/>
        <w:jc w:val="right"/>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684"/>
        <w:gridCol w:w="1552"/>
        <w:gridCol w:w="1552"/>
        <w:gridCol w:w="1553"/>
        <w:gridCol w:w="1614"/>
        <w:gridCol w:w="1604"/>
      </w:tblGrid>
      <w:tr>
        <w:trPr>
          <w:trHeight w:val="714"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其他应收款性质</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71"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6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532" w:right="69" w:hanging="450"/>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spacing w:after="0" w:line="319" w:lineRule="auto"/>
        <w:jc w:val="left"/>
        <w:rPr>
          <w:rFonts w:ascii="宋体" w:hAnsi="宋体" w:cs="宋体" w:eastAsia="宋体" w:hint="default"/>
          <w:sz w:val="18"/>
          <w:szCs w:val="18"/>
        </w:rPr>
        <w:sectPr>
          <w:pgSz w:w="11910" w:h="16840"/>
          <w:pgMar w:header="747" w:footer="979" w:top="1060" w:bottom="1160" w:left="980" w:right="0"/>
        </w:sectPr>
      </w:pPr>
    </w:p>
    <w:p>
      <w:pPr>
        <w:pStyle w:val="BodyText"/>
        <w:spacing w:line="240" w:lineRule="auto" w:before="51"/>
        <w:ind w:right="-20"/>
        <w:jc w:val="left"/>
      </w:pPr>
      <w:r>
        <w:rPr/>
        <w:t>其他应收款核销说明：</w:t>
      </w:r>
    </w:p>
    <w:p>
      <w:pPr>
        <w:pStyle w:val="BodyText"/>
        <w:spacing w:line="240" w:lineRule="auto" w:before="117"/>
        <w:ind w:right="-20"/>
        <w:jc w:val="left"/>
      </w:pPr>
      <w:r>
        <w:rPr>
          <w:rFonts w:ascii="Times New Roman" w:hAnsi="Times New Roman" w:cs="Times New Roman" w:eastAsia="Times New Roman" w:hint="default"/>
        </w:rPr>
        <w:t>4)</w:t>
      </w:r>
      <w:r>
        <w:rPr/>
        <w:t>其他应收款按款项性质分类情况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pStyle w:val="BodyText"/>
        <w:spacing w:line="240" w:lineRule="auto"/>
        <w:ind w:left="153" w:right="0"/>
        <w:jc w:val="left"/>
      </w:pPr>
      <w:r>
        <w:rPr/>
        <w:t>单位： 元</w:t>
      </w:r>
    </w:p>
    <w:p>
      <w:pPr>
        <w:spacing w:after="0" w:line="240" w:lineRule="auto"/>
        <w:jc w:val="left"/>
        <w:sectPr>
          <w:type w:val="continuous"/>
          <w:pgSz w:w="11910" w:h="16840"/>
          <w:pgMar w:top="1060" w:bottom="1160" w:left="980" w:right="0"/>
          <w:cols w:num="2" w:equalWidth="0">
            <w:col w:w="2825" w:space="6005"/>
            <w:col w:w="2100"/>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69"/>
        <w:gridCol w:w="3100"/>
        <w:gridCol w:w="3100"/>
      </w:tblGrid>
      <w:tr>
        <w:trPr>
          <w:trHeight w:val="402"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4"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4"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4,680,004.36</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5,285,413.54</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5,660,568.17</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5,040,427.89</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押金</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645,580.88</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928,980.88</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较长账龄预付款项重分类到其他应收款</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1,273,618.58</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1,000,000.00</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集团内部往来款</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462,734,311.84</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494,186,078.82</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4,164,928.84</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3,302,770.46</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479,159,012.67</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509,743,671.59</w:t>
            </w:r>
          </w:p>
        </w:tc>
      </w:tr>
    </w:tbl>
    <w:p>
      <w:pPr>
        <w:pStyle w:val="BodyText"/>
        <w:spacing w:line="240" w:lineRule="auto" w:before="51"/>
        <w:ind w:right="0"/>
        <w:jc w:val="left"/>
      </w:pPr>
      <w:r>
        <w:rPr>
          <w:rFonts w:ascii="Times New Roman" w:hAnsi="Times New Roman" w:cs="Times New Roman" w:eastAsia="Times New Roman" w:hint="default"/>
        </w:rPr>
        <w:t>5)</w:t>
      </w:r>
      <w:r>
        <w:rPr/>
        <w:t>按欠款方归集的期末余额前五名的其他应收款情况</w:t>
      </w:r>
    </w:p>
    <w:p>
      <w:pPr>
        <w:pStyle w:val="BodyText"/>
        <w:spacing w:line="240" w:lineRule="auto" w:before="103"/>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684"/>
        <w:gridCol w:w="1552"/>
        <w:gridCol w:w="1552"/>
        <w:gridCol w:w="1553"/>
        <w:gridCol w:w="1614"/>
        <w:gridCol w:w="1615"/>
      </w:tblGrid>
      <w:tr>
        <w:trPr>
          <w:trHeight w:val="714"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81" w:right="81"/>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80"/>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第一名公司</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内部往来款</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240,774,143.70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 </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50.25%</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第二名公司</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4" w:right="77"/>
              <w:jc w:val="left"/>
              <w:rPr>
                <w:rFonts w:ascii="宋体" w:hAnsi="宋体" w:cs="宋体" w:eastAsia="宋体" w:hint="default"/>
                <w:sz w:val="18"/>
                <w:szCs w:val="18"/>
              </w:rPr>
            </w:pPr>
            <w:r>
              <w:rPr>
                <w:rFonts w:ascii="宋体" w:hAnsi="宋体" w:cs="宋体" w:eastAsia="宋体" w:hint="default"/>
                <w:sz w:val="18"/>
                <w:szCs w:val="18"/>
              </w:rPr>
              <w:t>内部往来款、租赁 费</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139,602,020.54</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29.13%</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第三名公司</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4" w:right="77"/>
              <w:jc w:val="left"/>
              <w:rPr>
                <w:rFonts w:ascii="宋体" w:hAnsi="宋体" w:cs="宋体" w:eastAsia="宋体" w:hint="default"/>
                <w:sz w:val="18"/>
                <w:szCs w:val="18"/>
              </w:rPr>
            </w:pPr>
            <w:r>
              <w:rPr>
                <w:rFonts w:ascii="宋体" w:hAnsi="宋体" w:cs="宋体" w:eastAsia="宋体" w:hint="default"/>
                <w:sz w:val="18"/>
                <w:szCs w:val="18"/>
              </w:rPr>
              <w:t>内部往来款、租赁 费</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58,160,447.65</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12.14%</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第四名公司</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内部往来款</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22,846,658.52</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4.77%</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第五名公司</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处置固定资产</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2,660,800.00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0.56%</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133,040.00</w:t>
            </w: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464,044,070.41</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614" w:type="dxa"/>
            <w:tcBorders>
              <w:top w:val="single" w:sz="4" w:space="0" w:color="000000"/>
              <w:left w:val="single" w:sz="4" w:space="0" w:color="000000"/>
              <w:bottom w:val="single" w:sz="4" w:space="0" w:color="000000"/>
              <w:right w:val="single" w:sz="4" w:space="0" w:color="000000"/>
            </w:tcBorders>
          </w:tcPr>
          <w:p>
            <w:pP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133,040.00</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长期股权投资" w:id="374"/>
      <w:bookmarkEnd w:id="374"/>
      <w:r>
        <w:rPr>
          <w:b w:val="0"/>
          <w:bCs w:val="0"/>
        </w:rPr>
      </w:r>
      <w:r>
        <w:rPr>
          <w:rFonts w:ascii="Times New Roman" w:hAnsi="Times New Roman" w:cs="Times New Roman" w:eastAsia="Times New Roman" w:hint="default"/>
        </w:rPr>
        <w:t>3</w:t>
      </w:r>
      <w:r>
        <w:rPr/>
        <w:t>、长期股权投资</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346"/>
        <w:gridCol w:w="1379"/>
        <w:gridCol w:w="1367"/>
        <w:gridCol w:w="1367"/>
        <w:gridCol w:w="1368"/>
        <w:gridCol w:w="1367"/>
        <w:gridCol w:w="1367"/>
      </w:tblGrid>
      <w:tr>
        <w:trPr>
          <w:trHeight w:val="206" w:hRule="exact"/>
        </w:trPr>
        <w:tc>
          <w:tcPr>
            <w:tcW w:w="1346" w:type="dxa"/>
            <w:tcBorders>
              <w:top w:val="single" w:sz="4" w:space="0" w:color="000000"/>
              <w:left w:val="single" w:sz="4" w:space="0" w:color="000000"/>
              <w:bottom w:val="nil" w:sz="6" w:space="0" w:color="auto"/>
              <w:right w:val="single" w:sz="4" w:space="0" w:color="000000"/>
            </w:tcBorders>
            <w:shd w:val="clear" w:color="auto" w:fill="D2D2D2"/>
          </w:tcPr>
          <w:p>
            <w:pPr/>
          </w:p>
        </w:tc>
        <w:tc>
          <w:tcPr>
            <w:tcW w:w="411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1" w:hRule="exact"/>
        </w:trPr>
        <w:tc>
          <w:tcPr>
            <w:tcW w:w="134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113" w:type="dxa"/>
            <w:gridSpan w:val="3"/>
            <w:vMerge/>
            <w:tcBorders>
              <w:left w:val="single" w:sz="4" w:space="0" w:color="000000"/>
              <w:bottom w:val="single" w:sz="4" w:space="0" w:color="000000"/>
              <w:right w:val="single" w:sz="4" w:space="0" w:color="000000"/>
            </w:tcBorders>
            <w:shd w:val="clear" w:color="auto" w:fill="D2D2D2"/>
          </w:tcPr>
          <w:p>
            <w:pPr/>
          </w:p>
        </w:tc>
        <w:tc>
          <w:tcPr>
            <w:tcW w:w="4102" w:type="dxa"/>
            <w:gridSpan w:val="3"/>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346" w:type="dxa"/>
            <w:vMerge/>
            <w:tcBorders>
              <w:left w:val="single" w:sz="4" w:space="0" w:color="000000"/>
              <w:bottom w:val="nil" w:sz="6" w:space="0" w:color="auto"/>
              <w:right w:val="single" w:sz="4" w:space="0" w:color="000000"/>
            </w:tcBorders>
            <w:shd w:val="clear" w:color="auto" w:fill="D2D2D2"/>
          </w:tcPr>
          <w:p>
            <w:pPr/>
          </w:p>
        </w:tc>
        <w:tc>
          <w:tcPr>
            <w:tcW w:w="137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2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6" w:hRule="exact"/>
        </w:trPr>
        <w:tc>
          <w:tcPr>
            <w:tcW w:w="1346" w:type="dxa"/>
            <w:tcBorders>
              <w:top w:val="nil" w:sz="6" w:space="0" w:color="auto"/>
              <w:left w:val="single" w:sz="4" w:space="0" w:color="000000"/>
              <w:bottom w:val="single" w:sz="4" w:space="0" w:color="000000"/>
              <w:right w:val="single" w:sz="4" w:space="0" w:color="000000"/>
            </w:tcBorders>
            <w:shd w:val="clear" w:color="auto" w:fill="D2D2D2"/>
          </w:tcPr>
          <w:p>
            <w:pPr/>
          </w:p>
        </w:tc>
        <w:tc>
          <w:tcPr>
            <w:tcW w:w="1379"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2,088,716,990.53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2,088,716,990.53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1,982,066,990.53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center"/>
              <w:rPr>
                <w:rFonts w:ascii="Times New Roman" w:hAnsi="Times New Roman" w:cs="Times New Roman" w:eastAsia="Times New Roman" w:hint="default"/>
                <w:sz w:val="18"/>
                <w:szCs w:val="18"/>
              </w:rPr>
            </w:pPr>
            <w:r>
              <w:rPr>
                <w:rFonts w:ascii="Times New Roman"/>
                <w:sz w:val="18"/>
              </w:rPr>
              <w:t>1,982,066,990.53</w:t>
            </w:r>
          </w:p>
        </w:tc>
      </w:tr>
      <w:tr>
        <w:trPr>
          <w:trHeight w:val="714"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62"/>
              <w:jc w:val="left"/>
              <w:rPr>
                <w:rFonts w:ascii="宋体" w:hAnsi="宋体" w:cs="宋体" w:eastAsia="宋体" w:hint="default"/>
                <w:sz w:val="18"/>
                <w:szCs w:val="18"/>
              </w:rPr>
            </w:pPr>
            <w:r>
              <w:rPr>
                <w:rFonts w:ascii="宋体" w:hAnsi="宋体" w:cs="宋体" w:eastAsia="宋体" w:hint="default"/>
                <w:sz w:val="18"/>
                <w:szCs w:val="18"/>
              </w:rPr>
              <w:t>对联营、合营企 业投资</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974,872,067.06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974,872,067.06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854,829,971.55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87" w:right="0"/>
              <w:jc w:val="center"/>
              <w:rPr>
                <w:rFonts w:ascii="Times New Roman" w:hAnsi="Times New Roman" w:cs="Times New Roman" w:eastAsia="Times New Roman" w:hint="default"/>
                <w:sz w:val="18"/>
                <w:szCs w:val="18"/>
              </w:rPr>
            </w:pPr>
            <w:r>
              <w:rPr>
                <w:rFonts w:ascii="Times New Roman"/>
                <w:sz w:val="18"/>
              </w:rPr>
              <w:t>854,829,971.55</w:t>
            </w: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3,063,589,057.59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3,063,589,057.59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2,836,896,962.08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center"/>
              <w:rPr>
                <w:rFonts w:ascii="Times New Roman" w:hAnsi="Times New Roman" w:cs="Times New Roman" w:eastAsia="Times New Roman" w:hint="default"/>
                <w:sz w:val="18"/>
                <w:szCs w:val="18"/>
              </w:rPr>
            </w:pPr>
            <w:r>
              <w:rPr>
                <w:rFonts w:ascii="Times New Roman"/>
                <w:sz w:val="18"/>
              </w:rPr>
              <w:t>2,836,896,962.08</w:t>
            </w:r>
          </w:p>
        </w:tc>
      </w:tr>
    </w:tbl>
    <w:p>
      <w:pPr>
        <w:spacing w:after="0" w:line="240" w:lineRule="auto"/>
        <w:jc w:val="center"/>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right="0"/>
        <w:jc w:val="left"/>
        <w:rPr>
          <w:b w:val="0"/>
          <w:bCs w:val="0"/>
        </w:rPr>
      </w:pPr>
      <w:bookmarkStart w:name="（1）对子公司投资" w:id="375"/>
      <w:bookmarkEnd w:id="375"/>
      <w:r>
        <w:rPr>
          <w:b w:val="0"/>
          <w:bCs w:val="0"/>
        </w:rPr>
      </w:r>
      <w:r>
        <w:rPr/>
        <w:t>（</w:t>
      </w:r>
      <w:r>
        <w:rPr>
          <w:rFonts w:ascii="Times New Roman" w:hAnsi="Times New Roman" w:cs="Times New Roman" w:eastAsia="Times New Roman" w:hint="default"/>
        </w:rPr>
        <w:t>1</w:t>
      </w:r>
      <w:r>
        <w:rPr/>
        <w:t>）对子公司投资</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448"/>
        <w:gridCol w:w="1336"/>
        <w:gridCol w:w="1336"/>
        <w:gridCol w:w="1334"/>
        <w:gridCol w:w="1336"/>
        <w:gridCol w:w="1389"/>
        <w:gridCol w:w="1390"/>
      </w:tblGrid>
      <w:tr>
        <w:trPr>
          <w:trHeight w:val="714" w:hRule="exact"/>
        </w:trPr>
        <w:tc>
          <w:tcPr>
            <w:tcW w:w="14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67"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3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599" w:right="58" w:hanging="541"/>
              <w:jc w:val="left"/>
              <w:rPr>
                <w:rFonts w:ascii="宋体" w:hAnsi="宋体" w:cs="宋体" w:eastAsia="宋体" w:hint="default"/>
                <w:sz w:val="18"/>
                <w:szCs w:val="18"/>
              </w:rPr>
            </w:pPr>
            <w:r>
              <w:rPr>
                <w:rFonts w:ascii="宋体" w:hAnsi="宋体" w:cs="宋体" w:eastAsia="宋体" w:hint="default"/>
                <w:sz w:val="18"/>
                <w:szCs w:val="18"/>
              </w:rPr>
              <w:t>本期计提减值准 备</w:t>
            </w:r>
          </w:p>
        </w:tc>
        <w:tc>
          <w:tcPr>
            <w:tcW w:w="1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598" w:right="59" w:hanging="540"/>
              <w:jc w:val="left"/>
              <w:rPr>
                <w:rFonts w:ascii="宋体" w:hAnsi="宋体" w:cs="宋体" w:eastAsia="宋体" w:hint="default"/>
                <w:sz w:val="18"/>
                <w:szCs w:val="18"/>
              </w:rPr>
            </w:pPr>
            <w:r>
              <w:rPr>
                <w:rFonts w:ascii="宋体" w:hAnsi="宋体" w:cs="宋体" w:eastAsia="宋体" w:hint="default"/>
                <w:sz w:val="18"/>
                <w:szCs w:val="18"/>
              </w:rPr>
              <w:t>减值准备期末余 额</w:t>
            </w: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53"/>
              <w:jc w:val="left"/>
              <w:rPr>
                <w:rFonts w:ascii="宋体" w:hAnsi="宋体" w:cs="宋体" w:eastAsia="宋体" w:hint="default"/>
                <w:sz w:val="18"/>
                <w:szCs w:val="18"/>
              </w:rPr>
            </w:pPr>
            <w:r>
              <w:rPr>
                <w:rFonts w:ascii="宋体" w:hAnsi="宋体" w:cs="宋体" w:eastAsia="宋体" w:hint="default"/>
                <w:sz w:val="18"/>
                <w:szCs w:val="18"/>
              </w:rPr>
              <w:t>深圳市劲嘉科技 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21,560,000.00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21,560,000.00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53"/>
              <w:jc w:val="left"/>
              <w:rPr>
                <w:rFonts w:ascii="宋体" w:hAnsi="宋体" w:cs="宋体" w:eastAsia="宋体" w:hint="default"/>
                <w:sz w:val="18"/>
                <w:szCs w:val="18"/>
              </w:rPr>
            </w:pPr>
            <w:r>
              <w:rPr>
                <w:rFonts w:ascii="宋体" w:hAnsi="宋体" w:cs="宋体" w:eastAsia="宋体" w:hint="default"/>
                <w:sz w:val="18"/>
                <w:szCs w:val="18"/>
              </w:rPr>
              <w:t>中华香港国际烟 草集团有限公司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455,561,138.00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455,561,138.00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53"/>
              <w:jc w:val="left"/>
              <w:rPr>
                <w:rFonts w:ascii="宋体" w:hAnsi="宋体" w:cs="宋体" w:eastAsia="宋体" w:hint="default"/>
                <w:sz w:val="18"/>
                <w:szCs w:val="18"/>
              </w:rPr>
            </w:pPr>
            <w:r>
              <w:rPr>
                <w:rFonts w:ascii="宋体" w:hAnsi="宋体" w:cs="宋体" w:eastAsia="宋体" w:hint="default"/>
                <w:sz w:val="18"/>
                <w:szCs w:val="18"/>
              </w:rPr>
              <w:t>安徽安泰新型包 装材料有限公司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328,264,387.94</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328,264,387.94</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53"/>
              <w:jc w:val="left"/>
              <w:rPr>
                <w:rFonts w:ascii="宋体" w:hAnsi="宋体" w:cs="宋体" w:eastAsia="宋体" w:hint="default"/>
                <w:sz w:val="18"/>
                <w:szCs w:val="18"/>
              </w:rPr>
            </w:pPr>
            <w:r>
              <w:rPr>
                <w:rFonts w:ascii="宋体" w:hAnsi="宋体" w:cs="宋体" w:eastAsia="宋体" w:hint="default"/>
                <w:sz w:val="18"/>
                <w:szCs w:val="18"/>
              </w:rPr>
              <w:t>江苏劲嘉新型包 装材料有限公司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21,000,000.00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53"/>
              <w:jc w:val="left"/>
              <w:rPr>
                <w:rFonts w:ascii="宋体" w:hAnsi="宋体" w:cs="宋体" w:eastAsia="宋体" w:hint="default"/>
                <w:sz w:val="18"/>
                <w:szCs w:val="18"/>
              </w:rPr>
            </w:pPr>
            <w:r>
              <w:rPr>
                <w:rFonts w:ascii="宋体" w:hAnsi="宋体" w:cs="宋体" w:eastAsia="宋体" w:hint="default"/>
                <w:sz w:val="18"/>
                <w:szCs w:val="18"/>
              </w:rPr>
              <w:t>贵州劲嘉新型包 装材料有限公司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218,538,950.00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218,538,950.00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53"/>
              <w:jc w:val="left"/>
              <w:rPr>
                <w:rFonts w:ascii="宋体" w:hAnsi="宋体" w:cs="宋体" w:eastAsia="宋体" w:hint="default"/>
                <w:sz w:val="18"/>
                <w:szCs w:val="18"/>
              </w:rPr>
            </w:pPr>
            <w:r>
              <w:rPr>
                <w:rFonts w:ascii="宋体" w:hAnsi="宋体" w:cs="宋体" w:eastAsia="宋体" w:hint="default"/>
                <w:sz w:val="18"/>
                <w:szCs w:val="18"/>
              </w:rPr>
              <w:t>昆明彩印有限责 任公司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6,200,000.00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6,200,000.00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53"/>
              <w:jc w:val="left"/>
              <w:rPr>
                <w:rFonts w:ascii="宋体" w:hAnsi="宋体" w:cs="宋体" w:eastAsia="宋体" w:hint="default"/>
                <w:sz w:val="18"/>
                <w:szCs w:val="18"/>
              </w:rPr>
            </w:pPr>
            <w:r>
              <w:rPr>
                <w:rFonts w:ascii="宋体" w:hAnsi="宋体" w:cs="宋体" w:eastAsia="宋体" w:hint="default"/>
                <w:sz w:val="18"/>
                <w:szCs w:val="18"/>
              </w:rPr>
              <w:t>深圳市劲嘉物业 管理有限公司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22" w:right="153"/>
              <w:jc w:val="left"/>
              <w:rPr>
                <w:rFonts w:ascii="宋体" w:hAnsi="宋体" w:cs="宋体" w:eastAsia="宋体" w:hint="default"/>
                <w:sz w:val="18"/>
                <w:szCs w:val="18"/>
              </w:rPr>
            </w:pPr>
            <w:r>
              <w:rPr>
                <w:rFonts w:ascii="宋体" w:hAnsi="宋体" w:cs="宋体" w:eastAsia="宋体" w:hint="default"/>
                <w:sz w:val="18"/>
                <w:szCs w:val="18"/>
              </w:rPr>
              <w:t>江西丰彩丽印刷 包装有限公司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62,310,000.00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62,310,000.00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53"/>
              <w:jc w:val="left"/>
              <w:rPr>
                <w:rFonts w:ascii="宋体" w:hAnsi="宋体" w:cs="宋体" w:eastAsia="宋体" w:hint="default"/>
                <w:sz w:val="18"/>
                <w:szCs w:val="18"/>
              </w:rPr>
            </w:pPr>
            <w:r>
              <w:rPr>
                <w:rFonts w:ascii="宋体" w:hAnsi="宋体" w:cs="宋体" w:eastAsia="宋体" w:hint="default"/>
                <w:sz w:val="18"/>
                <w:szCs w:val="18"/>
              </w:rPr>
              <w:t>青岛嘉颐泽印刷 包装有限公司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60,000,000.00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60,000,000.00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中丰田光电科技</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pacing w:val="-7"/>
                <w:sz w:val="18"/>
                <w:szCs w:val="18"/>
              </w:rPr>
              <w:t>（珠海）有限公司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68,000,000.00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68,000,000.00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53"/>
              <w:jc w:val="left"/>
              <w:rPr>
                <w:rFonts w:ascii="宋体" w:hAnsi="宋体" w:cs="宋体" w:eastAsia="宋体" w:hint="default"/>
                <w:sz w:val="18"/>
                <w:szCs w:val="18"/>
              </w:rPr>
            </w:pPr>
            <w:r>
              <w:rPr>
                <w:rFonts w:ascii="宋体" w:hAnsi="宋体" w:cs="宋体" w:eastAsia="宋体" w:hint="default"/>
                <w:sz w:val="18"/>
                <w:szCs w:val="18"/>
              </w:rPr>
              <w:t>江苏顺泰包装印 刷科技有限公司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419,692,514.59</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419,692,514.59</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53"/>
              <w:jc w:val="left"/>
              <w:rPr>
                <w:rFonts w:ascii="宋体" w:hAnsi="宋体" w:cs="宋体" w:eastAsia="宋体" w:hint="default"/>
                <w:sz w:val="18"/>
                <w:szCs w:val="18"/>
              </w:rPr>
            </w:pPr>
            <w:r>
              <w:rPr>
                <w:rFonts w:ascii="宋体" w:hAnsi="宋体" w:cs="宋体" w:eastAsia="宋体" w:hint="default"/>
                <w:sz w:val="18"/>
                <w:szCs w:val="18"/>
              </w:rPr>
              <w:t>深圳劲嘉新型智 能包装有限公司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20,000,000.00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53"/>
              <w:jc w:val="left"/>
              <w:rPr>
                <w:rFonts w:ascii="宋体" w:hAnsi="宋体" w:cs="宋体" w:eastAsia="宋体" w:hint="default"/>
                <w:sz w:val="18"/>
                <w:szCs w:val="18"/>
              </w:rPr>
            </w:pPr>
            <w:r>
              <w:rPr>
                <w:rFonts w:ascii="宋体" w:hAnsi="宋体" w:cs="宋体" w:eastAsia="宋体" w:hint="default"/>
                <w:sz w:val="18"/>
                <w:szCs w:val="18"/>
              </w:rPr>
              <w:t>长春吉星印务有 限责任公司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224,000,000.00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224,000,000.00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53"/>
              <w:jc w:val="left"/>
              <w:rPr>
                <w:rFonts w:ascii="宋体" w:hAnsi="宋体" w:cs="宋体" w:eastAsia="宋体" w:hint="default"/>
                <w:sz w:val="18"/>
                <w:szCs w:val="18"/>
              </w:rPr>
            </w:pPr>
            <w:r>
              <w:rPr>
                <w:rFonts w:ascii="宋体" w:hAnsi="宋体" w:cs="宋体" w:eastAsia="宋体" w:hint="default"/>
                <w:sz w:val="18"/>
                <w:szCs w:val="18"/>
              </w:rPr>
              <w:t>重庆宏声印务有 限责任公司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53"/>
              <w:jc w:val="left"/>
              <w:rPr>
                <w:rFonts w:ascii="宋体" w:hAnsi="宋体" w:cs="宋体" w:eastAsia="宋体" w:hint="default"/>
                <w:sz w:val="18"/>
                <w:szCs w:val="18"/>
              </w:rPr>
            </w:pPr>
            <w:r>
              <w:rPr>
                <w:rFonts w:ascii="宋体" w:hAnsi="宋体" w:cs="宋体" w:eastAsia="宋体" w:hint="default"/>
                <w:sz w:val="18"/>
                <w:szCs w:val="18"/>
              </w:rPr>
              <w:t>重庆宏劲印务有 限责任公司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2" w:right="153"/>
              <w:jc w:val="left"/>
              <w:rPr>
                <w:rFonts w:ascii="宋体" w:hAnsi="宋体" w:cs="宋体" w:eastAsia="宋体" w:hint="default"/>
                <w:sz w:val="18"/>
                <w:szCs w:val="18"/>
              </w:rPr>
            </w:pPr>
            <w:r>
              <w:rPr>
                <w:rFonts w:ascii="宋体" w:hAnsi="宋体" w:cs="宋体" w:eastAsia="宋体" w:hint="default"/>
                <w:sz w:val="18"/>
                <w:szCs w:val="18"/>
              </w:rPr>
              <w:t>深圳前海劲嘉供 应链有限公司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50,000,000.00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53"/>
              <w:jc w:val="left"/>
              <w:rPr>
                <w:rFonts w:ascii="宋体" w:hAnsi="宋体" w:cs="宋体" w:eastAsia="宋体" w:hint="default"/>
                <w:sz w:val="18"/>
                <w:szCs w:val="18"/>
              </w:rPr>
            </w:pPr>
            <w:r>
              <w:rPr>
                <w:rFonts w:ascii="宋体" w:hAnsi="宋体" w:cs="宋体" w:eastAsia="宋体" w:hint="default"/>
                <w:sz w:val="18"/>
                <w:szCs w:val="18"/>
              </w:rPr>
              <w:t>深圳劲嘉健康产 业管理有限公司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15,300,000.00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14,700,000.00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448"/>
        <w:gridCol w:w="1336"/>
        <w:gridCol w:w="1336"/>
        <w:gridCol w:w="1334"/>
        <w:gridCol w:w="1336"/>
        <w:gridCol w:w="1389"/>
        <w:gridCol w:w="1390"/>
      </w:tblGrid>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深圳前海蓝莓文 化传播有限公司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1,640,000.00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1,640,000.00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上海丽兴绿色包 装有限公司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53,400,000.00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53,400,000.00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深圳劲嘉盒知科 技有限公司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36,000,000.00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36,000,000.00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深圳因味科技有 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2,550,000.00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2,550,000.00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3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1,982,066,990.53</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106,650,000.00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2,088,716,990.53</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对联营、合营企业投资" w:id="376"/>
      <w:bookmarkEnd w:id="376"/>
      <w:r>
        <w:rPr>
          <w:b w:val="0"/>
          <w:bCs w:val="0"/>
        </w:rPr>
      </w:r>
      <w:r>
        <w:rPr/>
        <w:t>（</w:t>
      </w:r>
      <w:r>
        <w:rPr>
          <w:rFonts w:ascii="Times New Roman" w:hAnsi="Times New Roman" w:cs="Times New Roman" w:eastAsia="Times New Roman" w:hint="default"/>
        </w:rPr>
        <w:t>2</w:t>
      </w:r>
      <w:r>
        <w:rPr/>
        <w:t>）对联营、合营企业投资</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96"/>
        <w:gridCol w:w="798"/>
        <w:gridCol w:w="797"/>
        <w:gridCol w:w="798"/>
        <w:gridCol w:w="798"/>
        <w:gridCol w:w="798"/>
        <w:gridCol w:w="798"/>
        <w:gridCol w:w="798"/>
        <w:gridCol w:w="798"/>
        <w:gridCol w:w="798"/>
        <w:gridCol w:w="798"/>
        <w:gridCol w:w="798"/>
      </w:tblGrid>
      <w:tr>
        <w:trPr>
          <w:trHeight w:val="402" w:hRule="exact"/>
        </w:trPr>
        <w:tc>
          <w:tcPr>
            <w:tcW w:w="7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2" w:right="0"/>
              <w:jc w:val="left"/>
              <w:rPr>
                <w:rFonts w:ascii="宋体" w:hAnsi="宋体" w:cs="宋体" w:eastAsia="宋体" w:hint="default"/>
                <w:sz w:val="18"/>
                <w:szCs w:val="18"/>
              </w:rPr>
            </w:pPr>
            <w:r>
              <w:rPr>
                <w:rFonts w:ascii="宋体" w:hAnsi="宋体" w:cs="宋体" w:eastAsia="宋体" w:hint="default"/>
                <w:sz w:val="18"/>
                <w:szCs w:val="18"/>
              </w:rPr>
              <w:t>投资单位</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384"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6" w:hRule="exact"/>
        </w:trPr>
        <w:tc>
          <w:tcPr>
            <w:tcW w:w="796"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3" w:right="33"/>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3" w:right="32"/>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13" w:right="33"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2"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1026"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重庆宏声 印务有限 责任公司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411,832,9</w:t>
            </w:r>
          </w:p>
          <w:p>
            <w:pPr>
              <w:pStyle w:val="TableParagraph"/>
              <w:spacing w:line="240" w:lineRule="auto" w:before="105"/>
              <w:ind w:left="367" w:right="0"/>
              <w:jc w:val="left"/>
              <w:rPr>
                <w:rFonts w:ascii="Times New Roman" w:hAnsi="Times New Roman" w:cs="Times New Roman" w:eastAsia="Times New Roman" w:hint="default"/>
                <w:sz w:val="18"/>
                <w:szCs w:val="18"/>
              </w:rPr>
            </w:pPr>
            <w:r>
              <w:rPr>
                <w:rFonts w:ascii="Times New Roman"/>
                <w:sz w:val="18"/>
              </w:rPr>
              <w:t>11.82</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23,815,99</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2.38</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435,648,9</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04.20</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重庆宏劲 印务有限 责任公司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179,091,9</w:t>
            </w:r>
          </w:p>
          <w:p>
            <w:pPr>
              <w:pStyle w:val="TableParagraph"/>
              <w:spacing w:line="240" w:lineRule="auto" w:before="105"/>
              <w:ind w:left="361" w:right="0"/>
              <w:jc w:val="left"/>
              <w:rPr>
                <w:rFonts w:ascii="Times New Roman" w:hAnsi="Times New Roman" w:cs="Times New Roman" w:eastAsia="Times New Roman" w:hint="default"/>
                <w:sz w:val="18"/>
                <w:szCs w:val="18"/>
              </w:rPr>
            </w:pPr>
            <w:r>
              <w:rPr>
                <w:rFonts w:ascii="Times New Roman"/>
                <w:sz w:val="18"/>
              </w:rPr>
              <w:t>45.78</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3,969,136</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.09</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183,061,0</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81.87</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深圳华大 北斗科技 有限公司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37,705,11</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3.95</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-1,883,74</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7.17</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35,821,36</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6.78</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贵州省仁 怀市申仁 包装印务 有限责任 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226,200,0</w:t>
            </w:r>
          </w:p>
          <w:p>
            <w:pPr>
              <w:pStyle w:val="TableParagraph"/>
              <w:spacing w:line="240" w:lineRule="auto" w:before="105"/>
              <w:ind w:left="361" w:right="0"/>
              <w:jc w:val="left"/>
              <w:rPr>
                <w:rFonts w:ascii="Times New Roman" w:hAnsi="Times New Roman" w:cs="Times New Roman" w:eastAsia="Times New Roman" w:hint="default"/>
                <w:sz w:val="18"/>
                <w:szCs w:val="18"/>
              </w:rPr>
            </w:pPr>
            <w:r>
              <w:rPr>
                <w:rFonts w:ascii="Times New Roman"/>
                <w:sz w:val="18"/>
              </w:rPr>
              <w:t>00.00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83,200,00</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10,940,71</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4.21</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320,340,7</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14.21</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854,829,9</w:t>
            </w:r>
          </w:p>
          <w:p>
            <w:pPr>
              <w:pStyle w:val="TableParagraph"/>
              <w:spacing w:line="240" w:lineRule="auto" w:before="105"/>
              <w:ind w:left="361" w:right="0"/>
              <w:jc w:val="left"/>
              <w:rPr>
                <w:rFonts w:ascii="Times New Roman" w:hAnsi="Times New Roman" w:cs="Times New Roman" w:eastAsia="Times New Roman" w:hint="default"/>
                <w:sz w:val="18"/>
                <w:szCs w:val="18"/>
              </w:rPr>
            </w:pPr>
            <w:r>
              <w:rPr>
                <w:rFonts w:ascii="Times New Roman"/>
                <w:sz w:val="18"/>
              </w:rPr>
              <w:t>71.55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83,200,00</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36,842,09</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5.51</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974,872,0</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67.06</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854,829,9</w:t>
            </w:r>
          </w:p>
          <w:p>
            <w:pPr>
              <w:pStyle w:val="TableParagraph"/>
              <w:spacing w:line="240" w:lineRule="auto" w:before="105"/>
              <w:ind w:left="361" w:right="0"/>
              <w:jc w:val="left"/>
              <w:rPr>
                <w:rFonts w:ascii="Times New Roman" w:hAnsi="Times New Roman" w:cs="Times New Roman" w:eastAsia="Times New Roman" w:hint="default"/>
                <w:sz w:val="18"/>
                <w:szCs w:val="18"/>
              </w:rPr>
            </w:pPr>
            <w:r>
              <w:rPr>
                <w:rFonts w:ascii="Times New Roman"/>
                <w:sz w:val="18"/>
              </w:rPr>
              <w:t>71.55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83,200,00</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36,842,09</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5.51</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974,872,0</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67.06</w:t>
            </w:r>
          </w:p>
        </w:tc>
        <w:tc>
          <w:tcPr>
            <w:tcW w:w="79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right="0"/>
        <w:jc w:val="left"/>
        <w:rPr>
          <w:b w:val="0"/>
          <w:bCs w:val="0"/>
        </w:rPr>
      </w:pPr>
      <w:bookmarkStart w:name="4、营业收入和营业成本" w:id="377"/>
      <w:bookmarkEnd w:id="377"/>
      <w:r>
        <w:rPr>
          <w:b w:val="0"/>
          <w:bCs w:val="0"/>
        </w:rPr>
      </w:r>
      <w:r>
        <w:rPr>
          <w:rFonts w:ascii="Times New Roman" w:hAnsi="Times New Roman" w:cs="Times New Roman" w:eastAsia="Times New Roman" w:hint="default"/>
        </w:rPr>
        <w:t>4</w:t>
      </w:r>
      <w:r>
        <w:rPr/>
        <w:t>、营业收入和营业成本</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983"/>
        <w:gridCol w:w="1838"/>
        <w:gridCol w:w="1913"/>
        <w:gridCol w:w="1913"/>
        <w:gridCol w:w="1913"/>
      </w:tblGrid>
      <w:tr>
        <w:trPr>
          <w:trHeight w:val="206" w:hRule="exact"/>
        </w:trPr>
        <w:tc>
          <w:tcPr>
            <w:tcW w:w="1983" w:type="dxa"/>
            <w:tcBorders>
              <w:top w:val="single" w:sz="4" w:space="0" w:color="000000"/>
              <w:left w:val="single" w:sz="4" w:space="0" w:color="000000"/>
              <w:bottom w:val="nil" w:sz="6" w:space="0" w:color="auto"/>
              <w:right w:val="single" w:sz="4" w:space="0" w:color="000000"/>
            </w:tcBorders>
            <w:shd w:val="clear" w:color="auto" w:fill="D2D2D2"/>
          </w:tcPr>
          <w:p>
            <w:pPr/>
          </w:p>
        </w:tc>
        <w:tc>
          <w:tcPr>
            <w:tcW w:w="375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7" w:hRule="exact"/>
        </w:trPr>
        <w:tc>
          <w:tcPr>
            <w:tcW w:w="198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3750" w:type="dxa"/>
            <w:gridSpan w:val="2"/>
            <w:vMerge/>
            <w:tcBorders>
              <w:left w:val="single" w:sz="4" w:space="0" w:color="000000"/>
              <w:bottom w:val="single" w:sz="4" w:space="0" w:color="000000"/>
              <w:right w:val="single" w:sz="4" w:space="0" w:color="000000"/>
            </w:tcBorders>
            <w:shd w:val="clear" w:color="auto" w:fill="D2D2D2"/>
          </w:tcPr>
          <w:p>
            <w:pPr/>
          </w:p>
        </w:tc>
        <w:tc>
          <w:tcPr>
            <w:tcW w:w="3826" w:type="dxa"/>
            <w:gridSpan w:val="2"/>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983" w:type="dxa"/>
            <w:vMerge/>
            <w:tcBorders>
              <w:left w:val="single" w:sz="4" w:space="0" w:color="000000"/>
              <w:bottom w:val="nil" w:sz="6" w:space="0" w:color="auto"/>
              <w:right w:val="single" w:sz="4" w:space="0" w:color="000000"/>
            </w:tcBorders>
            <w:shd w:val="clear" w:color="auto" w:fill="D2D2D2"/>
          </w:tcPr>
          <w:p>
            <w:pPr/>
          </w:p>
        </w:tc>
        <w:tc>
          <w:tcPr>
            <w:tcW w:w="183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5" w:hRule="exact"/>
        </w:trPr>
        <w:tc>
          <w:tcPr>
            <w:tcW w:w="1983" w:type="dxa"/>
            <w:tcBorders>
              <w:top w:val="nil" w:sz="6" w:space="0" w:color="auto"/>
              <w:left w:val="single" w:sz="4" w:space="0" w:color="000000"/>
              <w:bottom w:val="single" w:sz="4" w:space="0" w:color="000000"/>
              <w:right w:val="single" w:sz="4" w:space="0" w:color="000000"/>
            </w:tcBorders>
            <w:shd w:val="clear" w:color="auto" w:fill="D2D2D2"/>
          </w:tcPr>
          <w:p>
            <w:pPr/>
          </w:p>
        </w:tc>
        <w:tc>
          <w:tcPr>
            <w:tcW w:w="1838"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8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1,318,997,309.48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902,087,046.63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1,063,505,080.67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707,653,114.73</w:t>
            </w:r>
          </w:p>
        </w:tc>
      </w:tr>
      <w:tr>
        <w:trPr>
          <w:trHeight w:val="402" w:hRule="exact"/>
        </w:trPr>
        <w:tc>
          <w:tcPr>
            <w:tcW w:w="1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8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68,943,460.41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32,970,694.17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64,120,909.70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35,351,250.64</w:t>
            </w:r>
          </w:p>
        </w:tc>
      </w:tr>
      <w:tr>
        <w:trPr>
          <w:trHeight w:val="403" w:hRule="exact"/>
        </w:trPr>
        <w:tc>
          <w:tcPr>
            <w:tcW w:w="1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1,387,940,769.89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935,057,740.80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1,127,625,990.37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743,004,365.37</w:t>
            </w:r>
          </w:p>
        </w:tc>
      </w:tr>
    </w:tbl>
    <w:p>
      <w:pPr>
        <w:pStyle w:val="BodyText"/>
        <w:spacing w:line="240" w:lineRule="auto" w:before="51"/>
        <w:ind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5、投资收益" w:id="378"/>
      <w:bookmarkEnd w:id="378"/>
      <w:r>
        <w:rPr>
          <w:b w:val="0"/>
          <w:bCs w:val="0"/>
        </w:rPr>
      </w:r>
      <w:r>
        <w:rPr>
          <w:rFonts w:ascii="Times New Roman" w:hAnsi="Times New Roman" w:cs="Times New Roman" w:eastAsia="Times New Roman" w:hint="default"/>
        </w:rPr>
        <w:t>5</w:t>
      </w:r>
      <w:r>
        <w:rPr/>
        <w:t>、投资收益</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324"/>
        <w:gridCol w:w="3059"/>
        <w:gridCol w:w="3186"/>
      </w:tblGrid>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成本法核算的长期股权投资收益</w:t>
            </w:r>
          </w:p>
        </w:tc>
        <w:tc>
          <w:tcPr>
            <w:tcW w:w="305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330,878,429.45</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419,892,088.51</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05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36,842,095.51</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23,562,188.06</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委托理财收益</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25,017,715.68</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392,738,240.64</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443,454,276.57</w:t>
            </w:r>
          </w:p>
        </w:tc>
      </w:tr>
    </w:tbl>
    <w:p>
      <w:pPr>
        <w:spacing w:line="240" w:lineRule="auto" w:before="2"/>
        <w:rPr>
          <w:rFonts w:ascii="宋体" w:hAnsi="宋体" w:cs="宋体" w:eastAsia="宋体" w:hint="default"/>
          <w:sz w:val="18"/>
          <w:szCs w:val="18"/>
        </w:rPr>
      </w:pPr>
    </w:p>
    <w:p>
      <w:pPr>
        <w:pStyle w:val="Heading2"/>
        <w:spacing w:line="240" w:lineRule="auto" w:before="26"/>
        <w:ind w:right="0"/>
        <w:jc w:val="left"/>
        <w:rPr>
          <w:b w:val="0"/>
          <w:bCs w:val="0"/>
        </w:rPr>
      </w:pPr>
      <w:bookmarkStart w:name="十六、补充资料" w:id="379"/>
      <w:bookmarkEnd w:id="379"/>
      <w:r>
        <w:rPr>
          <w:b w:val="0"/>
          <w:bCs w:val="0"/>
        </w:rPr>
      </w:r>
      <w:r>
        <w:rPr/>
        <w:t>十六、补充资料</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当期非经常性损益明细表" w:id="380"/>
      <w:bookmarkEnd w:id="380"/>
      <w:r>
        <w:rPr>
          <w:b w:val="0"/>
          <w:bCs w:val="0"/>
        </w:rPr>
      </w:r>
      <w:r>
        <w:rPr>
          <w:rFonts w:ascii="Times New Roman" w:hAnsi="Times New Roman" w:cs="Times New Roman" w:eastAsia="Times New Roman" w:hint="default"/>
        </w:rPr>
        <w:t>1</w:t>
      </w:r>
      <w:r>
        <w:rPr/>
        <w:t>、当期非经常性损益明细表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2"/>
        <w:gridCol w:w="3071"/>
        <w:gridCol w:w="3186"/>
      </w:tblGrid>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-2,077,600.18</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38"/>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18,806,344.04</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委托他人投资或管理资产的损益</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25,017,715.68</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357,983.09</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6,442,816.54</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少数股东权益影响额</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2,542,811.39</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71" w:type="dxa"/>
            <w:tcBorders>
              <w:top w:val="single" w:sz="4" w:space="0" w:color="000000"/>
              <w:left w:val="single" w:sz="13" w:space="0" w:color="D2D2D2"/>
              <w:bottom w:val="single" w:sz="4" w:space="0" w:color="000000"/>
              <w:right w:val="single" w:sz="9" w:space="0" w:color="D2D2D2"/>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33,118,814.70</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0"/>
        <w:jc w:val="left"/>
      </w:pPr>
      <w:r>
        <w:rPr>
          <w:spacing w:val="-3"/>
        </w:rPr>
        <w:t>对公司根据《公开发行证券的公司信息披露解释性公告第</w:t>
      </w:r>
      <w:r>
        <w:rPr>
          <w:spacing w:val="-39"/>
        </w:rPr>
        <w:t>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p>
    <w:p>
      <w:pPr>
        <w:pStyle w:val="BodyText"/>
        <w:spacing w:line="302" w:lineRule="auto" w:before="61"/>
        <w:ind w:right="1118"/>
        <w:jc w:val="left"/>
      </w:pPr>
      <w:r>
        <w:rPr/>
        <w:t>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6"/>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t> 说明原因。</w:t>
      </w:r>
    </w:p>
    <w:p>
      <w:pPr>
        <w:spacing w:after="0" w:line="302" w:lineRule="auto"/>
        <w:jc w:val="left"/>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2、净资产收益率及每股收益" w:id="381"/>
      <w:bookmarkEnd w:id="381"/>
      <w:r>
        <w:rPr>
          <w:b w:val="0"/>
          <w:bCs w:val="0"/>
        </w:rPr>
      </w:r>
      <w:r>
        <w:rPr>
          <w:rFonts w:ascii="Times New Roman" w:hAnsi="Times New Roman" w:cs="Times New Roman" w:eastAsia="Times New Roman" w:hint="default"/>
        </w:rPr>
        <w:t>2</w:t>
      </w:r>
      <w:r>
        <w:rPr/>
        <w:t>、净资产收益率及每股收益</w:t>
      </w:r>
      <w:r>
        <w:rPr>
          <w:b w:val="0"/>
          <w:bCs w:val="0"/>
        </w:rPr>
      </w:r>
    </w:p>
    <w:p>
      <w:pPr>
        <w:spacing w:line="240" w:lineRule="auto" w:before="10"/>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2651"/>
        <w:gridCol w:w="3081"/>
        <w:gridCol w:w="1913"/>
        <w:gridCol w:w="1913"/>
      </w:tblGrid>
      <w:tr>
        <w:trPr>
          <w:trHeight w:val="207" w:hRule="exact"/>
        </w:trPr>
        <w:tc>
          <w:tcPr>
            <w:tcW w:w="2651" w:type="dxa"/>
            <w:tcBorders>
              <w:top w:val="single" w:sz="4" w:space="0" w:color="000000"/>
              <w:left w:val="single" w:sz="4" w:space="0" w:color="000000"/>
              <w:bottom w:val="nil" w:sz="6" w:space="0" w:color="auto"/>
              <w:right w:val="single" w:sz="4" w:space="0" w:color="000000"/>
            </w:tcBorders>
            <w:shd w:val="clear" w:color="auto" w:fill="D2D2D2"/>
          </w:tcPr>
          <w:p>
            <w:pPr/>
          </w:p>
        </w:tc>
        <w:tc>
          <w:tcPr>
            <w:tcW w:w="3081" w:type="dxa"/>
            <w:tcBorders>
              <w:top w:val="single" w:sz="4" w:space="0" w:color="000000"/>
              <w:left w:val="single" w:sz="4" w:space="0" w:color="000000"/>
              <w:bottom w:val="nil" w:sz="6" w:space="0" w:color="auto"/>
              <w:right w:val="single" w:sz="4" w:space="0" w:color="000000"/>
            </w:tcBorders>
            <w:shd w:val="clear" w:color="auto" w:fill="D2D2D2"/>
          </w:tcPr>
          <w:p>
            <w:pPr/>
          </w:p>
        </w:tc>
        <w:tc>
          <w:tcPr>
            <w:tcW w:w="38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191" w:hRule="exact"/>
        </w:trPr>
        <w:tc>
          <w:tcPr>
            <w:tcW w:w="265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865" w:right="0"/>
              <w:jc w:val="left"/>
              <w:rPr>
                <w:rFonts w:ascii="宋体" w:hAnsi="宋体" w:cs="宋体" w:eastAsia="宋体" w:hint="default"/>
                <w:sz w:val="18"/>
                <w:szCs w:val="18"/>
              </w:rPr>
            </w:pPr>
            <w:r>
              <w:rPr>
                <w:rFonts w:ascii="宋体" w:hAnsi="宋体" w:cs="宋体" w:eastAsia="宋体" w:hint="default"/>
                <w:sz w:val="18"/>
                <w:szCs w:val="18"/>
              </w:rPr>
              <w:t>报告期利润</w:t>
            </w:r>
          </w:p>
        </w:tc>
        <w:tc>
          <w:tcPr>
            <w:tcW w:w="308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635"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3826"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2651" w:type="dxa"/>
            <w:vMerge/>
            <w:tcBorders>
              <w:left w:val="single" w:sz="4" w:space="0" w:color="000000"/>
              <w:bottom w:val="nil" w:sz="6" w:space="0" w:color="auto"/>
              <w:right w:val="single" w:sz="4" w:space="0" w:color="000000"/>
            </w:tcBorders>
            <w:shd w:val="clear" w:color="auto" w:fill="D2D2D2"/>
          </w:tcPr>
          <w:p>
            <w:pPr/>
          </w:p>
        </w:tc>
        <w:tc>
          <w:tcPr>
            <w:tcW w:w="3081" w:type="dxa"/>
            <w:vMerge/>
            <w:tcBorders>
              <w:left w:val="single" w:sz="4" w:space="0" w:color="000000"/>
              <w:bottom w:val="nil" w:sz="6" w:space="0" w:color="auto"/>
              <w:right w:val="single" w:sz="4" w:space="0" w:color="000000"/>
            </w:tcBorders>
            <w:shd w:val="clear" w:color="auto" w:fill="D2D2D2"/>
          </w:tcPr>
          <w:p>
            <w:pP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6"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6"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r>
      <w:tr>
        <w:trPr>
          <w:trHeight w:val="205" w:hRule="exact"/>
        </w:trPr>
        <w:tc>
          <w:tcPr>
            <w:tcW w:w="2651" w:type="dxa"/>
            <w:tcBorders>
              <w:top w:val="nil" w:sz="6" w:space="0" w:color="auto"/>
              <w:left w:val="single" w:sz="4" w:space="0" w:color="000000"/>
              <w:bottom w:val="single" w:sz="4" w:space="0" w:color="000000"/>
              <w:right w:val="single" w:sz="4" w:space="0" w:color="000000"/>
            </w:tcBorders>
            <w:shd w:val="clear" w:color="auto" w:fill="D2D2D2"/>
          </w:tcPr>
          <w:p>
            <w:pPr/>
          </w:p>
        </w:tc>
        <w:tc>
          <w:tcPr>
            <w:tcW w:w="308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6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30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11.27%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0.49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0.49</w:t>
            </w:r>
          </w:p>
        </w:tc>
      </w:tr>
      <w:tr>
        <w:trPr>
          <w:trHeight w:val="714" w:hRule="exact"/>
        </w:trPr>
        <w:tc>
          <w:tcPr>
            <w:tcW w:w="26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07"/>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 普通股股东的净利润</w:t>
            </w:r>
          </w:p>
        </w:tc>
        <w:tc>
          <w:tcPr>
            <w:tcW w:w="30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10.74%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0.47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0.47</w:t>
            </w:r>
          </w:p>
        </w:tc>
      </w:tr>
    </w:tbl>
    <w:p>
      <w:pPr>
        <w:spacing w:line="240" w:lineRule="auto" w:before="2"/>
        <w:rPr>
          <w:rFonts w:ascii="宋体" w:hAnsi="宋体" w:cs="宋体" w:eastAsia="宋体" w:hint="default"/>
          <w:b/>
          <w:bCs/>
          <w:sz w:val="19"/>
          <w:szCs w:val="19"/>
        </w:rPr>
      </w:pPr>
    </w:p>
    <w:p>
      <w:pPr>
        <w:pStyle w:val="Heading3"/>
        <w:spacing w:line="240" w:lineRule="auto" w:before="35"/>
        <w:ind w:right="0"/>
        <w:jc w:val="left"/>
        <w:rPr>
          <w:b w:val="0"/>
          <w:bCs w:val="0"/>
        </w:rPr>
      </w:pPr>
      <w:bookmarkStart w:name="3、境内外会计准则下会计数据差异" w:id="382"/>
      <w:bookmarkEnd w:id="382"/>
      <w:r>
        <w:rPr>
          <w:b w:val="0"/>
          <w:bCs w:val="0"/>
        </w:rPr>
      </w:r>
      <w:r>
        <w:rPr>
          <w:rFonts w:ascii="Times New Roman" w:hAnsi="Times New Roman" w:cs="Times New Roman" w:eastAsia="Times New Roman" w:hint="default"/>
        </w:rPr>
        <w:t>3</w:t>
      </w:r>
      <w:r>
        <w:rPr/>
        <w:t>、境内外会计准则下会计数据差异</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同时按照国际会计准则与按中国会计准则披露的财务报告中净利润和净资产差异情况" w:id="383"/>
      <w:bookmarkEnd w:id="383"/>
      <w:r>
        <w:rPr>
          <w:b w:val="0"/>
          <w:bCs w:val="0"/>
        </w:rPr>
      </w:r>
      <w:r>
        <w:rPr/>
        <w:t>（</w:t>
      </w:r>
      <w:r>
        <w:rPr>
          <w:rFonts w:ascii="Times New Roman" w:hAnsi="Times New Roman" w:cs="Times New Roman" w:eastAsia="Times New Roman" w:hint="default"/>
        </w:rPr>
        <w:t>1</w:t>
      </w:r>
      <w:r>
        <w:rPr/>
        <w:t>）同时按照国际会计准则与按中国会计准则披露的财务报告中净利润和净资产差异情况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2）同时按照境外会计准则与按中国会计准则披露的财务报告中净利润和净资产差异情况" w:id="384"/>
      <w:bookmarkEnd w:id="384"/>
      <w:r>
        <w:rPr>
          <w:b w:val="0"/>
          <w:bCs w:val="0"/>
        </w:rPr>
      </w:r>
      <w:r>
        <w:rPr/>
        <w:t>（</w:t>
      </w:r>
      <w:r>
        <w:rPr>
          <w:rFonts w:ascii="Times New Roman" w:hAnsi="Times New Roman" w:cs="Times New Roman" w:eastAsia="Times New Roman" w:hint="default"/>
        </w:rPr>
        <w:t>2</w:t>
      </w:r>
      <w:r>
        <w:rPr/>
        <w:t>）同时按照境外会计准则与按中国会计准则披露的财务报告中净利润和净资产差异情况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3286" w:right="0"/>
        <w:jc w:val="left"/>
        <w:rPr>
          <w:b w:val="0"/>
          <w:bCs w:val="0"/>
        </w:rPr>
      </w:pPr>
      <w:bookmarkStart w:name="第十二节 备查文件目录" w:id="385"/>
      <w:bookmarkEnd w:id="385"/>
      <w:r>
        <w:rPr>
          <w:b w:val="0"/>
          <w:bCs w:val="0"/>
        </w:rPr>
      </w:r>
      <w:bookmarkStart w:name="_bookmark10" w:id="386"/>
      <w:bookmarkEnd w:id="386"/>
      <w:r>
        <w:rPr>
          <w:b w:val="0"/>
          <w:bCs w:val="0"/>
        </w:rPr>
      </w:r>
      <w:r>
        <w:rPr/>
        <w:t>第十二节</w:t>
      </w:r>
      <w:r>
        <w:rPr>
          <w:spacing w:val="-8"/>
        </w:rPr>
        <w:t> </w:t>
      </w:r>
      <w:r>
        <w:rPr/>
        <w:t>备查文件目录</w:t>
      </w:r>
      <w:r>
        <w:rPr>
          <w:b w:val="0"/>
          <w:bCs w:val="0"/>
        </w:rPr>
      </w:r>
    </w:p>
    <w:p>
      <w:pPr>
        <w:spacing w:line="240" w:lineRule="auto" w:before="7"/>
        <w:rPr>
          <w:rFonts w:ascii="宋体" w:hAnsi="宋体" w:cs="宋体" w:eastAsia="宋体" w:hint="default"/>
          <w:b/>
          <w:bCs/>
          <w:sz w:val="42"/>
          <w:szCs w:val="42"/>
        </w:rPr>
      </w:pPr>
    </w:p>
    <w:p>
      <w:pPr>
        <w:pStyle w:val="BodyText"/>
        <w:spacing w:line="312" w:lineRule="auto"/>
        <w:ind w:right="3732"/>
        <w:jc w:val="left"/>
      </w:pPr>
      <w:r>
        <w:rPr/>
        <w:t>一、载有法定代表人、主管会计工作负责人、会计机构负责人签名并盖章的财务报表。 二、载有会计师事务所盖章、注册会计师签名并盖章的审计报告原件。 三、载有法定代表人签名并盖章的</w:t>
      </w:r>
      <w:r>
        <w:rPr>
          <w:rFonts w:ascii="Times New Roman" w:hAnsi="Times New Roman" w:cs="Times New Roman" w:eastAsia="Times New Roman" w:hint="default"/>
        </w:rPr>
        <w:t>2018</w:t>
      </w:r>
      <w:r>
        <w:rPr/>
        <w:t>年年度报告原件。 四、报告期内在中国证监会指定报纸上公开披露过的所有公司文件的正本及公告的原稿。</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7"/>
          <w:szCs w:val="17"/>
        </w:rPr>
      </w:pPr>
    </w:p>
    <w:p>
      <w:pPr>
        <w:pStyle w:val="BodyText"/>
        <w:spacing w:line="316" w:lineRule="auto"/>
        <w:ind w:left="8533" w:right="1113" w:hanging="900"/>
        <w:jc w:val="left"/>
      </w:pPr>
      <w:r>
        <w:rPr/>
        <w:t>深圳劲嘉集团股份有限公司 董事会</w:t>
      </w:r>
    </w:p>
    <w:p>
      <w:pPr>
        <w:pStyle w:val="BodyText"/>
        <w:spacing w:line="240" w:lineRule="auto" w:before="19"/>
        <w:ind w:left="0" w:right="1220"/>
        <w:jc w:val="right"/>
      </w:pPr>
      <w:r>
        <w:rPr/>
        <w:t>二〇一九年四月十八日</w:t>
      </w:r>
    </w:p>
    <w:sectPr>
      <w:pgSz w:w="11910" w:h="16840"/>
      <w:pgMar w:header="747" w:footer="979" w:top="1060" w:bottom="1160" w:left="98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231912" type="#_x0000_t75" stroked="false">
          <v:imagedata r:id="rId1" o:title=""/>
        </v:shape>
      </w:pict>
    </w:r>
    <w:r>
      <w:rPr/>
      <w:pict>
        <v:shape style="position:absolute;margin-left:533.179993pt;margin-top:795.517944pt;width:6.5pt;height:11pt;mso-position-horizontal-relative:page;mso-position-vertical-relative:page;z-index:-1231888"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231864" type="#_x0000_t75" stroked="false">
          <v:imagedata r:id="rId1" o:title=""/>
        </v:shape>
      </w:pict>
    </w:r>
    <w:r>
      <w:rPr/>
      <w:pict>
        <v:shape style="position:absolute;margin-left:527.679993pt;margin-top:781.957947pt;width:13pt;height:11pt;mso-position-horizontal-relative:page;mso-position-vertical-relative:page;z-index:-1231840"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231816" type="#_x0000_t75" stroked="false">
          <v:imagedata r:id="rId1" o:title=""/>
        </v:shape>
      </w:pict>
    </w:r>
    <w:r>
      <w:rPr/>
      <w:pict>
        <v:shape style="position:absolute;margin-left:527.679993pt;margin-top:781.957947pt;width:13pt;height:11pt;mso-position-horizontal-relative:page;mso-position-vertical-relative:page;z-index:-1231792"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26</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231768" type="#_x0000_t75" stroked="false">
          <v:imagedata r:id="rId1" o:title=""/>
        </v:shape>
      </w:pict>
    </w:r>
    <w:r>
      <w:rPr/>
      <w:pict>
        <v:shape style="position:absolute;margin-left:527.679993pt;margin-top:781.957947pt;width:13pt;height:11pt;mso-position-horizontal-relative:page;mso-position-vertical-relative:page;z-index:-1231744"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79</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231720" type="#_x0000_t75" stroked="false">
          <v:imagedata r:id="rId1" o:title=""/>
        </v:shape>
      </w:pict>
    </w:r>
    <w:r>
      <w:rPr/>
      <w:pict>
        <v:shape style="position:absolute;margin-left:524.179993pt;margin-top:781.957947pt;width:15.5pt;height:11pt;mso-position-horizontal-relative:page;mso-position-vertical-relative:page;z-index:-1231696"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100</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231672" type="#_x0000_t75" stroked="false">
          <v:imagedata r:id="rId1" o:title=""/>
        </v:shape>
      </w:pict>
    </w:r>
    <w:r>
      <w:rPr/>
      <w:pict>
        <v:shape style="position:absolute;margin-left:523.179993pt;margin-top:781.957947pt;width:17.5pt;height:11pt;mso-position-horizontal-relative:page;mso-position-vertical-relative:page;z-index:-1231648"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101</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344.220001pt;margin-top:36.325607pt;width:195.5pt;height:11.5pt;mso-position-horizontal-relative:page;mso-position-vertical-relative:page;z-index:-1231936" type="#_x0000_t202" filled="false" stroked="false">
          <v:textbox inset="0,0,0,0">
            <w:txbxContent>
              <w:p>
                <w:pPr>
                  <w:pStyle w:val="BodyText"/>
                  <w:spacing w:line="214" w:lineRule="exact"/>
                  <w:ind w:left="20" w:right="0"/>
                  <w:jc w:val="left"/>
                </w:pPr>
                <w:r>
                  <w:rPr/>
                  <w:t>深圳劲嘉集团股份有限公司</w:t>
                </w:r>
                <w:r>
                  <w:rPr>
                    <w:spacing w:val="-4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59"/>
      <w:ind w:left="154"/>
    </w:pPr>
    <w:rPr>
      <w:rFonts w:ascii="宋体" w:hAnsi="宋体" w:eastAsia="宋体"/>
      <w:b/>
      <w:bCs/>
      <w:sz w:val="24"/>
      <w:szCs w:val="24"/>
    </w:rPr>
  </w:style>
  <w:style w:styleId="BodyText" w:type="paragraph">
    <w:name w:val="Body Text"/>
    <w:basedOn w:val="Normal"/>
    <w:uiPriority w:val="1"/>
    <w:qFormat/>
    <w:pPr>
      <w:ind w:left="154"/>
    </w:pPr>
    <w:rPr>
      <w:rFonts w:ascii="宋体" w:hAnsi="宋体" w:eastAsia="宋体"/>
      <w:sz w:val="18"/>
      <w:szCs w:val="18"/>
    </w:rPr>
  </w:style>
  <w:style w:styleId="Heading1" w:type="paragraph">
    <w:name w:val="Heading 1"/>
    <w:basedOn w:val="Normal"/>
    <w:uiPriority w:val="1"/>
    <w:qFormat/>
    <w:pPr>
      <w:spacing w:before="1"/>
      <w:ind w:left="2785"/>
      <w:outlineLvl w:val="1"/>
    </w:pPr>
    <w:rPr>
      <w:rFonts w:ascii="宋体" w:hAnsi="宋体" w:eastAsia="宋体"/>
      <w:b/>
      <w:bCs/>
      <w:sz w:val="32"/>
      <w:szCs w:val="32"/>
    </w:rPr>
  </w:style>
  <w:style w:styleId="Heading2" w:type="paragraph">
    <w:name w:val="Heading 2"/>
    <w:basedOn w:val="Normal"/>
    <w:uiPriority w:val="1"/>
    <w:qFormat/>
    <w:pPr>
      <w:ind w:left="154"/>
      <w:outlineLvl w:val="2"/>
    </w:pPr>
    <w:rPr>
      <w:rFonts w:ascii="宋体" w:hAnsi="宋体" w:eastAsia="宋体"/>
      <w:b/>
      <w:bCs/>
      <w:sz w:val="24"/>
      <w:szCs w:val="24"/>
    </w:rPr>
  </w:style>
  <w:style w:styleId="Heading3" w:type="paragraph">
    <w:name w:val="Heading 3"/>
    <w:basedOn w:val="Normal"/>
    <w:uiPriority w:val="1"/>
    <w:qFormat/>
    <w:pPr>
      <w:ind w:left="154"/>
      <w:outlineLvl w:val="3"/>
    </w:pPr>
    <w:rPr>
      <w:rFonts w:ascii="宋体" w:hAnsi="宋体" w:eastAsia="宋体"/>
      <w:b/>
      <w:bCs/>
      <w:sz w:val="21"/>
      <w:szCs w:val="21"/>
    </w:rPr>
  </w:style>
  <w:style w:styleId="Heading4" w:type="paragraph">
    <w:name w:val="Heading 4"/>
    <w:basedOn w:val="Normal"/>
    <w:uiPriority w:val="1"/>
    <w:qFormat/>
    <w:pPr>
      <w:ind w:left="515"/>
      <w:outlineLvl w:val="4"/>
    </w:pPr>
    <w:rPr>
      <w:rFonts w:ascii="宋体" w:hAnsi="宋体" w:eastAsia="宋体"/>
      <w:b/>
      <w:bCs/>
      <w:sz w:val="18"/>
      <w:szCs w:val="18"/>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2.png"/><Relationship Id="rId8" Type="http://schemas.openxmlformats.org/officeDocument/2006/relationships/footer" Target="footer2.xml"/><Relationship Id="rId9" Type="http://schemas.openxmlformats.org/officeDocument/2006/relationships/hyperlink" Target="http://www.jinjia.com/" TargetMode="External"/><Relationship Id="rId10" Type="http://schemas.openxmlformats.org/officeDocument/2006/relationships/hyperlink" Target="mailto:jjcp@jinjia.com" TargetMode="External"/><Relationship Id="rId11" Type="http://schemas.openxmlformats.org/officeDocument/2006/relationships/hyperlink" Target="http://www.cninfo.com.cn/" TargetMode="External"/><Relationship Id="rId12" Type="http://schemas.openxmlformats.org/officeDocument/2006/relationships/footer" Target="footer3.xml"/><Relationship Id="rId13" Type="http://schemas.openxmlformats.org/officeDocument/2006/relationships/image" Target="media/image3.jpeg"/><Relationship Id="rId14" Type="http://schemas.openxmlformats.org/officeDocument/2006/relationships/footer" Target="footer4.xml"/><Relationship Id="rId15" Type="http://schemas.openxmlformats.org/officeDocument/2006/relationships/footer" Target="footer5.xml"/><Relationship Id="rId16" Type="http://schemas.openxmlformats.org/officeDocument/2006/relationships/footer" Target="footer6.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_rels/footer3.xml.rels><?xml version="1.0" encoding="UTF-8" standalone="yes"?>
<Relationships xmlns="http://schemas.openxmlformats.org/package/2006/relationships"><Relationship Id="rId1" Type="http://schemas.openxmlformats.org/officeDocument/2006/relationships/image" Target="media/image1.jpeg"/></Relationships>

</file>

<file path=word/_rels/footer4.xml.rels><?xml version="1.0" encoding="UTF-8" standalone="yes"?>
<Relationships xmlns="http://schemas.openxmlformats.org/package/2006/relationships"><Relationship Id="rId1" Type="http://schemas.openxmlformats.org/officeDocument/2006/relationships/image" Target="media/image1.jpeg"/></Relationships>

</file>

<file path=word/_rels/footer5.xml.rels><?xml version="1.0" encoding="UTF-8" standalone="yes"?>
<Relationships xmlns="http://schemas.openxmlformats.org/package/2006/relationships"><Relationship Id="rId1" Type="http://schemas.openxmlformats.org/officeDocument/2006/relationships/image" Target="media/image1.jpeg"/></Relationships>

</file>

<file path=word/_rels/footer6.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深圳劲嘉集团股份有限公司</dc:creator>
  <dc:title>深圳劲嘉集团股份有限公司2018年年度报告全文</dc:title>
  <dcterms:created xsi:type="dcterms:W3CDTF">2020-05-05T00:05:22Z</dcterms:created>
  <dcterms:modified xsi:type="dcterms:W3CDTF">2020-05-05T00:05:22Z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2019-04-17T00:00:00Z</vt:filetime>
  </property>
  <property fmtid="{D5CDD505-2E9C-101B-9397-08002B2CF9AE}" pid="3" name="Creator">
    <vt:lpwstr>Microsoft® Office Word 2007</vt:lpwstr>
  </property>
  <property fmtid="{D5CDD505-2E9C-101B-9397-08002B2CF9AE}" pid="4" name="LastSaved">
    <vt:filetime>2020-05-04T00:00:00Z</vt:filetime>
  </property>
</Properties>
</file>