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08050" cy="78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08050" cy="780415"/>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深圳劲嘉集团股份有限公司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84" w:right="1016" w:bottom="2684" w:left="1016"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0" w:line="473" w:lineRule="exact"/>
        <w:ind w:left="520" w:right="0" w:firstLine="0"/>
        <w:jc w:val="both"/>
      </w:pPr>
      <w:bookmarkStart w:id="3" w:name="bookmark3"/>
      <w:r>
        <w:rPr>
          <w:color w:val="000000"/>
          <w:spacing w:val="0"/>
          <w:w w:val="100"/>
          <w:position w:val="0"/>
        </w:rPr>
        <w:t xml:space="preserve">董事、监事、高级管理人员是否存在对年度报告内容存在异议或无法保证其真实、准确、完整的情况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3"/>
    </w:p>
    <w:p>
      <w:pPr>
        <w:pStyle w:val="Style12"/>
        <w:keepNext w:val="0"/>
        <w:keepLines w:val="0"/>
        <w:widowControl w:val="0"/>
        <w:shd w:val="clear" w:color="auto" w:fill="auto"/>
        <w:bidi w:val="0"/>
        <w:spacing w:before="0" w:after="220" w:line="473" w:lineRule="exact"/>
        <w:ind w:left="0" w:right="0"/>
        <w:jc w:val="both"/>
      </w:pPr>
      <w:r>
        <w:rPr>
          <w:color w:val="000000"/>
          <w:spacing w:val="0"/>
          <w:w w:val="100"/>
          <w:position w:val="0"/>
        </w:rPr>
        <w:t>是否半数以上董事无法保证年度报告的真实、准确和完整</w:t>
      </w:r>
    </w:p>
    <w:p>
      <w:pPr>
        <w:pStyle w:val="Style12"/>
        <w:keepNext w:val="0"/>
        <w:keepLines w:val="0"/>
        <w:widowControl w:val="0"/>
        <w:shd w:val="clear" w:color="auto" w:fill="auto"/>
        <w:bidi w:val="0"/>
        <w:spacing w:before="0" w:after="0" w:line="494"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2"/>
        <w:keepNext w:val="0"/>
        <w:keepLines w:val="0"/>
        <w:widowControl w:val="0"/>
        <w:shd w:val="clear" w:color="auto" w:fill="auto"/>
        <w:bidi w:val="0"/>
        <w:spacing w:before="0" w:after="220" w:line="473" w:lineRule="exact"/>
        <w:ind w:left="0" w:right="0"/>
        <w:jc w:val="both"/>
      </w:pPr>
      <w:r>
        <w:rPr>
          <w:color w:val="000000"/>
          <w:spacing w:val="0"/>
          <w:w w:val="100"/>
          <w:position w:val="0"/>
        </w:rPr>
        <w:t xml:space="preserve">公司董事会、监事会及除以下无法保证年度报告内容真实、准确、完整的情况说明的董事外的其他董 事、监事、高级管理人员均保证年度报告内容的真实、准确、完整，不存在虚假记载、误导性陈述或重大 </w:t>
      </w:r>
      <w:r>
        <w:rPr>
          <w:color w:val="000000"/>
          <w:spacing w:val="0"/>
          <w:w w:val="100"/>
          <w:position w:val="0"/>
        </w:rPr>
        <w:t>遗漏，并承担个别和连带的法律责任。</w:t>
      </w:r>
    </w:p>
    <w:p>
      <w:pPr>
        <w:pStyle w:val="Style12"/>
        <w:keepNext w:val="0"/>
        <w:keepLines w:val="0"/>
        <w:widowControl w:val="0"/>
        <w:shd w:val="clear" w:color="auto" w:fill="auto"/>
        <w:bidi w:val="0"/>
        <w:spacing w:before="0" w:after="100" w:line="240" w:lineRule="auto"/>
        <w:ind w:left="0" w:right="0"/>
        <w:jc w:val="both"/>
      </w:pPr>
      <w:r>
        <w:rPr>
          <w:color w:val="000000"/>
          <w:spacing w:val="0"/>
          <w:w w:val="100"/>
          <w:position w:val="0"/>
        </w:rPr>
        <w:t>董事无法保证真实、准确、完整的情况说明</w:t>
      </w:r>
    </w:p>
    <w:tbl>
      <w:tblPr>
        <w:tblOverlap w:val="never"/>
        <w:jc w:val="center"/>
        <w:tblLayout w:type="fixed"/>
      </w:tblPr>
      <w:tblGrid>
        <w:gridCol w:w="2506"/>
        <w:gridCol w:w="3240"/>
        <w:gridCol w:w="4123"/>
      </w:tblGrid>
      <w:tr>
        <w:trPr>
          <w:trHeight w:val="2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内容和原因</w:t>
            </w:r>
          </w:p>
        </w:tc>
      </w:tr>
      <w:tr>
        <w:trPr>
          <w:trHeight w:val="29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乔鲁予</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被留置，无法正常履行职责</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jc w:val="both"/>
      </w:pPr>
      <w:r>
        <w:rPr>
          <w:color w:val="000000"/>
          <w:spacing w:val="0"/>
          <w:w w:val="100"/>
          <w:position w:val="0"/>
        </w:rPr>
        <w:t>董事无法保证年度报告的真实、准确和完整的风险提示</w:t>
      </w:r>
    </w:p>
    <w:p>
      <w:pPr>
        <w:pStyle w:val="Style12"/>
        <w:keepNext w:val="0"/>
        <w:keepLines w:val="0"/>
        <w:widowControl w:val="0"/>
        <w:shd w:val="clear" w:color="auto" w:fill="auto"/>
        <w:bidi w:val="0"/>
        <w:spacing w:before="0" w:after="220" w:line="240" w:lineRule="auto"/>
        <w:ind w:left="0" w:right="0"/>
        <w:jc w:val="both"/>
      </w:pPr>
      <w:r>
        <w:rPr>
          <w:color w:val="000000"/>
          <w:spacing w:val="0"/>
          <w:w w:val="100"/>
          <w:position w:val="0"/>
        </w:rPr>
        <w:t>由于董事乔鲁予无法正常履行职责，公司未取得董事乔鲁予先生保证</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年年度报告真实、准确、 </w:t>
      </w:r>
      <w:r>
        <w:rPr>
          <w:color w:val="000000"/>
          <w:spacing w:val="0"/>
          <w:w w:val="100"/>
          <w:position w:val="0"/>
        </w:rPr>
        <w:t>完整的书面意见。请投资者特别关注。</w:t>
      </w:r>
    </w:p>
    <w:p>
      <w:pPr>
        <w:pStyle w:val="Style12"/>
        <w:keepNext w:val="0"/>
        <w:keepLines w:val="0"/>
        <w:widowControl w:val="0"/>
        <w:shd w:val="clear" w:color="auto" w:fill="auto"/>
        <w:bidi w:val="0"/>
        <w:spacing w:before="0" w:after="220" w:line="240" w:lineRule="auto"/>
        <w:ind w:left="0" w:right="0"/>
        <w:jc w:val="both"/>
      </w:pPr>
      <w:r>
        <w:rPr>
          <w:color w:val="000000"/>
          <w:spacing w:val="0"/>
          <w:w w:val="100"/>
          <w:position w:val="0"/>
        </w:rPr>
        <w:t>公司负责人侯旭东、主管会计工作负责人富培军及会计机构负责人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 xml:space="preserve">富培军声明：保证 </w:t>
      </w:r>
      <w:r>
        <w:rPr>
          <w:color w:val="000000"/>
          <w:spacing w:val="0"/>
          <w:w w:val="100"/>
          <w:position w:val="0"/>
        </w:rPr>
        <w:t>本年度报告中财务报告的真实、准确、完整。</w:t>
      </w:r>
    </w:p>
    <w:p>
      <w:pPr>
        <w:pStyle w:val="Style12"/>
        <w:keepNext w:val="0"/>
        <w:keepLines w:val="0"/>
        <w:widowControl w:val="0"/>
        <w:shd w:val="clear" w:color="auto" w:fill="auto"/>
        <w:bidi w:val="0"/>
        <w:spacing w:before="0" w:after="100" w:line="240" w:lineRule="auto"/>
        <w:ind w:left="0" w:right="0"/>
        <w:jc w:val="both"/>
      </w:pPr>
      <w:r>
        <w:rPr>
          <w:color w:val="000000"/>
          <w:spacing w:val="0"/>
          <w:w w:val="100"/>
          <w:position w:val="0"/>
        </w:rPr>
        <w:t>除下列董事外，其他董事亲自出席了审议本次年报的董事会会议</w:t>
      </w:r>
    </w:p>
    <w:tbl>
      <w:tblPr>
        <w:tblOverlap w:val="never"/>
        <w:jc w:val="center"/>
        <w:tblLayout w:type="fixed"/>
      </w:tblPr>
      <w:tblGrid>
        <w:gridCol w:w="2635"/>
        <w:gridCol w:w="2674"/>
        <w:gridCol w:w="2290"/>
        <w:gridCol w:w="2270"/>
      </w:tblGrid>
      <w:tr>
        <w:trPr>
          <w:trHeight w:val="29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未亲自出席董事姓名</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未亲自出席董事职务</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未亲自出席会议原因</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被委托人姓名</w:t>
            </w:r>
          </w:p>
        </w:tc>
      </w:tr>
      <w:tr>
        <w:trPr>
          <w:trHeight w:val="30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乔鲁予</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被留置</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未委托出席</w:t>
            </w:r>
          </w:p>
        </w:tc>
      </w:tr>
    </w:tbl>
    <w:p>
      <w:pPr>
        <w:pStyle w:val="Style12"/>
        <w:keepNext w:val="0"/>
        <w:keepLines w:val="0"/>
        <w:widowControl w:val="0"/>
        <w:shd w:val="clear" w:color="auto" w:fill="auto"/>
        <w:bidi w:val="0"/>
        <w:spacing w:before="0" w:after="0" w:line="468" w:lineRule="exact"/>
        <w:ind w:left="0" w:right="0"/>
        <w:jc w:val="both"/>
      </w:pPr>
      <w:r>
        <w:rPr>
          <w:color w:val="000000"/>
          <w:spacing w:val="0"/>
          <w:w w:val="100"/>
          <w:position w:val="0"/>
        </w:rPr>
        <w:t>本年度报告所涉及的经营业绩的预计、未来计划等前瞻性陈述均属于公司计划性事项，存在一定的不 确定性，不构成公司对投资者的实质性承诺，敬请投资者及相关人士认识、注意投资风险，并且应当理解 计划、预测与承诺之间的差异。</w:t>
      </w:r>
    </w:p>
    <w:p>
      <w:pPr>
        <w:pStyle w:val="Style12"/>
        <w:keepNext w:val="0"/>
        <w:keepLines w:val="0"/>
        <w:widowControl w:val="0"/>
        <w:shd w:val="clear" w:color="auto" w:fill="auto"/>
        <w:bidi w:val="0"/>
        <w:spacing w:before="0" w:after="0"/>
        <w:ind w:left="0" w:right="0"/>
        <w:jc w:val="both"/>
      </w:pPr>
      <w:r>
        <w:rPr>
          <w:color w:val="000000"/>
          <w:spacing w:val="0"/>
          <w:w w:val="100"/>
          <w:position w:val="0"/>
        </w:rPr>
        <w:t>可能对公司未来发展产生不利影响的风险因素主要为产业政策风险、新产品市场开拓风险、外延并购 风险、原材料价格上升和烟标产品价格下降影响毛利率风险、管理风险和人力资源风险、商誉减值风险等 风险，有关风险因素及对策措施详见本报告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（二）公司面临的风险和应对措施</w:t>
      </w:r>
      <w:r>
        <w:rPr>
          <w:rFonts w:ascii="Times New Roman" w:eastAsia="Times New Roman" w:hAnsi="Times New Roman" w:cs="Times New Roman"/>
          <w:color w:val="000000"/>
          <w:spacing w:val="0"/>
          <w:w w:val="100"/>
          <w:position w:val="0"/>
        </w:rPr>
        <w:t>”</w:t>
      </w:r>
      <w:r>
        <w:rPr>
          <w:color w:val="000000"/>
          <w:spacing w:val="0"/>
          <w:w w:val="100"/>
          <w:position w:val="0"/>
        </w:rPr>
        <w:t>中相关内容，敬请广大投资者注意投资风险。</w:t>
      </w:r>
    </w:p>
    <w:p>
      <w:pPr>
        <w:pStyle w:val="Style12"/>
        <w:keepNext w:val="0"/>
        <w:keepLines w:val="0"/>
        <w:widowControl w:val="0"/>
        <w:shd w:val="clear" w:color="auto" w:fill="auto"/>
        <w:bidi w:val="0"/>
        <w:spacing w:before="0" w:after="22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1,470,887,550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 金红利</w:t>
      </w:r>
      <w:r>
        <w:rPr>
          <w:rFonts w:ascii="Times New Roman" w:eastAsia="Times New Roman" w:hAnsi="Times New Roman" w:cs="Times New Roman"/>
          <w:color w:val="000000"/>
          <w:spacing w:val="0"/>
          <w:w w:val="100"/>
          <w:position w:val="0"/>
        </w:rPr>
        <w:t>3.50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pos="824" w:val="left"/>
          <w:tab w:leader="dot" w:pos="961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18"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9"/>
        <w:keepNext w:val="0"/>
        <w:keepLines w:val="0"/>
        <w:widowControl w:val="0"/>
        <w:shd w:val="clear" w:color="auto" w:fill="auto"/>
        <w:tabs>
          <w:tab w:leader="dot" w:pos="9618" w:val="right"/>
        </w:tabs>
        <w:bidi w:val="0"/>
        <w:spacing w:before="0" w:line="240" w:lineRule="auto"/>
        <w:ind w:left="0" w:right="0" w:firstLine="0"/>
        <w:jc w:val="left"/>
      </w:pPr>
      <w:hyperlink w:anchor="bookmark55"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9"/>
        <w:keepNext w:val="0"/>
        <w:keepLines w:val="0"/>
        <w:widowControl w:val="0"/>
        <w:shd w:val="clear" w:color="auto" w:fill="auto"/>
        <w:tabs>
          <w:tab w:leader="dot" w:pos="9618" w:val="right"/>
        </w:tabs>
        <w:bidi w:val="0"/>
        <w:spacing w:before="0" w:line="240" w:lineRule="auto"/>
        <w:ind w:left="0" w:right="0" w:firstLine="0"/>
        <w:jc w:val="left"/>
      </w:pPr>
      <w:hyperlink w:anchor="bookmark26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9"/>
        <w:keepNext w:val="0"/>
        <w:keepLines w:val="0"/>
        <w:widowControl w:val="0"/>
        <w:shd w:val="clear" w:color="auto" w:fill="auto"/>
        <w:tabs>
          <w:tab w:pos="824" w:val="left"/>
          <w:tab w:leader="dot" w:pos="9618" w:val="right"/>
        </w:tabs>
        <w:bidi w:val="0"/>
        <w:spacing w:before="0" w:line="240" w:lineRule="auto"/>
        <w:ind w:left="0" w:right="0" w:firstLine="0"/>
        <w:jc w:val="left"/>
      </w:pPr>
      <w:hyperlink w:anchor="bookmark426"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9"/>
        <w:keepNext w:val="0"/>
        <w:keepLines w:val="0"/>
        <w:widowControl w:val="0"/>
        <w:shd w:val="clear" w:color="auto" w:fill="auto"/>
        <w:tabs>
          <w:tab w:pos="824" w:val="left"/>
          <w:tab w:leader="dot" w:pos="9618" w:val="right"/>
        </w:tabs>
        <w:bidi w:val="0"/>
        <w:spacing w:before="0" w:line="240" w:lineRule="auto"/>
        <w:ind w:left="0" w:right="0" w:firstLine="0"/>
        <w:jc w:val="left"/>
      </w:pPr>
      <w:hyperlink w:anchor="bookmark45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9"/>
        <w:keepNext w:val="0"/>
        <w:keepLines w:val="0"/>
        <w:widowControl w:val="0"/>
        <w:shd w:val="clear" w:color="auto" w:fill="auto"/>
        <w:tabs>
          <w:tab w:leader="dot" w:pos="9618" w:val="right"/>
        </w:tabs>
        <w:bidi w:val="0"/>
        <w:spacing w:before="0" w:line="240" w:lineRule="auto"/>
        <w:ind w:left="0" w:right="0" w:firstLine="0"/>
        <w:jc w:val="left"/>
      </w:pPr>
      <w:hyperlink w:anchor="bookmark60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9"/>
        <w:keepNext w:val="0"/>
        <w:keepLines w:val="0"/>
        <w:widowControl w:val="0"/>
        <w:shd w:val="clear" w:color="auto" w:fill="auto"/>
        <w:tabs>
          <w:tab w:pos="824" w:val="left"/>
          <w:tab w:leader="dot" w:pos="9618" w:val="right"/>
        </w:tabs>
        <w:bidi w:val="0"/>
        <w:spacing w:before="0" w:line="240" w:lineRule="auto"/>
        <w:ind w:left="0" w:right="0" w:firstLine="0"/>
        <w:jc w:val="left"/>
      </w:pPr>
      <w:hyperlink w:anchor="bookmark669"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9"/>
        <w:keepNext w:val="0"/>
        <w:keepLines w:val="0"/>
        <w:widowControl w:val="0"/>
        <w:shd w:val="clear" w:color="auto" w:fill="auto"/>
        <w:tabs>
          <w:tab w:leader="dot" w:pos="9618" w:val="right"/>
        </w:tabs>
        <w:bidi w:val="0"/>
        <w:spacing w:before="0" w:line="240" w:lineRule="auto"/>
        <w:ind w:left="0" w:right="0" w:firstLine="0"/>
        <w:jc w:val="left"/>
      </w:pPr>
      <w:hyperlink w:anchor="bookmark67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19"/>
        <w:keepNext w:val="0"/>
        <w:keepLines w:val="0"/>
        <w:widowControl w:val="0"/>
        <w:shd w:val="clear" w:color="auto" w:fill="auto"/>
        <w:tabs>
          <w:tab w:pos="824" w:val="left"/>
          <w:tab w:leader="dot" w:pos="9618" w:val="right"/>
        </w:tabs>
        <w:bidi w:val="0"/>
        <w:spacing w:before="0" w:line="240" w:lineRule="auto"/>
        <w:ind w:left="0" w:right="0" w:firstLine="0"/>
        <w:jc w:val="left"/>
        <w:sectPr>
          <w:footnotePr>
            <w:pos w:val="pageBottom"/>
            <w:numFmt w:val="decimal"/>
            <w:numRestart w:val="continuous"/>
          </w:footnotePr>
          <w:pgSz w:w="11900" w:h="16840"/>
          <w:pgMar w:top="1978" w:right="1016" w:bottom="1978" w:left="1014" w:header="0" w:footer="3" w:gutter="0"/>
          <w:cols w:space="720"/>
          <w:noEndnote/>
          <w:rtlGutter w:val="0"/>
          <w:docGrid w:linePitch="360"/>
        </w:sectPr>
      </w:pPr>
      <w:hyperlink w:anchor="bookmark677"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91</w:t>
        </w:r>
      </w:hyperlink>
      <w:r>
        <w:fldChar w:fldCharType="end"/>
      </w:r>
    </w:p>
    <w:p>
      <w:pPr>
        <w:pStyle w:val="Style4"/>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载有法定代表人、主管会计工作负责人、会计机构负责人签名并盖章的财务报表。</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35" w:val="left"/>
        </w:tabs>
        <w:bidi w:val="0"/>
        <w:spacing w:before="0" w:after="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报告期内公开披露过的所有公司文件的正本及公告的原稿。</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劲嘉股份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中华烟草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中华香港国际烟草集团有限公司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贵州劲嘉新型包装材料有限公司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江苏劲嘉新型包装材料有限公司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安徽安泰新型包装材料有限公司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英莎特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东方英莎特有限公司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中丰田光电科技（珠海）有限公司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昆明彩印有限责任公司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江西丰彩丽印刷包装有限公司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智能包装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深圳劲嘉新型智能包装有限公司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贵州瑞源包装有限责任公司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贵州劲瑞新型包装材料有限公司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珠海嘉瑞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珠海市嘉瑞包装材料有限公司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江苏顺泰包装印刷科技有限公司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劲嘉物业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深圳市劲嘉物业管理有限公司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劲嘉创投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深圳市劲嘉创业投资有限公司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世纪运通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新疆世纪运通股权投资合伙企业（有限合伙）</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劲嘉供应链</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深圳前海劲嘉供应链有限公司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蓝莓文化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深圳前海蓝莓文化传播有限公司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长春吉星印务有限责任公司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香港森洋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劲嘉集团（香港森洋）有限公司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华大北斗</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深圳华大北斗科技有限公司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嘉颐泽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青岛嘉颐泽印刷包装有限公司</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劲嘉新产业科技</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深圳劲嘉新产业科技有限公司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广州德新产业投资有限公司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上海仁彩</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上海仁彩印务有限公司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上海丽兴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上海丽兴绿色包装有限公司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申仁包装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贵州省仁怀市申仁包装印务有限责任公司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香港润伟实业有限公司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盒知科技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深圳劲嘉盒知科技有限公司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因味科技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深圳因味科技有限公司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嘉星健康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深圳嘉星健康科技有限公司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嘉玉科技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深圳嘉玉科技有限公司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青岛嘉泽包装有限公司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嘉美包装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宜宾嘉美智能包装有限公司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劲嘉产业园物业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深圳市劲嘉产业园物业管理有限公司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青岛英诺包装科技有限公司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兴鑫互联</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深圳兴鑫互联科技有限公司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遵义智能包装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遵义劲嘉新型智能包装有限公司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云普星河</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深圳云普星河科技服务有限公司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印尼云普星河</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印尼云普星河有限责任公司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鼎盛丰华</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深圳鼎盛丰华科技有限公司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苗泽中丰田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苗泽中丰田光电科技有限公司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复星安泰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亚东复星瑞哲安泰发展有限公司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恒天商业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恒天商业有限公司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长宜科技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云南长宜科技有限公司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佳聚电子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深圳佳聚电子技术有限公司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云烁科技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云南云烁科技有限公司</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both"/>
            </w:pPr>
            <w:r>
              <w:rPr>
                <w:color w:val="000000"/>
                <w:spacing w:val="0"/>
                <w:w w:val="100"/>
                <w:position w:val="0"/>
              </w:rPr>
              <w:t>俗称''烟盒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是烟草制品的商标以及具有标识性包装物总称，主要是 强调其名称、图案、文字、色彩、符号、规格，使之区别于各种烟草 制品并具有商标意义</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酒标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酒制品的外包装、商标等具有标识性的包装物的总称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基纸/原纸</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用作进一步加工之用的纸基，主要有涂布纸板、卡纸、白板</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纸/纸板</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一般把克重小于</w:t>
            </w:r>
            <w:r>
              <w:rPr>
                <w:rFonts w:ascii="Times New Roman" w:eastAsia="Times New Roman" w:hAnsi="Times New Roman" w:cs="Times New Roman"/>
                <w:color w:val="000000"/>
                <w:spacing w:val="0"/>
                <w:w w:val="100"/>
                <w:position w:val="0"/>
                <w:sz w:val="18"/>
                <w:szCs w:val="18"/>
              </w:rPr>
              <w:t>180g/m</w:t>
            </w:r>
            <w:r>
              <w:rPr>
                <w:color w:val="000000"/>
                <w:spacing w:val="0"/>
                <w:w w:val="100"/>
                <w:position w:val="0"/>
                <w:sz w:val="18"/>
                <w:szCs w:val="18"/>
              </w:rPr>
              <w:t>：</w:t>
            </w:r>
            <w:r>
              <w:rPr>
                <w:color w:val="000000"/>
                <w:spacing w:val="0"/>
                <w:w w:val="100"/>
                <w:position w:val="0"/>
              </w:rPr>
              <w:t>的纸页称作纸，把克重大于等于</w:t>
            </w:r>
            <w:r>
              <w:rPr>
                <w:rFonts w:ascii="Times New Roman" w:eastAsia="Times New Roman" w:hAnsi="Times New Roman" w:cs="Times New Roman"/>
                <w:color w:val="000000"/>
                <w:spacing w:val="0"/>
                <w:w w:val="100"/>
                <w:position w:val="0"/>
                <w:sz w:val="18"/>
                <w:szCs w:val="18"/>
              </w:rPr>
              <w:t>180g/</w:t>
            </w:r>
            <w:r>
              <w:rPr>
                <w:rFonts w:ascii="Arial" w:eastAsia="Arial" w:hAnsi="Arial" w:cs="Arial"/>
                <w:color w:val="000000"/>
                <w:spacing w:val="0"/>
                <w:w w:val="100"/>
                <w:position w:val="0"/>
                <w:sz w:val="18"/>
                <w:szCs w:val="18"/>
              </w:rPr>
              <w:t>tf</w:t>
            </w:r>
            <w:r>
              <w:rPr>
                <w:color w:val="000000"/>
                <w:spacing w:val="0"/>
                <w:w w:val="100"/>
                <w:position w:val="0"/>
              </w:rPr>
              <w:t>的 纸页称作纸板</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膜</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原膜或成品膜</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基膜/原膜</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作载体用或其他加工用途的未曾使用过的薄膜，通常为聚酯</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成品膜</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已经完成所有预设工序加工的薄膜，包括</w:t>
            </w:r>
            <w:r>
              <w:rPr>
                <w:rFonts w:ascii="Times New Roman" w:eastAsia="Times New Roman" w:hAnsi="Times New Roman" w:cs="Times New Roman"/>
                <w:color w:val="000000"/>
                <w:spacing w:val="0"/>
                <w:w w:val="100"/>
                <w:position w:val="0"/>
                <w:sz w:val="18"/>
                <w:szCs w:val="18"/>
              </w:rPr>
              <w:t>PET/OPP</w:t>
            </w:r>
            <w:r>
              <w:rPr>
                <w:color w:val="000000"/>
                <w:spacing w:val="0"/>
                <w:w w:val="100"/>
                <w:position w:val="0"/>
              </w:rPr>
              <w:t>转移膜、</w:t>
            </w:r>
            <w:r>
              <w:rPr>
                <w:rFonts w:ascii="Times New Roman" w:eastAsia="Times New Roman" w:hAnsi="Times New Roman" w:cs="Times New Roman"/>
                <w:color w:val="000000"/>
                <w:spacing w:val="0"/>
                <w:w w:val="100"/>
                <w:position w:val="0"/>
                <w:sz w:val="18"/>
                <w:szCs w:val="18"/>
              </w:rPr>
              <w:t xml:space="preserve">PET/OPP </w:t>
            </w:r>
            <w:r>
              <w:rPr>
                <w:color w:val="000000"/>
                <w:spacing w:val="0"/>
                <w:w w:val="100"/>
                <w:position w:val="0"/>
              </w:rPr>
              <w:t>镭射镀铝膜、</w:t>
            </w:r>
            <w:r>
              <w:rPr>
                <w:rFonts w:ascii="Times New Roman" w:eastAsia="Times New Roman" w:hAnsi="Times New Roman" w:cs="Times New Roman"/>
                <w:color w:val="000000"/>
                <w:spacing w:val="0"/>
                <w:w w:val="100"/>
                <w:position w:val="0"/>
                <w:sz w:val="18"/>
                <w:szCs w:val="18"/>
              </w:rPr>
              <w:t>PET/OPP</w:t>
            </w:r>
            <w:r>
              <w:rPr>
                <w:color w:val="000000"/>
                <w:spacing w:val="0"/>
                <w:w w:val="100"/>
                <w:position w:val="0"/>
              </w:rPr>
              <w:t>镭射转移膜</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香烟计量单位，</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盒</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烟标计量单位，一大箱包含</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套，每套包含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盒及用于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盒卷烟 的整体外包装</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用于产生气溶胶供人抽吸等的电子传送系统</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《深圳劲嘉集团股份有限公司章程》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r>
    </w:tbl>
    <w:p>
      <w:pPr>
        <w:sectPr>
          <w:footnotePr>
            <w:pos w:val="pageBottom"/>
            <w:numFmt w:val="decimal"/>
            <w:numRestart w:val="continuous"/>
          </w:footnotePr>
          <w:pgSz w:w="11900" w:h="16840"/>
          <w:pgMar w:top="1441" w:right="1133" w:bottom="1676" w:left="1085" w:header="0" w:footer="3" w:gutter="0"/>
          <w:cols w:space="720"/>
          <w:noEndnote/>
          <w:rtlGutter w:val="0"/>
          <w:docGrid w:linePitch="360"/>
        </w:sectPr>
      </w:pPr>
    </w:p>
    <w:p>
      <w:pPr>
        <w:pStyle w:val="Style10"/>
        <w:keepNext/>
        <w:keepLines/>
        <w:widowControl w:val="0"/>
        <w:shd w:val="clear" w:color="auto" w:fill="auto"/>
        <w:bidi w:val="0"/>
        <w:spacing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after="320" w:line="240" w:lineRule="auto"/>
        <w:ind w:left="0" w:right="0" w:firstLine="26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6"/>
                <w:szCs w:val="16"/>
              </w:rPr>
              <w:t>劲嘉股份</w:t>
              <w:tab/>
              <w:t>股票代码</w:t>
              <w:tab/>
            </w:r>
            <w:r>
              <w:rPr>
                <w:rFonts w:ascii="Times New Roman" w:eastAsia="Times New Roman" w:hAnsi="Times New Roman" w:cs="Times New Roman"/>
                <w:color w:val="000000"/>
                <w:spacing w:val="0"/>
                <w:w w:val="100"/>
                <w:position w:val="0"/>
                <w:sz w:val="18"/>
                <w:szCs w:val="18"/>
              </w:rPr>
              <w:t>002191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劲嘉股份</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JINJIA GROUP CO.,LTD.</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JINJIA</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深圳市南山区科技中二路劲嘉科技大厦</w:t>
            </w:r>
            <w:r>
              <w:rPr>
                <w:rFonts w:ascii="Times New Roman" w:eastAsia="Times New Roman" w:hAnsi="Times New Roman" w:cs="Times New Roman"/>
                <w:color w:val="000000"/>
                <w:spacing w:val="0"/>
                <w:w w:val="100"/>
                <w:position w:val="0"/>
                <w:sz w:val="18"/>
                <w:szCs w:val="18"/>
              </w:rPr>
              <w:t>18-19</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深圳市南山区科技中二路劲嘉科技大厦</w:t>
            </w:r>
            <w:r>
              <w:rPr>
                <w:rFonts w:ascii="Times New Roman" w:eastAsia="Times New Roman" w:hAnsi="Times New Roman" w:cs="Times New Roman"/>
                <w:color w:val="000000"/>
                <w:spacing w:val="0"/>
                <w:w w:val="100"/>
                <w:position w:val="0"/>
                <w:sz w:val="18"/>
                <w:szCs w:val="18"/>
              </w:rPr>
              <w:t>18-19</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"http://www.jinjia.com" </w:instrText>
            </w:r>
            <w:r>
              <w:fldChar w:fldCharType="separate"/>
            </w:r>
            <w:r>
              <w:rPr>
                <w:rFonts w:ascii="Times New Roman" w:eastAsia="Times New Roman" w:hAnsi="Times New Roman" w:cs="Times New Roman"/>
                <w:color w:val="000000"/>
                <w:spacing w:val="0"/>
                <w:w w:val="100"/>
                <w:position w:val="0"/>
                <w:sz w:val="18"/>
                <w:szCs w:val="18"/>
              </w:rPr>
              <w:t>www.jinjia.com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rFonts w:ascii="Times New Roman" w:eastAsia="Times New Roman" w:hAnsi="Times New Roman" w:cs="Times New Roman"/>
                <w:color w:val="000000"/>
                <w:spacing w:val="0"/>
                <w:w w:val="100"/>
                <w:position w:val="0"/>
                <w:sz w:val="18"/>
                <w:szCs w:val="18"/>
                <w:vertAlign w:val="superscript"/>
              </w:rPr>
              <w:t>jjc</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8"/>
                <w:szCs w:val="18"/>
                <w:vertAlign w:val="superscript"/>
              </w:rPr>
              <w:t>ji</w:t>
            </w:r>
            <w:r>
              <w:rPr>
                <w:rFonts w:ascii="Times New Roman" w:eastAsia="Times New Roman" w:hAnsi="Times New Roman" w:cs="Times New Roman"/>
                <w:color w:val="000000"/>
                <w:spacing w:val="0"/>
                <w:w w:val="100"/>
                <w:position w:val="0"/>
                <w:sz w:val="18"/>
                <w:szCs w:val="18"/>
              </w:rPr>
              <w:t>n</w:t>
            </w:r>
            <w:r>
              <w:rPr>
                <w:rFonts w:ascii="Times New Roman" w:eastAsia="Times New Roman" w:hAnsi="Times New Roman" w:cs="Times New Roman"/>
                <w:color w:val="000000"/>
                <w:spacing w:val="0"/>
                <w:w w:val="100"/>
                <w:position w:val="0"/>
                <w:sz w:val="18"/>
                <w:szCs w:val="18"/>
                <w:vertAlign w:val="superscript"/>
              </w:rPr>
              <w:t>jia</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vertAlign w:val="superscript"/>
              </w:rPr>
              <w:t>com</w:t>
            </w:r>
            <w:r>
              <w:fldChar w:fldCharType="end"/>
            </w:r>
          </w:p>
        </w:tc>
      </w:tr>
    </w:tbl>
    <w:p>
      <w:pPr>
        <w:pStyle w:val="Style22"/>
        <w:keepNext w:val="0"/>
        <w:keepLines w:val="0"/>
        <w:widowControl w:val="0"/>
        <w:shd w:val="clear" w:color="auto" w:fill="auto"/>
        <w:bidi w:val="0"/>
        <w:spacing w:before="0" w:after="380" w:line="317" w:lineRule="exact"/>
        <w:ind w:left="0" w:right="0"/>
        <w:jc w:val="left"/>
      </w:pPr>
      <w:r>
        <w:rPr>
          <w:color w:val="000000"/>
          <w:spacing w:val="0"/>
          <w:w w:val="100"/>
          <w:position w:val="0"/>
        </w:rPr>
        <w:t>注：因乔鲁予无法正常履行董事长、法定代表人职责，经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年第三次会议审 议通过，在乔鲁予先生不能正常履行董事长、法定代表人职责期间，由公司董事、总经理侯旭东先生代为履行董事长、法定 代表人职责。</w:t>
      </w:r>
    </w:p>
    <w:p>
      <w:pPr>
        <w:pStyle w:val="Style27"/>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刘雪芬</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何娜</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深圳市南山区科技中二路劲嘉科技大厦</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18-19 </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深圳市南山区科技中二路劲嘉科技大厦</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18-19 </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0755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86708116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0755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86708116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26498899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26498899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rFonts w:ascii="Times New Roman" w:eastAsia="Times New Roman" w:hAnsi="Times New Roman" w:cs="Times New Roman"/>
                <w:color w:val="000000"/>
                <w:spacing w:val="0"/>
                <w:w w:val="100"/>
                <w:position w:val="0"/>
                <w:sz w:val="18"/>
                <w:szCs w:val="18"/>
              </w:rPr>
              <w:t>jjcp@jinjia.com</w:t>
            </w:r>
            <w:r>
              <w:fldChar w:fldCharType="end"/>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"mailto:jjcp@jinjia.com" </w:instrText>
            </w:r>
            <w:r>
              <w:fldChar w:fldCharType="separate"/>
            </w:r>
            <w:r>
              <w:rPr>
                <w:rFonts w:ascii="Times New Roman" w:eastAsia="Times New Roman" w:hAnsi="Times New Roman" w:cs="Times New Roman"/>
                <w:color w:val="000000"/>
                <w:spacing w:val="0"/>
                <w:w w:val="100"/>
                <w:position w:val="0"/>
                <w:sz w:val="18"/>
                <w:szCs w:val="18"/>
              </w:rPr>
              <w:t>jjcp@jinjia.com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bl>
    <w:p>
      <w:pPr>
        <w:spacing w:lineRule="exact" w:line="1"/>
        <w:rPr>
          <w:sz w:val="2"/>
          <w:szCs w:val="2"/>
        </w:rPr>
      </w:pPr>
      <w:r>
        <w:br w:type="page"/>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91440300618921880R</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公司主要产品是是高技术和高附加值的烟标、新型烟草制品、中高端知名消费品 牌的彩盒包装及镭射纸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膜、烟膜等包装新材料。</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武汉市武昌区东湖路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李建树、欧阳海英</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4,191,426,341.33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3,988,697,267.95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1,019,743,277.37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823,590,253.75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876,786,038.90</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822,087,495.99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779,281,999.73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858,689,915.03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860,758,443.84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1,045,444,375.59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1,189,888,045.76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10,328,082,019.93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9,006,772,928.24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8,672,684,776.37</w:t>
            </w:r>
          </w:p>
        </w:tc>
      </w:tr>
    </w:tbl>
    <w:tbl>
      <w:tblPr>
        <w:tblOverlap w:val="never"/>
        <w:jc w:val="center"/>
        <w:tblLayout w:type="fixed"/>
      </w:tblPr>
      <w:tblGrid>
        <w:gridCol w:w="2626"/>
        <w:gridCol w:w="1738"/>
        <w:gridCol w:w="1738"/>
        <w:gridCol w:w="1738"/>
        <w:gridCol w:w="1747"/>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7,846,674,919.10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7,425,915,335.16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6,926,088,151.98</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32"/>
        <w:keepNext/>
        <w:keepLines/>
        <w:widowControl w:val="0"/>
        <w:shd w:val="clear" w:color="auto" w:fill="auto"/>
        <w:tabs>
          <w:tab w:pos="395"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5"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1,195,084,715.04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1,252,325,012.40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1,202,260,694.66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1,417,406,755.09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251,733,113.09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255,094,064.27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309,989,331.79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202,926,768.22</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242,440,303.50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236,897,957.26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231,385,976.21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111,363,259.02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84,356,410.73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860,590,973.65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-144,230,897.33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60,041,956.79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174,128,404.36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3,155,392.46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-4,314,308.52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计入当期损益的政府补助（与公司正常经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营业务密切相关，符合国家政策规定、按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37,150,512.45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32,616,877.21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17,267,517.04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67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23,401,109.48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21,562,589.51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8,780,891.95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1,288,462.05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-1,157,072.31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2,639,220.04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35,195,441.89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9,754,744.56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3,198,396.38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1,960,192.76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5,911,080.64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521,470.16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197,655,781.38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44,308,254.02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18,096,123.87</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13" w:bottom="1465" w:left="1096"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7"/>
        <w:keepNext/>
        <w:keepLines/>
        <w:widowControl w:val="0"/>
        <w:shd w:val="clear" w:color="auto" w:fill="auto"/>
        <w:bidi w:val="0"/>
        <w:spacing w:before="0" w:after="26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、报告期内公司所处的行业情况</w:t>
      </w:r>
      <w:bookmarkEnd w:id="58"/>
      <w:bookmarkEnd w:id="59"/>
      <w:bookmarkEnd w:id="61"/>
      <w:bookmarkEnd w:id="57"/>
    </w:p>
    <w:p>
      <w:pPr>
        <w:pStyle w:val="Style22"/>
        <w:keepNext w:val="0"/>
        <w:keepLines w:val="0"/>
        <w:widowControl w:val="0"/>
        <w:shd w:val="clear" w:color="auto" w:fill="auto"/>
        <w:bidi w:val="0"/>
        <w:spacing w:before="0" w:after="40" w:line="322" w:lineRule="exact"/>
        <w:ind w:left="0" w:right="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年修订）》，公司属于制造业中的印刷和记录媒介复制业，根据 实际开展业务的不同整体可分为包装行业和新型烟草行业。</w:t>
      </w:r>
    </w:p>
    <w:p>
      <w:pPr>
        <w:pStyle w:val="Style22"/>
        <w:keepNext w:val="0"/>
        <w:keepLines w:val="0"/>
        <w:widowControl w:val="0"/>
        <w:shd w:val="clear" w:color="auto" w:fill="auto"/>
        <w:tabs>
          <w:tab w:pos="866" w:val="left"/>
        </w:tabs>
        <w:bidi w:val="0"/>
        <w:spacing w:before="0" w:after="0" w:line="313" w:lineRule="exact"/>
        <w:ind w:left="0" w:right="0"/>
        <w:jc w:val="both"/>
      </w:pPr>
      <w:bookmarkStart w:id="62" w:name="bookmark62"/>
      <w:r>
        <w:rPr>
          <w:b/>
          <w:bCs/>
          <w:color w:val="000000"/>
          <w:spacing w:val="0"/>
          <w:w w:val="100"/>
          <w:position w:val="0"/>
        </w:rPr>
        <w:t>（</w:t>
      </w:r>
      <w:bookmarkEnd w:id="62"/>
      <w:r>
        <w:rPr>
          <w:b/>
          <w:bCs/>
          <w:color w:val="000000"/>
          <w:spacing w:val="0"/>
          <w:w w:val="100"/>
          <w:position w:val="0"/>
        </w:rPr>
        <w:t>一）</w:t>
        <w:tab/>
        <w:t>包装行业的基本情况及公司行业地位</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包装行业上游为原材料及设备供应商，包括包装用纸、油墨、通用塑料、木材、玻璃、铝材和包装机械等；中游为包装 制造行业，按包装材料可分为：纸品包装、塑料包装、金属包装、玻璃包装、木质包装等，其中纸质包装、金属包装、塑料 包装是主流应用的包装形式；下游为包装产品应用市场，包装行业下游应用市场广泛，主要包括消费电子、美妆日化、生物 医药、食品饮料、酒类、医疗器械、鞋帽服饰、玩具文礼、连锁零售、信息及互联网、烟草行业等。</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其中，纸品包装因为具有便携性、环保性、可变性等综合优势，在包装行业占据重要的地位。</w:t>
      </w:r>
    </w:p>
    <w:p>
      <w:pPr>
        <w:pStyle w:val="Style22"/>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年度，我国国民经济和社会发展稳步前进，包装行业也取得不俗成绩。根据中国包装联合会公布的数据，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全国包装行业规模以上企业累计完成营业收入</w:t>
      </w:r>
      <w:r>
        <w:rPr>
          <w:rFonts w:ascii="Times New Roman" w:eastAsia="Times New Roman" w:hAnsi="Times New Roman" w:cs="Times New Roman"/>
          <w:color w:val="000000"/>
          <w:spacing w:val="0"/>
          <w:w w:val="100"/>
          <w:position w:val="0"/>
          <w:sz w:val="18"/>
          <w:szCs w:val="18"/>
        </w:rPr>
        <w:t>12,041.8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16.39%</w:t>
      </w:r>
      <w:r>
        <w:rPr>
          <w:color w:val="000000"/>
          <w:spacing w:val="0"/>
          <w:w w:val="100"/>
          <w:position w:val="0"/>
        </w:rPr>
        <w:t xml:space="preserve">，增速比去年同期提高了 </w:t>
      </w:r>
      <w:r>
        <w:rPr>
          <w:rFonts w:ascii="Times New Roman" w:eastAsia="Times New Roman" w:hAnsi="Times New Roman" w:cs="Times New Roman"/>
          <w:color w:val="000000"/>
          <w:spacing w:val="0"/>
          <w:w w:val="100"/>
          <w:position w:val="0"/>
          <w:sz w:val="18"/>
          <w:szCs w:val="18"/>
        </w:rPr>
        <w:t>17.56</w:t>
      </w:r>
      <w:r>
        <w:rPr>
          <w:color w:val="000000"/>
          <w:spacing w:val="0"/>
          <w:w w:val="100"/>
          <w:position w:val="0"/>
        </w:rPr>
        <w:t>个百分点，其 中，纸和纸板容器制造完成累计主营业务收入</w:t>
      </w:r>
      <w:r>
        <w:rPr>
          <w:rFonts w:ascii="Times New Roman" w:eastAsia="Times New Roman" w:hAnsi="Times New Roman" w:cs="Times New Roman"/>
          <w:color w:val="000000"/>
          <w:spacing w:val="0"/>
          <w:w w:val="100"/>
          <w:position w:val="0"/>
          <w:sz w:val="18"/>
          <w:szCs w:val="18"/>
        </w:rPr>
        <w:t>3,192.03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13.56%</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中国是仅次于美国的全球第二包装大国，从整体来看，我国包装行业已形成完整的产业链条，但处于大而不强的状态， 包装企业数量多而规模小，行业集中度低，重复建设的现象较严重，行业核心竞争力不强。我国的包装行业比较依赖高毛利 客户，包括国外品牌客户和直接出口业务，关键设备、材料和工艺的创新开发仍落后于发达国家。国家多次出台规范及提升 包装行业发展的相关政策，具有专业化生产能力、技术创新能力、已区域乃至全球布局的包装企业有望在竞争中占据优势， 如具备核心的绿色环保技术、自动化和智能化制造能力，则更能奠定领先地位。</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公司深耕包装行业逾二十载，已成长为国内领先的现代化大型综合包装产业集团，生产规模、科研创新能力、核心竞争 力等均位居行业前列，包装产品丰富、品类多样，主要涉及高技术和高附加值的烟标、酒盒以及高端电子消费品、日化产品、 药品的包装等，并不断对包装新材料领域进行技术提升及应用场景拓展。公司参与多项国家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行业标准制定，报告期内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标准</w:t>
      </w:r>
      <w:r>
        <w:rPr>
          <w:rFonts w:ascii="Times New Roman" w:eastAsia="Times New Roman" w:hAnsi="Times New Roman" w:cs="Times New Roman"/>
          <w:color w:val="000000"/>
          <w:spacing w:val="0"/>
          <w:w w:val="100"/>
          <w:position w:val="0"/>
          <w:sz w:val="18"/>
          <w:szCs w:val="18"/>
        </w:rPr>
        <w:t>Q/JJ002-2021</w:t>
      </w:r>
      <w:r>
        <w:rPr>
          <w:color w:val="000000"/>
          <w:spacing w:val="0"/>
          <w:w w:val="100"/>
          <w:position w:val="0"/>
        </w:rPr>
        <w:t>《卷烟条与盒包装纸印刷品》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领跑者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称号。公司三度蝉联中国印刷百强榜首，获得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中国包装龙头企业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工业产品绿色设计示范企业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第一批绿色工厂试点企业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国家印刷示范企业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等多项社会荣誉。 公司放眼于国内外广阔的包装产业市场，通过施行科学的发展战略方针，力争成为更具核心竞争力的集外观设计、研发生产、 运输物流、溯源防伪、产品营销为一体的包装综合解决方案供应商。</w:t>
      </w:r>
    </w:p>
    <w:p>
      <w:pPr>
        <w:pStyle w:val="Style22"/>
        <w:keepNext w:val="0"/>
        <w:keepLines w:val="0"/>
        <w:widowControl w:val="0"/>
        <w:shd w:val="clear" w:color="auto" w:fill="auto"/>
        <w:tabs>
          <w:tab w:pos="866" w:val="left"/>
        </w:tabs>
        <w:bidi w:val="0"/>
        <w:spacing w:before="0" w:after="40" w:line="313" w:lineRule="exact"/>
        <w:ind w:left="0" w:right="0"/>
        <w:jc w:val="both"/>
      </w:pPr>
      <w:bookmarkStart w:id="63" w:name="bookmark63"/>
      <w:r>
        <w:rPr>
          <w:b/>
          <w:bCs/>
          <w:color w:val="000000"/>
          <w:spacing w:val="0"/>
          <w:w w:val="100"/>
          <w:position w:val="0"/>
        </w:rPr>
        <w:t>（</w:t>
      </w:r>
      <w:bookmarkEnd w:id="63"/>
      <w:r>
        <w:rPr>
          <w:b/>
          <w:bCs/>
          <w:color w:val="000000"/>
          <w:spacing w:val="0"/>
          <w:w w:val="100"/>
          <w:position w:val="0"/>
        </w:rPr>
        <w:t>二）</w:t>
        <w:tab/>
        <w:t>新型烟草行业的基本情况及公司行业地位</w:t>
      </w:r>
    </w:p>
    <w:p>
      <w:pPr>
        <w:pStyle w:val="Style22"/>
        <w:keepNext w:val="0"/>
        <w:keepLines w:val="0"/>
        <w:widowControl w:val="0"/>
        <w:shd w:val="clear" w:color="auto" w:fill="auto"/>
        <w:bidi w:val="0"/>
        <w:spacing w:before="0" w:after="40" w:line="307" w:lineRule="exact"/>
        <w:ind w:left="0" w:right="0"/>
        <w:jc w:val="both"/>
      </w:pPr>
      <w:r>
        <w:rPr>
          <w:color w:val="000000"/>
          <w:spacing w:val="0"/>
          <w:w w:val="100"/>
          <w:position w:val="0"/>
        </w:rPr>
        <w:t>近年来，国内外新型烟草行业快速兴起，据中国电子商会电子烟行业委员会等联合发布的《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电子烟产业蓝皮书》显 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年电子烟国内市场规模（零售）为</w:t>
      </w:r>
      <w:r>
        <w:rPr>
          <w:rFonts w:ascii="Times New Roman" w:eastAsia="Times New Roman" w:hAnsi="Times New Roman" w:cs="Times New Roman"/>
          <w:color w:val="000000"/>
          <w:spacing w:val="0"/>
          <w:w w:val="100"/>
          <w:position w:val="0"/>
          <w:sz w:val="18"/>
          <w:szCs w:val="18"/>
        </w:rPr>
        <w:t>197</w:t>
      </w:r>
      <w:r>
        <w:rPr>
          <w:color w:val="000000"/>
          <w:spacing w:val="0"/>
          <w:w w:val="100"/>
          <w:position w:val="0"/>
        </w:rPr>
        <w:t>亿元人民币，比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亿人民币同比增长</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；国外市场零售规模</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，三年复合增长率为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。预计国内电子烟出口规模在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年达到</w:t>
      </w:r>
      <w:r>
        <w:rPr>
          <w:rFonts w:ascii="Times New Roman" w:eastAsia="Times New Roman" w:hAnsi="Times New Roman" w:cs="Times New Roman"/>
          <w:color w:val="000000"/>
          <w:spacing w:val="0"/>
          <w:w w:val="100"/>
          <w:position w:val="0"/>
          <w:sz w:val="18"/>
          <w:szCs w:val="18"/>
        </w:rPr>
        <w:t>1,383</w:t>
      </w:r>
      <w:r>
        <w:rPr>
          <w:color w:val="000000"/>
          <w:spacing w:val="0"/>
          <w:w w:val="100"/>
          <w:position w:val="0"/>
        </w:rPr>
        <w:t>亿元人民币，同比增长</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w:t>
      </w:r>
    </w:p>
    <w:p>
      <w:pPr>
        <w:pStyle w:val="Style22"/>
        <w:keepNext w:val="0"/>
        <w:keepLines w:val="0"/>
        <w:widowControl w:val="0"/>
        <w:shd w:val="clear" w:color="auto" w:fill="auto"/>
        <w:bidi w:val="0"/>
        <w:spacing w:before="0" w:after="40" w:line="312" w:lineRule="exact"/>
        <w:ind w:left="0" w:right="0"/>
        <w:jc w:val="both"/>
      </w:pPr>
      <w:r>
        <w:rPr>
          <w:color w:val="000000"/>
          <w:spacing w:val="0"/>
          <w:w w:val="100"/>
          <w:position w:val="0"/>
        </w:rPr>
        <w:t>在行业快速增长的初期，由于缺乏监管，国内新型烟草产业链呈现了无序发展、散乱差弱的格局。为加强电子烟等新 型烟草制品监管，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日，国务院对《中华人民共和国烟草专卖法实施条例》作如下修改：增加一条，作为第六十 五条：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电子烟等新型烟草制品参照本条例卷烟的有关规定执行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日，国家烟草专卖局制定及公告了《电子烟 管理办法》，自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日起施行。我国关于新型烟草制品及相关产业的法律法规的出台，意味着国内新型烟草无序发展 的终结，新型烟草产业链将加速规范。未来，具备生产经营资质、研发生产实力、规模规范生产能力的相关企业将占据市场 的主要地位，电子烟等新型烟草制品在品质安全、未成年人保护、流通渠道等方面将得到规范和提升，新型烟草产业将更加 健康有序发展。</w:t>
      </w:r>
    </w:p>
    <w:p>
      <w:pPr>
        <w:pStyle w:val="Style22"/>
        <w:keepNext w:val="0"/>
        <w:keepLines w:val="0"/>
        <w:widowControl w:val="0"/>
        <w:shd w:val="clear" w:color="auto" w:fill="auto"/>
        <w:bidi w:val="0"/>
        <w:spacing w:before="0" w:after="360" w:line="310" w:lineRule="exact"/>
        <w:ind w:left="0" w:right="0"/>
        <w:jc w:val="both"/>
      </w:pPr>
      <w:r>
        <w:rPr>
          <w:color w:val="000000"/>
          <w:spacing w:val="0"/>
          <w:w w:val="100"/>
          <w:position w:val="0"/>
        </w:rPr>
        <w:t xml:space="preserve">公司自开展新型烟草业务以来，一直遵循合法合规的原则，以新型烟草产业链服务为主要定位，通过内生孵化和投资并 购初步布局了新型烟草产业链服务的几个主要赛道。公司凭借强大的资源整合能力、研发创新能力和精益制造能力，快速响 应客户需求，获得了良好的市场口碑和广泛的客户认可，在行业里的竞争实力不断凸显。未来，公司仍将在新型烟草产业进 </w:t>
      </w:r>
      <w:r>
        <w:rPr>
          <w:color w:val="000000"/>
          <w:spacing w:val="0"/>
          <w:w w:val="100"/>
          <w:position w:val="0"/>
        </w:rPr>
        <w:t>行持续的研发投入和业务布局。</w:t>
      </w:r>
    </w:p>
    <w:p>
      <w:pPr>
        <w:pStyle w:val="Style27"/>
        <w:keepNext/>
        <w:keepLines/>
        <w:widowControl w:val="0"/>
        <w:shd w:val="clear" w:color="auto" w:fill="auto"/>
        <w:bidi w:val="0"/>
        <w:spacing w:before="0" w:after="2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、报告期内公司从事的主要业务</w:t>
      </w:r>
      <w:bookmarkEnd w:id="64"/>
      <w:bookmarkEnd w:id="65"/>
      <w:bookmarkEnd w:id="67"/>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公司主要产品是高技术和高附加值的烟标、新型烟草制品、中高端知名消费品牌的彩盒包装及镭射纸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膜、烟膜等包装 新材料。</w:t>
      </w:r>
    </w:p>
    <w:p>
      <w:pPr>
        <w:pStyle w:val="Style22"/>
        <w:keepNext w:val="0"/>
        <w:keepLines w:val="0"/>
        <w:widowControl w:val="0"/>
        <w:shd w:val="clear" w:color="auto" w:fill="auto"/>
        <w:tabs>
          <w:tab w:pos="871" w:val="left"/>
        </w:tabs>
        <w:bidi w:val="0"/>
        <w:spacing w:before="0" w:after="100" w:line="312" w:lineRule="exact"/>
        <w:ind w:left="0" w:right="0"/>
        <w:jc w:val="both"/>
      </w:pPr>
      <w:bookmarkStart w:id="68" w:name="bookmark68"/>
      <w:r>
        <w:rPr>
          <w:b/>
          <w:bCs/>
          <w:color w:val="000000"/>
          <w:spacing w:val="0"/>
          <w:w w:val="100"/>
          <w:position w:val="0"/>
        </w:rPr>
        <w:t>（</w:t>
      </w:r>
      <w:bookmarkEnd w:id="68"/>
      <w:r>
        <w:rPr>
          <w:b/>
          <w:bCs/>
          <w:color w:val="000000"/>
          <w:spacing w:val="0"/>
          <w:w w:val="100"/>
          <w:position w:val="0"/>
        </w:rPr>
        <w:t>一）</w:t>
        <w:tab/>
        <w:t>烟标</w:t>
      </w:r>
    </w:p>
    <w:p>
      <w:pPr>
        <w:pStyle w:val="Style22"/>
        <w:keepNext w:val="0"/>
        <w:keepLines w:val="0"/>
        <w:widowControl w:val="0"/>
        <w:numPr>
          <w:ilvl w:val="0"/>
          <w:numId w:val="1"/>
        </w:numPr>
        <w:shd w:val="clear" w:color="auto" w:fill="auto"/>
        <w:tabs>
          <w:tab w:pos="626" w:val="left"/>
        </w:tabs>
        <w:bidi w:val="0"/>
        <w:spacing w:before="0" w:after="0" w:line="360" w:lineRule="auto"/>
        <w:ind w:left="0" w:right="0"/>
        <w:jc w:val="both"/>
      </w:pPr>
      <w:bookmarkStart w:id="69" w:name="bookmark69"/>
      <w:bookmarkEnd w:id="69"/>
      <w:r>
        <w:rPr>
          <w:color w:val="000000"/>
          <w:spacing w:val="0"/>
          <w:w w:val="100"/>
          <w:position w:val="0"/>
        </w:rPr>
        <w:t>用途及经营模式</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烟标俗称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，是烟草制品的商标以及具有标识性包装物总称，用于卷烟包装，主要是强调其名称、图案、文字、色 彩、符号、规格，使之区别于各种烟草制品并具有商标意义。</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对于烟标制品，公司采用的经营模式为订单式销售模式。烟标是为卷烟提供配套的产品，中烟公司为公司烟标制品的唯 一客户端，烟标为特殊产品，每种烟标均只向特定的客户直接供应，生产时间、生产数量均服从客户的需要，一般不做产品 储备，因而烟标生产企业往往需要预留一定的产能，以满足客户需求。由于烟标产品的特殊性，采用直接销售的方式有效且 经济，公司为卷烟生产企业提供匹配技术支持服务的同时，直接、快速地获得客户的意见反馈，以高效获取的市场信息，更 科学地指导运营生产。</w:t>
      </w:r>
    </w:p>
    <w:p>
      <w:pPr>
        <w:pStyle w:val="Style22"/>
        <w:keepNext w:val="0"/>
        <w:keepLines w:val="0"/>
        <w:widowControl w:val="0"/>
        <w:numPr>
          <w:ilvl w:val="0"/>
          <w:numId w:val="1"/>
        </w:numPr>
        <w:shd w:val="clear" w:color="auto" w:fill="auto"/>
        <w:tabs>
          <w:tab w:pos="645" w:val="left"/>
        </w:tabs>
        <w:bidi w:val="0"/>
        <w:spacing w:before="0" w:after="0" w:line="360" w:lineRule="auto"/>
        <w:ind w:left="0" w:right="0"/>
        <w:jc w:val="both"/>
      </w:pPr>
      <w:bookmarkStart w:id="70" w:name="bookmark70"/>
      <w:bookmarkEnd w:id="70"/>
      <w:r>
        <w:rPr>
          <w:color w:val="000000"/>
          <w:spacing w:val="0"/>
          <w:w w:val="100"/>
          <w:position w:val="0"/>
        </w:rPr>
        <w:t>公司从事该业务的情况</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烟标生产行业市场进入门槛较高，市场需求和产业结构较为稳定，行业特点和产品特点决定了烟标生产企业和客户之间 关系较稳固。公司作为烟标行业的龙头企业，在全国范围内拥有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个烟标生产基地，客户范围、产品市占率、生产规模、技 术储备、服务能力均在行业前列，通过不断贴合客户需求的动态变化，持续优化原材料采购、研究开发、生产、检测和产品 销售体系，强化公司烟标产品的竞争力，进一步加强与客户合作的深度与黏性。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依托公司多年服务烟草行业的技术和经验积累，公司在烟标业务的基础上，积极拓展烟草的其他核心配套业务，目前产 品类别已经拓展至烟膜、水松纸、框架纸等，并持续获得客户认可。</w:t>
      </w:r>
    </w:p>
    <w:p>
      <w:pPr>
        <w:pStyle w:val="Style22"/>
        <w:keepNext w:val="0"/>
        <w:keepLines w:val="0"/>
        <w:widowControl w:val="0"/>
        <w:shd w:val="clear" w:color="auto" w:fill="auto"/>
        <w:tabs>
          <w:tab w:pos="871" w:val="left"/>
        </w:tabs>
        <w:bidi w:val="0"/>
        <w:spacing w:before="0" w:after="100" w:line="312" w:lineRule="exact"/>
        <w:ind w:left="0" w:right="0"/>
        <w:jc w:val="both"/>
      </w:pPr>
      <w:bookmarkStart w:id="71" w:name="bookmark71"/>
      <w:r>
        <w:rPr>
          <w:b/>
          <w:bCs/>
          <w:color w:val="000000"/>
          <w:spacing w:val="0"/>
          <w:w w:val="100"/>
          <w:position w:val="0"/>
        </w:rPr>
        <w:t>（</w:t>
      </w:r>
      <w:bookmarkEnd w:id="71"/>
      <w:r>
        <w:rPr>
          <w:b/>
          <w:bCs/>
          <w:color w:val="000000"/>
          <w:spacing w:val="0"/>
          <w:w w:val="100"/>
          <w:position w:val="0"/>
        </w:rPr>
        <w:t>二）</w:t>
        <w:tab/>
        <w:t>新型烟草制品</w:t>
      </w:r>
    </w:p>
    <w:p>
      <w:pPr>
        <w:pStyle w:val="Style22"/>
        <w:keepNext w:val="0"/>
        <w:keepLines w:val="0"/>
        <w:widowControl w:val="0"/>
        <w:numPr>
          <w:ilvl w:val="0"/>
          <w:numId w:val="3"/>
        </w:numPr>
        <w:shd w:val="clear" w:color="auto" w:fill="auto"/>
        <w:tabs>
          <w:tab w:pos="626" w:val="left"/>
        </w:tabs>
        <w:bidi w:val="0"/>
        <w:spacing w:before="0" w:after="0" w:line="360" w:lineRule="auto"/>
        <w:ind w:left="0" w:right="0"/>
        <w:jc w:val="both"/>
      </w:pPr>
      <w:bookmarkStart w:id="72" w:name="bookmark72"/>
      <w:bookmarkEnd w:id="72"/>
      <w:r>
        <w:rPr>
          <w:color w:val="000000"/>
          <w:spacing w:val="0"/>
          <w:w w:val="100"/>
          <w:position w:val="0"/>
        </w:rPr>
        <w:t>用途及经营模式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新型烟草制品主要是指区别于采用传统燃吸方式的卷烟的烟草制品。根据其制品使用形式大体上可以分为无烟气、有烟 气两类。无烟气产品主要包括口含烟、嚼烟，以及含化型烟草制品等，而有烟气产品的主要形式则有加热卷烟制品和雾化类 电子烟等。</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公司凭借专利和生产研发的经验积累，有序开展加热卷烟烟具、雾化类电子烟等新型烟草制品的</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服务，同时 精心培育自有品牌，积极拓展烟用香精香料、电子烟烟油等原料端业务，延伸服务链条。加热卷烟烟具、雾化类电子烟、烟 用香精香料、电子烟烟油的销售对象为中烟客户、国内外的电子烟品牌客户等，根据客户的外观、技术、数量等要求，按订 单组织生产。</w:t>
      </w:r>
    </w:p>
    <w:p>
      <w:pPr>
        <w:pStyle w:val="Style22"/>
        <w:keepNext w:val="0"/>
        <w:keepLines w:val="0"/>
        <w:widowControl w:val="0"/>
        <w:numPr>
          <w:ilvl w:val="0"/>
          <w:numId w:val="3"/>
        </w:numPr>
        <w:shd w:val="clear" w:color="auto" w:fill="auto"/>
        <w:tabs>
          <w:tab w:pos="645" w:val="left"/>
        </w:tabs>
        <w:bidi w:val="0"/>
        <w:spacing w:before="0" w:after="0" w:line="360" w:lineRule="auto"/>
        <w:ind w:left="0" w:right="0"/>
        <w:jc w:val="both"/>
      </w:pPr>
      <w:bookmarkStart w:id="73" w:name="bookmark73"/>
      <w:bookmarkEnd w:id="73"/>
      <w:r>
        <w:rPr>
          <w:color w:val="000000"/>
          <w:spacing w:val="0"/>
          <w:w w:val="100"/>
          <w:position w:val="0"/>
        </w:rPr>
        <w:t>公司从事该业务的情况</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公司目前在新型烟草产业链上，从上游的原材料生产、设备制造，到中游的产品研发、生产，再到下游的品牌、贸易等 环节，都已做较全的布局。</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从事加热卷烟烟具、雾化类电子烟等新型烟草制品的</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服务的生产主体劲嘉科技，建有高规格</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认证车间， 为客户提供新型烟草制品及智能健康电子产品的研发、生产、销售及服务，客户涵盖海内外知名新型烟草品牌，包括</w:t>
      </w:r>
      <w:r>
        <w:rPr>
          <w:rFonts w:ascii="Times New Roman" w:eastAsia="Times New Roman" w:hAnsi="Times New Roman" w:cs="Times New Roman"/>
          <w:color w:val="000000"/>
          <w:spacing w:val="0"/>
          <w:w w:val="100"/>
          <w:position w:val="0"/>
          <w:sz w:val="18"/>
          <w:szCs w:val="18"/>
        </w:rPr>
        <w:t>Suonn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Gippr</w:t>
      </w:r>
      <w:r>
        <w:rPr>
          <w:color w:val="000000"/>
          <w:spacing w:val="0"/>
          <w:w w:val="100"/>
          <w:position w:val="0"/>
          <w:sz w:val="18"/>
          <w:szCs w:val="18"/>
        </w:rPr>
        <w:t>。</w:t>
      </w:r>
      <w:r>
        <w:rPr>
          <w:color w:val="000000"/>
          <w:spacing w:val="0"/>
          <w:w w:val="100"/>
          <w:position w:val="0"/>
        </w:rPr>
        <w:t>等品牌。在加热卷烟烟具方面，公司与云南中烟下属公司合资成立的嘉玉科技，提供加热卷烟烟具的研发及生产工作； 佳聚电子的业务主要包含自主品牌加热本草颗粒烟弹的研发、生产和销售，加热卷烟烟具的</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代工以及加热本草颗粒烟 弹自动化生产设备的研发；在新型烟草自有品牌方面，公司与米物科技等设立的合资公司因味科技，自有品牌</w:t>
      </w:r>
      <w:r>
        <w:rPr>
          <w:rFonts w:ascii="Times New Roman" w:eastAsia="Times New Roman" w:hAnsi="Times New Roman" w:cs="Times New Roman"/>
          <w:color w:val="000000"/>
          <w:spacing w:val="0"/>
          <w:w w:val="100"/>
          <w:position w:val="0"/>
          <w:sz w:val="18"/>
          <w:szCs w:val="18"/>
        </w:rPr>
        <w:t>Foogo</w:t>
      </w:r>
      <w:r>
        <w:rPr>
          <w:color w:val="000000"/>
          <w:spacing w:val="0"/>
          <w:w w:val="100"/>
          <w:position w:val="0"/>
        </w:rPr>
        <w:t>推出了 以创新雾化类电子烟为主的系列产品，已取得一定的市场知名度及美誉度；在原材料端方面，云烁科技的主要业务是传统烟 草香精香料和雾化电子烟油的研发、生产及销售，客户涵盖多家中烟公司，长宜科技在</w:t>
      </w:r>
      <w:r>
        <w:rPr>
          <w:rFonts w:ascii="Times New Roman" w:eastAsia="Times New Roman" w:hAnsi="Times New Roman" w:cs="Times New Roman"/>
          <w:color w:val="000000"/>
          <w:spacing w:val="0"/>
          <w:w w:val="100"/>
          <w:position w:val="0"/>
          <w:sz w:val="18"/>
          <w:szCs w:val="18"/>
        </w:rPr>
        <w:t>HNB</w:t>
      </w:r>
      <w:r>
        <w:rPr>
          <w:color w:val="000000"/>
          <w:spacing w:val="0"/>
          <w:w w:val="100"/>
          <w:position w:val="0"/>
        </w:rPr>
        <w:t>香精香料及相关的配套新材料 领域已占据一定市场份额；此外，公司不断完善产业链服务链条，为客户提供装配、进出口贸易、报关物流、市场营销等服 务，致力打造成为拥有先进设计研发技术、卓越生产制造能力、全面服务能力的新型烟草相关领域综合解决方案服务商。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公司在开展新型烟草产业的业务时，不断对各国相关法律法规进行深入研判，坚决支持和拥护相关政策，始终把合规性 </w:t>
      </w:r>
      <w:r>
        <w:rPr>
          <w:color w:val="000000"/>
          <w:spacing w:val="0"/>
          <w:w w:val="100"/>
          <w:position w:val="0"/>
        </w:rPr>
        <w:t>放在第一位，高度重视未成年人保护工作，通过不断迭代升级工艺技术及产品品质、甄选优质供应商及合作方、优化产能及 完善产业链布局等方式，推进新型烟草业务的持续、有序、稳健的发展进程。</w:t>
      </w:r>
    </w:p>
    <w:p>
      <w:pPr>
        <w:pStyle w:val="Style22"/>
        <w:keepNext w:val="0"/>
        <w:keepLines w:val="0"/>
        <w:widowControl w:val="0"/>
        <w:shd w:val="clear" w:color="auto" w:fill="auto"/>
        <w:tabs>
          <w:tab w:pos="866" w:val="left"/>
        </w:tabs>
        <w:bidi w:val="0"/>
        <w:spacing w:before="0" w:after="100" w:line="312" w:lineRule="exact"/>
        <w:ind w:left="0" w:right="0"/>
        <w:jc w:val="left"/>
      </w:pPr>
      <w:bookmarkStart w:id="74" w:name="bookmark74"/>
      <w:r>
        <w:rPr>
          <w:b/>
          <w:bCs/>
          <w:color w:val="000000"/>
          <w:spacing w:val="0"/>
          <w:w w:val="100"/>
          <w:position w:val="0"/>
        </w:rPr>
        <w:t>（</w:t>
      </w:r>
      <w:bookmarkEnd w:id="74"/>
      <w:r>
        <w:rPr>
          <w:b/>
          <w:bCs/>
          <w:color w:val="000000"/>
          <w:spacing w:val="0"/>
          <w:w w:val="100"/>
          <w:position w:val="0"/>
        </w:rPr>
        <w:t>三）</w:t>
        <w:tab/>
        <w:t>彩盒产品</w:t>
      </w:r>
    </w:p>
    <w:p>
      <w:pPr>
        <w:pStyle w:val="Style22"/>
        <w:keepNext w:val="0"/>
        <w:keepLines w:val="0"/>
        <w:widowControl w:val="0"/>
        <w:numPr>
          <w:ilvl w:val="0"/>
          <w:numId w:val="5"/>
        </w:numPr>
        <w:shd w:val="clear" w:color="auto" w:fill="auto"/>
        <w:tabs>
          <w:tab w:pos="621" w:val="left"/>
        </w:tabs>
        <w:bidi w:val="0"/>
        <w:spacing w:before="0" w:after="0" w:line="360" w:lineRule="auto"/>
        <w:ind w:left="0" w:right="0"/>
        <w:jc w:val="left"/>
      </w:pPr>
      <w:bookmarkStart w:id="75" w:name="bookmark75"/>
      <w:bookmarkEnd w:id="75"/>
      <w:r>
        <w:rPr>
          <w:color w:val="000000"/>
          <w:spacing w:val="0"/>
          <w:w w:val="100"/>
          <w:position w:val="0"/>
        </w:rPr>
        <w:t>用途及经营模式</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彩盒产品以纸张为主要原材料，通过印刷、表面处理、模切、粘合、成型和组装等加工程序后制成用于容纳、保护、说 明及促销商品的包装物，公司此类产品主要运用于精品烟酒、电子产品、化妆品和医药保健品等。</w:t>
      </w:r>
    </w:p>
    <w:p>
      <w:pPr>
        <w:pStyle w:val="Style22"/>
        <w:keepNext w:val="0"/>
        <w:keepLines w:val="0"/>
        <w:widowControl w:val="0"/>
        <w:shd w:val="clear" w:color="auto" w:fill="auto"/>
        <w:bidi w:val="0"/>
        <w:spacing w:before="0" w:after="100" w:line="312" w:lineRule="exact"/>
        <w:ind w:left="0" w:right="0"/>
        <w:jc w:val="left"/>
      </w:pPr>
      <w:r>
        <w:rPr>
          <w:color w:val="000000"/>
          <w:spacing w:val="0"/>
          <w:w w:val="100"/>
          <w:position w:val="0"/>
        </w:rPr>
        <w:t>对于彩盒产品，公司采用的经营模式为按订单生产交付。此类订单均服务于特定客户的特定产品，一般不作产品储备。 公司多部门协同合作，根据客户的具体需求提供整体包装解决方案，在维护既有客户的基础上，不断扩充产能并完善高附加 值延伸服务，积极拓展优质新客户。</w:t>
      </w:r>
    </w:p>
    <w:p>
      <w:pPr>
        <w:pStyle w:val="Style22"/>
        <w:keepNext w:val="0"/>
        <w:keepLines w:val="0"/>
        <w:widowControl w:val="0"/>
        <w:numPr>
          <w:ilvl w:val="0"/>
          <w:numId w:val="5"/>
        </w:numPr>
        <w:shd w:val="clear" w:color="auto" w:fill="auto"/>
        <w:tabs>
          <w:tab w:pos="640" w:val="left"/>
        </w:tabs>
        <w:bidi w:val="0"/>
        <w:spacing w:before="0" w:after="0" w:line="360" w:lineRule="auto"/>
        <w:ind w:left="0" w:right="0"/>
        <w:jc w:val="both"/>
      </w:pPr>
      <w:bookmarkStart w:id="76" w:name="bookmark76"/>
      <w:bookmarkEnd w:id="76"/>
      <w:r>
        <w:rPr>
          <w:color w:val="000000"/>
          <w:spacing w:val="0"/>
          <w:w w:val="100"/>
          <w:position w:val="0"/>
        </w:rPr>
        <w:t>公司从事该业务的情况</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公司彩盒产品主要面向中高端烟酒、电子烟、消费电子、美妆日化、食品和医药等细分市场，客户大多数为行业内的知 名企业，包括茅台、五粮液、悦刻、</w:t>
      </w:r>
      <w:r>
        <w:rPr>
          <w:rFonts w:ascii="Times New Roman" w:eastAsia="Times New Roman" w:hAnsi="Times New Roman" w:cs="Times New Roman"/>
          <w:color w:val="000000"/>
          <w:spacing w:val="0"/>
          <w:w w:val="100"/>
          <w:position w:val="0"/>
          <w:sz w:val="18"/>
          <w:szCs w:val="18"/>
        </w:rPr>
        <w:t>vivo</w:t>
      </w:r>
      <w:r>
        <w:rPr>
          <w:color w:val="000000"/>
          <w:spacing w:val="0"/>
          <w:w w:val="100"/>
          <w:position w:val="0"/>
        </w:rPr>
        <w:t>等品牌，其对包装供应商的认证资格要求也较为严格，公司汲取在烟标领域积攒的 创新设计、技术研发和生产交付的专业能力和项目管理经验，结合客户需求及产品特性，提供一体化的创新包装整体解决方 案。公司具有敏锐的市场嗅觉，能够快速把握下游市场持续繁荣的机会，紧贴行业发展和宏观政策导向，将更多前沿技术及 创新工艺应用在彩盒产品上，不断实现客户拓展及产品领域的新突破。在现有的新型包装产业基础上，公司积极探索新技术 应用，力求通过在包装产品中应用更多互联网、物联网等前沿技术，使包装成为产品的重要组成部分，具备更多功能属性。 公司产品技术不断向智能化方向发展，促使公司产品具有更高附加价值，业务模式得以不断优化。</w:t>
      </w:r>
    </w:p>
    <w:p>
      <w:pPr>
        <w:pStyle w:val="Style22"/>
        <w:keepNext w:val="0"/>
        <w:keepLines w:val="0"/>
        <w:widowControl w:val="0"/>
        <w:shd w:val="clear" w:color="auto" w:fill="auto"/>
        <w:tabs>
          <w:tab w:pos="866" w:val="left"/>
        </w:tabs>
        <w:bidi w:val="0"/>
        <w:spacing w:before="0" w:after="100" w:line="312" w:lineRule="exact"/>
        <w:ind w:left="0" w:right="0"/>
        <w:jc w:val="both"/>
      </w:pPr>
      <w:bookmarkStart w:id="77" w:name="bookmark77"/>
      <w:r>
        <w:rPr>
          <w:b/>
          <w:bCs/>
          <w:color w:val="000000"/>
          <w:spacing w:val="0"/>
          <w:w w:val="100"/>
          <w:position w:val="0"/>
        </w:rPr>
        <w:t>（</w:t>
      </w:r>
      <w:bookmarkEnd w:id="77"/>
      <w:r>
        <w:rPr>
          <w:b/>
          <w:bCs/>
          <w:color w:val="000000"/>
          <w:spacing w:val="0"/>
          <w:w w:val="100"/>
          <w:position w:val="0"/>
        </w:rPr>
        <w:t>四）</w:t>
        <w:tab/>
        <w:t>包装新材料产品</w:t>
      </w:r>
    </w:p>
    <w:p>
      <w:pPr>
        <w:pStyle w:val="Style22"/>
        <w:keepNext w:val="0"/>
        <w:keepLines w:val="0"/>
        <w:widowControl w:val="0"/>
        <w:numPr>
          <w:ilvl w:val="0"/>
          <w:numId w:val="7"/>
        </w:numPr>
        <w:shd w:val="clear" w:color="auto" w:fill="auto"/>
        <w:tabs>
          <w:tab w:pos="621" w:val="left"/>
        </w:tabs>
        <w:bidi w:val="0"/>
        <w:spacing w:before="0" w:after="0" w:line="360" w:lineRule="auto"/>
        <w:ind w:left="0" w:right="0"/>
        <w:jc w:val="left"/>
      </w:pPr>
      <w:bookmarkStart w:id="78" w:name="bookmark78"/>
      <w:bookmarkEnd w:id="78"/>
      <w:r>
        <w:rPr>
          <w:color w:val="000000"/>
          <w:spacing w:val="0"/>
          <w:w w:val="100"/>
          <w:position w:val="0"/>
        </w:rPr>
        <w:t>用途及经营模式</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公司当前研发生产的包装新材料有光刻镭射转移膜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纸、镭射复合膜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纸为主的镭射包装材料、彩色烟膜及可降解材料等。 光刻镭射膜生产工艺技术是通过将微纳光刻制版，将镭射信息模压在薄膜载体上，再蒸镀铝金属效果或蒸镀透明介质效果， 形成具有金属镭射薄膜或半透明镭射薄膜，通过转移或复合到纸张表面而形成不同效果的光刻镭射纸张，是一种具有色彩绚 丽和防伪特性的新型包装材料，广泛应用于烟、酒、日化等包装及各种装饰材料上；烟膜是以聚丙烯为主要原料，以一定温 度和速度拉伸并经过适当处理或加工制成的，具有高透明度、光泽感、防水等特性，主要应用于烟标外包装的一种膜类包装 材料。</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镭射包装材料和烟膜材料采用的经营模式为订单式销售模式，按照客户要求进行定制化生产。</w:t>
      </w:r>
    </w:p>
    <w:p>
      <w:pPr>
        <w:pStyle w:val="Style22"/>
        <w:keepNext w:val="0"/>
        <w:keepLines w:val="0"/>
        <w:widowControl w:val="0"/>
        <w:numPr>
          <w:ilvl w:val="0"/>
          <w:numId w:val="7"/>
        </w:numPr>
        <w:shd w:val="clear" w:color="auto" w:fill="auto"/>
        <w:tabs>
          <w:tab w:pos="640" w:val="left"/>
        </w:tabs>
        <w:bidi w:val="0"/>
        <w:spacing w:before="0" w:after="0" w:line="360" w:lineRule="auto"/>
        <w:ind w:left="0" w:right="0"/>
        <w:jc w:val="both"/>
      </w:pPr>
      <w:bookmarkStart w:id="79" w:name="bookmark79"/>
      <w:bookmarkEnd w:id="79"/>
      <w:r>
        <w:rPr>
          <w:color w:val="000000"/>
          <w:spacing w:val="0"/>
          <w:w w:val="100"/>
          <w:position w:val="0"/>
        </w:rPr>
        <w:t>公司从事该业务的情况</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公司的包装新材料产品主要面向卷烟、高端酒等对包装具有高附加值要求的企业客户，其对产品包装的外观、防伪和环 保等性能有较高要求。目前，公司已形成了包装新材料生产的集群基地，位于广东珠海、山东菏泽及青岛的生产基地的业务 辐射至全国，通过对生产链上游环节的供应质量和成本实施控制，持续进行技术革新及产能提升，公司在烟标领域的综合实 力也使得公司的镭射包装材料和烟膜材料产业有了充足的市场保障，在率先满足公司烟标印刷的原材料需求的基础上，不断 拓展延伸客户范围，形成除烟标印刷材料以外的其他包装材料的系列产品，巩固公司在包装行业的市场地位，夯实公司的竞 争优势。</w:t>
      </w:r>
    </w:p>
    <w:p>
      <w:pPr>
        <w:pStyle w:val="Style27"/>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、核心竞争力分析</w:t>
      </w:r>
      <w:bookmarkEnd w:id="80"/>
      <w:bookmarkEnd w:id="81"/>
      <w:bookmarkEnd w:id="83"/>
    </w:p>
    <w:p>
      <w:pPr>
        <w:pStyle w:val="Style22"/>
        <w:keepNext w:val="0"/>
        <w:keepLines w:val="0"/>
        <w:widowControl w:val="0"/>
        <w:shd w:val="clear" w:color="auto" w:fill="auto"/>
        <w:bidi w:val="0"/>
        <w:spacing w:before="0" w:after="140" w:line="312" w:lineRule="exact"/>
        <w:ind w:left="0" w:right="0" w:firstLine="200"/>
        <w:jc w:val="left"/>
      </w:pPr>
      <w:bookmarkStart w:id="84" w:name="bookmark84"/>
      <w:r>
        <w:rPr>
          <w:b/>
          <w:bCs/>
          <w:color w:val="000000"/>
          <w:spacing w:val="0"/>
          <w:w w:val="100"/>
          <w:position w:val="0"/>
        </w:rPr>
        <w:t>（</w:t>
      </w:r>
      <w:bookmarkEnd w:id="84"/>
      <w:r>
        <w:rPr>
          <w:b/>
          <w:bCs/>
          <w:color w:val="000000"/>
          <w:spacing w:val="0"/>
          <w:w w:val="100"/>
          <w:position w:val="0"/>
        </w:rPr>
        <w:t>一）包装产业的竞争优势</w:t>
      </w:r>
    </w:p>
    <w:p>
      <w:pPr>
        <w:pStyle w:val="Style22"/>
        <w:keepNext w:val="0"/>
        <w:keepLines w:val="0"/>
        <w:widowControl w:val="0"/>
        <w:numPr>
          <w:ilvl w:val="0"/>
          <w:numId w:val="9"/>
        </w:numPr>
        <w:shd w:val="clear" w:color="auto" w:fill="auto"/>
        <w:bidi w:val="0"/>
        <w:spacing w:before="0" w:after="0" w:line="360" w:lineRule="auto"/>
        <w:ind w:left="0" w:right="0"/>
        <w:jc w:val="both"/>
      </w:pPr>
      <w:bookmarkStart w:id="85" w:name="bookmark85"/>
      <w:bookmarkEnd w:id="85"/>
      <w:r>
        <w:rPr>
          <w:color w:val="000000"/>
          <w:spacing w:val="0"/>
          <w:w w:val="100"/>
          <w:position w:val="0"/>
        </w:rPr>
        <w:t>技术领先优势</w:t>
      </w:r>
    </w:p>
    <w:p>
      <w:pPr>
        <w:pStyle w:val="Style22"/>
        <w:keepNext w:val="0"/>
        <w:keepLines w:val="0"/>
        <w:widowControl w:val="0"/>
        <w:shd w:val="clear" w:color="auto" w:fill="auto"/>
        <w:bidi w:val="0"/>
        <w:spacing w:before="0" w:after="100" w:line="311" w:lineRule="exact"/>
        <w:ind w:left="0" w:right="0"/>
        <w:jc w:val="left"/>
      </w:pPr>
      <w:r>
        <w:rPr>
          <w:color w:val="000000"/>
          <w:spacing w:val="0"/>
          <w:w w:val="100"/>
          <w:position w:val="0"/>
        </w:rPr>
        <w:t>公司在包装行业内具有技术研发和品牌效应的竞争优势。公司设有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博士后创新实践基地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，获得国家发改委批准印包行 业的国家级工程研究中心一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绿色包装印刷材料及制品精密印制技术国家地方联合工程研究中心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，通过中国电子技术标准 化研究院开展的智能制造能力成熟度标准三级评估，强大的研发技术能力及深厚的技术储备为公司持续拓展优质客户提供了 有力的支持，在材料及印刷包装、创意设计、生产工艺、技术设备等方面持续取得突破，能够全面满足高端品牌客户在产品、 环保、外观等方面的综合需求，并在相关技术支持下建立了高效规范的质量管理体系，形成品牌效应，公司的整体技术实力 已经稳居国内全行业先进水平。</w:t>
      </w:r>
    </w:p>
    <w:p>
      <w:pPr>
        <w:pStyle w:val="Style22"/>
        <w:keepNext w:val="0"/>
        <w:keepLines w:val="0"/>
        <w:widowControl w:val="0"/>
        <w:numPr>
          <w:ilvl w:val="0"/>
          <w:numId w:val="9"/>
        </w:numPr>
        <w:shd w:val="clear" w:color="auto" w:fill="auto"/>
        <w:tabs>
          <w:tab w:pos="642" w:val="left"/>
        </w:tabs>
        <w:bidi w:val="0"/>
        <w:spacing w:before="0" w:after="0" w:line="312" w:lineRule="exact"/>
        <w:ind w:left="0" w:right="0"/>
        <w:jc w:val="both"/>
      </w:pPr>
      <w:bookmarkStart w:id="86" w:name="bookmark86"/>
      <w:bookmarkEnd w:id="86"/>
      <w:r>
        <w:rPr>
          <w:color w:val="000000"/>
          <w:spacing w:val="0"/>
          <w:w w:val="100"/>
          <w:position w:val="0"/>
        </w:rPr>
        <w:t>生产规模优势</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公司在全国拥有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个生产基地，分布于华南、华东、华中、西南、东北地区，其中位于深圳的劲嘉产业园，占地面积约 </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万平方米，为智能包装及新型烟草产业的研发、生产基地。在安徽、云南、贵州、川渝、江西、江苏的下属子公司生产 的烟标基本覆盖了国内烟草行业的规模品牌，就近为客户提供优质服务。公司及下属子公司拥有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台赛鲁迪连线复合转移凹 印机组，该机组具有世界领先水平，同时引进了系列德国海德堡速霸印刷机群、日本高精度全自动模切机群等前沿包装印刷 设备，能快速满足客户大批量、高质量的订单需求，规模化生产带来的成本优势明显。</w:t>
      </w:r>
    </w:p>
    <w:p>
      <w:pPr>
        <w:pStyle w:val="Style22"/>
        <w:keepNext w:val="0"/>
        <w:keepLines w:val="0"/>
        <w:widowControl w:val="0"/>
        <w:numPr>
          <w:ilvl w:val="0"/>
          <w:numId w:val="9"/>
        </w:numPr>
        <w:shd w:val="clear" w:color="auto" w:fill="auto"/>
        <w:tabs>
          <w:tab w:pos="642" w:val="left"/>
        </w:tabs>
        <w:bidi w:val="0"/>
        <w:spacing w:before="0" w:after="0" w:line="312" w:lineRule="exact"/>
        <w:ind w:left="0" w:right="0"/>
        <w:jc w:val="both"/>
      </w:pPr>
      <w:bookmarkStart w:id="87" w:name="bookmark87"/>
      <w:bookmarkEnd w:id="87"/>
      <w:r>
        <w:rPr>
          <w:color w:val="000000"/>
          <w:spacing w:val="0"/>
          <w:w w:val="100"/>
          <w:position w:val="0"/>
        </w:rPr>
        <w:t>客户结构优势</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近年来，随着公司包装产品品类的增加，公司服务客户范围也不断拓展。目前公司客户包括多家国内知名中高端酒品牌、 电子烟品牌、消费电子品牌、医药品牌、化妆品牌等，多为所属行业内头部客户，优质客户一方面在很大程度上带动了公司 的业务快速发展，另一方面公司能借助优质客户的影响拓展业务规模，吸引潜在客户，逐步扩大和强化公司的品牌影响力。</w:t>
      </w:r>
    </w:p>
    <w:p>
      <w:pPr>
        <w:pStyle w:val="Style22"/>
        <w:keepNext w:val="0"/>
        <w:keepLines w:val="0"/>
        <w:widowControl w:val="0"/>
        <w:numPr>
          <w:ilvl w:val="0"/>
          <w:numId w:val="9"/>
        </w:numPr>
        <w:shd w:val="clear" w:color="auto" w:fill="auto"/>
        <w:tabs>
          <w:tab w:pos="642" w:val="left"/>
        </w:tabs>
        <w:bidi w:val="0"/>
        <w:spacing w:before="0" w:after="0" w:line="312" w:lineRule="exact"/>
        <w:ind w:left="0" w:right="0"/>
        <w:jc w:val="both"/>
      </w:pPr>
      <w:bookmarkStart w:id="88" w:name="bookmark88"/>
      <w:bookmarkEnd w:id="88"/>
      <w:r>
        <w:rPr>
          <w:color w:val="000000"/>
          <w:spacing w:val="0"/>
          <w:w w:val="100"/>
          <w:position w:val="0"/>
        </w:rPr>
        <w:t>产业链协同优势</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公司实施包装产业的纵向一体化战略，在包装印刷产业的上游材料段，精准分析客户需求定向开发产品类型，经过多年 的探索及投入，公司在镭射纸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膜、烟膜、烟用水松纸、烟用框架纸等原料端已形成规模化生产，可直接应用于公司下游的 包装产品，有效保障产品品质的稳定，降低质量风险，降低外购原材料成本，提高公司盈利水平，通过协同创新，形成了产 业链业务的相互依托、共同发展的发展模式，进一步提升公司产品的竞争力。</w:t>
      </w:r>
    </w:p>
    <w:p>
      <w:pPr>
        <w:pStyle w:val="Style22"/>
        <w:keepNext w:val="0"/>
        <w:keepLines w:val="0"/>
        <w:widowControl w:val="0"/>
        <w:shd w:val="clear" w:color="auto" w:fill="auto"/>
        <w:bidi w:val="0"/>
        <w:spacing w:before="0" w:after="0" w:line="312" w:lineRule="exact"/>
        <w:ind w:left="0" w:right="0"/>
        <w:jc w:val="both"/>
      </w:pPr>
      <w:bookmarkStart w:id="89" w:name="bookmark89"/>
      <w:r>
        <w:rPr>
          <w:b/>
          <w:bCs/>
          <w:color w:val="000000"/>
          <w:spacing w:val="0"/>
          <w:w w:val="100"/>
          <w:position w:val="0"/>
        </w:rPr>
        <w:t>（</w:t>
      </w:r>
      <w:bookmarkEnd w:id="89"/>
      <w:r>
        <w:rPr>
          <w:b/>
          <w:bCs/>
          <w:color w:val="000000"/>
          <w:spacing w:val="0"/>
          <w:w w:val="100"/>
          <w:position w:val="0"/>
        </w:rPr>
        <w:t>二）新型烟草产业的竞争优势</w:t>
      </w:r>
    </w:p>
    <w:p>
      <w:pPr>
        <w:pStyle w:val="Style22"/>
        <w:keepNext w:val="0"/>
        <w:keepLines w:val="0"/>
        <w:widowControl w:val="0"/>
        <w:numPr>
          <w:ilvl w:val="0"/>
          <w:numId w:val="11"/>
        </w:numPr>
        <w:shd w:val="clear" w:color="auto" w:fill="auto"/>
        <w:tabs>
          <w:tab w:pos="622" w:val="left"/>
        </w:tabs>
        <w:bidi w:val="0"/>
        <w:spacing w:before="0" w:after="0" w:line="312" w:lineRule="exact"/>
        <w:ind w:left="0" w:right="0"/>
        <w:jc w:val="both"/>
      </w:pPr>
      <w:bookmarkStart w:id="90" w:name="bookmark90"/>
      <w:bookmarkEnd w:id="90"/>
      <w:r>
        <w:rPr>
          <w:color w:val="000000"/>
          <w:spacing w:val="0"/>
          <w:w w:val="100"/>
          <w:position w:val="0"/>
        </w:rPr>
        <w:t>完善的业务布局</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公司在新型烟草的原材料端、制造生产端、品牌运营端、供应链服务端均已做了均衡布局，为客户提供新型烟草产业链 的一体化综合解决方案，包括产品研发创新解决方案、产品生产和供应解决方案、包装及贸易服务解决方案等，通过多层次 的服务支持，有效降低客户的综合成本，保障了客户群体持续合作的稳定性及黏性。各项业务的高质高效发展，形成了良好 的协同产业链，公司为客户提供了更高附加值的产品，从而获取更高的利润水平。</w:t>
      </w:r>
    </w:p>
    <w:p>
      <w:pPr>
        <w:pStyle w:val="Style22"/>
        <w:keepNext w:val="0"/>
        <w:keepLines w:val="0"/>
        <w:widowControl w:val="0"/>
        <w:numPr>
          <w:ilvl w:val="0"/>
          <w:numId w:val="11"/>
        </w:numPr>
        <w:shd w:val="clear" w:color="auto" w:fill="auto"/>
        <w:tabs>
          <w:tab w:pos="642" w:val="left"/>
        </w:tabs>
        <w:bidi w:val="0"/>
        <w:spacing w:before="0" w:after="0" w:line="312" w:lineRule="exact"/>
        <w:ind w:left="0" w:right="0"/>
        <w:jc w:val="both"/>
      </w:pPr>
      <w:bookmarkStart w:id="91" w:name="bookmark91"/>
      <w:bookmarkEnd w:id="91"/>
      <w:r>
        <w:rPr>
          <w:color w:val="000000"/>
          <w:spacing w:val="0"/>
          <w:w w:val="100"/>
          <w:position w:val="0"/>
        </w:rPr>
        <w:t>强大的研发体系及丰富的产品线</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公司高度重视新型烟草产业领域的自主知识产权及核心技术的开发、储备工作，通过自主研发及与客户进行联合技术开 发等方式，以技术创新作为驱动，及时加大资源投入，开展产品技术和应用技术的研究，以产品规范及客户需求为核心，根 据行业规范要求及客户需求的变化及时对产品方案做出调整，有效满足客户合规化、高端化、个性化需求，不断加快研发项 目技术突破，实现技术研发成果的有效转化，逐步建筑起新型烟草产业的护城河；公司通过深入分析市场需求情况并结合自 身优势及发展战略规划，持续在新型烟草产业中耕耘，目前公司具备烟用香精香料、电子烟烟油、加热卷烟烟具、雾化类电 子烟、</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雾化设备等产品的规模化生产能力，形成了较为完整的系列产品线和服务链。</w:t>
      </w:r>
    </w:p>
    <w:p>
      <w:pPr>
        <w:pStyle w:val="Style22"/>
        <w:keepNext w:val="0"/>
        <w:keepLines w:val="0"/>
        <w:widowControl w:val="0"/>
        <w:numPr>
          <w:ilvl w:val="0"/>
          <w:numId w:val="11"/>
        </w:numPr>
        <w:shd w:val="clear" w:color="auto" w:fill="auto"/>
        <w:tabs>
          <w:tab w:pos="642" w:val="left"/>
        </w:tabs>
        <w:bidi w:val="0"/>
        <w:spacing w:before="0" w:after="0" w:line="312" w:lineRule="exact"/>
        <w:ind w:left="0" w:right="0"/>
        <w:jc w:val="both"/>
      </w:pPr>
      <w:bookmarkStart w:id="92" w:name="bookmark92"/>
      <w:bookmarkEnd w:id="92"/>
      <w:r>
        <w:rPr>
          <w:color w:val="000000"/>
          <w:spacing w:val="0"/>
          <w:w w:val="100"/>
          <w:position w:val="0"/>
        </w:rPr>
        <w:t>服务优质客户及重点品牌</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公司具备面向多层级客户提供综合产品和解决方案服务的能力，已积累了多家行业知名企业客户，优质客户具有较强的 抗风险能力、生产经营稳定等特点，与优质客户、重点品牌保持长期稳定的合作关系，有利于公司不断对技术体系及产品体 系进行优化提升，夯实自身实力，在满足客户的需求的基础上，挖掘并引导客户新的需求，从而促进公司体系运作的良性循 环，有效促进客户资源的积累及市场知名度的提升，为公司持续发展注入持续动力。</w:t>
      </w:r>
    </w:p>
    <w:p>
      <w:pPr>
        <w:pStyle w:val="Style27"/>
        <w:keepNext/>
        <w:keepLines/>
        <w:widowControl w:val="0"/>
        <w:shd w:val="clear" w:color="auto" w:fill="auto"/>
        <w:bidi w:val="0"/>
        <w:spacing w:before="0" w:after="3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四</w:t>
      </w:r>
      <w:bookmarkEnd w:id="95"/>
      <w:r>
        <w:rPr>
          <w:color w:val="000000"/>
          <w:spacing w:val="0"/>
          <w:w w:val="100"/>
          <w:position w:val="0"/>
        </w:rPr>
        <w:t>、主营业务分析</w:t>
      </w:r>
      <w:bookmarkEnd w:id="93"/>
      <w:bookmarkEnd w:id="94"/>
      <w:bookmarkEnd w:id="96"/>
    </w:p>
    <w:p>
      <w:pPr>
        <w:pStyle w:val="Style32"/>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22"/>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年，面对复杂严峻的国内外形势和诸多风险挑战，我国发展又取得新的成就，为全球经济增长做出重大贡献。公司 作为烟草供应链及包装行业的领先企业，主动适应市场变化，持续推进技术创新及精细化生产管理，打造精准覆盖客户核心 需求的优质产业链，巩固优势产品的原有市场份额，精心培育创新产品在潜在市场的推广应用，实现公司的高质量可持续发 展，营业收入及归属于上市公司股东的净利润创下了公司自设立以来的最佳成绩。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本报告期，公司共实现营业总收入</w:t>
      </w:r>
      <w:r>
        <w:rPr>
          <w:rFonts w:ascii="Times New Roman" w:eastAsia="Times New Roman" w:hAnsi="Times New Roman" w:cs="Times New Roman"/>
          <w:color w:val="000000"/>
          <w:spacing w:val="0"/>
          <w:w w:val="100"/>
          <w:position w:val="0"/>
          <w:sz w:val="18"/>
          <w:szCs w:val="18"/>
        </w:rPr>
        <w:t>506,707.72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20.89%</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sz w:val="18"/>
          <w:szCs w:val="18"/>
        </w:rPr>
        <w:t>101,974.33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23.82%</w:t>
      </w:r>
      <w:r>
        <w:rPr>
          <w:color w:val="000000"/>
          <w:spacing w:val="0"/>
          <w:w w:val="100"/>
          <w:position w:val="0"/>
        </w:rPr>
        <w:t>。</w:t>
      </w:r>
    </w:p>
    <w:p>
      <w:pPr>
        <w:pStyle w:val="Style22"/>
        <w:keepNext w:val="0"/>
        <w:keepLines w:val="0"/>
        <w:widowControl w:val="0"/>
        <w:shd w:val="clear" w:color="auto" w:fill="auto"/>
        <w:bidi w:val="0"/>
        <w:spacing w:before="0" w:after="120" w:line="312" w:lineRule="exact"/>
        <w:ind w:left="0" w:right="0"/>
        <w:jc w:val="left"/>
      </w:pPr>
      <w:r>
        <w:rPr>
          <w:color w:val="000000"/>
          <w:spacing w:val="0"/>
          <w:w w:val="100"/>
          <w:position w:val="0"/>
        </w:rPr>
        <w:t>公司业绩的增长得益于以下方面：</w:t>
      </w:r>
    </w:p>
    <w:p>
      <w:pPr>
        <w:pStyle w:val="Style2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、业务发展方面</w:t>
      </w:r>
    </w:p>
    <w:p>
      <w:pPr>
        <w:pStyle w:val="Style22"/>
        <w:keepNext w:val="0"/>
        <w:keepLines w:val="0"/>
        <w:widowControl w:val="0"/>
        <w:shd w:val="clear" w:color="auto" w:fill="auto"/>
        <w:tabs>
          <w:tab w:pos="765" w:val="left"/>
        </w:tabs>
        <w:bidi w:val="0"/>
        <w:spacing w:before="0" w:after="0" w:line="312" w:lineRule="exact"/>
        <w:ind w:left="0" w:right="0"/>
        <w:jc w:val="left"/>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烟标业务</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报告期内，公司烟标业务实现营业收入</w:t>
      </w:r>
      <w:r>
        <w:rPr>
          <w:rFonts w:ascii="Times New Roman" w:eastAsia="Times New Roman" w:hAnsi="Times New Roman" w:cs="Times New Roman"/>
          <w:color w:val="000000"/>
          <w:spacing w:val="0"/>
          <w:w w:val="100"/>
          <w:position w:val="0"/>
          <w:sz w:val="18"/>
          <w:szCs w:val="18"/>
        </w:rPr>
        <w:t>230,098.59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，占公司营业收入比重为</w:t>
      </w:r>
      <w:r>
        <w:rPr>
          <w:rFonts w:ascii="Times New Roman" w:eastAsia="Times New Roman" w:hAnsi="Times New Roman" w:cs="Times New Roman"/>
          <w:color w:val="000000"/>
          <w:spacing w:val="0"/>
          <w:w w:val="100"/>
          <w:position w:val="0"/>
          <w:sz w:val="18"/>
          <w:szCs w:val="18"/>
        </w:rPr>
        <w:t>45.41%</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面对国内疫情反复、行业竞争格局变化、产品招标价格调整、生产原材料成本价格波动、能源动力价格上涨等不利因素， 公司通过加强外部营销及内部管控，实现烟标业务整体平稳发展。在外部营销方面，公司利用全国综合布局的区位优势，打 通各分子公司的资源共享机制，细化营销区域，强化市场建设和业务拓展，实现对目标客户快速、精准、全面的营销工作， 全面提升公司产品的市场占有率；公司通过主动适应市场、分析市场，持续加大技术研发和客户开拓力度，有效优化产品品 类结构；持续深化烟标产品的细分业务，加大对烟用接装纸、内衬纸，框架纸等烟辅材料的创新及性能优化等方面投入，相 关产品也在多个市场推广应用，公司与客户之间的黏性得到进一步增强。在内部管控方面，加大对上游供应商质量监督力度， 加强源头把关提升原材料质量，积极配合客户的质量防控体系项目建设，与客户共谋发展，细化产品质量优化专项管控方案， 完善质量标准建设；持续打造智能化、数字化工厂，推进生产流程、工艺的优化工作，依据研发项目的进度提前规划生产设 备的升级改造，发挥出设备的最大产能优势，顺利实现全年生产的提质增效。</w:t>
      </w:r>
    </w:p>
    <w:p>
      <w:pPr>
        <w:pStyle w:val="Style22"/>
        <w:keepNext w:val="0"/>
        <w:keepLines w:val="0"/>
        <w:widowControl w:val="0"/>
        <w:shd w:val="clear" w:color="auto" w:fill="auto"/>
        <w:tabs>
          <w:tab w:pos="765" w:val="left"/>
        </w:tabs>
        <w:bidi w:val="0"/>
        <w:spacing w:before="0" w:after="0" w:line="312" w:lineRule="exact"/>
        <w:ind w:left="0" w:right="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新型烟草业务</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报告期内，公司新型烟草业务实现营业收入</w:t>
      </w:r>
      <w:r>
        <w:rPr>
          <w:rFonts w:ascii="Times New Roman" w:eastAsia="Times New Roman" w:hAnsi="Times New Roman" w:cs="Times New Roman"/>
          <w:color w:val="000000"/>
          <w:spacing w:val="0"/>
          <w:w w:val="100"/>
          <w:position w:val="0"/>
          <w:sz w:val="18"/>
          <w:szCs w:val="18"/>
        </w:rPr>
        <w:t>16,905.73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381.16%</w:t>
      </w:r>
      <w:r>
        <w:rPr>
          <w:color w:val="000000"/>
          <w:spacing w:val="0"/>
          <w:w w:val="100"/>
          <w:position w:val="0"/>
        </w:rPr>
        <w:t>，占公司营业收入比重为</w:t>
      </w:r>
      <w:r>
        <w:rPr>
          <w:rFonts w:ascii="Times New Roman" w:eastAsia="Times New Roman" w:hAnsi="Times New Roman" w:cs="Times New Roman"/>
          <w:color w:val="000000"/>
          <w:spacing w:val="0"/>
          <w:w w:val="100"/>
          <w:position w:val="0"/>
          <w:sz w:val="18"/>
          <w:szCs w:val="18"/>
        </w:rPr>
        <w:t>3.34%</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公司密切跟踪国内外新型烟草政策的动态变化，结合产业链发展特点及公司战略，在新型烟草制品的生产制造方面和品 牌营销方面重点推进。生产制造方面，主要主体劲嘉科技顺利完成生产场地的搬迁升级工作，生产场地面积、生产人员及生 产设备的数量相应大幅增加，产能的不断扩充促使承接的订单数量及生产效率得到了显著提升；为了满足重点客户对于产品 品质的个性化需求，依靠自身技术多年的沉淀积累以及对全行业的深度理解，劲嘉科技采用与重点客户同步研发的合作模式， 在深度参与客户的产品开发过程中，充分理解客户的工艺要求和技术需求等，提早进行产品开发布局，建立优势产品的先发 优势。在保证公司产品技术先进性的同时不断扩充、完善公司产品线，产品类型涵盖加热卷烟烟具、一次性电子烟、换弹式 电子烟以及</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雾化器具等，产品销往国内、美国、日本等地区或国家；持续关注大客户需求的变化，不断加强合作的深 度和广度，与行业内知名企业你我科技、龙舞科技建立紧密的股权合作关系，形成深度捆绑、互惠共赢的稳定合作模式，为 开拓更多优质客户及市场份额奠定了良好的基础。</w:t>
      </w:r>
    </w:p>
    <w:p>
      <w:pPr>
        <w:pStyle w:val="Style22"/>
        <w:keepNext w:val="0"/>
        <w:keepLines w:val="0"/>
        <w:widowControl w:val="0"/>
        <w:shd w:val="clear" w:color="auto" w:fill="auto"/>
        <w:tabs>
          <w:tab w:pos="765" w:val="left"/>
        </w:tabs>
        <w:bidi w:val="0"/>
        <w:spacing w:before="0" w:after="0" w:line="312" w:lineRule="exact"/>
        <w:ind w:left="0" w:right="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彩盒业务</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报告期内，公司彩盒业务实现营业收入</w:t>
      </w:r>
      <w:r>
        <w:rPr>
          <w:rFonts w:ascii="Times New Roman" w:eastAsia="Times New Roman" w:hAnsi="Times New Roman" w:cs="Times New Roman"/>
          <w:color w:val="000000"/>
          <w:spacing w:val="0"/>
          <w:w w:val="100"/>
          <w:position w:val="0"/>
          <w:sz w:val="18"/>
          <w:szCs w:val="18"/>
        </w:rPr>
        <w:t>113,433.2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23.29%</w:t>
      </w:r>
      <w:r>
        <w:rPr>
          <w:color w:val="000000"/>
          <w:spacing w:val="0"/>
          <w:w w:val="100"/>
          <w:position w:val="0"/>
        </w:rPr>
        <w:t>，占公司营业收入比重为</w:t>
      </w:r>
      <w:r>
        <w:rPr>
          <w:rFonts w:ascii="Times New Roman" w:eastAsia="Times New Roman" w:hAnsi="Times New Roman" w:cs="Times New Roman"/>
          <w:color w:val="000000"/>
          <w:spacing w:val="0"/>
          <w:w w:val="100"/>
          <w:position w:val="0"/>
          <w:sz w:val="18"/>
          <w:szCs w:val="18"/>
        </w:rPr>
        <w:t>22.39%</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彩盒业务板块重点围绕服务深化、业务拓展、智能制造推进全年工作，紧密围绕客户实际需求，从创意设计、研发创新、 生产交付、营销服务等各环节进行提升和突破，逐步成为优质高端客户的重要合作伙伴，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年经营成果亮眼。在服务深化 方面，紧跟行业上下游市场及客户的动态变化，进一步深度优化客户结构，根据客户的属性与需求，推行个性化营销策略及 服务方针，积极主动地参与客户的同步研发，继续巩固和发展与主要客户的业务合作，客户已涵盖知名烟酒、</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消费电子、 电子烟等产品品牌，不断争取更多市场份额；业务拓展方面，公司充分利用原有资源进行新客户的开拓及新领域的延伸，设 立遵义劲嘉，迅速覆盖西南地区乃至全国范围的酒盒包装业务，知名客户包括国台、习酒、山西汾酒等，设立鼎盛丰华，专 注于包装产品的研发设计以及创意营销，为客户提供细致全面的长线服务，设立云普星河，为电子烟品牌等核心客户提供一 站式的组装装配及供应链服务，目前已形成了稳定的商业模式和高效的规模生产，彩盒板块的各产业链之间形成互补优势和 协同效应，为彩盒板块的可持续发展提供有力的支撑；智能制造方面，持续推进生产全流程的精益化管理，以高精度的全面 自动化为目标，打造精细、柔性、智能的数字化车间，达到智能制造三级成熟度的标准，有效降低综合生产成本，切实促进 生产效率及产品良率的提升，增强产品快速交付能力。</w:t>
      </w:r>
    </w:p>
    <w:p>
      <w:pPr>
        <w:pStyle w:val="Style22"/>
        <w:keepNext w:val="0"/>
        <w:keepLines w:val="0"/>
        <w:widowControl w:val="0"/>
        <w:shd w:val="clear" w:color="auto" w:fill="auto"/>
        <w:tabs>
          <w:tab w:pos="765" w:val="left"/>
        </w:tabs>
        <w:bidi w:val="0"/>
        <w:spacing w:before="0" w:after="0" w:line="312"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包装新材料业务</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报告期内，公司包装新材料业务实现营业收入</w:t>
      </w:r>
      <w:r>
        <w:rPr>
          <w:rFonts w:ascii="Times New Roman" w:eastAsia="Times New Roman" w:hAnsi="Times New Roman" w:cs="Times New Roman"/>
          <w:color w:val="000000"/>
          <w:spacing w:val="0"/>
          <w:w w:val="100"/>
          <w:position w:val="0"/>
          <w:sz w:val="18"/>
          <w:szCs w:val="18"/>
        </w:rPr>
        <w:t>96,052.23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，占公司营业收入比重为</w:t>
      </w:r>
      <w:r>
        <w:rPr>
          <w:rFonts w:ascii="Times New Roman" w:eastAsia="Times New Roman" w:hAnsi="Times New Roman" w:cs="Times New Roman"/>
          <w:color w:val="000000"/>
          <w:spacing w:val="0"/>
          <w:w w:val="100"/>
          <w:position w:val="0"/>
          <w:sz w:val="18"/>
          <w:szCs w:val="18"/>
        </w:rPr>
        <w:t>18.96%</w:t>
      </w:r>
      <w:r>
        <w:rPr>
          <w:color w:val="000000"/>
          <w:spacing w:val="0"/>
          <w:w w:val="100"/>
          <w:position w:val="0"/>
        </w:rPr>
        <w:t>。</w:t>
      </w:r>
    </w:p>
    <w:p>
      <w:pPr>
        <w:pStyle w:val="Style22"/>
        <w:keepNext w:val="0"/>
        <w:keepLines w:val="0"/>
        <w:widowControl w:val="0"/>
        <w:shd w:val="clear" w:color="auto" w:fill="auto"/>
        <w:bidi w:val="0"/>
        <w:spacing w:before="0" w:after="100" w:line="312" w:lineRule="exact"/>
        <w:ind w:left="0" w:right="0"/>
        <w:jc w:val="both"/>
      </w:pPr>
      <w:r>
        <w:rPr>
          <w:color w:val="000000"/>
          <w:spacing w:val="0"/>
          <w:w w:val="100"/>
          <w:position w:val="0"/>
        </w:rPr>
        <w:t>公司新材料业务主要由镭射纸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膜及烟膜、市场膜等膜类产品构成，通过不断拓展多领域的应用，持续实现市场扩张， 有效反哺助力公司包装业务的良性发展，进而形成各业务板块紧密衔接的一体化机制。在镭射纸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膜方面，公司目前拥有珠 海中丰田及菏泽中丰田两大生产基地，不断提高对客户的就近配套服务能力，凭借技术实力和精准服务获得良好的市场口碑， 在满足集团内部需求的同时，外部市场的业务拓展成效显著；通过不断优化生产工艺、实施科学排产计划以及战略采购原材 料等措施，有效缓解了生产成本持续上涨带来的压力；不断改善生产技术，加大创新力度，完成了可变微纳结构光刻技术研 </w:t>
      </w:r>
      <w:r>
        <w:rPr>
          <w:color w:val="000000"/>
          <w:spacing w:val="0"/>
          <w:w w:val="100"/>
          <w:position w:val="0"/>
        </w:rPr>
        <w:t>发、多层微浮雕立体结构研发、</w:t>
      </w:r>
      <w:r>
        <w:rPr>
          <w:rFonts w:ascii="Times New Roman" w:eastAsia="Times New Roman" w:hAnsi="Times New Roman" w:cs="Times New Roman"/>
          <w:color w:val="000000"/>
          <w:spacing w:val="0"/>
          <w:w w:val="100"/>
          <w:position w:val="0"/>
          <w:sz w:val="18"/>
          <w:szCs w:val="18"/>
        </w:rPr>
        <w:t>UV</w:t>
      </w:r>
      <w:r>
        <w:rPr>
          <w:color w:val="000000"/>
          <w:spacing w:val="0"/>
          <w:w w:val="100"/>
          <w:position w:val="0"/>
        </w:rPr>
        <w:t>介质转移材料开发、常规膜压深纹路涂料开发以及全工序光刻定位制造工艺，实现了双 版机膜压产品基膜回用以及提升</w:t>
      </w:r>
      <w:r>
        <w:rPr>
          <w:rFonts w:ascii="Times New Roman" w:eastAsia="Times New Roman" w:hAnsi="Times New Roman" w:cs="Times New Roman"/>
          <w:color w:val="000000"/>
          <w:spacing w:val="0"/>
          <w:w w:val="100"/>
          <w:position w:val="0"/>
          <w:sz w:val="18"/>
          <w:szCs w:val="18"/>
        </w:rPr>
        <w:t>UV</w:t>
      </w:r>
      <w:r>
        <w:rPr>
          <w:color w:val="000000"/>
          <w:spacing w:val="0"/>
          <w:w w:val="100"/>
          <w:position w:val="0"/>
        </w:rPr>
        <w:t>大猫眼产品生产效率，随着这些工艺在主要产品中的广泛使用，也实现研发成果的有效 转化，进一步提升了行业制造水平。在膜类产品方面，持续聚焦烟膜市场的同时，引进了印刷彩膜项目和降解材料改性项目， 两个新项目已完成资金投入、设备引进、团队建设、平台搭建等工作，印刷彩膜项目于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月投产，让新材料产品应用 组合更具有多样性，为客户提供了更具竞争力的包装产品解决方案；降解材料改性项目引进了行业内的专家团队，各项前期 准备工作有条不紊完成，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月实现小批量实验生产，将大力推进技术储备、产品定位、市场调研、生产设备等方面的 工作，加快推进规模量产的建设进度。</w:t>
      </w:r>
    </w:p>
    <w:p>
      <w:pPr>
        <w:pStyle w:val="Style22"/>
        <w:keepNext w:val="0"/>
        <w:keepLines w:val="0"/>
        <w:widowControl w:val="0"/>
        <w:shd w:val="clear" w:color="auto" w:fill="auto"/>
        <w:tabs>
          <w:tab w:pos="674" w:val="left"/>
        </w:tabs>
        <w:bidi w:val="0"/>
        <w:spacing w:before="0" w:after="0" w:line="360" w:lineRule="auto"/>
        <w:ind w:left="0" w:right="0"/>
        <w:jc w:val="both"/>
      </w:pPr>
      <w:bookmarkStart w:id="105" w:name="bookmark105"/>
      <w:r>
        <w:rPr>
          <w:rFonts w:ascii="Times New Roman" w:eastAsia="Times New Roman" w:hAnsi="Times New Roman" w:cs="Times New Roman"/>
          <w:color w:val="000000"/>
          <w:spacing w:val="0"/>
          <w:w w:val="100"/>
          <w:position w:val="0"/>
          <w:sz w:val="18"/>
          <w:szCs w:val="18"/>
        </w:rPr>
        <w:t>2</w:t>
      </w:r>
      <w:bookmarkEnd w:id="105"/>
      <w:r>
        <w:rPr>
          <w:color w:val="000000"/>
          <w:spacing w:val="0"/>
          <w:w w:val="100"/>
          <w:position w:val="0"/>
        </w:rPr>
        <w:t>、</w:t>
        <w:tab/>
        <w:t>技术研发方面</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公司坚持以技术创新为驱动，优化技术人才队伍储备，打造产学研用相结合、全产业链高效衔接、与客户和供应商业务 协同的创新发展格局，继续激发和引导创新活力，深耕行业领先技术，使各业务板块的核心产品实现更优的产品性能、更高 的品质特性，对行业竞争者形成了较高的技术壁垒，提升公司核心产品的全面竞争力和国内外市场地位。</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本报告期，公司研发费用比上年同期增长</w:t>
      </w:r>
      <w:r>
        <w:rPr>
          <w:rFonts w:ascii="Times New Roman" w:eastAsia="Times New Roman" w:hAnsi="Times New Roman" w:cs="Times New Roman"/>
          <w:color w:val="000000"/>
          <w:spacing w:val="0"/>
          <w:w w:val="100"/>
          <w:position w:val="0"/>
          <w:sz w:val="18"/>
          <w:szCs w:val="18"/>
        </w:rPr>
        <w:t>17.52%</w:t>
      </w:r>
      <w:r>
        <w:rPr>
          <w:color w:val="000000"/>
          <w:spacing w:val="0"/>
          <w:w w:val="100"/>
          <w:position w:val="0"/>
        </w:rPr>
        <w:t>，获深圳市市长质量奖（经济类）铜奖、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年度中国印刷及设备器 材工业协会科学技术奖二等奖等荣誉，公司下属</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家制造型企业全部通过高新技术企业认证。截至本报告期末，公司（含合 并报表范围内子公司）已累计获得专利授权</w:t>
      </w:r>
      <w:r>
        <w:rPr>
          <w:rFonts w:ascii="Times New Roman" w:eastAsia="Times New Roman" w:hAnsi="Times New Roman" w:cs="Times New Roman"/>
          <w:color w:val="000000"/>
          <w:spacing w:val="0"/>
          <w:w w:val="100"/>
          <w:position w:val="0"/>
          <w:sz w:val="18"/>
          <w:szCs w:val="18"/>
        </w:rPr>
        <w:t>869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w:t>
      </w:r>
    </w:p>
    <w:p>
      <w:pPr>
        <w:pStyle w:val="Style22"/>
        <w:keepNext w:val="0"/>
        <w:keepLines w:val="0"/>
        <w:widowControl w:val="0"/>
        <w:shd w:val="clear" w:color="auto" w:fill="auto"/>
        <w:tabs>
          <w:tab w:pos="674" w:val="left"/>
        </w:tabs>
        <w:bidi w:val="0"/>
        <w:spacing w:before="0" w:after="0" w:line="360" w:lineRule="auto"/>
        <w:ind w:left="0" w:right="0"/>
        <w:jc w:val="both"/>
      </w:pPr>
      <w:bookmarkStart w:id="106" w:name="bookmark106"/>
      <w:r>
        <w:rPr>
          <w:rFonts w:ascii="Times New Roman" w:eastAsia="Times New Roman" w:hAnsi="Times New Roman" w:cs="Times New Roman"/>
          <w:color w:val="000000"/>
          <w:spacing w:val="0"/>
          <w:w w:val="100"/>
          <w:position w:val="0"/>
          <w:sz w:val="18"/>
          <w:szCs w:val="18"/>
        </w:rPr>
        <w:t>3</w:t>
      </w:r>
      <w:bookmarkEnd w:id="106"/>
      <w:r>
        <w:rPr>
          <w:color w:val="000000"/>
          <w:spacing w:val="0"/>
          <w:w w:val="100"/>
          <w:position w:val="0"/>
        </w:rPr>
        <w:t>、</w:t>
        <w:tab/>
        <w:t>产业布局方面</w:t>
      </w:r>
    </w:p>
    <w:p>
      <w:pPr>
        <w:pStyle w:val="Style22"/>
        <w:keepNext w:val="0"/>
        <w:keepLines w:val="0"/>
        <w:widowControl w:val="0"/>
        <w:shd w:val="clear" w:color="auto" w:fill="auto"/>
        <w:bidi w:val="0"/>
        <w:spacing w:before="0" w:after="100" w:line="313" w:lineRule="exact"/>
        <w:ind w:left="0" w:right="0"/>
        <w:jc w:val="both"/>
      </w:pPr>
      <w:r>
        <w:rPr>
          <w:color w:val="000000"/>
          <w:spacing w:val="0"/>
          <w:w w:val="100"/>
          <w:position w:val="0"/>
        </w:rPr>
        <w:t>公司以内生增长以及外延发展为双轮驱动，深挖内部增长潜力的同时，对行业资源进行整合及高效配置。围绕扩充主营 业务及储备新兴行业的主要目标，在高端印刷包装加工制造、新型烟草产业链、符合公司发展战略及国家鼓励政策的相关领 域内实施对外投资和兼并收购活动。报告期内，公司对外投资设立了遵义劲嘉、云普星河、印尼云普星河及鼎盛丰华；收购 了香港恒天商业的部分股权，实现彩盒包装产业链与电子烟产业链有效融合及延伸；收购青岛英诺剩余</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股权，实现对青 岛英诺的全资控股，高端膜类等包装新材料的市场份额得以提升；对外设立了产业基金，该产业基金目前已投资了云烁科技， 在合理控制风险的前提下为主营业务发展赋能;全资子公司深圳劲嘉新产业科技有限公司参股了新型烟草产业链企业佳聚科 技与长宜科技，不断完善新产业投资孵化体系。多元的产业布局有利于公司避免潜在不利影响，提升公司整体抗风险能力及 全面的服务能力，有效维持公司的行业领先地位。</w:t>
      </w:r>
    </w:p>
    <w:p>
      <w:pPr>
        <w:pStyle w:val="Style22"/>
        <w:keepNext w:val="0"/>
        <w:keepLines w:val="0"/>
        <w:widowControl w:val="0"/>
        <w:shd w:val="clear" w:color="auto" w:fill="auto"/>
        <w:tabs>
          <w:tab w:pos="674" w:val="left"/>
        </w:tabs>
        <w:bidi w:val="0"/>
        <w:spacing w:before="0" w:after="0" w:line="360" w:lineRule="auto"/>
        <w:ind w:left="0" w:right="0"/>
        <w:jc w:val="both"/>
      </w:pPr>
      <w:bookmarkStart w:id="107" w:name="bookmark107"/>
      <w:r>
        <w:rPr>
          <w:rFonts w:ascii="Times New Roman" w:eastAsia="Times New Roman" w:hAnsi="Times New Roman" w:cs="Times New Roman"/>
          <w:color w:val="000000"/>
          <w:spacing w:val="0"/>
          <w:w w:val="100"/>
          <w:position w:val="0"/>
          <w:sz w:val="18"/>
          <w:szCs w:val="18"/>
        </w:rPr>
        <w:t>4</w:t>
      </w:r>
      <w:bookmarkEnd w:id="107"/>
      <w:r>
        <w:rPr>
          <w:color w:val="000000"/>
          <w:spacing w:val="0"/>
          <w:w w:val="100"/>
          <w:position w:val="0"/>
        </w:rPr>
        <w:t>、</w:t>
        <w:tab/>
        <w:t>管理体系方面</w:t>
      </w:r>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报告期内，公司不断加强企业管理体系的创新及变革，有效激发企业活力。在企业制度管理方面，根据日益变化的监管 政策并结合公司的经验及要求，对涵盖公司及下属子公司行政、人事、财务等十一个方面要求规范的《集团管理手册》进行 精细化的修订，经营管理能力和管理模式依据公司资产和业务规模及时调整和完善，有效避免了公司作为大型集团的管理风 险和内控风险，实现规范的现代企业制度管理体系的良好运营；在营销工作管理方面，公司充分发掘和评估市场机会，加强 营销队伍建设，针对行业和客户的特点及需求制定相应的营销策略，建设高效运作的营销管理平台，建立营销机制、营销团 队、营销渠道的统一机制，有效整合营销资源；人力资源管理方面，公司进一步加强人才队伍梯队建设，通过考核选拔和专 业培训培养，有效补充公司内部人才储备，通过优化科学的绩效考核制度和股权激励机制有效提升核心员工的工作积极性， 不断提升公司的软实力。</w:t>
      </w:r>
    </w:p>
    <w:p>
      <w:pPr>
        <w:pStyle w:val="Style32"/>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、收入与成本</w:t>
      </w:r>
      <w:bookmarkEnd w:id="108"/>
      <w:bookmarkEnd w:id="109"/>
      <w:bookmarkEnd w:id="111"/>
    </w:p>
    <w:p>
      <w:pPr>
        <w:pStyle w:val="Style37"/>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2"/>
      <w:bookmarkEnd w:id="113"/>
      <w:bookmarkEnd w:id="115"/>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4,191,426,341.33</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r>
        <w:trPr>
          <w:trHeight w:val="398"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3,958,968,310.30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3,635,781,632.14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新型烟草行业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169,057,266.20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35,135,229.37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950,869,510.15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527,936,855.31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行业之间抵消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-11,817,909.46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-7,427,375.49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2,300,985,908.87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2,398,630,019.91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新型烟草制品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169,057,266.20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35,135,229.37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1,134,332,745.07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920,038,262.98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包装新材料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960,522,273.44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724,916,531.46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1,516,509,218.48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964,219,663.75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产品之间抵消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-1,014,330,234.87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-851,513,366.14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1,925,060,871.79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1,721,495,313.21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945,602,749.26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639,675,200.02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733,080,869.53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804,784,927.44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1,463,332,686.61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1,025,470,900.66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w:t>
            </w:r>
          </w:p>
        </w:tc>
      </w:tr>
      <w:tr>
        <w:trPr>
          <w:trHeight w:val="403"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4,191,426,341.33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bl>
    <w:p>
      <w:pPr>
        <w:widowControl w:val="0"/>
        <w:spacing w:after="319" w:line="1" w:lineRule="exact"/>
      </w:pPr>
    </w:p>
    <w:p>
      <w:pPr>
        <w:pStyle w:val="Style37"/>
        <w:keepNext/>
        <w:keepLines/>
        <w:widowControl w:val="0"/>
        <w:numPr>
          <w:ilvl w:val="0"/>
          <w:numId w:val="13"/>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6"/>
      <w:bookmarkEnd w:id="117"/>
      <w:bookmarkEnd w:id="11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3,958,968,310.30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2,466,927,518.34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2,300,985,908.87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1,467,230,442.66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1,134,332,745.07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678,517,407.91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包装新材料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960,522,273.44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782,968,146.71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1,925,060,871.79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1,231,513,734.25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945,602,749.26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605,035,038.84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733,080,869.53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471,267,127.19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3,435,144,229.33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3,635,781,632.14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2,255,347,911.28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2,398,630,019.91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1,511,766,223.66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920,038,262.98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565,636,169.70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包装新材料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724,916,531.46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567,239,380.46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1,721,495,313.21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1,141,774,359.41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639,675,200.02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371,628,972.86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804,784,927.44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507,581,220.98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gridSpan w:val="7"/>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4,191,426,341.33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2,732,997,018.06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22"/>
        <w:keepNext w:val="0"/>
        <w:keepLines w:val="0"/>
        <w:widowControl w:val="0"/>
        <w:shd w:val="clear" w:color="auto" w:fill="auto"/>
        <w:bidi w:val="0"/>
        <w:spacing w:before="0" w:after="380" w:line="307" w:lineRule="exact"/>
        <w:ind w:left="0" w:right="0" w:firstLine="240"/>
        <w:jc w:val="both"/>
      </w:pPr>
      <w:r>
        <w:rPr>
          <w:color w:val="000000"/>
          <w:spacing w:val="0"/>
          <w:w w:val="100"/>
          <w:position w:val="0"/>
        </w:rPr>
        <w:t>为更准确反映公司战略方向及各业务板块经营情况，公司本期分行业及分产品情况进行重新分类，分地区及分销售模式 未作调整，本次分类的调整不会影响公司的主营业务的统计范围。</w:t>
      </w:r>
    </w:p>
    <w:p>
      <w:pPr>
        <w:pStyle w:val="Style37"/>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0"/>
      <w:bookmarkEnd w:id="121"/>
      <w:bookmarkEnd w:id="123"/>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烟标印刷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万大箱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万大箱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万大箱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镭射膜</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39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镭射纸</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32,453.29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38,351.95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31,438.65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12,164.13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镭射纸销量大幅增加且库存大幅减少，主要系本年公司外部订单同比增加所致。</w:t>
      </w:r>
    </w:p>
    <w:p>
      <w:pPr>
        <w:pStyle w:val="Style37"/>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4"/>
      <w:bookmarkEnd w:id="125"/>
      <w:bookmarkEnd w:id="12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2,466,927,518.34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2,255,347,911.28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新型烟草行业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145,306,181.13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29,366,531.11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主营业务成本、 其他业务成本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834,728,439.32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455,709,951.16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83.17%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行业之间抵消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-11,817,909.46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-7,427,375.49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59.11%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3,435,144,229.33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2,732,997,018.06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25.69%</w:t>
            </w: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说明 无</w:t>
      </w:r>
    </w:p>
    <w:p>
      <w:pPr>
        <w:pStyle w:val="Style37"/>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2"/>
      <w:bookmarkEnd w:id="133"/>
      <w:bookmarkEnd w:id="13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846"/>
        <w:gridCol w:w="2266"/>
        <w:gridCol w:w="4478"/>
      </w:tblGrid>
      <w:tr>
        <w:trPr>
          <w:trHeight w:val="744"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情况说明</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遵义劲嘉新型智能包装有限公司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该子公司主营业务为精品酒盒的研发生产等，纳入公司合 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深圳鼎盛丰华科技有限公司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该子公司主营业务为创意产品的设计和营销，纳入公司合 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深圳云普星河科技服务有限公司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该子公司主营业务为电子烟产品的产业链服务，纳入公司 合并报表范围，预计对未来业绩产生积极影响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印尼云普星河有限责任公司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该子公司主营业务为电子烟产品在海外的产业链服务，纳 入公司合并报表范围，预计对未来业绩产生积极影响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青岛英诺包装科技有限公司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该子公司主营业务为</w:t>
            </w:r>
            <w:r>
              <w:rPr>
                <w:rFonts w:ascii="Times New Roman" w:eastAsia="Times New Roman" w:hAnsi="Times New Roman" w:cs="Times New Roman"/>
                <w:color w:val="000000"/>
                <w:spacing w:val="0"/>
                <w:w w:val="100"/>
                <w:position w:val="0"/>
                <w:sz w:val="18"/>
                <w:szCs w:val="18"/>
              </w:rPr>
              <w:t>BOPP</w:t>
            </w:r>
            <w:r>
              <w:rPr>
                <w:color w:val="000000"/>
                <w:spacing w:val="0"/>
                <w:w w:val="100"/>
                <w:position w:val="0"/>
              </w:rPr>
              <w:t>烟膜及其他社会膜，纳入公司 合并报表范围，预计对未来业绩产生积极影响</w:t>
            </w:r>
          </w:p>
        </w:tc>
      </w:tr>
      <w:tr>
        <w:trPr>
          <w:trHeight w:val="71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青岛嘉颐泽印刷包装有限公司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由于该子公司已无生产工作，为实现资源的优化配置，公 司对其施行股权转让，转让后不再列入公司合并报表范</w:t>
            </w:r>
          </w:p>
        </w:tc>
      </w:tr>
    </w:tbl>
    <w:p>
      <w:pPr>
        <w:spacing w:lineRule="exact" w:line="1"/>
        <w:rPr>
          <w:sz w:val="2"/>
          <w:szCs w:val="2"/>
        </w:rPr>
      </w:pPr>
      <w:r>
        <w:br w:type="page"/>
      </w:r>
    </w:p>
    <w:tbl>
      <w:tblPr>
        <w:tblOverlap w:val="never"/>
        <w:jc w:val="center"/>
        <w:tblLayout w:type="fixed"/>
      </w:tblPr>
      <w:tblGrid>
        <w:gridCol w:w="2846"/>
        <w:gridCol w:w="2266"/>
        <w:gridCol w:w="4478"/>
      </w:tblGrid>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围，预计对未来业绩不产生重大影响</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6"/>
      <w:bookmarkEnd w:id="137"/>
      <w:bookmarkEnd w:id="13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2,271,567,420.87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638,844,077.27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590,982,886.32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466,947,566.14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287,835,123.17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286,957,767.97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2,271,567,420.87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44.83%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995,587,562.47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614,373,983.82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110,356,901.40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104,808,965.34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85,965,704.02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80,082,007.89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995,587,562.47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16.86%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r>
        <w:br w:type="page"/>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699"/>
        <w:gridCol w:w="1560"/>
        <w:gridCol w:w="1560"/>
        <w:gridCol w:w="34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92,530,728.74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72,343,460.04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351,105,470.44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263,232,931.01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报告期股权激励成本增加及合并范围增加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-7,501,074.22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-5,097,050.55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报告期闲置资金理财收益减少</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238,585,758.36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203,020,149.16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国家及行业相关标 准化制定项目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带动公司标准化管理和 提升工作，推动包装行 业标准化工作的实施进 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项目进行中，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 参加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项国标、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 团标制定工作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通过参与国标、行标、团标 制定，逐步将部分企业标准 上升为行业、国家标准</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增加公司在包装行业影响 力，提升综合竞争力</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产品工业设计开发</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通过新产品创意设计，</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满足客户新产品开发需 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项目进行中，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 共计设计中标新产 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创意设计与三新技术开发相 结合，多项新技术在行业内 推广使用，促进包装产品更 新换代和绿色化生产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通过产品工业设计获得客户 新产品订单，为企业可持续 发展奠定基础，同时带来良 好的经济效益</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基于可调节工作光 斑的脉冲激光技术 印刷品智能化计数 项目研发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提升设备精度，解决现 有设备生产效率低下、 印张计数不精准问题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已经完成研发，实现</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解决不同克重纸张精准计数 问题，减少因产品计数偏差 导致的成本损失</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提升生产效率，降低生产成 本</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多通道微纳结构图 像印刷品特种印刷 技术研发项目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通过设计包含微透镜阵 列的微纳结构镭射印刷 品生产工艺路线，实现 具有裸眼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功能的包 装印刷产品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已经完成研发，实现</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针对集光刻、全息、彩印、 立体显示的包装印刷品生产 工艺进行研究，实现高防伪 性、高精度的多通道微纳结 构图像印刷包装产品的生产 制造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新技术研发并在产品上应</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用，提升企业整体竞争水平</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纸包装印刷品黑色 油墨预测光谱特性 曲线校正技术项目 研发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开展印刷原稿原色油墨 光谱预测技术研究，精 准完成原稿的颜色复制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已经完成研发，实现</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中性灰还原技术为依据，通 过黑色油墨光谱预测，使预 测油墨光谱与原稿油墨光谱 高度逼近，极大限度消除同 色异谱现象，实现印刷光谱 复制的一致性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提升公司产品翻版效率，缩 短新产品规模生产前的测试 时间</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彩色</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防伪包装</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纸及其绿色印刷技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通过连线多重涂布压印 工艺，实现彩色立体防</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已经完成研发，实现</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替代传统彩色特种纸张，降 低生产成本，实现更大收益</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为新产品开发提供防伪技</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术，提升公司新产品开发设</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67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术项目研发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伪纸生产，满足产品生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计的整体竞争力</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基于凹版印刷工艺 的纸包装产品逆向 印刷技术研发项目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替代传统的胶印、丝印 生产方式，优化生产工 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实现凹版印刷规模化生产， 提升生产效率，降低成本</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充分发挥公司凹版印刷生产 优势，增加公司生产产品的 市场竞争力</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印刷及相关设备生 产数据智能化采集 及开发项目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1" w:lineRule="exact"/>
              <w:ind w:left="0" w:right="0" w:firstLine="0"/>
              <w:jc w:val="left"/>
            </w:pPr>
            <w:r>
              <w:rPr>
                <w:color w:val="000000"/>
                <w:spacing w:val="0"/>
                <w:w w:val="100"/>
                <w:position w:val="0"/>
              </w:rPr>
              <w:t>通过对生产设备升级改 造，搭建数采网络，实 现实时生产中的相关数 据收集与处理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设备数据智能化采集，实现 生产系统的感知、分析与智 能决策，解决企业生产信息 延迟等问题，提升企业的智 造能力和水平</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加快公司智能化升级项目进 程，为智能制造系统提供底 层数据采集模块技术支撑， 全面提升企业竞争力</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基于微透镜阵列的 结构色印刷品特种 印刷技术研发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将基于微透镜阵列的莫 尔放大技术与微纳结构 的衍射光学技术相结 合，实现多种产品需求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实现高防伪性、高精度的彩 色微纳结构图像印刷包装品 生产制造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满足客户新产品设计多元化 需求，提高综合竞争力</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238,585,758.36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203,020,149.16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r>
        <w:br w:type="page"/>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7,348,516,785.07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4,503,336,654.16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6,487,758,341.23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3,457,892,278.57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860,758,443.84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1,045,444,375.59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3,569,063,298.75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3,976,649,179.41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4,107,351,336.28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4,074,766,511.85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-538,288,037.53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-98,117,332.44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982,956,183.58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613,852,015.50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1,500,859,066.53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1,023,438,177.87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-517,902,882.95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-409,586,162.37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-198,458,783.96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526,891,832.23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-137.67%</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334" w:val="left"/>
        </w:tabs>
        <w:bidi w:val="0"/>
        <w:spacing w:before="0" w:after="120" w:line="240" w:lineRule="auto"/>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w:t>
        <w:tab/>
        <w:t>本期经营活动流入量、流出量同比变动幅度较大，主要系报告期公司供应链贸易业务产生大额收付款所致。</w:t>
      </w:r>
    </w:p>
    <w:p>
      <w:pPr>
        <w:pStyle w:val="Style22"/>
        <w:keepNext w:val="0"/>
        <w:keepLines w:val="0"/>
        <w:widowControl w:val="0"/>
        <w:shd w:val="clear" w:color="auto" w:fill="auto"/>
        <w:tabs>
          <w:tab w:pos="354" w:val="left"/>
        </w:tabs>
        <w:bidi w:val="0"/>
        <w:spacing w:before="0" w:after="12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t>本期投资活动现金流量净额同比变动幅度较大，主要系报告期公司工程投入支出增加、购买股权支出增加所致。</w:t>
      </w:r>
    </w:p>
    <w:p>
      <w:pPr>
        <w:pStyle w:val="Style22"/>
        <w:keepNext w:val="0"/>
        <w:keepLines w:val="0"/>
        <w:widowControl w:val="0"/>
        <w:shd w:val="clear" w:color="auto" w:fill="auto"/>
        <w:tabs>
          <w:tab w:pos="344" w:val="left"/>
        </w:tabs>
        <w:bidi w:val="0"/>
        <w:spacing w:before="0" w:after="12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3</w:t>
      </w:r>
      <w:bookmarkEnd w:id="158"/>
      <w:r>
        <w:rPr>
          <w:color w:val="000000"/>
          <w:spacing w:val="0"/>
          <w:w w:val="100"/>
          <w:position w:val="0"/>
        </w:rPr>
        <w:t>、</w:t>
        <w:tab/>
        <w:t>本期筹资活动现金流入量同比变动幅度较大，主要系报告期公司收到员工股权激励款项、且收回银票保证金增加所致。</w:t>
      </w:r>
    </w:p>
    <w:p>
      <w:pPr>
        <w:pStyle w:val="Style22"/>
        <w:keepNext w:val="0"/>
        <w:keepLines w:val="0"/>
        <w:widowControl w:val="0"/>
        <w:shd w:val="clear" w:color="auto" w:fill="auto"/>
        <w:tabs>
          <w:tab w:pos="354" w:val="left"/>
        </w:tabs>
        <w:bidi w:val="0"/>
        <w:spacing w:before="0" w:after="120" w:line="240" w:lineRule="auto"/>
        <w:ind w:left="0" w:right="0" w:firstLine="0"/>
        <w:jc w:val="left"/>
      </w:pPr>
      <w:bookmarkStart w:id="159" w:name="bookmark159"/>
      <w:r>
        <w:rPr>
          <w:rFonts w:ascii="Times New Roman" w:eastAsia="Times New Roman" w:hAnsi="Times New Roman" w:cs="Times New Roman"/>
          <w:color w:val="000000"/>
          <w:spacing w:val="0"/>
          <w:w w:val="100"/>
          <w:position w:val="0"/>
          <w:sz w:val="18"/>
          <w:szCs w:val="18"/>
        </w:rPr>
        <w:t>4</w:t>
      </w:r>
      <w:bookmarkEnd w:id="159"/>
      <w:r>
        <w:rPr>
          <w:color w:val="000000"/>
          <w:spacing w:val="0"/>
          <w:w w:val="100"/>
          <w:position w:val="0"/>
        </w:rPr>
        <w:t>、</w:t>
        <w:tab/>
        <w:t>本期筹资活动现金流出量同比变动幅度较大，主要系报告期公司分红金额增加、且支付银票保证金增加所致。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五</w:t>
      </w:r>
      <w:bookmarkEnd w:id="162"/>
      <w:r>
        <w:rPr>
          <w:color w:val="000000"/>
          <w:spacing w:val="0"/>
          <w:w w:val="100"/>
          <w:position w:val="0"/>
        </w:rPr>
        <w:t>、非主营业务分析</w:t>
      </w:r>
      <w:bookmarkEnd w:id="160"/>
      <w:bookmarkEnd w:id="161"/>
      <w:bookmarkEnd w:id="163"/>
    </w:p>
    <w:p>
      <w:pPr>
        <w:pStyle w:val="Style22"/>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066"/>
        <w:gridCol w:w="4099"/>
        <w:gridCol w:w="1949"/>
      </w:tblGrid>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21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307,589,211.26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25.72%</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、联营企业投资收益</w:t>
            </w:r>
            <w:r>
              <w:rPr>
                <w:rFonts w:ascii="Times New Roman" w:eastAsia="Times New Roman" w:hAnsi="Times New Roman" w:cs="Times New Roman"/>
                <w:color w:val="000000"/>
                <w:spacing w:val="0"/>
                <w:w w:val="100"/>
                <w:position w:val="0"/>
                <w:sz w:val="18"/>
                <w:szCs w:val="18"/>
              </w:rPr>
              <w:t>12,347.62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、银行理 财收益</w:t>
            </w:r>
            <w:r>
              <w:rPr>
                <w:rFonts w:ascii="Times New Roman" w:eastAsia="Times New Roman" w:hAnsi="Times New Roman" w:cs="Times New Roman"/>
                <w:color w:val="000000"/>
                <w:spacing w:val="0"/>
                <w:w w:val="100"/>
                <w:position w:val="0"/>
                <w:sz w:val="18"/>
                <w:szCs w:val="18"/>
              </w:rPr>
              <w:t>1,669.29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、华大北斗股权核算方式 转变产生投资收益</w:t>
            </w:r>
            <w:r>
              <w:rPr>
                <w:rFonts w:ascii="Times New Roman" w:eastAsia="Times New Roman" w:hAnsi="Times New Roman" w:cs="Times New Roman"/>
                <w:color w:val="000000"/>
                <w:spacing w:val="0"/>
                <w:w w:val="100"/>
                <w:position w:val="0"/>
                <w:sz w:val="18"/>
                <w:szCs w:val="18"/>
              </w:rPr>
              <w:t>8,781.33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、分步合并青 岛英诺时原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股权按公允价值重新计量产生利 得</w:t>
            </w:r>
            <w:r>
              <w:rPr>
                <w:rFonts w:ascii="Times New Roman" w:eastAsia="Times New Roman" w:hAnsi="Times New Roman" w:cs="Times New Roman"/>
                <w:color w:val="000000"/>
                <w:spacing w:val="0"/>
                <w:w w:val="100"/>
                <w:position w:val="0"/>
                <w:sz w:val="18"/>
                <w:szCs w:val="18"/>
              </w:rPr>
              <w:t>5,848.00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、处置嘉颐泽股权产生投资收</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left"/>
            </w:pPr>
            <w:r>
              <w:rPr>
                <w:color w:val="000000"/>
                <w:spacing w:val="0"/>
                <w:w w:val="100"/>
                <w:position w:val="0"/>
              </w:rPr>
              <w:t>其中联营企业投资收 益及银行理财收益具 有可持续性；其他原因 不具有可持续性</w:t>
            </w:r>
          </w:p>
        </w:tc>
      </w:tr>
    </w:tbl>
    <w:p>
      <w:pPr>
        <w:spacing w:lineRule="exact" w:line="1"/>
        <w:rPr>
          <w:sz w:val="2"/>
          <w:szCs w:val="2"/>
        </w:rPr>
      </w:pPr>
      <w:r>
        <w:br w:type="page"/>
      </w:r>
    </w:p>
    <w:tbl>
      <w:tblPr>
        <w:tblOverlap w:val="never"/>
        <w:jc w:val="center"/>
        <w:tblLayout w:type="fixed"/>
      </w:tblPr>
      <w:tblGrid>
        <w:gridCol w:w="1387"/>
        <w:gridCol w:w="1368"/>
        <w:gridCol w:w="1066"/>
        <w:gridCol w:w="4099"/>
        <w:gridCol w:w="1949"/>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r>
              <w:rPr>
                <w:rFonts w:ascii="Times New Roman" w:eastAsia="Times New Roman" w:hAnsi="Times New Roman" w:cs="Times New Roman"/>
                <w:color w:val="000000"/>
                <w:spacing w:val="0"/>
                <w:w w:val="100"/>
                <w:position w:val="0"/>
                <w:sz w:val="18"/>
                <w:szCs w:val="18"/>
              </w:rPr>
              <w:t>2,112.68</w:t>
            </w: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公允价值变动 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pPr>
            <w:r>
              <w:rPr>
                <w:color w:val="000000"/>
                <w:spacing w:val="0"/>
                <w:w w:val="100"/>
                <w:position w:val="0"/>
              </w:rPr>
              <w:t>华大北斗股权按公允价值计量，且其变动计入当期 损益。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43,989,057.84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根据每年末的存货、固定资产、无形资产期末状况 计提减值损失。</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610,881.57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非主要因素，且无重大变化。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1,919,921.06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非主要因素，且无重大变化。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4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29,799,774.71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根据每年末的应收票据、应收账款、其他应收款期 末余额的一定比例计提减值损失。</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六</w:t>
      </w:r>
      <w:bookmarkEnd w:id="166"/>
      <w:r>
        <w:rPr>
          <w:color w:val="000000"/>
          <w:spacing w:val="0"/>
          <w:w w:val="100"/>
          <w:position w:val="0"/>
        </w:rPr>
        <w:t>、资产及负债状况分析</w:t>
      </w:r>
      <w:bookmarkEnd w:id="164"/>
      <w:bookmarkEnd w:id="165"/>
      <w:bookmarkEnd w:id="167"/>
    </w:p>
    <w:p>
      <w:pPr>
        <w:pStyle w:val="Style32"/>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20"/>
        <w:gridCol w:w="893"/>
        <w:gridCol w:w="1320"/>
        <w:gridCol w:w="893"/>
        <w:gridCol w:w="686"/>
        <w:gridCol w:w="33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1,534,338,056.20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1,628,681,361.26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695,793,544.30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614,135,980.23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1,057,870,881.43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639,222,349.14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报告期发出商品增加及合并范围增加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383,263,509.37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588,254,104.24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报告期处置青岛嘉颐泽所致</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1,531,241,247.99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1,426,746,358.13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1,818,748,277.81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1,652,818,071.72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119,352,259.53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报告期苗泽中丰田厂房及产线投入增加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3,376,319.13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报告期新增短期借款所致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152,533,728.60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26,611,918.76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报告期预收货款增加所致</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报告期末长期借款将于一年内到期</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3,552,986.57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4,479,198.42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报告期未发生重大变化</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412,165,644.23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报告期应收商业承兑汇票增加所致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44,965,209.24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68,108,928.49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报告期预付款结算变动所致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48,047,068.11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73,091,192.72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报告期收回联营企业股利所致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79,664,522.64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42,649,108.39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报告期预缴税金增加所致</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报告期内对华大北斗的投资转为交易性金 融资产核算及投资合伙企业增加所致</w:t>
            </w:r>
          </w:p>
        </w:tc>
      </w:tr>
    </w:tbl>
    <w:p>
      <w:pPr>
        <w:spacing w:lineRule="exact" w:line="1"/>
        <w:rPr>
          <w:sz w:val="2"/>
          <w:szCs w:val="2"/>
        </w:rPr>
      </w:pPr>
      <w:r>
        <w:br w:type="page"/>
      </w:r>
    </w:p>
    <w:tbl>
      <w:tblPr>
        <w:tblOverlap w:val="never"/>
        <w:jc w:val="center"/>
        <w:tblLayout w:type="fixed"/>
      </w:tblPr>
      <w:tblGrid>
        <w:gridCol w:w="1200"/>
        <w:gridCol w:w="1320"/>
        <w:gridCol w:w="893"/>
        <w:gridCol w:w="1320"/>
        <w:gridCol w:w="893"/>
        <w:gridCol w:w="686"/>
        <w:gridCol w:w="3398"/>
      </w:tblGrid>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92,038,634.25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67,763,477.70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报告期预付设备及工程款增加所致</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816,363,306.86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386,144,999.25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报告期票据结算增加所致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236,569,147.39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167,989,115.66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报告期授予限制性股票产生回购义务所致</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61,209,511.86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报告期末长期借款将于一年内到期</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报告期新增与资产相关的政府补助所致</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31,970,775.11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10,021,147.41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报告期合并青岛英诺及华大北斗公允价值 变动所致</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145,695,897.24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报告期授予限制性股票增加库存股所致</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4"/>
        <w:gridCol w:w="1181"/>
        <w:gridCol w:w="965"/>
        <w:gridCol w:w="965"/>
        <w:gridCol w:w="965"/>
        <w:gridCol w:w="1315"/>
        <w:gridCol w:w="1315"/>
        <w:gridCol w:w="840"/>
        <w:gridCol w:w="1190"/>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本期计提的</w:t>
            </w:r>
          </w:p>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596,910,846.32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3,375,984,438.30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559,926,408.02</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210,020,000.00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729,364,600.07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3,645,126,640.92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3,508,438,192.05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866,053,048.94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详见本报告第十节财务报告之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27"/>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七</w:t>
      </w:r>
      <w:bookmarkEnd w:id="182"/>
      <w:r>
        <w:rPr>
          <w:color w:val="000000"/>
          <w:spacing w:val="0"/>
          <w:w w:val="100"/>
          <w:position w:val="0"/>
        </w:rPr>
        <w:t>、投资状况分析</w:t>
      </w:r>
      <w:bookmarkEnd w:id="180"/>
      <w:bookmarkEnd w:id="181"/>
      <w:bookmarkEnd w:id="183"/>
    </w:p>
    <w:p>
      <w:pPr>
        <w:pStyle w:val="Style32"/>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303,900,000.00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、报告期内获取的重大的股权投资情况</w:t>
      </w:r>
      <w:bookmarkEnd w:id="188"/>
      <w:bookmarkEnd w:id="189"/>
      <w:bookmarkEnd w:id="19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8"/>
        <w:gridCol w:w="638"/>
        <w:gridCol w:w="634"/>
        <w:gridCol w:w="643"/>
        <w:gridCol w:w="638"/>
        <w:gridCol w:w="638"/>
        <w:gridCol w:w="638"/>
        <w:gridCol w:w="638"/>
        <w:gridCol w:w="638"/>
        <w:gridCol w:w="427"/>
        <w:gridCol w:w="706"/>
        <w:gridCol w:w="427"/>
        <w:gridCol w:w="566"/>
        <w:gridCol w:w="1075"/>
      </w:tblGrid>
      <w:tr>
        <w:trPr>
          <w:trHeight w:val="165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220" w:right="0" w:hanging="220"/>
              <w:jc w:val="left"/>
            </w:pPr>
            <w:r>
              <w:rPr>
                <w:color w:val="000000"/>
                <w:spacing w:val="0"/>
                <w:w w:val="100"/>
                <w:position w:val="0"/>
              </w:rPr>
              <w:t>主要业 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 日期 （如 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披露索引（如</w:t>
            </w:r>
          </w:p>
          <w:p>
            <w:pPr>
              <w:pStyle w:val="Style1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有）</w:t>
            </w:r>
          </w:p>
        </w:tc>
      </w:tr>
      <w:tr>
        <w:trPr>
          <w:trHeight w:val="22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遵义智</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能包装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包装加</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深圳嘉 厚企业 管理合 伙企业 （有限 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包装加</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961,581.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体的《关于对</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外投资设立</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控股子公司</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暨关联交易 的公告》</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深圳鼎</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盛丰华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广告设 计等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深圳嘉 德企业 投资合 伙企业 （有限 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广告设 计等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11,775.8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体的《关于对</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外投资设立</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控股子公司</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暨关联交易 的公告》</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深圳云</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普星河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深圳华</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善企业</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伙企业</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尚未出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1,832,68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体的《关于对</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外投资设立</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控股子公司</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暨关联交易 的公告》</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青岛英 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包装材 料</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顺华</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包装材 料</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信息披露媒</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8"/>
        <w:gridCol w:w="638"/>
        <w:gridCol w:w="638"/>
        <w:gridCol w:w="638"/>
        <w:gridCol w:w="427"/>
        <w:gridCol w:w="706"/>
        <w:gridCol w:w="427"/>
        <w:gridCol w:w="566"/>
        <w:gridCol w:w="107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体的《关于收 购青岛英诺 包装科技有 限公司剩余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w:t>
            </w:r>
          </w:p>
          <w:p>
            <w:pPr>
              <w:pStyle w:val="Style16"/>
              <w:keepNext w:val="0"/>
              <w:keepLines w:val="0"/>
              <w:widowControl w:val="0"/>
              <w:shd w:val="clear" w:color="auto" w:fill="auto"/>
              <w:bidi w:val="0"/>
              <w:spacing w:before="0" w:after="0" w:line="308" w:lineRule="exact"/>
              <w:ind w:left="0" w:right="0" w:firstLine="0"/>
              <w:jc w:val="left"/>
            </w:pPr>
            <w:r>
              <w:rPr>
                <w:color w:val="000000"/>
                <w:spacing w:val="0"/>
                <w:w w:val="100"/>
                <w:position w:val="0"/>
              </w:rPr>
              <w:t>公告》</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兴鑫互 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供应链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侨鑫集 团有限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供应链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361,566.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刊登于指定</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信息披露媒</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体的《关于向</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参股子公司</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增资暨关联</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交易的公告》</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印尼云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普星河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商业服 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-427,014</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16</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刊登于指定</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信息披露媒</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体的《关于对</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外投资设立</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海外子公司</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的公告》</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1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14,791,9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、报告期内正在进行的重大的非股权投资情况</w:t>
      </w:r>
      <w:bookmarkEnd w:id="192"/>
      <w:bookmarkEnd w:id="193"/>
      <w:bookmarkEnd w:id="19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494"/>
        <w:gridCol w:w="710"/>
        <w:gridCol w:w="706"/>
        <w:gridCol w:w="710"/>
        <w:gridCol w:w="1070"/>
      </w:tblGrid>
      <w:tr>
        <w:trPr>
          <w:trHeight w:val="16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披露索引（如</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258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w:t>
            </w:r>
          </w:p>
          <w:p>
            <w:pPr>
              <w:pStyle w:val="Style1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rPr>
              <w:t>技 术的智 能物联 运营支 撑系统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30,392,4</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196,681,</w:t>
            </w:r>
          </w:p>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772.32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自有资</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金及募</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不测算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刊登于指定</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信息披露媒 体的《关于变 更部分募投 项目募集资</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金用途暨新 增募投项目 的公告》</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劲嘉新</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型材料</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精品包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37,598,2</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528,343,</w:t>
            </w:r>
          </w:p>
          <w:p>
            <w:pPr>
              <w:pStyle w:val="Style1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951.57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自有资</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金及募</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集资金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88,731,7</w:t>
            </w:r>
          </w:p>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尚处于</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磨合期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刊登于指定</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信息披露媒</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体的《关于投</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494"/>
        <w:gridCol w:w="710"/>
        <w:gridCol w:w="706"/>
        <w:gridCol w:w="710"/>
        <w:gridCol w:w="1070"/>
      </w:tblGrid>
      <w:tr>
        <w:trPr>
          <w:trHeight w:val="254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资建设新型 材料精品包 装项目的公 告》、《非公开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 使用的可行 性分析报告》</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贵州新 型材料 精品包 装及智 能化升 级项目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w:t>
            </w:r>
          </w:p>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83,982,0</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39,62</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32,061,0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尚处于</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磨合期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刊登于指定 信息披露媒</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体的《非公开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 使用的可行 性分析报告》</w:t>
            </w:r>
          </w:p>
        </w:tc>
      </w:tr>
      <w:tr>
        <w:trPr>
          <w:trHeight w:val="258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江苏新 型材料 精品包 装及智 能化升 级技术 改造项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4,287,50</w:t>
            </w:r>
          </w:p>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47,679,3</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尚在建 设期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刊登于指定 信息披露媒</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体的《非公开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 使用的可行 性分析报告》</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安徽新 型材料 精品包 装及智 能化升 级项目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46,328,6</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实现预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刊登于指定 信息披露媒</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体的《非公开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 使用的可行 性分析报告》</w:t>
            </w:r>
          </w:p>
        </w:tc>
      </w:tr>
      <w:tr>
        <w:trPr>
          <w:trHeight w:val="22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包装技</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术研发 中心项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10,723,0</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33,980,1</w:t>
            </w:r>
          </w:p>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不测算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刊登于指定 信息披露媒</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体的《非公开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 使用的可行 性分析报告》</w:t>
            </w:r>
          </w:p>
        </w:tc>
      </w:tr>
      <w:tr>
        <w:trPr>
          <w:trHeight w:val="197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山东新</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6"/>
                <w:szCs w:val="16"/>
              </w:rPr>
              <w:t xml:space="preserve">型 </w:t>
            </w:r>
            <w:r>
              <w:rPr>
                <w:rFonts w:ascii="Times New Roman" w:eastAsia="Times New Roman" w:hAnsi="Times New Roman" w:cs="Times New Roman"/>
                <w:color w:val="000000"/>
                <w:spacing w:val="0"/>
                <w:w w:val="100"/>
                <w:position w:val="0"/>
                <w:sz w:val="18"/>
                <w:szCs w:val="18"/>
              </w:rPr>
              <w:t>BOPP</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薄膜及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复合纸</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材料项</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124,794,</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124,794,</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尚在建 设期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体的《关于变</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更部分募投</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项目募集资</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金用途暨新</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494"/>
        <w:gridCol w:w="710"/>
        <w:gridCol w:w="706"/>
        <w:gridCol w:w="710"/>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增募投项目 的公告》</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1,061,79</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0,991.74</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180,019, </w:t>
            </w:r>
            <w:r>
              <w:rPr>
                <w:rFonts w:ascii="Times New Roman" w:eastAsia="Times New Roman" w:hAnsi="Times New Roman" w:cs="Times New Roman"/>
                <w:color w:val="000000"/>
                <w:spacing w:val="0"/>
                <w:w w:val="100"/>
                <w:position w:val="0"/>
                <w:sz w:val="18"/>
                <w:szCs w:val="18"/>
              </w:rPr>
              <w:t>685.90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、金融资产投资</w:t>
      </w:r>
      <w:bookmarkEnd w:id="196"/>
      <w:bookmarkEnd w:id="197"/>
      <w:bookmarkEnd w:id="199"/>
    </w:p>
    <w:p>
      <w:pPr>
        <w:pStyle w:val="Style37"/>
        <w:keepNext/>
        <w:keepLines/>
        <w:widowControl w:val="0"/>
        <w:shd w:val="clear" w:color="auto" w:fill="auto"/>
        <w:tabs>
          <w:tab w:pos="493"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0"/>
      <w:bookmarkEnd w:id="201"/>
      <w:bookmarkEnd w:id="20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7"/>
        <w:keepNext/>
        <w:keepLines/>
        <w:widowControl w:val="0"/>
        <w:shd w:val="clear" w:color="auto" w:fill="auto"/>
        <w:tabs>
          <w:tab w:pos="493"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4"/>
      <w:bookmarkEnd w:id="205"/>
      <w:bookmarkEnd w:id="20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2"/>
      <w:bookmarkEnd w:id="213"/>
      <w:bookmarkEnd w:id="21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用途及去</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162,461.81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20,911.62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120,384.04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65,635.81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详见以下</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总体使用</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情况说明</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162,461.81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20,911.62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120,384.04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65,635.81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37,692.48</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016" w:hRule="exact"/>
        </w:trPr>
        <w:tc>
          <w:tcPr>
            <w:gridSpan w:val="11"/>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314" w:lineRule="exact"/>
              <w:ind w:left="0" w:right="0" w:firstLine="0"/>
              <w:jc w:val="left"/>
            </w:pPr>
            <w:r>
              <w:rPr>
                <w:b/>
                <w:bCs/>
                <w:color w:val="000000"/>
                <w:spacing w:val="0"/>
                <w:w w:val="100"/>
                <w:position w:val="0"/>
              </w:rPr>
              <w:t>一、本次募集资金的基本情况</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证监发行字</w:t>
            </w:r>
            <w:r>
              <w:rPr>
                <w:rFonts w:ascii="Times New Roman" w:eastAsia="Times New Roman" w:hAnsi="Times New Roman" w:cs="Times New Roman"/>
                <w:color w:val="000000"/>
                <w:spacing w:val="0"/>
                <w:w w:val="100"/>
                <w:position w:val="0"/>
                <w:sz w:val="18"/>
                <w:szCs w:val="18"/>
              </w:rPr>
              <w:t>[2017]996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文《关于核准深圳劲嘉集团股份有限公司非公开发行股票的批复》 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188,787,182</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8.74</w:t>
            </w:r>
            <w:r>
              <w:rPr>
                <w:color w:val="000000"/>
                <w:spacing w:val="0"/>
                <w:w w:val="100"/>
                <w:position w:val="0"/>
              </w:rPr>
              <w:t xml:space="preserve">元，募集资金总额 </w:t>
            </w:r>
            <w:r>
              <w:rPr>
                <w:rFonts w:ascii="Times New Roman" w:eastAsia="Times New Roman" w:hAnsi="Times New Roman" w:cs="Times New Roman"/>
                <w:color w:val="000000"/>
                <w:spacing w:val="0"/>
                <w:w w:val="100"/>
                <w:position w:val="0"/>
                <w:sz w:val="18"/>
                <w:szCs w:val="18"/>
              </w:rPr>
              <w:t>1,649,999,970.68</w:t>
            </w:r>
            <w:r>
              <w:rPr>
                <w:color w:val="000000"/>
                <w:spacing w:val="0"/>
                <w:w w:val="100"/>
                <w:position w:val="0"/>
              </w:rPr>
              <w:t>元，扣除承销及保荐费用人民币</w:t>
            </w:r>
            <w:r>
              <w:rPr>
                <w:rFonts w:ascii="Times New Roman" w:eastAsia="Times New Roman" w:hAnsi="Times New Roman" w:cs="Times New Roman"/>
                <w:color w:val="000000"/>
                <w:spacing w:val="0"/>
                <w:w w:val="100"/>
                <w:position w:val="0"/>
                <w:sz w:val="18"/>
                <w:szCs w:val="18"/>
              </w:rPr>
              <w:t>24,750,000.00</w:t>
            </w:r>
            <w:r>
              <w:rPr>
                <w:color w:val="000000"/>
                <w:spacing w:val="0"/>
                <w:w w:val="100"/>
                <w:position w:val="0"/>
              </w:rPr>
              <w:t>元、其他发行费用</w:t>
            </w:r>
            <w:r>
              <w:rPr>
                <w:rFonts w:ascii="Times New Roman" w:eastAsia="Times New Roman" w:hAnsi="Times New Roman" w:cs="Times New Roman"/>
                <w:color w:val="000000"/>
                <w:spacing w:val="0"/>
                <w:w w:val="100"/>
                <w:position w:val="0"/>
                <w:sz w:val="18"/>
                <w:szCs w:val="18"/>
              </w:rPr>
              <w:t>631,869.91</w:t>
            </w:r>
            <w:r>
              <w:rPr>
                <w:color w:val="000000"/>
                <w:spacing w:val="0"/>
                <w:w w:val="100"/>
                <w:position w:val="0"/>
              </w:rPr>
              <w:t xml:space="preserve">元，实际募集资金净额 </w:t>
            </w:r>
            <w:r>
              <w:rPr>
                <w:rFonts w:ascii="Times New Roman" w:eastAsia="Times New Roman" w:hAnsi="Times New Roman" w:cs="Times New Roman"/>
                <w:color w:val="000000"/>
                <w:spacing w:val="0"/>
                <w:w w:val="100"/>
                <w:position w:val="0"/>
                <w:sz w:val="18"/>
                <w:szCs w:val="18"/>
              </w:rPr>
              <w:t>1,624,618,100.77</w:t>
            </w:r>
            <w:r>
              <w:rPr>
                <w:color w:val="000000"/>
                <w:spacing w:val="0"/>
                <w:w w:val="100"/>
                <w:position w:val="0"/>
              </w:rPr>
              <w:t>元，募集资金于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日存入本公司募集资金专用账户中。该事项经瑞华会计师事务所（特殊 普通合伙）验证，并出具瑞华验字【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48210006</w:t>
            </w:r>
            <w:r>
              <w:rPr>
                <w:color w:val="000000"/>
                <w:spacing w:val="0"/>
                <w:w w:val="100"/>
                <w:position w:val="0"/>
              </w:rPr>
              <w:t>号验资报告。</w:t>
            </w:r>
          </w:p>
        </w:tc>
      </w:tr>
    </w:tbl>
    <w:p>
      <w:pPr>
        <w:pStyle w:val="Style44"/>
        <w:keepNext w:val="0"/>
        <w:keepLines w:val="0"/>
        <w:widowControl w:val="0"/>
        <w:shd w:val="clear" w:color="auto" w:fill="auto"/>
        <w:bidi w:val="0"/>
        <w:spacing w:before="0" w:after="0"/>
        <w:ind w:left="0" w:right="0" w:firstLine="0"/>
        <w:jc w:val="left"/>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日，公司尚未使用的募集资金余额为</w:t>
      </w:r>
      <w:r>
        <w:rPr>
          <w:color w:val="000000"/>
          <w:spacing w:val="0"/>
          <w:w w:val="100"/>
          <w:position w:val="0"/>
          <w:sz w:val="18"/>
          <w:szCs w:val="18"/>
        </w:rPr>
        <w:t>317,884,357.59</w:t>
      </w:r>
      <w:r>
        <w:rPr>
          <w:rFonts w:ascii="SimSun" w:eastAsia="SimSun" w:hAnsi="SimSun" w:cs="SimSun"/>
          <w:color w:val="000000"/>
          <w:spacing w:val="0"/>
          <w:w w:val="100"/>
          <w:position w:val="0"/>
          <w:sz w:val="16"/>
          <w:szCs w:val="16"/>
        </w:rPr>
        <w:t>元，加上利息收入</w:t>
      </w:r>
      <w:r>
        <w:rPr>
          <w:color w:val="000000"/>
          <w:spacing w:val="0"/>
          <w:w w:val="100"/>
          <w:position w:val="0"/>
          <w:sz w:val="18"/>
          <w:szCs w:val="18"/>
        </w:rPr>
        <w:t>59,089,071.77</w:t>
      </w:r>
      <w:r>
        <w:rPr>
          <w:rFonts w:ascii="SimSun" w:eastAsia="SimSun" w:hAnsi="SimSun" w:cs="SimSun"/>
          <w:color w:val="000000"/>
          <w:spacing w:val="0"/>
          <w:w w:val="100"/>
          <w:position w:val="0"/>
          <w:sz w:val="16"/>
          <w:szCs w:val="16"/>
        </w:rPr>
        <w:t>元，扣除支付 手续费</w:t>
      </w:r>
      <w:r>
        <w:rPr>
          <w:color w:val="000000"/>
          <w:spacing w:val="0"/>
          <w:w w:val="100"/>
          <w:position w:val="0"/>
          <w:sz w:val="18"/>
          <w:szCs w:val="18"/>
        </w:rPr>
        <w:t>48,673.75</w:t>
      </w:r>
      <w:r>
        <w:rPr>
          <w:rFonts w:ascii="SimSun" w:eastAsia="SimSun" w:hAnsi="SimSun" w:cs="SimSun"/>
          <w:color w:val="000000"/>
          <w:spacing w:val="0"/>
          <w:w w:val="100"/>
          <w:position w:val="0"/>
          <w:sz w:val="16"/>
          <w:szCs w:val="16"/>
        </w:rPr>
        <w:t>元，实际尚未使用的募集资金余额为</w:t>
      </w:r>
      <w:r>
        <w:rPr>
          <w:color w:val="000000"/>
          <w:spacing w:val="0"/>
          <w:w w:val="100"/>
          <w:position w:val="0"/>
          <w:sz w:val="18"/>
          <w:szCs w:val="18"/>
        </w:rPr>
        <w:t>376,924,755.61</w:t>
      </w:r>
      <w:r>
        <w:rPr>
          <w:rFonts w:ascii="SimSun" w:eastAsia="SimSun" w:hAnsi="SimSun" w:cs="SimSun"/>
          <w:color w:val="000000"/>
          <w:spacing w:val="0"/>
          <w:w w:val="100"/>
          <w:position w:val="0"/>
          <w:sz w:val="16"/>
          <w:szCs w:val="16"/>
        </w:rPr>
        <w:t>元（其中期末活期存款余额</w:t>
      </w:r>
      <w:r>
        <w:rPr>
          <w:color w:val="000000"/>
          <w:spacing w:val="0"/>
          <w:w w:val="100"/>
          <w:position w:val="0"/>
          <w:sz w:val="18"/>
          <w:szCs w:val="18"/>
        </w:rPr>
        <w:t>7,924,755.61</w:t>
      </w:r>
      <w:r>
        <w:rPr>
          <w:rFonts w:ascii="SimSun" w:eastAsia="SimSun" w:hAnsi="SimSun" w:cs="SimSun"/>
          <w:color w:val="000000"/>
          <w:spacing w:val="0"/>
          <w:w w:val="100"/>
          <w:position w:val="0"/>
          <w:sz w:val="16"/>
          <w:szCs w:val="16"/>
        </w:rPr>
        <w:t>元，期末现 金管理余额</w:t>
      </w:r>
      <w:r>
        <w:rPr>
          <w:color w:val="000000"/>
          <w:spacing w:val="0"/>
          <w:w w:val="100"/>
          <w:position w:val="0"/>
          <w:sz w:val="18"/>
          <w:szCs w:val="18"/>
        </w:rPr>
        <w:t>80,000,000.00</w:t>
      </w:r>
      <w:r>
        <w:rPr>
          <w:rFonts w:ascii="SimSun" w:eastAsia="SimSun" w:hAnsi="SimSun" w:cs="SimSun"/>
          <w:color w:val="000000"/>
          <w:spacing w:val="0"/>
          <w:w w:val="100"/>
          <w:position w:val="0"/>
          <w:sz w:val="16"/>
          <w:szCs w:val="16"/>
        </w:rPr>
        <w:t>元，期末暂时补充流动资金余额</w:t>
      </w:r>
      <w:r>
        <w:rPr>
          <w:color w:val="000000"/>
          <w:spacing w:val="0"/>
          <w:w w:val="100"/>
          <w:position w:val="0"/>
          <w:sz w:val="18"/>
          <w:szCs w:val="18"/>
        </w:rPr>
        <w:t>289,000,000.00</w:t>
      </w:r>
      <w:r>
        <w:rPr>
          <w:rFonts w:ascii="SimSun" w:eastAsia="SimSun" w:hAnsi="SimSun" w:cs="SimSun"/>
          <w:color w:val="000000"/>
          <w:spacing w:val="0"/>
          <w:w w:val="100"/>
          <w:position w:val="0"/>
          <w:sz w:val="16"/>
          <w:szCs w:val="16"/>
        </w:rPr>
        <w:t>元）。</w:t>
      </w:r>
    </w:p>
    <w:p>
      <w:pPr>
        <w:pStyle w:val="Style22"/>
        <w:keepNext w:val="0"/>
        <w:keepLines w:val="0"/>
        <w:widowControl w:val="0"/>
        <w:shd w:val="clear" w:color="auto" w:fill="auto"/>
        <w:bidi w:val="0"/>
        <w:spacing w:before="0" w:after="0" w:line="314" w:lineRule="exact"/>
        <w:ind w:left="0" w:right="0" w:firstLine="0"/>
        <w:jc w:val="left"/>
      </w:pPr>
      <w:bookmarkStart w:id="216" w:name="bookmark216"/>
      <w:r>
        <w:rPr>
          <w:b/>
          <w:bCs/>
          <w:color w:val="000000"/>
          <w:spacing w:val="0"/>
          <w:w w:val="100"/>
          <w:position w:val="0"/>
        </w:rPr>
        <w:t>二</w:t>
      </w:r>
      <w:bookmarkEnd w:id="216"/>
      <w:r>
        <w:rPr>
          <w:b/>
          <w:bCs/>
          <w:color w:val="000000"/>
          <w:spacing w:val="0"/>
          <w:w w:val="100"/>
          <w:position w:val="0"/>
        </w:rPr>
        <w:t>、本次募集资金的管理情况</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根据《募集资金管理制度》，公司对募集资金实行专户存储，在平安银行深圳华侨城支行、兴业银行深圳华富支行、兴业 银行深圳深南支行、光大银行深圳熙龙湾支行、北京银行深圳南山支行、上海银行深圳君汇支行、交通银行深圳光明支行 等银行设立了九个募集资金专用账户，对募集资金的使用实行严格的审批程序，以保证专款专用。公司于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日与开户银行、保荐机构签订了《募集资金专户存储三方监管协议》。该监管协议主 要条款与深圳证券交易所《募集资金专户存储三方监管协议（范本）》不存在重大差异。截至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 资金专用账户三方监管协议》得到了切实有效的履行。</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日公司未发生将募集资金用于质押、委托贷款或其他变相改变募集资金用途的投资现象，也不存在 募集资金被占用或挪用现象。</w:t>
      </w:r>
    </w:p>
    <w:p>
      <w:pPr>
        <w:pStyle w:val="Style22"/>
        <w:keepNext w:val="0"/>
        <w:keepLines w:val="0"/>
        <w:widowControl w:val="0"/>
        <w:shd w:val="clear" w:color="auto" w:fill="auto"/>
        <w:bidi w:val="0"/>
        <w:spacing w:before="0" w:after="14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日，公司募集资金存放与结余情况如下：</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3734"/>
        <w:gridCol w:w="1805"/>
      </w:tblGrid>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期末银行存款余额</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平安银行深圳华侨城支行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1580 4395 6123 83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428,597.59</w:t>
            </w:r>
          </w:p>
        </w:tc>
      </w:tr>
      <w:tr>
        <w:trPr>
          <w:trHeight w:val="3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上海银行深圳君汇支行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0039 2972 0300 3399 442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1,514,208.17</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交通银行深圳光明支行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4438 9999 1010 0058 8640 0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4,094,519.25</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平安银行深圳华侨城支行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1500 0106 1163 82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1,887,430.60</w:t>
            </w:r>
          </w:p>
        </w:tc>
      </w:tr>
      <w:tr>
        <w:trPr>
          <w:trHeight w:val="33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7,924,755.61</w:t>
            </w:r>
          </w:p>
        </w:tc>
      </w:tr>
    </w:tbl>
    <w:p>
      <w:pPr>
        <w:widowControl w:val="0"/>
        <w:spacing w:after="79" w:line="1" w:lineRule="exact"/>
      </w:pPr>
    </w:p>
    <w:p>
      <w:pPr>
        <w:pStyle w:val="Style22"/>
        <w:keepNext w:val="0"/>
        <w:keepLines w:val="0"/>
        <w:widowControl w:val="0"/>
        <w:shd w:val="clear" w:color="auto" w:fill="auto"/>
        <w:tabs>
          <w:tab w:pos="394" w:val="left"/>
        </w:tabs>
        <w:bidi w:val="0"/>
        <w:spacing w:before="0" w:after="140" w:line="240" w:lineRule="auto"/>
        <w:ind w:left="0" w:right="0" w:firstLine="0"/>
        <w:jc w:val="left"/>
      </w:pPr>
      <w:bookmarkStart w:id="217" w:name="bookmark217"/>
      <w:r>
        <w:rPr>
          <w:b/>
          <w:bCs/>
          <w:color w:val="000000"/>
          <w:spacing w:val="0"/>
          <w:w w:val="100"/>
          <w:position w:val="0"/>
        </w:rPr>
        <w:t>三</w:t>
      </w:r>
      <w:bookmarkEnd w:id="217"/>
      <w:r>
        <w:rPr>
          <w:b/>
          <w:bCs/>
          <w:color w:val="000000"/>
          <w:spacing w:val="0"/>
          <w:w w:val="100"/>
          <w:position w:val="0"/>
        </w:rPr>
        <w:t>、</w:t>
        <w:tab/>
        <w:t>本次募集资金投资项目基本情况</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6"/>
          <w:szCs w:val="16"/>
        </w:rPr>
        <w:t>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募集资金承诺项目情况</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394" w:val="left"/>
        </w:tabs>
        <w:bidi w:val="0"/>
        <w:spacing w:before="0" w:after="0" w:line="240" w:lineRule="auto"/>
        <w:ind w:left="0" w:right="0" w:firstLine="0"/>
        <w:jc w:val="left"/>
      </w:pPr>
      <w:bookmarkStart w:id="218" w:name="bookmark218"/>
      <w:r>
        <w:rPr>
          <w:b/>
          <w:bCs/>
          <w:color w:val="000000"/>
          <w:spacing w:val="0"/>
          <w:w w:val="100"/>
          <w:position w:val="0"/>
        </w:rPr>
        <w:t>四</w:t>
      </w:r>
      <w:bookmarkEnd w:id="218"/>
      <w:r>
        <w:rPr>
          <w:b/>
          <w:bCs/>
          <w:color w:val="000000"/>
          <w:spacing w:val="0"/>
          <w:w w:val="100"/>
          <w:position w:val="0"/>
        </w:rPr>
        <w:t>、</w:t>
        <w:tab/>
        <w:t xml:space="preserve">募集资金投资项目先期投入及置换情况 </w:t>
      </w:r>
      <w:r>
        <w:rPr>
          <w:color w:val="000000"/>
          <w:spacing w:val="0"/>
          <w:w w:val="100"/>
          <w:position w:val="0"/>
        </w:rPr>
        <w:t>根据《非公开发行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股股票方案的预案》，在本次募集资金到位前，公司将以自筹资金对上述募集资金项目先行投入，待 募集资金到位后以募集资金置换上述先行投入的资金。截至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日，公司以自筹资金预先投入上述募集资金 投资项目款项计人民币</w:t>
      </w:r>
      <w:r>
        <w:rPr>
          <w:rFonts w:ascii="Times New Roman" w:eastAsia="Times New Roman" w:hAnsi="Times New Roman" w:cs="Times New Roman"/>
          <w:color w:val="000000"/>
          <w:spacing w:val="0"/>
          <w:w w:val="100"/>
          <w:position w:val="0"/>
          <w:sz w:val="18"/>
          <w:szCs w:val="18"/>
        </w:rPr>
        <w:t>236,431,102.79</w:t>
      </w:r>
      <w:r>
        <w:rPr>
          <w:color w:val="000000"/>
          <w:spacing w:val="0"/>
          <w:w w:val="100"/>
          <w:position w:val="0"/>
        </w:rPr>
        <w:t>元，该事项业经瑞华会计师事务所（特殊普通合伙）验证，并出具瑞华核字【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48210017</w:t>
      </w:r>
      <w:r>
        <w:rPr>
          <w:color w:val="000000"/>
          <w:spacing w:val="0"/>
          <w:w w:val="100"/>
          <w:position w:val="0"/>
        </w:rPr>
        <w:t>号审计报告。公司于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年第十一次会议审议通过了《关于使用募集资 金置换预先已投入募投项目的自筹资金的议案》，同意公司用募集资金人民币</w:t>
      </w:r>
      <w:r>
        <w:rPr>
          <w:rFonts w:ascii="Times New Roman" w:eastAsia="Times New Roman" w:hAnsi="Times New Roman" w:cs="Times New Roman"/>
          <w:color w:val="000000"/>
          <w:spacing w:val="0"/>
          <w:w w:val="100"/>
          <w:position w:val="0"/>
          <w:sz w:val="18"/>
          <w:szCs w:val="18"/>
        </w:rPr>
        <w:t>236,431,102.79</w:t>
      </w:r>
      <w:r>
        <w:rPr>
          <w:color w:val="000000"/>
          <w:spacing w:val="0"/>
          <w:w w:val="100"/>
          <w:position w:val="0"/>
        </w:rPr>
        <w:t>元置换募投项目先期投入的自 筹资金。募集资金到账后，公司分别于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日将上述预先投 入募投项目的自筹资金由募集资金账户转至公司普通账户。</w:t>
      </w:r>
    </w:p>
    <w:p>
      <w:pPr>
        <w:pStyle w:val="Style22"/>
        <w:keepNext w:val="0"/>
        <w:keepLines w:val="0"/>
        <w:widowControl w:val="0"/>
        <w:shd w:val="clear" w:color="auto" w:fill="auto"/>
        <w:tabs>
          <w:tab w:pos="390" w:val="left"/>
        </w:tabs>
        <w:bidi w:val="0"/>
        <w:spacing w:before="0" w:after="0" w:line="314" w:lineRule="exact"/>
        <w:ind w:left="0" w:right="0" w:firstLine="0"/>
        <w:jc w:val="left"/>
      </w:pPr>
      <w:bookmarkStart w:id="219" w:name="bookmark219"/>
      <w:r>
        <w:rPr>
          <w:b/>
          <w:bCs/>
          <w:color w:val="000000"/>
          <w:spacing w:val="0"/>
          <w:w w:val="100"/>
          <w:position w:val="0"/>
        </w:rPr>
        <w:t>五</w:t>
      </w:r>
      <w:bookmarkEnd w:id="219"/>
      <w:r>
        <w:rPr>
          <w:b/>
          <w:bCs/>
          <w:color w:val="000000"/>
          <w:spacing w:val="0"/>
          <w:w w:val="100"/>
          <w:position w:val="0"/>
        </w:rPr>
        <w:t>、</w:t>
        <w:tab/>
        <w:t>用闲置募集资金暂时补充流动资金情况</w:t>
      </w:r>
    </w:p>
    <w:p>
      <w:pPr>
        <w:pStyle w:val="Style2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6"/>
          <w:szCs w:val="16"/>
        </w:rPr>
        <w:t>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用闲置募集资金暂时补充流动资金情况</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394" w:val="left"/>
        </w:tabs>
        <w:bidi w:val="0"/>
        <w:spacing w:before="0" w:after="0" w:line="314" w:lineRule="exact"/>
        <w:ind w:left="0" w:right="0" w:firstLine="0"/>
        <w:jc w:val="left"/>
      </w:pPr>
      <w:bookmarkStart w:id="220" w:name="bookmark220"/>
      <w:r>
        <w:rPr>
          <w:b/>
          <w:bCs/>
          <w:color w:val="000000"/>
          <w:spacing w:val="0"/>
          <w:w w:val="100"/>
          <w:position w:val="0"/>
        </w:rPr>
        <w:t>六</w:t>
      </w:r>
      <w:bookmarkEnd w:id="220"/>
      <w:r>
        <w:rPr>
          <w:b/>
          <w:bCs/>
          <w:color w:val="000000"/>
          <w:spacing w:val="0"/>
          <w:w w:val="100"/>
          <w:position w:val="0"/>
        </w:rPr>
        <w:t>、</w:t>
        <w:tab/>
        <w:t>使用部分闲置募集资金进行现金管理的情况</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年第八次会议审议通过了《关于提前收回进行现金管理的部分闲置募 集资金并继续进行现金管理的议案》，同意将使用部分闲置募集资金购买的尚未到期的理财产品提前收回，在确保不影响 募集资金投资项目正常进行的前提下，继续使用不超过人民币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亿元）额度的闲置募集资金进行现金管理，在 上述额度内，闲置募集资金进行现金管理的期限自董事会审议通过之日起</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个月内可滚动使用，投资单个理财产品的期 限不得超过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个月，并授权公司法定代表人根据市场情况在该额度内行使相关投资决策并签署相关文件。</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报告期内公司进行现金管理如下：</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日，公司购买了交通银行深圳光明支行发行的对公结构性存款产品，该产品为保本浮动收益型产品，金额为 </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日，公司购买了平安银行深圳华侨城支行发行的对公结构性存款产品，该产品为保本浮动收益型产品，金额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日，公司购买了交通银行深圳光明支行发行的对公结构性存款产品，该产品为保本浮动收益型产品，金额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日，公司购买了平安银行深圳华侨城支行的对公结构性存款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天通知存款产品，该产品为保本浮动收益型 产品，金额为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日，公司购买了平安银行深圳华侨城支行的对公结构性存款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天通知存款产品，该产品为保本浮动收益型 产品，金额为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日，公司购买了平安银行深圳华侨城支行的对公结构性存款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天通知存款产品，该产品为保本浮动收益型 产品，金额为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日，公司现金管理尚未到期余额为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37"/>
        <w:keepNext/>
        <w:keepLines/>
        <w:widowControl w:val="0"/>
        <w:numPr>
          <w:ilvl w:val="0"/>
          <w:numId w:val="15"/>
        </w:numPr>
        <w:shd w:val="clear" w:color="auto" w:fill="auto"/>
        <w:bidi w:val="0"/>
        <w:spacing w:before="0" w:after="400" w:line="240" w:lineRule="auto"/>
        <w:ind w:left="0" w:right="0" w:firstLine="0"/>
        <w:jc w:val="both"/>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是否已变</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更项目</w:t>
            </w:r>
          </w:p>
          <w:p>
            <w:pPr>
              <w:pStyle w:val="Style1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16"/>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16"/>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16"/>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技术的智 能物联运营支撑系统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19,661.81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18,407.74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贵州省食品安全(含药 品保健品)物联网与大 数据营销溯源平台项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劲嘉新型材料精品包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35,524.58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安徽新型材料精品包 装及智能化升级项目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7,981.96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7,981.96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贵州新型材料精品包 装及智能化升级项目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9,582.72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9,582.72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江苏新型材料精品包 装及智能化升级技术 改造项目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劲嘉智能化包装升级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包装技术研发中心项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15,172.08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中丰田光电科技改扩 建项目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山东新型</w:t>
            </w:r>
            <w:r>
              <w:rPr>
                <w:rFonts w:ascii="Times New Roman" w:eastAsia="Times New Roman" w:hAnsi="Times New Roman" w:cs="Times New Roman"/>
                <w:color w:val="000000"/>
                <w:spacing w:val="0"/>
                <w:w w:val="100"/>
                <w:position w:val="0"/>
                <w:sz w:val="18"/>
                <w:szCs w:val="18"/>
              </w:rPr>
              <w:t>BOPP</w:t>
            </w:r>
            <w:r>
              <w:rPr>
                <w:color w:val="000000"/>
                <w:spacing w:val="0"/>
                <w:w w:val="100"/>
                <w:position w:val="0"/>
              </w:rPr>
              <w:t>薄膜 及复合纸材料项目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162,461.8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120,384.0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25,715.43</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162,461.8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20,911.63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120,384.0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25,715.43</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为保障募集资金使用效率最大化，根据部分募集资金投资项目的实际情况延长其达到预定可使用状 态日期，详见附表三（募集资金投资项目的延期原因及调整情况）；部分项目于近期完成结项，尚处 于磨合期。</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鉴于市场环境的变化以及公司发展战略、生产经营的实际情况，为确保募集资金有效使用，公司将 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贵州省食品安全（含药品保健品）物联网与大数据营销溯源平台项目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中丰田光电科技改扩建项目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80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59"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日召开的公司第五届董事会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年第一次会议审议通过的《关于变更部分募集 资金投资项目的议案》，公司将原募集资金投资项目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贵州省食品安全（含药品保健品）物联网与大 数据营销溯源平台项目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中丰田光电科技改扩建项目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，项目实施地点由贵州省贵阳市变更 为广东省珠海市。</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日召开的公司第六届董事会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年第七次会议审议通过了《关于变更部分募 投项目募集资金用途暨新增募投项目的议案》，公司拟变更部分募投项目募集资金用途，变更部分的 募集资金将用于新增的募集资金投资项目，公司拟变更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技术的智能物联运营支撑系统项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的部分募集资金用途，变更募集资金金额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亿元用于新增募集资金投资项目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山东新型</w:t>
            </w:r>
            <w:r>
              <w:rPr>
                <w:rFonts w:ascii="Times New Roman" w:eastAsia="Times New Roman" w:hAnsi="Times New Roman" w:cs="Times New Roman"/>
                <w:color w:val="000000"/>
                <w:spacing w:val="0"/>
                <w:w w:val="100"/>
                <w:position w:val="0"/>
                <w:sz w:val="18"/>
                <w:szCs w:val="18"/>
              </w:rPr>
              <w:t>BOPP</w:t>
            </w:r>
            <w:r>
              <w:rPr>
                <w:color w:val="000000"/>
                <w:spacing w:val="0"/>
                <w:w w:val="100"/>
                <w:position w:val="0"/>
              </w:rPr>
              <w:t>薄 膜及复合纸材料项目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，实施主体为公司全资子公司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苗泽中丰田光电科技有限公司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，实施地点由广 东省深圳市变更为山东省苗泽市。</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年第一次会议审议通过了《关于调整部分募集资金投资 项目建设内容的议案》，为了达到募集资金使用效率的最大化，保证募集资金投资项目的整体效益， 公司基于云计算技术快速发展、智能物联运营支撑系统的需要，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技术的智能物联运营支 撑系统项目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在原有投资项目基础上新增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物联网研发运营服务中心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投资项目。</w:t>
            </w: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在募集资金到位前，公司利用自有资金对募集资金项目累计已投入</w:t>
            </w:r>
            <w:r>
              <w:rPr>
                <w:rFonts w:ascii="Times New Roman" w:eastAsia="Times New Roman" w:hAnsi="Times New Roman" w:cs="Times New Roman"/>
                <w:color w:val="000000"/>
                <w:spacing w:val="0"/>
                <w:w w:val="100"/>
                <w:position w:val="0"/>
                <w:sz w:val="18"/>
                <w:szCs w:val="18"/>
              </w:rPr>
              <w:t>23.643.1</w:t>
            </w:r>
            <w:r>
              <w:rPr>
                <w:color w:val="000000"/>
                <w:spacing w:val="0"/>
                <w:w w:val="100"/>
                <w:position w:val="0"/>
              </w:rPr>
              <w:t>万元。募集资金到位后， 置换出了先期投入的垫付资金</w:t>
            </w:r>
            <w:r>
              <w:rPr>
                <w:rFonts w:ascii="Times New Roman" w:eastAsia="Times New Roman" w:hAnsi="Times New Roman" w:cs="Times New Roman"/>
                <w:color w:val="000000"/>
                <w:spacing w:val="0"/>
                <w:w w:val="100"/>
                <w:position w:val="0"/>
                <w:sz w:val="18"/>
                <w:szCs w:val="18"/>
              </w:rPr>
              <w:t>23,643.1</w:t>
            </w:r>
            <w:r>
              <w:rPr>
                <w:color w:val="000000"/>
                <w:spacing w:val="0"/>
                <w:w w:val="100"/>
                <w:position w:val="0"/>
              </w:rPr>
              <w:t>万元。本次置换已经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年第十一次会议审议通过。</w:t>
            </w:r>
          </w:p>
        </w:tc>
      </w:tr>
      <w:tr>
        <w:trPr>
          <w:trHeight w:val="39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年第八次会议审议通过了《关于提前归还募集资金 继续使用部分闲置募集资金暂时补充流动资金的议案》，同意公司归还前次用于暂时补充流动资金的 部分闲置募集资金后，继续使用不超过人民币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亿元）闲置募集资金暂时补充流动资 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日，公司使用闲置募集资金暂时补充流动资金余额</w:t>
            </w:r>
            <w:r>
              <w:rPr>
                <w:rFonts w:ascii="Times New Roman" w:eastAsia="Times New Roman" w:hAnsi="Times New Roman" w:cs="Times New Roman"/>
                <w:color w:val="000000"/>
                <w:spacing w:val="0"/>
                <w:w w:val="100"/>
                <w:position w:val="0"/>
                <w:sz w:val="18"/>
                <w:szCs w:val="18"/>
              </w:rPr>
              <w:t>28,900.00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7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本着合理、节约及有效地使用募集资金的原则，中丰田光电科技改扩建项目，劲嘉智能化包装升级 项目，安徽新型材料精品包装及智能化升级项目，劲嘉新型材料精品包装项目、贵州新型材料精品 包装及智能化升级项目结项后有结余募集资金。</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日，公司用闲置募集资金永久补充流动资金的金额为</w:t>
            </w:r>
            <w:r>
              <w:rPr>
                <w:rFonts w:ascii="Times New Roman" w:eastAsia="Times New Roman" w:hAnsi="Times New Roman" w:cs="Times New Roman"/>
                <w:color w:val="000000"/>
                <w:spacing w:val="0"/>
                <w:w w:val="100"/>
                <w:position w:val="0"/>
                <w:sz w:val="18"/>
                <w:szCs w:val="18"/>
              </w:rPr>
              <w:t>10,289.34</w:t>
            </w:r>
            <w:r>
              <w:rPr>
                <w:color w:val="000000"/>
                <w:spacing w:val="0"/>
                <w:w w:val="100"/>
                <w:position w:val="0"/>
              </w:rPr>
              <w:t>万元。</w:t>
            </w: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sz w:val="18"/>
                <w:szCs w:val="18"/>
              </w:rPr>
              <w:t>317,884,357.59</w:t>
            </w:r>
            <w:r>
              <w:rPr>
                <w:color w:val="000000"/>
                <w:spacing w:val="0"/>
                <w:w w:val="100"/>
                <w:position w:val="0"/>
              </w:rPr>
              <w:t xml:space="preserve">元，加上利息收入 </w:t>
            </w:r>
            <w:r>
              <w:rPr>
                <w:rFonts w:ascii="Times New Roman" w:eastAsia="Times New Roman" w:hAnsi="Times New Roman" w:cs="Times New Roman"/>
                <w:color w:val="000000"/>
                <w:spacing w:val="0"/>
                <w:w w:val="100"/>
                <w:position w:val="0"/>
                <w:sz w:val="18"/>
                <w:szCs w:val="18"/>
              </w:rPr>
              <w:t>59,089,071.77</w:t>
            </w:r>
            <w:r>
              <w:rPr>
                <w:color w:val="000000"/>
                <w:spacing w:val="0"/>
                <w:w w:val="100"/>
                <w:position w:val="0"/>
              </w:rPr>
              <w:t>元，扣除支付手续费</w:t>
            </w:r>
            <w:r>
              <w:rPr>
                <w:rFonts w:ascii="Times New Roman" w:eastAsia="Times New Roman" w:hAnsi="Times New Roman" w:cs="Times New Roman"/>
                <w:color w:val="000000"/>
                <w:spacing w:val="0"/>
                <w:w w:val="100"/>
                <w:position w:val="0"/>
                <w:sz w:val="18"/>
                <w:szCs w:val="18"/>
              </w:rPr>
              <w:t>48,673.75</w:t>
            </w:r>
            <w:r>
              <w:rPr>
                <w:color w:val="000000"/>
                <w:spacing w:val="0"/>
                <w:w w:val="100"/>
                <w:position w:val="0"/>
              </w:rPr>
              <w:t>元，实际尚未使用的募集资金余额为</w:t>
            </w:r>
            <w:r>
              <w:rPr>
                <w:rFonts w:ascii="Times New Roman" w:eastAsia="Times New Roman" w:hAnsi="Times New Roman" w:cs="Times New Roman"/>
                <w:color w:val="000000"/>
                <w:spacing w:val="0"/>
                <w:w w:val="100"/>
                <w:position w:val="0"/>
                <w:sz w:val="18"/>
                <w:szCs w:val="18"/>
              </w:rPr>
              <w:t>376,924,755.61</w:t>
            </w:r>
            <w:r>
              <w:rPr>
                <w:color w:val="000000"/>
                <w:spacing w:val="0"/>
                <w:w w:val="100"/>
                <w:position w:val="0"/>
              </w:rPr>
              <w:t>元</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（其中期末活期存款余额</w:t>
            </w:r>
            <w:r>
              <w:rPr>
                <w:rFonts w:ascii="Times New Roman" w:eastAsia="Times New Roman" w:hAnsi="Times New Roman" w:cs="Times New Roman"/>
                <w:color w:val="000000"/>
                <w:spacing w:val="0"/>
                <w:w w:val="100"/>
                <w:position w:val="0"/>
                <w:sz w:val="18"/>
                <w:szCs w:val="18"/>
              </w:rPr>
              <w:t>7,924,755.61</w:t>
            </w:r>
            <w:r>
              <w:rPr>
                <w:color w:val="000000"/>
                <w:spacing w:val="0"/>
                <w:w w:val="100"/>
                <w:position w:val="0"/>
              </w:rPr>
              <w:t>元，期末现金管理余额</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 xml:space="preserve">元，期末暂时补充流动 资金余额 </w:t>
            </w:r>
            <w:r>
              <w:rPr>
                <w:rFonts w:ascii="Times New Roman" w:eastAsia="Times New Roman" w:hAnsi="Times New Roman" w:cs="Times New Roman"/>
                <w:color w:val="000000"/>
                <w:spacing w:val="0"/>
                <w:w w:val="100"/>
                <w:position w:val="0"/>
                <w:sz w:val="18"/>
                <w:szCs w:val="18"/>
              </w:rPr>
              <w:t xml:space="preserve">289,000,000.00 </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八</w:t>
      </w:r>
      <w:bookmarkEnd w:id="231"/>
      <w:r>
        <w:rPr>
          <w:color w:val="000000"/>
          <w:spacing w:val="0"/>
          <w:w w:val="100"/>
          <w:position w:val="0"/>
        </w:rPr>
        <w:t>、重大资产和股权出售</w:t>
      </w:r>
      <w:bookmarkEnd w:id="229"/>
      <w:bookmarkEnd w:id="230"/>
      <w:bookmarkEnd w:id="232"/>
    </w:p>
    <w:p>
      <w:pPr>
        <w:pStyle w:val="Style32"/>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、出售重大资产情况</w:t>
      </w:r>
      <w:bookmarkEnd w:id="233"/>
      <w:bookmarkEnd w:id="234"/>
      <w:bookmarkEnd w:id="23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r>
        <w:br w:type="page"/>
      </w:r>
    </w:p>
    <w:p>
      <w:pPr>
        <w:pStyle w:val="Style32"/>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、出售重大股权情况</w:t>
      </w:r>
      <w:bookmarkEnd w:id="237"/>
      <w:bookmarkEnd w:id="238"/>
      <w:bookmarkEnd w:id="24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71"/>
        <w:gridCol w:w="566"/>
        <w:gridCol w:w="566"/>
        <w:gridCol w:w="571"/>
        <w:gridCol w:w="989"/>
        <w:gridCol w:w="427"/>
        <w:gridCol w:w="1094"/>
        <w:gridCol w:w="466"/>
        <w:gridCol w:w="422"/>
        <w:gridCol w:w="566"/>
        <w:gridCol w:w="710"/>
        <w:gridCol w:w="1133"/>
        <w:gridCol w:w="566"/>
        <w:gridCol w:w="931"/>
      </w:tblGrid>
      <w:tr>
        <w:trPr>
          <w:trHeight w:val="228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被出</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售股</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 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本期初起至 出售日该股 权为上市公 司贡献的净 利润（万元）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 对公 司的 影响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股权出售为 上市公司贡 献的净利润 占净利润总</w:t>
            </w:r>
          </w:p>
          <w:p>
            <w:pPr>
              <w:pStyle w:val="Style16"/>
              <w:keepNext w:val="0"/>
              <w:keepLines w:val="0"/>
              <w:widowControl w:val="0"/>
              <w:shd w:val="clear" w:color="auto" w:fill="auto"/>
              <w:bidi w:val="0"/>
              <w:spacing w:before="0" w:after="0" w:line="312" w:lineRule="exact"/>
              <w:ind w:left="0" w:right="0" w:firstLine="180"/>
              <w:jc w:val="left"/>
            </w:pPr>
            <w:r>
              <w:rPr>
                <w:color w:val="000000"/>
                <w:spacing w:val="0"/>
                <w:w w:val="100"/>
                <w:position w:val="0"/>
              </w:rPr>
              <w:t>额的比例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股权 出售 定价 原则</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与交 易对 方的 关联 关系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是否按计划 如期实施，如 未按计划实 施，应当说明 原因及公司 已采取的措 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刊登于法</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定披露媒</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对公 司不 构成 重大 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体的《关于</w:t>
            </w:r>
          </w:p>
        </w:tc>
      </w:tr>
      <w:tr>
        <w:trPr>
          <w:trHeight w:val="931"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w:t>
            </w:r>
          </w:p>
        </w:tc>
        <w:tc>
          <w:tcPr>
            <w:vMerge w:val="restart"/>
            <w:tcBorders>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 嘉颐 泽</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9,568.</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公允</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嘉泽</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司的</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09</w:t>
            </w:r>
          </w:p>
          <w:p>
            <w:pPr>
              <w:pStyle w:val="Style1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公司转让</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全资子公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司股权暨</w:t>
            </w: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w:t>
            </w:r>
          </w:p>
        </w:tc>
      </w:tr>
      <w:tr>
        <w:trPr>
          <w:trHeight w:val="312"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财务资助 的关联交 易公告》</w:t>
            </w: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九</w:t>
      </w:r>
      <w:bookmarkEnd w:id="243"/>
      <w:r>
        <w:rPr>
          <w:color w:val="000000"/>
          <w:spacing w:val="0"/>
          <w:w w:val="100"/>
          <w:position w:val="0"/>
        </w:rPr>
        <w:t>、主要控股参股公司分析</w:t>
      </w:r>
      <w:bookmarkEnd w:id="241"/>
      <w:bookmarkEnd w:id="242"/>
      <w:bookmarkEnd w:id="24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1450"/>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新型包装材料、包 装装潢印刷品的 设计、生产和销售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RMB11,000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755,477,787.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504,146,450.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404,585,294.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145,389,493.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124,807,980.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智能包装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智能包装制品、包 装材料等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RMB10,000 </w:t>
            </w:r>
            <w:r>
              <w:rPr>
                <w:color w:val="000000"/>
                <w:spacing w:val="0"/>
                <w:w w:val="100"/>
                <w:position w:val="0"/>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628,637,397.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276,295,957.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1,476,958,68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108,578,514.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100,484,159.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开发生产销售激</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光新材料和高性</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能涂料等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USD1,090 </w:t>
            </w:r>
            <w:r>
              <w:rPr>
                <w:color w:val="000000"/>
                <w:spacing w:val="0"/>
                <w:w w:val="100"/>
                <w:position w:val="0"/>
              </w:rPr>
              <w:t>万 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1,077,375,41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234,556,846.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708,339,149.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70,491,742.6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63,895,374.8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包装装潢印刷品、 其他印刷品等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RMB10,279.</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796,940,732.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388,894,314.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477,580,221.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88,808,552.3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71,417,846.0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遵义劲嘉新型智能包装有限公司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预计对未来业绩产生积极影响</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深圳鼎盛丰华科技有限公司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预计对未来业绩产生积极影响</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深圳云普星河科技服务有限公司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预计对未来业绩产生积极影响</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印尼云普星河有限责任公司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预计对未来业绩产生积极影响</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青岛英诺包装科技有限公司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预计对未来业绩产生积极影响</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青岛嘉颐泽印刷包装有限公司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预计对未来业绩不产生重大影响</w:t>
            </w:r>
          </w:p>
        </w:tc>
      </w:tr>
    </w:tbl>
    <w:p>
      <w:pPr>
        <w:pStyle w:val="Style22"/>
        <w:keepNext w:val="0"/>
        <w:keepLines w:val="0"/>
        <w:widowControl w:val="0"/>
        <w:shd w:val="clear" w:color="auto" w:fill="auto"/>
        <w:bidi w:val="0"/>
        <w:spacing w:before="0" w:after="380" w:line="350" w:lineRule="exact"/>
        <w:ind w:left="0" w:right="0" w:firstLine="0"/>
        <w:jc w:val="both"/>
      </w:pPr>
      <w:r>
        <w:rPr>
          <w:color w:val="000000"/>
          <w:spacing w:val="0"/>
          <w:w w:val="100"/>
          <w:position w:val="0"/>
        </w:rPr>
        <w:t>主要控股参股公司情况说明 无</w:t>
      </w:r>
    </w:p>
    <w:p>
      <w:pPr>
        <w:pStyle w:val="Style27"/>
        <w:keepNext/>
        <w:keepLines/>
        <w:widowControl w:val="0"/>
        <w:shd w:val="clear" w:color="auto" w:fill="auto"/>
        <w:bidi w:val="0"/>
        <w:spacing w:before="0" w:after="380" w:line="240" w:lineRule="auto"/>
        <w:ind w:left="0" w:right="0" w:firstLine="0"/>
        <w:jc w:val="both"/>
      </w:pPr>
      <w:bookmarkStart w:id="245" w:name="bookmark245"/>
      <w:bookmarkStart w:id="246" w:name="bookmark246"/>
      <w:bookmarkStart w:id="247" w:name="bookmark247"/>
      <w:r>
        <w:rPr>
          <w:color w:val="000000"/>
          <w:spacing w:val="0"/>
          <w:w w:val="100"/>
          <w:position w:val="0"/>
        </w:rPr>
        <w:t>十、公司控制的结构化主体情况</w:t>
      </w:r>
      <w:bookmarkEnd w:id="245"/>
      <w:bookmarkEnd w:id="246"/>
      <w:bookmarkEnd w:id="247"/>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248" w:name="bookmark248"/>
      <w:bookmarkStart w:id="249" w:name="bookmark249"/>
      <w:bookmarkStart w:id="250" w:name="bookmark250"/>
      <w:r>
        <w:rPr>
          <w:color w:val="000000"/>
          <w:spacing w:val="0"/>
          <w:w w:val="100"/>
          <w:position w:val="0"/>
        </w:rPr>
        <w:t>十一、公司未来发展的展望</w:t>
      </w:r>
      <w:bookmarkEnd w:id="248"/>
      <w:bookmarkEnd w:id="249"/>
      <w:bookmarkEnd w:id="250"/>
    </w:p>
    <w:p>
      <w:pPr>
        <w:pStyle w:val="Style22"/>
        <w:keepNext w:val="0"/>
        <w:keepLines w:val="0"/>
        <w:widowControl w:val="0"/>
        <w:shd w:val="clear" w:color="auto" w:fill="auto"/>
        <w:bidi w:val="0"/>
        <w:spacing w:before="0" w:after="0" w:line="314" w:lineRule="exact"/>
        <w:ind w:left="0" w:right="0" w:firstLine="320"/>
        <w:jc w:val="both"/>
      </w:pPr>
      <w:r>
        <w:rPr>
          <w:b/>
          <w:bCs/>
          <w:color w:val="000000"/>
          <w:spacing w:val="0"/>
          <w:w w:val="100"/>
          <w:position w:val="0"/>
        </w:rPr>
        <w:t>（一）公司的发展战略</w:t>
      </w:r>
    </w:p>
    <w:p>
      <w:pPr>
        <w:pStyle w:val="Style2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公司定位为烟草核心配套供应商及大型现代化综合包装产业集团。经过多年发展，公司已成长为国内烟标行业领军企业， 并将烟草供应链服务延伸至接装纸、框架纸、烟膜等产品品类。同时，依托在烟标行业积累的设计能力、技术创新能力、客 户服务和响应能力，公司包装业务下游客户已拓展至精品烟酒茶、电子产品、化妆品等领域。十四五期间，公司主业按如下 战略规划展开：</w:t>
      </w:r>
    </w:p>
    <w:p>
      <w:pPr>
        <w:pStyle w:val="Style22"/>
        <w:keepNext w:val="0"/>
        <w:keepLines w:val="0"/>
        <w:widowControl w:val="0"/>
        <w:numPr>
          <w:ilvl w:val="0"/>
          <w:numId w:val="17"/>
        </w:numPr>
        <w:shd w:val="clear" w:color="auto" w:fill="auto"/>
        <w:tabs>
          <w:tab w:pos="610" w:val="left"/>
        </w:tabs>
        <w:bidi w:val="0"/>
        <w:spacing w:before="0" w:after="0" w:line="314" w:lineRule="exact"/>
        <w:ind w:left="0" w:right="0" w:firstLine="360"/>
        <w:jc w:val="both"/>
      </w:pPr>
      <w:bookmarkStart w:id="251" w:name="bookmark251"/>
      <w:bookmarkEnd w:id="251"/>
      <w:r>
        <w:rPr>
          <w:color w:val="000000"/>
          <w:spacing w:val="0"/>
          <w:w w:val="100"/>
          <w:position w:val="0"/>
        </w:rPr>
        <w:t>烟标业务继续做精做深，巩固核心优势</w:t>
      </w:r>
    </w:p>
    <w:p>
      <w:pPr>
        <w:pStyle w:val="Style22"/>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年烟草行业实现工商税利总额</w:t>
      </w:r>
      <w:r>
        <w:rPr>
          <w:rFonts w:ascii="Times New Roman" w:eastAsia="Times New Roman" w:hAnsi="Times New Roman" w:cs="Times New Roman"/>
          <w:color w:val="000000"/>
          <w:spacing w:val="0"/>
          <w:w w:val="100"/>
          <w:position w:val="0"/>
          <w:sz w:val="18"/>
          <w:szCs w:val="18"/>
        </w:rPr>
        <w:t>13,581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，财政总额</w:t>
      </w:r>
      <w:r>
        <w:rPr>
          <w:rFonts w:ascii="Times New Roman" w:eastAsia="Times New Roman" w:hAnsi="Times New Roman" w:cs="Times New Roman"/>
          <w:color w:val="000000"/>
          <w:spacing w:val="0"/>
          <w:w w:val="100"/>
          <w:position w:val="0"/>
          <w:sz w:val="18"/>
          <w:szCs w:val="18"/>
        </w:rPr>
        <w:t>12,442</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，实现税利总额和财 政总额创历史新高，为国家和地方财政增收、经济发展作出积极贡献。烟标行业是卷烟行业的上游，与卷烟行业的发展形势 与发展方向紧密相关，一方面，随着我国烟草行业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大市场、大企业、大品牌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战略的有效实施，客户对于烟标在品牌传递、 防伪技术、绿色环保、生产工艺方面提出了更高的要求，另一方面，烟标市场的竞争格局不断演变，行业内具备综合竞争能 力的企业将有望进一步提升市场份额。</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烟标产业作为公司的支柱产业，公司将发挥产业集群优势，深入挖掘客户的需求，优化各个环节的全过程质量控制体系， 在保障产品稳定性的基础上，不断打造高技术含量、高附加值、高精度的优势产品；不断完善服务网络和提升服务能力，正 确把握市场供求关系，根据市场形势的变化及时调整营销策略，满足市场需求，抢占市场空间，不断提升市场份额；加强公 司与下属子公司的协同管理，统筹订单资源，规划统一调配，实现技术、设备、人员高效地联合运转和有效利用，提升整体 运营效率。</w:t>
      </w:r>
    </w:p>
    <w:p>
      <w:pPr>
        <w:pStyle w:val="Style22"/>
        <w:keepNext w:val="0"/>
        <w:keepLines w:val="0"/>
        <w:widowControl w:val="0"/>
        <w:numPr>
          <w:ilvl w:val="0"/>
          <w:numId w:val="17"/>
        </w:numPr>
        <w:shd w:val="clear" w:color="auto" w:fill="auto"/>
        <w:tabs>
          <w:tab w:pos="629" w:val="left"/>
        </w:tabs>
        <w:bidi w:val="0"/>
        <w:spacing w:before="0" w:after="0" w:line="314" w:lineRule="exact"/>
        <w:ind w:left="0" w:right="0" w:firstLine="360"/>
        <w:jc w:val="both"/>
      </w:pPr>
      <w:bookmarkStart w:id="252" w:name="bookmark252"/>
      <w:bookmarkEnd w:id="252"/>
      <w:r>
        <w:rPr>
          <w:color w:val="000000"/>
          <w:spacing w:val="0"/>
          <w:w w:val="100"/>
          <w:position w:val="0"/>
        </w:rPr>
        <w:t>加速布局新型烟草产业，构筑未来业绩增长点</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《中华人民共和国烟草专卖法实施条例》的修订，《电子烟管理办法》的发布，监管政策逐步落实，意味着我国以电子 烟为代表的新型烟草产业将结束野蛮发展的无序状态，在合规监管下，国内新型烟草产业的发展态势及竞争格局将迎来新的 变化。</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公司将在符合行业规范的前提下发展新型烟草相关业务，一方面优化及加深产业结构布局，对现有原材料、研发制造、 品牌建设、供应链服务等多板块业务进行统一化管理，加强融合发展，和重点客户形成同步研发、共同发展的深度合作关系， 并不断开发潜在客户和潜在市场；另一方面，在坚决响应监管的基础上探索更多的发展路径，背靠资金资源、生产和技术等 优势，服务国内外优质大客户，完善国际化布局，为形成国内外业务联动效应，实现新型烟草产业高效益、高品质、可持续 的发展而努力。致力于成为服务中国烟草、面向全球烟草市场的新型烟草供应链核心供应商。</w:t>
      </w:r>
    </w:p>
    <w:p>
      <w:pPr>
        <w:pStyle w:val="Style22"/>
        <w:keepNext w:val="0"/>
        <w:keepLines w:val="0"/>
        <w:widowControl w:val="0"/>
        <w:numPr>
          <w:ilvl w:val="0"/>
          <w:numId w:val="17"/>
        </w:numPr>
        <w:shd w:val="clear" w:color="auto" w:fill="auto"/>
        <w:tabs>
          <w:tab w:pos="589" w:val="left"/>
        </w:tabs>
        <w:bidi w:val="0"/>
        <w:spacing w:before="0" w:after="0" w:line="314" w:lineRule="exact"/>
        <w:ind w:left="0" w:right="0" w:firstLine="320"/>
        <w:jc w:val="both"/>
      </w:pPr>
      <w:bookmarkStart w:id="253" w:name="bookmark253"/>
      <w:bookmarkEnd w:id="253"/>
      <w:r>
        <w:rPr>
          <w:color w:val="000000"/>
          <w:spacing w:val="0"/>
          <w:w w:val="100"/>
          <w:position w:val="0"/>
        </w:rPr>
        <w:t>把握国内消费升级机遇，做大做强高端包装业务</w:t>
      </w:r>
    </w:p>
    <w:p>
      <w:pPr>
        <w:pStyle w:val="Style2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根据国家统计局发布的数据显示：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年，社会消费品零售总额</w:t>
      </w:r>
      <w:r>
        <w:rPr>
          <w:rFonts w:ascii="Times New Roman" w:eastAsia="Times New Roman" w:hAnsi="Times New Roman" w:cs="Times New Roman"/>
          <w:color w:val="000000"/>
          <w:spacing w:val="0"/>
          <w:w w:val="100"/>
          <w:position w:val="0"/>
          <w:sz w:val="18"/>
          <w:szCs w:val="18"/>
        </w:rPr>
        <w:t>440,823</w:t>
      </w:r>
      <w:r>
        <w:rPr>
          <w:color w:val="000000"/>
          <w:spacing w:val="0"/>
          <w:w w:val="100"/>
          <w:position w:val="0"/>
        </w:rPr>
        <w:t>亿元，比上年增长</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。从限额以上单位商品 零售具体品类看，全国烟酒类零售总额为</w:t>
      </w:r>
      <w:r>
        <w:rPr>
          <w:rFonts w:ascii="Times New Roman" w:eastAsia="Times New Roman" w:hAnsi="Times New Roman" w:cs="Times New Roman"/>
          <w:color w:val="000000"/>
          <w:spacing w:val="0"/>
          <w:w w:val="100"/>
          <w:position w:val="0"/>
          <w:sz w:val="18"/>
          <w:szCs w:val="18"/>
        </w:rPr>
        <w:t>4,791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，通讯器材类零售总额为</w:t>
      </w:r>
      <w:r>
        <w:rPr>
          <w:rFonts w:ascii="Times New Roman" w:eastAsia="Times New Roman" w:hAnsi="Times New Roman" w:cs="Times New Roman"/>
          <w:color w:val="000000"/>
          <w:spacing w:val="0"/>
          <w:w w:val="100"/>
          <w:position w:val="0"/>
          <w:sz w:val="18"/>
          <w:szCs w:val="18"/>
        </w:rPr>
        <w:t>6,354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 xml:space="preserve">， </w:t>
      </w:r>
      <w:r>
        <w:rPr>
          <w:color w:val="000000"/>
          <w:spacing w:val="0"/>
          <w:w w:val="100"/>
          <w:position w:val="0"/>
        </w:rPr>
        <w:t>化妆品类零售总额为</w:t>
      </w:r>
      <w:r>
        <w:rPr>
          <w:rFonts w:ascii="Times New Roman" w:eastAsia="Times New Roman" w:hAnsi="Times New Roman" w:cs="Times New Roman"/>
          <w:color w:val="000000"/>
          <w:spacing w:val="0"/>
          <w:w w:val="100"/>
          <w:position w:val="0"/>
          <w:sz w:val="18"/>
          <w:szCs w:val="18"/>
        </w:rPr>
        <w:t>4,026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，中西药品类零售总额为</w:t>
      </w:r>
      <w:r>
        <w:rPr>
          <w:rFonts w:ascii="Times New Roman" w:eastAsia="Times New Roman" w:hAnsi="Times New Roman" w:cs="Times New Roman"/>
          <w:color w:val="000000"/>
          <w:spacing w:val="0"/>
          <w:w w:val="100"/>
          <w:position w:val="0"/>
          <w:sz w:val="18"/>
          <w:szCs w:val="18"/>
        </w:rPr>
        <w:t>5,826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公司的彩盒产品具有明显的下游驱动特征，消费需求的升级为公司彩盒板块的持续发展带来强大的动力。公司密切跟踪 下游卷烟、新型烟草产品、消费电子、中高端白酒、美妆日化、食品医药品等消费市场的发展，实施差异化的市场策略，布 局国内重点区域，同时在全球范围内拓展配套产业链业务，重点培育及服务大客户，提升与客户的合作深度，与客户实现共 同发展；以自动化、智能制造为基础，数字化、信息化管理为抓手，提高产品生产效率和效益，同时强调设计创意在彩盒产 品上的综合应用，持续开发出更多符合市场需求的高附加值产品，始终保持产品结构及品质处于行业的领先水平。</w:t>
      </w:r>
    </w:p>
    <w:p>
      <w:pPr>
        <w:pStyle w:val="Style22"/>
        <w:keepNext w:val="0"/>
        <w:keepLines w:val="0"/>
        <w:widowControl w:val="0"/>
        <w:numPr>
          <w:ilvl w:val="0"/>
          <w:numId w:val="17"/>
        </w:numPr>
        <w:shd w:val="clear" w:color="auto" w:fill="auto"/>
        <w:tabs>
          <w:tab w:pos="643" w:val="left"/>
        </w:tabs>
        <w:bidi w:val="0"/>
        <w:spacing w:before="0" w:after="0" w:line="313" w:lineRule="exact"/>
        <w:ind w:left="0" w:right="0"/>
        <w:jc w:val="both"/>
      </w:pPr>
      <w:bookmarkStart w:id="254" w:name="bookmark254"/>
      <w:bookmarkEnd w:id="254"/>
      <w:r>
        <w:rPr>
          <w:color w:val="000000"/>
          <w:spacing w:val="0"/>
          <w:w w:val="100"/>
          <w:position w:val="0"/>
        </w:rPr>
        <w:t>赋能包装主业，构建新材料多元化业务模式</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加强技术攻关，重点围绕行业关键核心技术研发，引进新光刻机，完成组建具有高精度、大幅面、高速、多效果相结合 的国内领先光刻机群。把裸眼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、深纹猫眼、立体浮雕、新型底纹、激光蚀刻等工艺组合运用于镭射纸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膜上，推进烟标产 品升级。以微透镜</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技术为核心，实现薄膜膜压连线印刷技术突破，带动酒类、食品类薄膜包装革新，形成前后端贯穿发 展的全产业链模式；加快</w:t>
      </w:r>
      <w:r>
        <w:rPr>
          <w:rFonts w:ascii="Times New Roman" w:eastAsia="Times New Roman" w:hAnsi="Times New Roman" w:cs="Times New Roman"/>
          <w:color w:val="000000"/>
          <w:spacing w:val="0"/>
          <w:w w:val="100"/>
          <w:position w:val="0"/>
          <w:sz w:val="18"/>
          <w:szCs w:val="18"/>
        </w:rPr>
        <w:t>PLA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PBS</w:t>
      </w:r>
      <w:r>
        <w:rPr>
          <w:color w:val="000000"/>
          <w:spacing w:val="0"/>
          <w:w w:val="100"/>
          <w:position w:val="0"/>
        </w:rPr>
        <w:t>材料的产线建设，推动产品量化投产，为客户带来多品类、高品质的功能产品储备；汇 聚激光涂布、定位膜压、镭射技术等三重工艺组合，形成彩膜技术升级，构筑公司差异化产品的竞争壁垒，以技术创新与产 品创新引领行业趋势。纵向拓展新材料产品在包装行业的应用范围，把新技术及新产品面向烟标、精品酒、高端日化等领域 的客户进行推广，加快菏泽中丰田项目建设，尽快实现投产，探讨和推动电子功能膜项目合作，为公司主营包装业务提供强 力支撑的同时，实现良好的经济效益。</w:t>
      </w:r>
    </w:p>
    <w:p>
      <w:pPr>
        <w:pStyle w:val="Style22"/>
        <w:keepNext w:val="0"/>
        <w:keepLines w:val="0"/>
        <w:widowControl w:val="0"/>
        <w:numPr>
          <w:ilvl w:val="0"/>
          <w:numId w:val="17"/>
        </w:numPr>
        <w:shd w:val="clear" w:color="auto" w:fill="auto"/>
        <w:tabs>
          <w:tab w:pos="643" w:val="left"/>
        </w:tabs>
        <w:bidi w:val="0"/>
        <w:spacing w:before="0" w:after="0" w:line="313" w:lineRule="exact"/>
        <w:ind w:left="0" w:right="0"/>
        <w:jc w:val="both"/>
      </w:pPr>
      <w:bookmarkStart w:id="255" w:name="bookmark255"/>
      <w:bookmarkEnd w:id="255"/>
      <w:r>
        <w:rPr>
          <w:color w:val="000000"/>
          <w:spacing w:val="0"/>
          <w:w w:val="100"/>
          <w:position w:val="0"/>
        </w:rPr>
        <w:t>加强资本运作和资源整合能力，培养成长性业务</w:t>
      </w:r>
    </w:p>
    <w:p>
      <w:pPr>
        <w:pStyle w:val="Style22"/>
        <w:keepNext w:val="0"/>
        <w:keepLines w:val="0"/>
        <w:widowControl w:val="0"/>
        <w:shd w:val="clear" w:color="auto" w:fill="auto"/>
        <w:bidi w:val="0"/>
        <w:spacing w:before="0" w:after="0" w:line="318" w:lineRule="exact"/>
        <w:ind w:left="0" w:right="0"/>
        <w:jc w:val="both"/>
      </w:pPr>
      <w:r>
        <w:rPr>
          <w:color w:val="000000"/>
          <w:spacing w:val="0"/>
          <w:w w:val="100"/>
          <w:position w:val="0"/>
        </w:rPr>
        <w:t>在产业并购整合方面，公司将积极利用现有的资金优势和资本市场的有利平台，结合公司在智能包装及新型烟草产业的 主要市场特点及发展机会，积极寻求国内外优质并购标的，进行产业并购整合，进一步提升公司的整体规模；在具有较高科 技含量和业务发展空间的前沿新业务、新产品领域，紧盯国家产业发展方向，通过产业发展基金、参控股等多种模式，在合 理控制投资风险的情况下，对新业务、新产品进行储备和培育，为公司培育长期业务增长点。</w:t>
      </w:r>
    </w:p>
    <w:p>
      <w:pPr>
        <w:pStyle w:val="Style22"/>
        <w:keepNext w:val="0"/>
        <w:keepLines w:val="0"/>
        <w:widowControl w:val="0"/>
        <w:shd w:val="clear" w:color="auto" w:fill="auto"/>
        <w:bidi w:val="0"/>
        <w:spacing w:before="0" w:after="0" w:line="313" w:lineRule="exact"/>
        <w:ind w:left="0" w:right="0" w:firstLine="460"/>
        <w:jc w:val="both"/>
      </w:pPr>
      <w:r>
        <w:rPr>
          <w:b/>
          <w:bCs/>
          <w:color w:val="000000"/>
          <w:spacing w:val="0"/>
          <w:w w:val="100"/>
          <w:position w:val="0"/>
        </w:rPr>
        <w:t>（二）公司面临的风险和应对措施</w:t>
      </w:r>
    </w:p>
    <w:p>
      <w:pPr>
        <w:pStyle w:val="Style22"/>
        <w:keepNext w:val="0"/>
        <w:keepLines w:val="0"/>
        <w:widowControl w:val="0"/>
        <w:numPr>
          <w:ilvl w:val="0"/>
          <w:numId w:val="19"/>
        </w:numPr>
        <w:shd w:val="clear" w:color="auto" w:fill="auto"/>
        <w:tabs>
          <w:tab w:pos="624" w:val="left"/>
        </w:tabs>
        <w:bidi w:val="0"/>
        <w:spacing w:before="0" w:after="0" w:line="313" w:lineRule="exact"/>
        <w:ind w:left="0" w:right="0"/>
        <w:jc w:val="both"/>
      </w:pPr>
      <w:bookmarkStart w:id="256" w:name="bookmark256"/>
      <w:bookmarkEnd w:id="256"/>
      <w:r>
        <w:rPr>
          <w:color w:val="000000"/>
          <w:spacing w:val="0"/>
          <w:w w:val="100"/>
          <w:position w:val="0"/>
        </w:rPr>
        <w:t>产业政策风险</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公司的主营烟标业务与烟草行业的发展息息相关，国家对烟草行业税收的提高和禁烟场所的扩大，在国家烟草局对卷烟 销售实行总量控制、稍紧平衡的政策下，以及在各中烟公司加强卷烟成本管理的机制下，将有可能影响到香烟的销量，进而 影响烟标的销量和价格。</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公司的新型烟草业务涉及海内外市场，各国对于新型烟草相关的政策变化将在不同程度对公司的新型烟草业务造成影 响；截至本报告发出之日，公司下属的新型烟草生产主体及品牌持有主体尚未取得烟草专卖生产企业许可证。对策：在烟标 产业，公司将持续发挥龙头企业在规模效益、新产品设计、新材料设计等方面的优势，不断拓展产品品类，积极应对烟标产 业的政策风险；在包装产业方面，公司将继续拓展白酒、消费电子、日化品、新消费品等多个产业赛道，持续做大社会化包 装业务，对冲烟标包装业务的风险；在新型烟草行业方面，公司将密切关注国内外对于新型烟草制品的相关政策、标准等， 对政策、市场的变化进行提前预判并持续跟踪，适时顺应政策和市场调整业务重点，在合规的前提下开展业务。</w:t>
      </w:r>
    </w:p>
    <w:p>
      <w:pPr>
        <w:pStyle w:val="Style22"/>
        <w:keepNext w:val="0"/>
        <w:keepLines w:val="0"/>
        <w:widowControl w:val="0"/>
        <w:numPr>
          <w:ilvl w:val="0"/>
          <w:numId w:val="19"/>
        </w:numPr>
        <w:shd w:val="clear" w:color="auto" w:fill="auto"/>
        <w:tabs>
          <w:tab w:pos="643" w:val="left"/>
        </w:tabs>
        <w:bidi w:val="0"/>
        <w:spacing w:before="0" w:after="0" w:line="313" w:lineRule="exact"/>
        <w:ind w:left="0" w:right="0"/>
        <w:jc w:val="both"/>
      </w:pPr>
      <w:bookmarkStart w:id="257" w:name="bookmark257"/>
      <w:bookmarkEnd w:id="257"/>
      <w:r>
        <w:rPr>
          <w:color w:val="000000"/>
          <w:spacing w:val="0"/>
          <w:w w:val="100"/>
          <w:position w:val="0"/>
        </w:rPr>
        <w:t>新产品市场开拓风险</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公司在进行新产品升级过程中，将面对新产品市场的激烈竞争，市场开拓能否成功具有一定的风险。</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对策：公司将对新产品的市场进行充分调研和论证，结合各子公司实际的设备、产能、技术情况和新产品的区域市场情 况，充分利用现有产能、技术和资源，积极拓展、科学布局。此外，将通过技术创新，提升新产品在市场的竞争能力</w:t>
      </w:r>
    </w:p>
    <w:p>
      <w:pPr>
        <w:pStyle w:val="Style22"/>
        <w:keepNext w:val="0"/>
        <w:keepLines w:val="0"/>
        <w:widowControl w:val="0"/>
        <w:numPr>
          <w:ilvl w:val="0"/>
          <w:numId w:val="19"/>
        </w:numPr>
        <w:shd w:val="clear" w:color="auto" w:fill="auto"/>
        <w:tabs>
          <w:tab w:pos="643" w:val="left"/>
        </w:tabs>
        <w:bidi w:val="0"/>
        <w:spacing w:before="0" w:after="0" w:line="322" w:lineRule="exact"/>
        <w:ind w:left="0" w:right="0"/>
        <w:jc w:val="both"/>
      </w:pPr>
      <w:bookmarkStart w:id="258" w:name="bookmark258"/>
      <w:bookmarkEnd w:id="258"/>
      <w:r>
        <w:rPr>
          <w:color w:val="000000"/>
          <w:spacing w:val="0"/>
          <w:w w:val="100"/>
          <w:position w:val="0"/>
        </w:rPr>
        <w:t>外延并购风险</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公司在进行外延并购过程中，将面临并购竞争和整合协同风险。并购项目能否成功，受诸多因素的影响；成功的并购项 目能否获得持续的并购价值，具有一定的风险。</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对策：对并购标的进行深入调研、精挑细选，在并购谈判中进行充分论证和科学决策，总结多年的并购整合经验，加强 对并购项目的科学管控，防范并购风险。</w:t>
      </w:r>
    </w:p>
    <w:p>
      <w:pPr>
        <w:pStyle w:val="Style22"/>
        <w:keepNext w:val="0"/>
        <w:keepLines w:val="0"/>
        <w:widowControl w:val="0"/>
        <w:numPr>
          <w:ilvl w:val="0"/>
          <w:numId w:val="19"/>
        </w:numPr>
        <w:shd w:val="clear" w:color="auto" w:fill="auto"/>
        <w:tabs>
          <w:tab w:pos="643" w:val="left"/>
        </w:tabs>
        <w:bidi w:val="0"/>
        <w:spacing w:before="0" w:after="0" w:line="313" w:lineRule="exact"/>
        <w:ind w:left="0" w:right="0"/>
        <w:jc w:val="both"/>
      </w:pPr>
      <w:bookmarkStart w:id="259" w:name="bookmark259"/>
      <w:bookmarkEnd w:id="259"/>
      <w:r>
        <w:rPr>
          <w:color w:val="000000"/>
          <w:spacing w:val="0"/>
          <w:w w:val="100"/>
          <w:position w:val="0"/>
        </w:rPr>
        <w:t>原材料价格上升和烟标产品价格下降影响毛利率风险</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由于全球的经济波动和人民币汇率的变化，原材料价格有可能上升，同时由于烟草行业新的竞争格局和烟标行业全国公 </w:t>
      </w:r>
      <w:r>
        <w:rPr>
          <w:color w:val="000000"/>
          <w:spacing w:val="0"/>
          <w:w w:val="100"/>
          <w:position w:val="0"/>
        </w:rPr>
        <w:t>开招标的推行，将对烟标价格产生压力，影响公司的毛利率水平。</w:t>
      </w:r>
    </w:p>
    <w:p>
      <w:pPr>
        <w:pStyle w:val="Style22"/>
        <w:keepNext w:val="0"/>
        <w:keepLines w:val="0"/>
        <w:widowControl w:val="0"/>
        <w:shd w:val="clear" w:color="auto" w:fill="auto"/>
        <w:bidi w:val="0"/>
        <w:spacing w:before="0" w:after="140" w:line="322" w:lineRule="exact"/>
        <w:ind w:left="0" w:right="0"/>
        <w:jc w:val="both"/>
      </w:pPr>
      <w:r>
        <w:rPr>
          <w:color w:val="000000"/>
          <w:spacing w:val="0"/>
          <w:w w:val="100"/>
          <w:position w:val="0"/>
        </w:rPr>
        <w:t>对策：通过规模化生产、集中采购、提升管理水平和降低生产成本，将原材料产品的价格变化对毛利率的影响减少到最 低程度。</w:t>
      </w:r>
    </w:p>
    <w:p>
      <w:pPr>
        <w:pStyle w:val="Style22"/>
        <w:keepNext w:val="0"/>
        <w:keepLines w:val="0"/>
        <w:widowControl w:val="0"/>
        <w:numPr>
          <w:ilvl w:val="0"/>
          <w:numId w:val="19"/>
        </w:numPr>
        <w:shd w:val="clear" w:color="auto" w:fill="auto"/>
        <w:tabs>
          <w:tab w:pos="690" w:val="left"/>
        </w:tabs>
        <w:bidi w:val="0"/>
        <w:spacing w:before="0" w:after="0" w:line="374" w:lineRule="auto"/>
        <w:ind w:left="0" w:right="0"/>
        <w:jc w:val="both"/>
      </w:pPr>
      <w:bookmarkStart w:id="260" w:name="bookmark260"/>
      <w:bookmarkEnd w:id="260"/>
      <w:r>
        <w:rPr>
          <w:color w:val="000000"/>
          <w:spacing w:val="0"/>
          <w:w w:val="100"/>
          <w:position w:val="0"/>
        </w:rPr>
        <w:t>管理风险和人力资源风险</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公司经过几年的快速发展，规模逐渐扩大，公司也需要更多、更优秀的管理人才，如果公司的管理能力和人力资源不能 适应新的环境变化，将会给公司带来不利影响。</w:t>
      </w:r>
    </w:p>
    <w:p>
      <w:pPr>
        <w:pStyle w:val="Style22"/>
        <w:keepNext w:val="0"/>
        <w:keepLines w:val="0"/>
        <w:widowControl w:val="0"/>
        <w:shd w:val="clear" w:color="auto" w:fill="auto"/>
        <w:bidi w:val="0"/>
        <w:spacing w:before="0" w:after="140" w:line="322" w:lineRule="exact"/>
        <w:ind w:left="0" w:right="0"/>
        <w:jc w:val="both"/>
      </w:pPr>
      <w:r>
        <w:rPr>
          <w:color w:val="000000"/>
          <w:spacing w:val="0"/>
          <w:w w:val="100"/>
          <w:position w:val="0"/>
        </w:rPr>
        <w:t>对策：公司将积极引进专业人才，加快队伍建设，夯实企业发展基础，推行职业经理化，继续完善人才约束激励机制， 重视内部培训，优化组织结构，加强规范管理。</w:t>
      </w:r>
    </w:p>
    <w:p>
      <w:pPr>
        <w:pStyle w:val="Style22"/>
        <w:keepNext w:val="0"/>
        <w:keepLines w:val="0"/>
        <w:widowControl w:val="0"/>
        <w:numPr>
          <w:ilvl w:val="0"/>
          <w:numId w:val="19"/>
        </w:numPr>
        <w:shd w:val="clear" w:color="auto" w:fill="auto"/>
        <w:tabs>
          <w:tab w:pos="695" w:val="left"/>
        </w:tabs>
        <w:bidi w:val="0"/>
        <w:spacing w:before="0" w:after="0" w:line="374" w:lineRule="auto"/>
        <w:ind w:left="0" w:right="0"/>
        <w:jc w:val="both"/>
      </w:pPr>
      <w:bookmarkStart w:id="261" w:name="bookmark261"/>
      <w:bookmarkEnd w:id="261"/>
      <w:r>
        <w:rPr>
          <w:color w:val="000000"/>
          <w:spacing w:val="0"/>
          <w:w w:val="100"/>
          <w:position w:val="0"/>
        </w:rPr>
        <w:t>商誉减值风险</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根据《企业会计准则》规定，上市公司收购属于非同一控制下企业合并的情形的，交易完成后，合并资产负债表中将形 成一定金额的商誉。根据《企业会计准则》规定，经确认的商誉在持有期间不需要做摊销处理，但需在未来每年年度终了进 行减值测试。如果收购标的未来经营状况恶化，则存在商誉减值的风险，从而对公司当期损益造成不利影响。</w:t>
      </w:r>
    </w:p>
    <w:p>
      <w:pPr>
        <w:pStyle w:val="Style22"/>
        <w:keepNext w:val="0"/>
        <w:keepLines w:val="0"/>
        <w:widowControl w:val="0"/>
        <w:shd w:val="clear" w:color="auto" w:fill="auto"/>
        <w:bidi w:val="0"/>
        <w:spacing w:before="0" w:after="360" w:line="322" w:lineRule="exact"/>
        <w:ind w:left="0" w:right="0"/>
        <w:jc w:val="both"/>
      </w:pPr>
      <w:r>
        <w:rPr>
          <w:color w:val="000000"/>
          <w:spacing w:val="0"/>
          <w:w w:val="100"/>
          <w:position w:val="0"/>
        </w:rPr>
        <w:t>对策：公司将充分发挥多年的并购整合经验，加强对并购项目的科学管控，发挥并购协同效应，防范并购风险。</w:t>
      </w:r>
    </w:p>
    <w:p>
      <w:pPr>
        <w:pStyle w:val="Style27"/>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rPr>
        <w:t>十二、报告期内接待调研、沟通、采访等活动</w:t>
      </w:r>
      <w:bookmarkEnd w:id="262"/>
      <w:bookmarkEnd w:id="263"/>
      <w:bookmarkEnd w:id="26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816"/>
        <w:gridCol w:w="706"/>
        <w:gridCol w:w="2366"/>
        <w:gridCol w:w="1291"/>
        <w:gridCol w:w="1814"/>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申万宏源、嘉实基金、万家基 金、中加基金、国寿养老基金、 国金证券、北京国际信托等机 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 于巨潮资讯网的《投资 者关系活动记录表》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 科技中二路劲 嘉科技大厦</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层会议室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泽泰证券、裕晋投资、兴亿投 资、安信资管、中融基金、红 塔红土基金、易方达基金、固 禾资产等机构相关人员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 于巨潮资讯网的《投资 者关系活动记录表》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天风证券、浙江美浓投资、寻 阑投资、深圳榕树投资、上海 甄投等机构相关人员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 于巨潮资讯网的《投资 者关系活动记录表》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线上参与公司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 网上说明会的投资者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 于巨潮资讯网的《投资 者关系活动记录表》</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浙商证券、华泰证券自营、中 信证券自营、长见投资、万家 基金、九泰基金、工银瑞信基 金、榕树资本等机构相关人员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 于巨潮资讯网的《投资 者关系活动记录表》</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长江证券、德邦证券、东吴证 券、海通证券、华创证券、申 万证券、浙商证券、中信建投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 未提供资料。</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 于巨潮资讯网的《投资 者关系活动记录表》</w:t>
            </w:r>
          </w:p>
        </w:tc>
      </w:tr>
    </w:tbl>
    <w:p>
      <w:pPr>
        <w:spacing w:lineRule="exact" w:line="1"/>
        <w:rPr>
          <w:sz w:val="2"/>
          <w:szCs w:val="2"/>
        </w:rPr>
      </w:pPr>
      <w:r>
        <w:br w:type="page"/>
      </w:r>
    </w:p>
    <w:tbl>
      <w:tblPr>
        <w:tblOverlap w:val="never"/>
        <w:jc w:val="center"/>
        <w:tblLayout w:type="fixed"/>
      </w:tblPr>
      <w:tblGrid>
        <w:gridCol w:w="1296"/>
        <w:gridCol w:w="1296"/>
        <w:gridCol w:w="816"/>
        <w:gridCol w:w="706"/>
        <w:gridCol w:w="2366"/>
        <w:gridCol w:w="1291"/>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等机构相关人员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申万宏源、德邦证券、东北证 券、东吴证券、东证自营、广 发证券、国华人寿、国寿资产 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日刊登 于巨潮资讯网的《投资 者关系活动记录表》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申万宏源、嘉实基金、南方基 金、华宝兴业、泰康资产、大 家资产、国金基金、华商基金 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 登于巨潮资讯网的《投 资者关系活动记录表》</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 科技中二路劲 嘉科技大厦</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层会议室、深圳 市宝安区燕山 大道劲嘉产业 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兴业证券、浙商证券、明亚基 金、九泰基金等机构相关人员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公司经营情况， 未提供资料。</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登于巨潮资讯网的《投 资者关系活动记录表》</w:t>
            </w:r>
          </w:p>
        </w:tc>
      </w:tr>
      <w:tr>
        <w:trPr>
          <w:trHeight w:val="103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线上参与公司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年投资者 网上集体接待日活动的投资 者</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公司经营情况， 未提供资料。</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 于巨潮资讯网的《投资 者关系活动记录表》</w:t>
            </w:r>
          </w:p>
        </w:tc>
      </w:tr>
    </w:tbl>
    <w:p>
      <w:pPr>
        <w:sectPr>
          <w:footnotePr>
            <w:pos w:val="pageBottom"/>
            <w:numFmt w:val="decimal"/>
            <w:numRestart w:val="continuous"/>
          </w:footnotePr>
          <w:pgSz w:w="11900" w:h="16840"/>
          <w:pgMar w:top="1378" w:right="1016" w:bottom="1469" w:left="1016" w:header="0" w:footer="3" w:gutter="0"/>
          <w:cols w:space="720"/>
          <w:noEndnote/>
          <w:rtlGutter w:val="0"/>
          <w:docGrid w:linePitch="360"/>
        </w:sectPr>
      </w:pPr>
    </w:p>
    <w:p>
      <w:pPr>
        <w:pStyle w:val="Style10"/>
        <w:keepNext/>
        <w:keepLines/>
        <w:widowControl w:val="0"/>
        <w:shd w:val="clear" w:color="auto" w:fill="auto"/>
        <w:bidi w:val="0"/>
        <w:spacing w:before="560" w:after="560" w:line="240" w:lineRule="auto"/>
        <w:ind w:left="0" w:right="0" w:firstLine="0"/>
        <w:jc w:val="center"/>
      </w:pPr>
      <w:bookmarkStart w:id="265" w:name="bookmark265"/>
      <w:bookmarkStart w:id="266" w:name="bookmark266"/>
      <w:bookmarkStart w:id="267" w:name="bookmark267"/>
      <w:r>
        <w:rPr>
          <w:color w:val="000000"/>
          <w:spacing w:val="0"/>
          <w:w w:val="100"/>
          <w:position w:val="0"/>
        </w:rPr>
        <w:t>第四节公司治理</w:t>
      </w:r>
      <w:bookmarkEnd w:id="265"/>
      <w:bookmarkEnd w:id="266"/>
      <w:bookmarkEnd w:id="267"/>
    </w:p>
    <w:p>
      <w:pPr>
        <w:pStyle w:val="Style27"/>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、公司治理的基本状况</w:t>
      </w:r>
      <w:bookmarkEnd w:id="269"/>
      <w:bookmarkEnd w:id="270"/>
      <w:bookmarkEnd w:id="272"/>
      <w:bookmarkEnd w:id="268"/>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公司已严格按《公司法》、《证券法》、《上市公司治理准则》、《深圳证券交易所股票上市规则》、《深圳证券交易 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号一主板上市公司规范运作》等相关法律法规建立了相对完备的内控制度及法人治理结构， 形成了健全、有效、透明，强化内部和外部的监督制衡体系，根据自身特点，探索和丰富公司治理实践，不断提升公司治理 水平。</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截至报告期末，公司治理实际情况符合中国证监会、深圳证券交易所有关上市公司治理的规范性文件要求。</w:t>
      </w:r>
    </w:p>
    <w:p>
      <w:pPr>
        <w:pStyle w:val="Style22"/>
        <w:keepNext w:val="0"/>
        <w:keepLines w:val="0"/>
        <w:widowControl w:val="0"/>
        <w:shd w:val="clear" w:color="auto" w:fill="auto"/>
        <w:bidi w:val="0"/>
        <w:spacing w:before="0" w:after="0" w:line="312" w:lineRule="exact"/>
        <w:ind w:left="0" w:right="0" w:firstLine="56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color w:val="000000"/>
          <w:spacing w:val="0"/>
          <w:w w:val="100"/>
          <w:position w:val="0"/>
        </w:rPr>
        <w:t>、关于股东与股东大会</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公司严格按照《公司法》、《证券法》和《上市公司股东大会规则》等法律法规及规范性文件以及《公司章程》的相关 规定，平等对待全体股东，规范股东大会的召集、召开和表决等程序，有效地保护投资者尤其是中小投资者的利益和公司的 利益。</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4" w:name="bookmark274"/>
      <w:r>
        <w:rPr>
          <w:rFonts w:ascii="Times New Roman" w:eastAsia="Times New Roman" w:hAnsi="Times New Roman" w:cs="Times New Roman"/>
          <w:color w:val="000000"/>
          <w:spacing w:val="0"/>
          <w:w w:val="100"/>
          <w:position w:val="0"/>
          <w:sz w:val="18"/>
          <w:szCs w:val="18"/>
        </w:rPr>
        <w:t>2</w:t>
      </w:r>
      <w:bookmarkEnd w:id="274"/>
      <w:r>
        <w:rPr>
          <w:color w:val="000000"/>
          <w:spacing w:val="0"/>
          <w:w w:val="100"/>
          <w:position w:val="0"/>
        </w:rPr>
        <w:t>、</w:t>
        <w:tab/>
        <w:t>关于控股股东与上市公司</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公司控股股东依法通过股东大会行使股东权利，没有超越公司股东大会直接或间接干预公司的决策和经营活动的行为。 公司拥有独立的业务和自主经营能力，在业务、人员、资产、机构、财务上完全独立于控股股东，不存在控股股东及其下属 企业或通过其他方式占用公司资金，以及公司违规为控股股东及其下属企业提供担保等情况发生。</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5" w:name="bookmark275"/>
      <w:r>
        <w:rPr>
          <w:rFonts w:ascii="Times New Roman" w:eastAsia="Times New Roman" w:hAnsi="Times New Roman" w:cs="Times New Roman"/>
          <w:color w:val="000000"/>
          <w:spacing w:val="0"/>
          <w:w w:val="100"/>
          <w:position w:val="0"/>
          <w:sz w:val="18"/>
          <w:szCs w:val="18"/>
        </w:rPr>
        <w:t>3</w:t>
      </w:r>
      <w:bookmarkEnd w:id="275"/>
      <w:r>
        <w:rPr>
          <w:color w:val="000000"/>
          <w:spacing w:val="0"/>
          <w:w w:val="100"/>
          <w:position w:val="0"/>
        </w:rPr>
        <w:t>、</w:t>
        <w:tab/>
        <w:t>关于董事与董事会</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公司严格按照《公司法》、《公司章程》规定的选聘程序选举董事，保障董事选任公开、公平、公正，报告期内，公司 召开了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次董事会。公司第六届董事会由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名，董事会的人数及结构符合法律法规和《公司章程》 的要求。全体董事严格按照《公司法》、《公司章程》、《董事会议事规则》的规定，认真出席董事会和股东大会，积极参 加相关知识的培训，熟悉有关法律法规，切实履行职责。公司董事会下设各专门委员会尽职尽责，为董事会科学决策、提高 决策效益和质量发挥了重要作用。</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6" w:name="bookmark276"/>
      <w:r>
        <w:rPr>
          <w:rFonts w:ascii="Times New Roman" w:eastAsia="Times New Roman" w:hAnsi="Times New Roman" w:cs="Times New Roman"/>
          <w:color w:val="000000"/>
          <w:spacing w:val="0"/>
          <w:w w:val="100"/>
          <w:position w:val="0"/>
          <w:sz w:val="18"/>
          <w:szCs w:val="18"/>
        </w:rPr>
        <w:t>4</w:t>
      </w:r>
      <w:bookmarkEnd w:id="276"/>
      <w:r>
        <w:rPr>
          <w:color w:val="000000"/>
          <w:spacing w:val="0"/>
          <w:w w:val="100"/>
          <w:position w:val="0"/>
        </w:rPr>
        <w:t>、</w:t>
        <w:tab/>
        <w:t>关于监事与监事会</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报告期内，公司召开了</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次监事会。公司第六届监事会由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名，监事会的人数及结构符 合法律法规和《公司章程》的要求。全体监事严格按照《公司法》和《公司章程》、《公司监事会议事规则》的规定，依法 检查公司财务，监督董事、高级管理人员履职的合法合规性，行使公司章程规定的其他职权，维护上市公司及股东的合法权 益。全体监事能够切实履行职责，诚信、勤勉、尽责，监事会的召集、召开、表决及信息披露程序符合相关规定。</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7" w:name="bookmark277"/>
      <w:r>
        <w:rPr>
          <w:rFonts w:ascii="Times New Roman" w:eastAsia="Times New Roman" w:hAnsi="Times New Roman" w:cs="Times New Roman"/>
          <w:color w:val="000000"/>
          <w:spacing w:val="0"/>
          <w:w w:val="100"/>
          <w:position w:val="0"/>
          <w:sz w:val="18"/>
          <w:szCs w:val="18"/>
        </w:rPr>
        <w:t>5</w:t>
      </w:r>
      <w:bookmarkEnd w:id="277"/>
      <w:r>
        <w:rPr>
          <w:color w:val="000000"/>
          <w:spacing w:val="0"/>
          <w:w w:val="100"/>
          <w:position w:val="0"/>
        </w:rPr>
        <w:t>、</w:t>
        <w:tab/>
        <w:t>关于绩效评价与激励约束机制</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高级管理人员的聘任和解聘严格履行了法定程序并及时披露，建立了高效、公平的薪酬与公司绩效、个人业绩相联系的 机制，有利于激发员工的工作动力，促进公司健康发展。</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8" w:name="bookmark278"/>
      <w:r>
        <w:rPr>
          <w:rFonts w:ascii="Times New Roman" w:eastAsia="Times New Roman" w:hAnsi="Times New Roman" w:cs="Times New Roman"/>
          <w:color w:val="000000"/>
          <w:spacing w:val="0"/>
          <w:w w:val="100"/>
          <w:position w:val="0"/>
          <w:sz w:val="18"/>
          <w:szCs w:val="18"/>
        </w:rPr>
        <w:t>6</w:t>
      </w:r>
      <w:bookmarkEnd w:id="278"/>
      <w:r>
        <w:rPr>
          <w:color w:val="000000"/>
          <w:spacing w:val="0"/>
          <w:w w:val="100"/>
          <w:position w:val="0"/>
        </w:rPr>
        <w:t>、</w:t>
        <w:tab/>
        <w:t>关于相关利益者</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公司充分尊重和维护相关利益者的合法权益，积极与相关利益者合作，加强与各方的沟通和交流，实现股东、员工、客 户等各方利益的协调平衡和共赢，切实履行社会职责，积极履行环境保护、节能减排、依法纳税、公益事业等社会责任，实 现各方可持续发展。</w:t>
      </w:r>
    </w:p>
    <w:p>
      <w:pPr>
        <w:pStyle w:val="Style22"/>
        <w:keepNext w:val="0"/>
        <w:keepLines w:val="0"/>
        <w:widowControl w:val="0"/>
        <w:shd w:val="clear" w:color="auto" w:fill="auto"/>
        <w:tabs>
          <w:tab w:pos="691" w:val="left"/>
        </w:tabs>
        <w:bidi w:val="0"/>
        <w:spacing w:before="0" w:after="0" w:line="312" w:lineRule="exact"/>
        <w:ind w:left="0" w:right="0"/>
        <w:jc w:val="both"/>
      </w:pPr>
      <w:bookmarkStart w:id="279" w:name="bookmark279"/>
      <w:r>
        <w:rPr>
          <w:rFonts w:ascii="Times New Roman" w:eastAsia="Times New Roman" w:hAnsi="Times New Roman" w:cs="Times New Roman"/>
          <w:color w:val="000000"/>
          <w:spacing w:val="0"/>
          <w:w w:val="100"/>
          <w:position w:val="0"/>
          <w:sz w:val="18"/>
          <w:szCs w:val="18"/>
        </w:rPr>
        <w:t>7</w:t>
      </w:r>
      <w:bookmarkEnd w:id="279"/>
      <w:r>
        <w:rPr>
          <w:color w:val="000000"/>
          <w:spacing w:val="0"/>
          <w:w w:val="100"/>
          <w:position w:val="0"/>
        </w:rPr>
        <w:t>、</w:t>
        <w:tab/>
        <w:t>关于信息披露与透明度</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公司建立并执行信息披露事务管理制度，保证公司信息披露真实、准确、完整，没有虚假记载、误导性陈述或者重大遗 漏。在公司治理信息、财务报告信息、重大事项信息、其他日常信息等多个信息披露方面，公司严格遵守信息披露有关法律 法规和公司制度规定的管理流程。在披露之前，压缩信息接触链条，明确岗位信息保密和传递的职责，防止信息泄露，杜绝 内幕交易；在披露过程中，加强对披露信息审核和复核，保证信息披露的准确性；在披露过后，加强公司内部信息披露事务 考核，全面地保证公司信息披露合规。同时，公司通过互动易平台、投资者专线电话、网上业绩说明会及现场交流等方式与 投资者进行充分的沟通交流，保持公司的信息透明度，不断提升投资者关系工作的质量。</w:t>
      </w:r>
    </w:p>
    <w:p>
      <w:pPr>
        <w:pStyle w:val="Style22"/>
        <w:keepNext w:val="0"/>
        <w:keepLines w:val="0"/>
        <w:widowControl w:val="0"/>
        <w:shd w:val="clear" w:color="auto" w:fill="auto"/>
        <w:bidi w:val="0"/>
        <w:spacing w:before="0" w:after="160" w:line="323"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00" w:line="323"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78" w:val="left"/>
        </w:tabs>
        <w:bidi w:val="0"/>
        <w:spacing w:before="0" w:after="240" w:line="322"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w:t>
        <w:tab/>
        <w:t>公司相对于控股股东、实际控制人在保证公司资产、人员、财务、机构、业务等方面的 独立情况</w:t>
      </w:r>
      <w:bookmarkEnd w:id="280"/>
      <w:bookmarkEnd w:id="281"/>
      <w:bookmarkEnd w:id="283"/>
    </w:p>
    <w:p>
      <w:pPr>
        <w:pStyle w:val="Style2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公司自设立以来，严格按照《公司法》、《证券法》等有关法律、法规和公司章程的要求规范运作，公司与控股股东在 业务、人员、资产、机构、财务等方面完全分开，具有独立完整的业务及自主经营能力。</w:t>
      </w:r>
    </w:p>
    <w:p>
      <w:pPr>
        <w:pStyle w:val="Style22"/>
        <w:keepNext w:val="0"/>
        <w:keepLines w:val="0"/>
        <w:widowControl w:val="0"/>
        <w:shd w:val="clear" w:color="auto" w:fill="auto"/>
        <w:tabs>
          <w:tab w:pos="704" w:val="left"/>
        </w:tabs>
        <w:bidi w:val="0"/>
        <w:spacing w:before="0" w:after="0" w:line="323" w:lineRule="exact"/>
        <w:ind w:left="0" w:right="0" w:firstLine="360"/>
        <w:jc w:val="both"/>
      </w:pPr>
      <w:bookmarkStart w:id="284" w:name="bookmark284"/>
      <w:r>
        <w:rPr>
          <w:rFonts w:ascii="Times New Roman" w:eastAsia="Times New Roman" w:hAnsi="Times New Roman" w:cs="Times New Roman"/>
          <w:color w:val="000000"/>
          <w:spacing w:val="0"/>
          <w:w w:val="100"/>
          <w:position w:val="0"/>
          <w:sz w:val="18"/>
          <w:szCs w:val="18"/>
        </w:rPr>
        <w:t>1</w:t>
      </w:r>
      <w:bookmarkEnd w:id="284"/>
      <w:r>
        <w:rPr>
          <w:color w:val="000000"/>
          <w:spacing w:val="0"/>
          <w:w w:val="100"/>
          <w:position w:val="0"/>
        </w:rPr>
        <w:t>、</w:t>
        <w:tab/>
        <w:t>业务：公司业务独立于控股股东及其下属企业，拥有独立完整的供应、生产和销售系统，独立开展业务，不依赖于 股东或其它任何关联方。</w:t>
      </w:r>
    </w:p>
    <w:p>
      <w:pPr>
        <w:pStyle w:val="Style22"/>
        <w:keepNext w:val="0"/>
        <w:keepLines w:val="0"/>
        <w:widowControl w:val="0"/>
        <w:shd w:val="clear" w:color="auto" w:fill="auto"/>
        <w:tabs>
          <w:tab w:pos="704" w:val="left"/>
        </w:tabs>
        <w:bidi w:val="0"/>
        <w:spacing w:before="0" w:after="0" w:line="323" w:lineRule="exact"/>
        <w:ind w:left="0" w:right="0" w:firstLine="360"/>
        <w:jc w:val="both"/>
      </w:pPr>
      <w:bookmarkStart w:id="285" w:name="bookmark285"/>
      <w:r>
        <w:rPr>
          <w:rFonts w:ascii="Times New Roman" w:eastAsia="Times New Roman" w:hAnsi="Times New Roman" w:cs="Times New Roman"/>
          <w:color w:val="000000"/>
          <w:spacing w:val="0"/>
          <w:w w:val="100"/>
          <w:position w:val="0"/>
          <w:sz w:val="18"/>
          <w:szCs w:val="18"/>
        </w:rPr>
        <w:t>2</w:t>
      </w:r>
      <w:bookmarkEnd w:id="285"/>
      <w:r>
        <w:rPr>
          <w:color w:val="000000"/>
          <w:spacing w:val="0"/>
          <w:w w:val="100"/>
          <w:position w:val="0"/>
        </w:rPr>
        <w:t>、</w:t>
        <w:tab/>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Style22"/>
        <w:keepNext w:val="0"/>
        <w:keepLines w:val="0"/>
        <w:widowControl w:val="0"/>
        <w:shd w:val="clear" w:color="auto" w:fill="auto"/>
        <w:tabs>
          <w:tab w:pos="709" w:val="left"/>
        </w:tabs>
        <w:bidi w:val="0"/>
        <w:spacing w:before="0" w:after="0" w:line="323" w:lineRule="exact"/>
        <w:ind w:left="0" w:right="0" w:firstLine="360"/>
        <w:jc w:val="both"/>
      </w:pPr>
      <w:bookmarkStart w:id="286" w:name="bookmark286"/>
      <w:r>
        <w:rPr>
          <w:rFonts w:ascii="Times New Roman" w:eastAsia="Times New Roman" w:hAnsi="Times New Roman" w:cs="Times New Roman"/>
          <w:color w:val="000000"/>
          <w:spacing w:val="0"/>
          <w:w w:val="100"/>
          <w:position w:val="0"/>
          <w:sz w:val="18"/>
          <w:szCs w:val="18"/>
        </w:rPr>
        <w:t>3</w:t>
      </w:r>
      <w:bookmarkEnd w:id="286"/>
      <w:r>
        <w:rPr>
          <w:color w:val="000000"/>
          <w:spacing w:val="0"/>
          <w:w w:val="100"/>
          <w:position w:val="0"/>
        </w:rPr>
        <w:t>、</w:t>
        <w:tab/>
        <w:t>资产：公司拥有独立于控股股东的生产经营场所，拥有独立完整的资产结构，拥有独立的生产系统、辅助生产系统 和配套设施、土地使用权、房屋所有权等资产，拥有独立的采购和销售系统。</w:t>
      </w:r>
    </w:p>
    <w:p>
      <w:pPr>
        <w:pStyle w:val="Style22"/>
        <w:keepNext w:val="0"/>
        <w:keepLines w:val="0"/>
        <w:widowControl w:val="0"/>
        <w:shd w:val="clear" w:color="auto" w:fill="auto"/>
        <w:tabs>
          <w:tab w:pos="714" w:val="left"/>
        </w:tabs>
        <w:bidi w:val="0"/>
        <w:spacing w:before="0" w:after="0" w:line="323" w:lineRule="exact"/>
        <w:ind w:left="0" w:right="0" w:firstLine="360"/>
        <w:jc w:val="both"/>
      </w:pPr>
      <w:bookmarkStart w:id="287" w:name="bookmark287"/>
      <w:r>
        <w:rPr>
          <w:rFonts w:ascii="Times New Roman" w:eastAsia="Times New Roman" w:hAnsi="Times New Roman" w:cs="Times New Roman"/>
          <w:color w:val="000000"/>
          <w:spacing w:val="0"/>
          <w:w w:val="100"/>
          <w:position w:val="0"/>
          <w:sz w:val="18"/>
          <w:szCs w:val="18"/>
        </w:rPr>
        <w:t>4</w:t>
      </w:r>
      <w:bookmarkEnd w:id="287"/>
      <w:r>
        <w:rPr>
          <w:color w:val="000000"/>
          <w:spacing w:val="0"/>
          <w:w w:val="100"/>
          <w:position w:val="0"/>
        </w:rPr>
        <w:t>、</w:t>
        <w:tab/>
        <w:t>机构：公司设立了健全的组织机构体系，独立运作，不存在与控股股东或其职能部门之间的从属关系。</w:t>
      </w:r>
    </w:p>
    <w:p>
      <w:pPr>
        <w:pStyle w:val="Style22"/>
        <w:keepNext w:val="0"/>
        <w:keepLines w:val="0"/>
        <w:widowControl w:val="0"/>
        <w:shd w:val="clear" w:color="auto" w:fill="auto"/>
        <w:tabs>
          <w:tab w:pos="709" w:val="left"/>
        </w:tabs>
        <w:bidi w:val="0"/>
        <w:spacing w:before="0" w:after="300" w:line="322" w:lineRule="exact"/>
        <w:ind w:left="0" w:right="0" w:firstLine="360"/>
        <w:jc w:val="both"/>
      </w:pPr>
      <w:bookmarkStart w:id="288" w:name="bookmark288"/>
      <w:r>
        <w:rPr>
          <w:rFonts w:ascii="Times New Roman" w:eastAsia="Times New Roman" w:hAnsi="Times New Roman" w:cs="Times New Roman"/>
          <w:color w:val="000000"/>
          <w:spacing w:val="0"/>
          <w:w w:val="100"/>
          <w:position w:val="0"/>
          <w:sz w:val="18"/>
          <w:szCs w:val="18"/>
        </w:rPr>
        <w:t>5</w:t>
      </w:r>
      <w:bookmarkEnd w:id="288"/>
      <w:r>
        <w:rPr>
          <w:color w:val="000000"/>
          <w:spacing w:val="0"/>
          <w:w w:val="100"/>
          <w:position w:val="0"/>
        </w:rPr>
        <w:t>、</w:t>
        <w:tab/>
        <w:t>财务：公司有独立的财务会计部门，建立了独立的会计核算体系和财务管理制度，独立进行财务决策。公司独立开 设银行账户，独立纳税。</w:t>
      </w:r>
    </w:p>
    <w:p>
      <w:pPr>
        <w:pStyle w:val="Style27"/>
        <w:keepNext/>
        <w:keepLines/>
        <w:widowControl w:val="0"/>
        <w:shd w:val="clear" w:color="auto" w:fill="auto"/>
        <w:tabs>
          <w:tab w:pos="578" w:val="left"/>
        </w:tabs>
        <w:bidi w:val="0"/>
        <w:spacing w:before="0" w:after="380" w:line="322"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同业竞争情况</w:t>
      </w:r>
      <w:bookmarkEnd w:id="289"/>
      <w:bookmarkEnd w:id="290"/>
      <w:bookmarkEnd w:id="292"/>
    </w:p>
    <w:p>
      <w:pPr>
        <w:pStyle w:val="Style22"/>
        <w:keepNext w:val="0"/>
        <w:keepLines w:val="0"/>
        <w:widowControl w:val="0"/>
        <w:shd w:val="clear" w:color="auto" w:fill="auto"/>
        <w:bidi w:val="0"/>
        <w:spacing w:before="0" w:after="1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78" w:val="left"/>
        </w:tabs>
        <w:bidi w:val="0"/>
        <w:spacing w:before="0" w:after="380" w:line="322"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报告期内召开的年度股东大会和临时股东大会的有关情况</w:t>
      </w:r>
      <w:bookmarkEnd w:id="293"/>
      <w:bookmarkEnd w:id="294"/>
      <w:bookmarkEnd w:id="296"/>
    </w:p>
    <w:p>
      <w:pPr>
        <w:pStyle w:val="Style32"/>
        <w:keepNext/>
        <w:keepLines/>
        <w:widowControl w:val="0"/>
        <w:shd w:val="clear" w:color="auto" w:fill="auto"/>
        <w:bidi w:val="0"/>
        <w:spacing w:before="0" w:after="30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、本报告期股东大会情况</w:t>
      </w:r>
      <w:bookmarkEnd w:id="297"/>
      <w:bookmarkEnd w:id="298"/>
      <w:bookmarkEnd w:id="300"/>
    </w:p>
    <w:tbl>
      <w:tblPr>
        <w:tblOverlap w:val="never"/>
        <w:jc w:val="center"/>
        <w:tblLayout w:type="fixed"/>
      </w:tblPr>
      <w:tblGrid>
        <w:gridCol w:w="1603"/>
        <w:gridCol w:w="1094"/>
        <w:gridCol w:w="1416"/>
        <w:gridCol w:w="1421"/>
        <w:gridCol w:w="1416"/>
        <w:gridCol w:w="263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年度股东大 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年年度股东大会决议公 告》刊登于巨潮资讯网、《证券日 报》、《证券时报》、《中国证券报》 和《上海证券报》</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 议公告》刊登于巨潮资讯网、《证 券日报》、《证券时报》、《中国证 券报》和《上海证券报》</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 议公告》刊登于巨潮资讯网、《证 券日报》、《证券时报》、《中国证 券报》和《上海证券报》</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、表决权恢复的优先股股东请求召开临时股东大会</w:t>
      </w:r>
      <w:bookmarkEnd w:id="301"/>
      <w:bookmarkEnd w:id="302"/>
      <w:bookmarkEnd w:id="304"/>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五</w:t>
      </w:r>
      <w:bookmarkEnd w:id="307"/>
      <w:r>
        <w:rPr>
          <w:color w:val="000000"/>
          <w:spacing w:val="0"/>
          <w:w w:val="100"/>
          <w:position w:val="0"/>
        </w:rPr>
        <w:t>、董事、监事和高级管理人员情况</w:t>
      </w:r>
      <w:bookmarkEnd w:id="305"/>
      <w:bookmarkEnd w:id="306"/>
      <w:bookmarkEnd w:id="308"/>
    </w:p>
    <w:p>
      <w:pPr>
        <w:pStyle w:val="Style32"/>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、基本情况</w:t>
      </w:r>
      <w:bookmarkEnd w:id="309"/>
      <w:bookmarkEnd w:id="310"/>
      <w:bookmarkEnd w:id="312"/>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16"/>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6"/>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授获股 权激励 限制性 股票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务副总</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授获股 权激励 限制性 股票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总经理、 原董事 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授获股 权激励 限制性 股票</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14,934,1 41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授获股 权激励 限制性 股票</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授获股 权激励 限制性 股票</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1,012,00</w:t>
            </w:r>
          </w:p>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授获股 权激励 限制性 股票</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刘雪芬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监事、人 力资源 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马晓惠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共事务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陈顺芹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监事、秘 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29,025,9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32,815,9 72</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、任职情况</w:t>
      </w:r>
      <w:bookmarkEnd w:id="313"/>
      <w:bookmarkEnd w:id="314"/>
      <w:bookmarkEnd w:id="316"/>
    </w:p>
    <w:p>
      <w:pPr>
        <w:pStyle w:val="Style22"/>
        <w:keepNext w:val="0"/>
        <w:keepLines w:val="0"/>
        <w:widowControl w:val="0"/>
        <w:shd w:val="clear" w:color="auto" w:fill="auto"/>
        <w:bidi w:val="0"/>
        <w:spacing w:before="0" w:after="140" w:line="331"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0" w:line="384" w:lineRule="auto"/>
        <w:ind w:left="0" w:right="0" w:firstLine="0"/>
        <w:jc w:val="both"/>
      </w:pPr>
      <w:bookmarkStart w:id="317" w:name="bookmark317"/>
      <w:r>
        <w:rPr>
          <w:rFonts w:ascii="Times New Roman" w:eastAsia="Times New Roman" w:hAnsi="Times New Roman" w:cs="Times New Roman"/>
          <w:color w:val="000000"/>
          <w:spacing w:val="0"/>
          <w:w w:val="100"/>
          <w:position w:val="0"/>
          <w:sz w:val="18"/>
          <w:szCs w:val="18"/>
        </w:rPr>
        <w:t>1</w:t>
      </w:r>
      <w:bookmarkEnd w:id="317"/>
      <w:r>
        <w:rPr>
          <w:color w:val="000000"/>
          <w:spacing w:val="0"/>
          <w:w w:val="100"/>
          <w:position w:val="0"/>
        </w:rPr>
        <w:t>、董事</w:t>
      </w:r>
    </w:p>
    <w:p>
      <w:pPr>
        <w:pStyle w:val="Style22"/>
        <w:keepNext w:val="0"/>
        <w:keepLines w:val="0"/>
        <w:widowControl w:val="0"/>
        <w:shd w:val="clear" w:color="auto" w:fill="auto"/>
        <w:bidi w:val="0"/>
        <w:spacing w:before="0" w:after="140" w:line="331" w:lineRule="exact"/>
        <w:ind w:left="0" w:right="0" w:firstLine="0"/>
        <w:jc w:val="both"/>
      </w:pPr>
      <w:r>
        <w:rPr>
          <w:color w:val="000000"/>
          <w:spacing w:val="0"/>
          <w:w w:val="100"/>
          <w:position w:val="0"/>
        </w:rPr>
        <w:t>乔鲁予，男，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年出生，中国籍，澳大利亚长期居住权，高中学历。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年，任本公司董事长；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年任本公司董事长、总经理；现任本公司董事长。</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侯旭东，男，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年出生，中国籍，无永久境外居留权，中专学历，高级经济师。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月，任本公司董事、副 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月，任本公司董事、安徽安泰新型包装材料有限公司总经理；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 司董事、副总经理；现任本公司董事、总经理。</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李德华，男，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年出生，中国籍，无永久境外居留权，高中文化。</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年至今任职于本公司，现任公司董事、常务副总经 理、生产营销分公司总经理等职务。</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李晓华，女，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年出生，中国籍，无永久境外居留权，武汉大学经济学学士。曾任深圳和而泰智能控制股份有限公司（股 票代码：</w:t>
      </w:r>
      <w:r>
        <w:rPr>
          <w:rFonts w:ascii="Times New Roman" w:eastAsia="Times New Roman" w:hAnsi="Times New Roman" w:cs="Times New Roman"/>
          <w:color w:val="000000"/>
          <w:spacing w:val="0"/>
          <w:w w:val="100"/>
          <w:position w:val="0"/>
          <w:sz w:val="18"/>
          <w:szCs w:val="18"/>
        </w:rPr>
        <w:t>002402</w:t>
      </w:r>
      <w:r>
        <w:rPr>
          <w:color w:val="000000"/>
          <w:spacing w:val="0"/>
          <w:w w:val="100"/>
          <w:position w:val="0"/>
        </w:rPr>
        <w:t>）副总经理、董事会秘书等职务；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月任公司董事、副总经理、董事会秘书，现任本公司 董事、副总经理，劲嘉科技执行董事兼总经理，嘉玉科技总经理等职务。</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龙隆，男，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年至今，历任综合开发研究院（中国深圳）周边地区 研究中心副主任、开放政策研究所所长等职，本公司第二届、第三届独立董事；现任综合开发研究院（中国深圳）理事、新 能源研究中心主任、广东世荣兆业股份有限公司董事、鹏鼎控股（深圳）股份有限公司董事、本公司董事。</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曹峥，男，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年出生，中国籍，无永久境外居留权，硕士学历，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年任嘉实基金管理有限公司广州分公司副总 裁职务，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年至今任职北京和君咨询管理有限公司合伙人职务，现任本公司董事。</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王艳梅，女，</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年出生，中国国籍，无永久境外居留权，博士研究生学历。曾任职辽宁鞍山钢铁集团公司研究所、深圳市 科学技术学会、深圳清华大学研究院、深圳清华国际技术转移中心、深圳力合孵化器发展有限公司；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月开始组 建深圳市南山科技事务所并出任所长，现任深圳清溢光电股份有限公司独立董事、深圳市卫光生物制品股份有限公司独立董 事、深圳市小分子新药创新中心有限公司董事、深圳市新樾生物科技有限公司董事、本公司独立董事。</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孙进山，男，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年出生，中国国籍，无永久境外居留权，本科学历。中国注册会计师非执业会员，现任职于深圳技师学院。 历任深圳达实智能股份有限公司独立董事、深圳和而泰智能控制股份有限公司独立董事、上海亚泽金属屋面系统股份有限公 司独立董事等职务，现任惠州硕贝德无线科技股份有限公司董事、庞大汽贸集团股份有限公司独立董事、深圳市三态电子商 务股份有限公司独立董事、本公司独立董事等职务。</w:t>
      </w:r>
    </w:p>
    <w:p>
      <w:pPr>
        <w:pStyle w:val="Style22"/>
        <w:keepNext w:val="0"/>
        <w:keepLines w:val="0"/>
        <w:widowControl w:val="0"/>
        <w:shd w:val="clear" w:color="auto" w:fill="auto"/>
        <w:bidi w:val="0"/>
        <w:spacing w:before="0" w:after="500" w:line="307" w:lineRule="exact"/>
        <w:ind w:left="0" w:right="0" w:firstLine="0"/>
        <w:jc w:val="both"/>
      </w:pPr>
      <w:r>
        <w:rPr>
          <w:color w:val="000000"/>
          <w:spacing w:val="0"/>
          <w:w w:val="100"/>
          <w:position w:val="0"/>
        </w:rPr>
        <w:t>谢兰军，男，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年出生，中国国籍，无永久境外居留权，本科学历。历任广东省河源市司法局副科长、深圳市执业律师， 现任北京市中银（深圳）律师事务所合伙人律师、党支部书记、深圳市人大代表、深圳市人大计划预算委员会委员、绿色动 力环保集团股份有限公司独立董事、深圳瑞华泰薄膜科技股份有限公司独立董事、深圳市美的连医疗电子股份有限公司独立 董事、本公司独立董事等职务。</w:t>
      </w:r>
    </w:p>
    <w:p>
      <w:pPr>
        <w:pStyle w:val="Style22"/>
        <w:keepNext w:val="0"/>
        <w:keepLines w:val="0"/>
        <w:widowControl w:val="0"/>
        <w:shd w:val="clear" w:color="auto" w:fill="auto"/>
        <w:tabs>
          <w:tab w:pos="301" w:val="left"/>
        </w:tabs>
        <w:bidi w:val="0"/>
        <w:spacing w:before="0" w:after="0" w:line="382" w:lineRule="auto"/>
        <w:ind w:left="0" w:right="0" w:firstLine="0"/>
        <w:jc w:val="both"/>
      </w:pPr>
      <w:bookmarkStart w:id="318" w:name="bookmark318"/>
      <w:r>
        <w:rPr>
          <w:rFonts w:ascii="Times New Roman" w:eastAsia="Times New Roman" w:hAnsi="Times New Roman" w:cs="Times New Roman"/>
          <w:color w:val="000000"/>
          <w:spacing w:val="0"/>
          <w:w w:val="100"/>
          <w:position w:val="0"/>
          <w:sz w:val="18"/>
          <w:szCs w:val="18"/>
        </w:rPr>
        <w:t>2</w:t>
      </w:r>
      <w:bookmarkEnd w:id="318"/>
      <w:r>
        <w:rPr>
          <w:color w:val="000000"/>
          <w:spacing w:val="0"/>
          <w:w w:val="100"/>
          <w:position w:val="0"/>
        </w:rPr>
        <w:t>、</w:t>
        <w:tab/>
        <w:t>监事</w:t>
      </w:r>
    </w:p>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李青山，男，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年出生，中国籍，无永久境外居留权，研究生学历。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年至今，任职于本公司人力资源部，现任本公司 人力资源部总监、监事会主席。</w:t>
      </w:r>
    </w:p>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马晓惠，女，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年至今，任职于公司综合管理部，现任本公司公共 事务关系主管、监事。</w:t>
      </w:r>
    </w:p>
    <w:p>
      <w:pPr>
        <w:pStyle w:val="Style22"/>
        <w:keepNext w:val="0"/>
        <w:keepLines w:val="0"/>
        <w:widowControl w:val="0"/>
        <w:shd w:val="clear" w:color="auto" w:fill="auto"/>
        <w:bidi w:val="0"/>
        <w:spacing w:before="0" w:after="380" w:line="328" w:lineRule="exact"/>
        <w:ind w:left="0" w:right="0" w:firstLine="0"/>
        <w:jc w:val="both"/>
      </w:pPr>
      <w:r>
        <w:rPr>
          <w:color w:val="000000"/>
          <w:spacing w:val="0"/>
          <w:w w:val="100"/>
          <w:position w:val="0"/>
        </w:rPr>
        <w:t>陈顺芹，女，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年出生，中国籍，无永久境外居留权，大专学历。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月至今在公司生产事业部任职，现任本公司生 产营销分公司信息部主管、职工代表监事。</w:t>
      </w:r>
    </w:p>
    <w:p>
      <w:pPr>
        <w:pStyle w:val="Style22"/>
        <w:keepNext w:val="0"/>
        <w:keepLines w:val="0"/>
        <w:widowControl w:val="0"/>
        <w:shd w:val="clear" w:color="auto" w:fill="auto"/>
        <w:tabs>
          <w:tab w:pos="301" w:val="left"/>
        </w:tabs>
        <w:bidi w:val="0"/>
        <w:spacing w:before="0" w:after="0" w:line="319" w:lineRule="exact"/>
        <w:ind w:left="0" w:right="0" w:firstLine="0"/>
        <w:jc w:val="both"/>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w:t>
        <w:tab/>
        <w:t>高级管理人员</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侯旭东，公司总经理，简介见前述董事介绍。</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李德华，公司常务副总经理，简介见前述董事介绍。</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李晓华，公司副总经理，简介见前述董事介绍。</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黄华，男，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年任深圳市劲嘉创业投资有限公司常务副总 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月任公司董事长助理、战略投资发展中心副主任，现任公司副总经理、智能包装执行董事兼总经理等 职务。</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富培军，男，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年出生，中国籍，无永久境外居留权，大学本科学历，会计师、注册会计师、注册税务师。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br w:type="page"/>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月任广东新会美达锦纶股份有限公司财务总监；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月至今任本公司财务总监。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吕伟，男，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年出生，中国籍，武汉大学硕士学历，高级工程师，国家标准化委员会委员，深圳市职业技能鉴定考评员， 申请并获得授权的专利百余项。</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年至今任职于本公司，现任公司副总经理，生产营销分公司总工程师等职务。</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刘雪芬，女，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年出生，中国国籍，无境外居留权，本科学历，高级经济师。曾任职于深圳市水务（集团）有限公司，深 圳市深水生态环境技术有限公司；曾任珈伟新能源股份有限公司董事会秘书、副总裁；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日起任公司董事会秘书。 在股东单位任职情况</w:t>
      </w:r>
    </w:p>
    <w:p>
      <w:pPr>
        <w:pStyle w:val="Style22"/>
        <w:keepNext w:val="0"/>
        <w:keepLines w:val="0"/>
        <w:widowControl w:val="0"/>
        <w:shd w:val="clear" w:color="auto" w:fill="auto"/>
        <w:bidi w:val="0"/>
        <w:spacing w:before="0" w:after="8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890"/>
        <w:gridCol w:w="1416"/>
        <w:gridCol w:w="1565"/>
        <w:gridCol w:w="994"/>
        <w:gridCol w:w="1493"/>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深圳市劲嘉创业投资有限公司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新疆世纪运通股权投资合伙企业（有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3662"/>
        <w:gridCol w:w="1090"/>
        <w:gridCol w:w="1771"/>
        <w:gridCol w:w="1133"/>
        <w:gridCol w:w="1070"/>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1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酬津贴</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深圳劲嘉投资控股有限公司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贵州劲嘉商业管理有限公司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深圳劲嘉盒知科技有限公司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深圳因味科技有限公司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赣州市劲嘉房地产开发有限公司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佛山市南海劲嘉德信房地产开发有限公司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深圳市万商产业发展有限公司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深圳劲嘉智慧水务科技有限公司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深圳前海劲嘉供应链有限公司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深圳市合惠创科技有限公司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深圳永丰田科技有限公司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662"/>
        <w:gridCol w:w="1090"/>
        <w:gridCol w:w="1771"/>
        <w:gridCol w:w="1133"/>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深圳劲嘉新产业科技有限公司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深圳嘉星健康科技有限公司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深圳市华旭科技开发有限公司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贵州省仁怀市申仁包装印务有限责任公司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长春吉星印务有限责任公司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中华香港国际烟草集团有限公司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东方英莎特有限公司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深圳市劲嘉福凤投资有限公司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深圳市华旭信息技术有限公司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湖州劲嘉房地产开发有限公司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贵州省梵天菌业有限公司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深圳市奥森宝湾投资有限公司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深圳市众利兴材料科技有限公司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青岛嘉颐泽印刷包装有限公司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深圳嘉玉科技有限公司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深圳前海蓝莓文化传播有限公司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江西丰彩丽印刷包装有限公司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综合开发研究院（中国深圳）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理事、新能源 研究中心主 任、资深研究 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广东世荣兆业股份有限公司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龙隆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鹏鼎控股（深圳）股份有限公司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4"/>
        <w:gridCol w:w="3662"/>
        <w:gridCol w:w="1090"/>
        <w:gridCol w:w="1771"/>
        <w:gridCol w:w="1133"/>
        <w:gridCol w:w="1070"/>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北京和君咨询管理有限公司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广州德新产业投资有限公司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深圳嘉玉科技有限公司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深圳因味科技有限公司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深圳劲嘉新产业科技有限公司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深圳嘉星健康科技有限公司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深圳劲嘉新型智能包装有限公司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劲嘉集团（香港森洋）有限公司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深圳市南山科技事务所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深圳市铭心科技服务有限公司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深圳市小分子新药创新中心有限公司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深圳清溢光电股份有限公司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深圳市新樾生物科技有限公司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深圳市卫光生物制品股份有限公司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深圳市菲菱科思通信技术股份有限公司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惠州硕贝德无线科技股份有限公司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深圳瑞和建筑装饰股份有限公司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深圳技师学院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深圳市捷佳伟创新能源装备股份有限公司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庞大汽贸集团股份有限公司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深圳市三态电子商务股份有限公司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绿色动力环保集团股份有限公司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华润深国投信托有限公司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4"/>
        <w:gridCol w:w="3662"/>
        <w:gridCol w:w="1090"/>
        <w:gridCol w:w="1771"/>
        <w:gridCol w:w="1133"/>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北京市中银（深圳）律师事务所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深圳瑞华泰薄膜科技股份有限公司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江信基金管理有限公司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深圳市美的连医疗电子股份有限公司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深圳劲嘉盒知科技有限公司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深圳市劲嘉物业管理有限公司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广州德新产业投资有限公司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深圳劲嘉新产业科技有限公司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深圳前海蓝莓文化传播有限公司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深圳信元恒丰投资有限公司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深圳市恒兴翔贸易有限公司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贵州吉力经贸有限公司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上海丽兴绿色包装有限公司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贵州山桥金石农资经营管理有限公司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深圳劲嘉新型智能包装有限公司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宜宾嘉美智能包装有限公司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贵阳万科劲嘉置业有限公司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深圳华大北斗科技股份有限公司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贵州省仁怀市申仁包装印务有限责任公司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中华香港国际烟草集团有限公司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业务负责人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信元（香港）投资有限公司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百时企业有限公司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上海仁彩印务有限公司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江西丰彩丽印刷包装有限公司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深圳云普星河科技服务有限公司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662"/>
        <w:gridCol w:w="1090"/>
        <w:gridCol w:w="1771"/>
        <w:gridCol w:w="1133"/>
        <w:gridCol w:w="1070"/>
      </w:tblGrid>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深圳鼎盛丰华科技有限公司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遵义劲嘉新型智能包装有限公司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江苏顺泰包装印刷科技有限公司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中丰田光电科技（珠海）有限公司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安徽安泰新型包装材料有限公司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青岛嘉颐泽印刷包装有限公司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江苏劲嘉新型包装材料有限公司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位任职情</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、董事、监事、高级管理人员报酬情况</w:t>
      </w:r>
      <w:bookmarkEnd w:id="320"/>
      <w:bookmarkEnd w:id="321"/>
      <w:bookmarkEnd w:id="323"/>
    </w:p>
    <w:p>
      <w:pPr>
        <w:pStyle w:val="Style22"/>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20" w:lineRule="exact"/>
        <w:ind w:left="0" w:right="0"/>
        <w:jc w:val="left"/>
      </w:pPr>
      <w:r>
        <w:rPr>
          <w:color w:val="000000"/>
          <w:spacing w:val="0"/>
          <w:w w:val="100"/>
          <w:position w:val="0"/>
        </w:rPr>
        <w:t>董事、监事、高级管理人员报酬的决策程序：公司董事、监事的报酬由董事会薪酬与考核委员会初审后提交董事会、监 事会审议并经股东大会批准，公司高级管理人员的薪酬由董事会薪酬与考核委员会初审后提交公司董事会审议批准。</w:t>
      </w:r>
    </w:p>
    <w:p>
      <w:pPr>
        <w:pStyle w:val="Style22"/>
        <w:keepNext w:val="0"/>
        <w:keepLines w:val="0"/>
        <w:widowControl w:val="0"/>
        <w:shd w:val="clear" w:color="auto" w:fill="auto"/>
        <w:bidi w:val="0"/>
        <w:spacing w:before="0" w:after="360" w:line="320" w:lineRule="exact"/>
        <w:ind w:left="0" w:right="0"/>
        <w:jc w:val="left"/>
      </w:pPr>
      <w:r>
        <w:rPr>
          <w:color w:val="000000"/>
          <w:spacing w:val="0"/>
          <w:w w:val="100"/>
          <w:position w:val="0"/>
        </w:rPr>
        <w:t>董事、监事、高级管理人员报酬的确定依据：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年年度股东大会审议通过公司第六届董事会独 立董事津贴标准为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年（含税），对未在公司任职的非独立董事，参照公司独立董事薪酬标准发放；对在公司任职 的非独立董事、监事及高级管理人员，同意按照其任职岗位标准给付薪酬，不再单独支付薪酬。</w:t>
      </w:r>
    </w:p>
    <w:p>
      <w:pPr>
        <w:pStyle w:val="Style22"/>
        <w:keepNext w:val="0"/>
        <w:keepLines w:val="0"/>
        <w:widowControl w:val="0"/>
        <w:shd w:val="clear" w:color="auto" w:fill="auto"/>
        <w:bidi w:val="0"/>
        <w:spacing w:before="0" w:after="120" w:line="320"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608"/>
        <w:gridCol w:w="112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董事、副总经理、原 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608"/>
        <w:gridCol w:w="112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监事、人力资源总监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监事、公共事务主管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陈顺芹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1,227.45</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注：报告期内董事、高级管理人员报酬从公司获得的税前报酬总额不含合计</w:t>
      </w:r>
      <w:r>
        <w:rPr>
          <w:rFonts w:ascii="Times New Roman" w:eastAsia="Times New Roman" w:hAnsi="Times New Roman" w:cs="Times New Roman"/>
          <w:color w:val="000000"/>
          <w:spacing w:val="0"/>
          <w:w w:val="100"/>
          <w:position w:val="0"/>
          <w:sz w:val="18"/>
          <w:szCs w:val="18"/>
        </w:rPr>
        <w:t>247.72</w:t>
      </w:r>
      <w:r>
        <w:rPr>
          <w:color w:val="000000"/>
          <w:spacing w:val="0"/>
          <w:w w:val="100"/>
          <w:position w:val="0"/>
        </w:rPr>
        <w:t>万元股权激励费用。</w:t>
      </w:r>
    </w:p>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、报告期内董事履行职责的情况</w:t>
      </w:r>
      <w:bookmarkEnd w:id="324"/>
      <w:bookmarkEnd w:id="325"/>
      <w:bookmarkEnd w:id="327"/>
    </w:p>
    <w:p>
      <w:pPr>
        <w:pStyle w:val="Style32"/>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1848"/>
        <w:gridCol w:w="1843"/>
        <w:gridCol w:w="1982"/>
        <w:gridCol w:w="390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年第三次会议决议公告》刊 登于巨潮资讯网、《证券日报》、《证券时报》、《中 国证券报》和《上海证券报》</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第四次会议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第五次会议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第六次会议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年第六次会议决议公告》刊 登于巨潮资讯网、《证券日报》、《证券时报》、《中 国证券报》和《上海证券报》</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第七次会议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年第七次会议决议公告》刊 登于巨潮资讯网、《证券日报》、《证券时报》、《中 国证券报》和《上海证券报》</w:t>
            </w:r>
          </w:p>
        </w:tc>
      </w:tr>
    </w:tbl>
    <w:p>
      <w:pPr>
        <w:spacing w:lineRule="exact" w:line="1"/>
        <w:rPr>
          <w:sz w:val="2"/>
          <w:szCs w:val="2"/>
        </w:rPr>
      </w:pPr>
      <w:r>
        <w:br w:type="page"/>
      </w:r>
    </w:p>
    <w:tbl>
      <w:tblPr>
        <w:tblOverlap w:val="never"/>
        <w:jc w:val="center"/>
        <w:tblLayout w:type="fixed"/>
      </w:tblPr>
      <w:tblGrid>
        <w:gridCol w:w="1848"/>
        <w:gridCol w:w="1843"/>
        <w:gridCol w:w="1982"/>
        <w:gridCol w:w="3907"/>
      </w:tblGrid>
      <w:tr>
        <w:trPr>
          <w:trHeight w:val="103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第八次会议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年第八次会议决议公告》刊 登于巨潮资讯网、《证券日报》、《证券时报》、《中 国证券报》和《上海证券报》</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第九次会议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年第十次会议决议公告》刊 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第十一次会议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年第十一次会议决议公告》 刊登于巨潮资讯网、《证券日报》、《证券时报》、《中 国证券报》和《上海证券报》</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年第十二次会议决议公告》 刊登于巨潮资讯网、《证券日报》、《证券时报》、《中 国证券报》和《上海证券报》</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第十三次会议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年第十三次会议决议公告》 刊登于巨潮资讯网、《证券日报》、《证券时报》、《中 国证券报》和《上海证券报》</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第十四次会议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年第十四次会议决议公告》 刊登于巨潮资讯网、《证券日报》、《证券时报》、《中 国证券报》和《上海证券报》</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1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报告期内，公司董事严格按照有关法律法规、规范性文件和《公司章程》等制度的规定，勤勉、充分的履行了股东大会赋予 的各项职责，及时了解、掌握公司经营和发展的情况，公司董事结合自身的专业对公司的重大治理和经营决策提出了相关意 见，经过充分沟通讨论，形成一致意见，相关建议均被采纳。全体董事的勤勉尽责，有效维护公司及全体股东的合法权益。</w:t>
      </w:r>
    </w:p>
    <w:p>
      <w:pPr>
        <w:pStyle w:val="Style27"/>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七</w:t>
      </w:r>
      <w:bookmarkEnd w:id="346"/>
      <w:r>
        <w:rPr>
          <w:color w:val="000000"/>
          <w:spacing w:val="0"/>
          <w:w w:val="100"/>
          <w:position w:val="0"/>
        </w:rPr>
        <w:t>、董事会下设专门委员会在报告期内的情况</w:t>
      </w:r>
      <w:bookmarkEnd w:id="344"/>
      <w:bookmarkEnd w:id="345"/>
      <w:bookmarkEnd w:id="347"/>
    </w:p>
    <w:tbl>
      <w:tblPr>
        <w:tblOverlap w:val="never"/>
        <w:jc w:val="center"/>
        <w:tblLayout w:type="fixed"/>
      </w:tblPr>
      <w:tblGrid>
        <w:gridCol w:w="998"/>
        <w:gridCol w:w="994"/>
        <w:gridCol w:w="850"/>
        <w:gridCol w:w="850"/>
        <w:gridCol w:w="2549"/>
        <w:gridCol w:w="1138"/>
        <w:gridCol w:w="998"/>
        <w:gridCol w:w="120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64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第六届董事</w:t>
            </w:r>
          </w:p>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会审计委员 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孙进山、王 艳梅、龙隆</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年年度业绩快 报的议案；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年度业绩快报的内部审计报告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度内部审计工作总结的议案。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年年度财务报</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表的议案；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、关于子公司签署</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《商业服务框架协议》暨关联交 易的议案。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年年度报告全文及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年年度财务报告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 润分配方案的议案;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年年度财务决算报告的议案；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年年度募集资金存放 与使用情况的专项报告的议案；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年年度会计师事务 所对本公司审计工作总结报告 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年年度内 部控制自我评价报告的议案；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年日常经营关联 交易预计的议案；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、关于会计 政策变更的议案；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、关于聘任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994"/>
        <w:gridCol w:w="850"/>
        <w:gridCol w:w="850"/>
        <w:gridCol w:w="2549"/>
        <w:gridCol w:w="1138"/>
        <w:gridCol w:w="998"/>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年年度审计机构的议案。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 文及正文的议案；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年一季度内部审计工作总结和 二季度工作计划的议案；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年第一季度募集资金存 放与使用情况的内部审计报告 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年半年度业绩 快报的议案；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年半年度业绩快报的内部审计 报告的议案。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 全文及其摘要的议案；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年半年度财务报告的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度财务报告的内部审计报告的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年上半年内 部审计工作总结和三季度工作 计划的议案；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年半年度募集资金存放与使用 情况的专项报告的议案；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 于增加公司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 易预计的议案。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季度报告的内部审计报告的议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度募集资金存放与使用情况的 专项报告的议案；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年前三季度内部审计工作总结 和第四季度工作计划的议案。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年日常经营关 联交易预计的议案；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 司内审部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年内部审计工作 计划的议案。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第六届提名 委员会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谢兰军、孙 进山、侯旭</w:t>
            </w:r>
          </w:p>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、关于提名公司第六届非独立 董事候选人的议案。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、关于提名公司第六届董事会 秘书候选人的议案。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994"/>
        <w:gridCol w:w="850"/>
        <w:gridCol w:w="850"/>
        <w:gridCol w:w="2549"/>
        <w:gridCol w:w="1138"/>
        <w:gridCol w:w="998"/>
        <w:gridCol w:w="1205"/>
      </w:tblGrid>
      <w:tr>
        <w:trPr>
          <w:trHeight w:val="196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第六届董事</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会薪酬与考</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核委员会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王艳梅、谢</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兰军、侯旭 东</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年董事、监 事和高级管理人员所披露薪酬 进行审核的议案；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年经营管理层年终绩效 考核的议案；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、关于第六届董 事会非独立董事薪酬的议案。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8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关于《深圳劲嘉集团股份有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 计划（草案）》及其摘要的议案;</w:t>
            </w:r>
          </w:p>
          <w:p>
            <w:pPr>
              <w:pStyle w:val="Style16"/>
              <w:keepNext w:val="0"/>
              <w:keepLines w:val="0"/>
              <w:widowControl w:val="0"/>
              <w:shd w:val="clear" w:color="auto" w:fill="auto"/>
              <w:tabs>
                <w:tab w:pos="28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关于《深圳劲嘉集团股份有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 计划实施考核管理办法》的议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、关于提名深圳劲嘉集团 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 票激励计划激励对象的议案。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、关于第六届董事会董事会秘 书薪酬的议案。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第六届董事 会战略委员 会</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王艳梅、乔 鲁予、侯旭 东、李晓华、 曹峥</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、关于公司提供担保事项的议 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关于子公司签署《商业服务 框架协议》暨关联交易的议案；</w:t>
            </w:r>
          </w:p>
          <w:p>
            <w:pPr>
              <w:pStyle w:val="Style16"/>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关于公司提供担保事项的议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、关于公司向银行申请综 合授信额度的议案。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、关于对外投资设立控股子公 司暨关联交易的议案；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公司向银行申请综合授信额度 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8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年年度报告全文及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年年度董事会工作报 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总经理工作报告的议案；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年年度利润分配方案的 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年年度财务 决算报告的议案；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年年度募集资金存放与使用情 况的专项报告的议案；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 下属子公司、联营企业向银行申 请综合授信额度的议案；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994"/>
        <w:gridCol w:w="850"/>
        <w:gridCol w:w="850"/>
        <w:gridCol w:w="2549"/>
        <w:gridCol w:w="1138"/>
        <w:gridCol w:w="998"/>
        <w:gridCol w:w="1205"/>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于部分募投项目结项并将节余 募集资金永久补充流动资金的 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、关于部分募集资金投 资项目延期的议案。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、关于公司向银行申请综合授 信额度的议案。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、关于部分募投项目结项并将 节余募集资金永久补充流动资 金的议案。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、关于对外投资设立海外子公</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、关于提前收回进行现金管理 的部分闲置募集资金并继续进 行现金管理的议案；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、关于提 前归还募集资金后继续使用部 分闲置募集资金暂时补充流动 资金的议案。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、关于向参股子公司增资暨关 联交易的议案。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、关于使用自有资金进行委托 理财计划的议案。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、关于全资子公司投资设立产 业基金的议案；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、关于公司转 让全资子公司股权暨对外提供 财务资助的关联交易的议案；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关于公司向银行申请综合授信 额度的议案；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、关于公司提供 担保事项的议案。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、关于公司向银行申请综合授 信额度的议案。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、关于公司向银行申请综合授 信额度的议案。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意见和建议</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一致同意及</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、监事会工作情况</w:t>
      </w:r>
      <w:bookmarkEnd w:id="348"/>
      <w:bookmarkEnd w:id="349"/>
      <w:bookmarkEnd w:id="35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监事会在报告期内的监督活动中发现公司是否存在风险</w:t>
      </w:r>
      <w:r>
        <w:br w:type="page"/>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、公司员工情况</w:t>
      </w:r>
      <w:bookmarkEnd w:id="352"/>
      <w:bookmarkEnd w:id="353"/>
      <w:bookmarkEnd w:id="355"/>
    </w:p>
    <w:p>
      <w:pPr>
        <w:pStyle w:val="Style32"/>
        <w:keepNext/>
        <w:keepLines/>
        <w:widowControl w:val="0"/>
        <w:shd w:val="clear" w:color="auto" w:fill="auto"/>
        <w:bidi w:val="0"/>
        <w:spacing w:before="0" w:after="32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5,615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6,540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4,746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6,540</w:t>
            </w:r>
          </w:p>
        </w:tc>
      </w:tr>
      <w:tr>
        <w:trPr>
          <w:trHeight w:val="403"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5,115</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6,540</w:t>
            </w:r>
          </w:p>
        </w:tc>
      </w:tr>
    </w:tbl>
    <w:p>
      <w:pPr>
        <w:widowControl w:val="0"/>
        <w:spacing w:after="319" w:line="1" w:lineRule="exact"/>
      </w:pPr>
    </w:p>
    <w:p>
      <w:pPr>
        <w:pStyle w:val="Style32"/>
        <w:keepNext/>
        <w:keepLines/>
        <w:widowControl w:val="0"/>
        <w:shd w:val="clear" w:color="auto" w:fill="auto"/>
        <w:tabs>
          <w:tab w:pos="378" w:val="left"/>
        </w:tabs>
        <w:bidi w:val="0"/>
        <w:spacing w:before="0" w:after="2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薪酬政策</w:t>
      </w:r>
      <w:bookmarkEnd w:id="360"/>
      <w:bookmarkEnd w:id="361"/>
      <w:bookmarkEnd w:id="363"/>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报告期内，公司严格遵守《劳动合同法》等有关法律法规，依法建立了企业职工社会保险、公积金缴纳管理等体系，并 结合行业特点，以市场为导向，以岗位价值和业绩为衡量标准，设立具有外部竞争力和内部公平性的薪酬福利体系和激励机 制，确保公司整体薪酬水平合理、公正、公平。报告期内，公司薪酬与考核委员会根据相关规定，对公司董事、监事、高级 管理人员的绩效考核进行了核查，进一步完善和健全对相关人员的考评及长期激励与约束机制。</w:t>
      </w:r>
    </w:p>
    <w:p>
      <w:pPr>
        <w:pStyle w:val="Style32"/>
        <w:keepNext/>
        <w:keepLines/>
        <w:widowControl w:val="0"/>
        <w:shd w:val="clear" w:color="auto" w:fill="auto"/>
        <w:tabs>
          <w:tab w:pos="378" w:val="left"/>
        </w:tabs>
        <w:bidi w:val="0"/>
        <w:spacing w:before="0" w:after="26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培训计划</w:t>
      </w:r>
      <w:bookmarkEnd w:id="364"/>
      <w:bookmarkEnd w:id="365"/>
      <w:bookmarkEnd w:id="367"/>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年初公司依据公司战略、岗位需求、员工培训需求制定培训计划，并依据年度实际情况实施调整培训计划。公司针对不 同职级、不同工种及岗位的员工设置有不同的培训计划，已形成有公司特色的培训体系。公司有多个可供培训的场所，配置 </w:t>
      </w:r>
      <w:r>
        <w:rPr>
          <w:color w:val="000000"/>
          <w:spacing w:val="0"/>
          <w:w w:val="100"/>
          <w:position w:val="0"/>
        </w:rPr>
        <w:t>了网络视频设备，可同时进行视讯培训，可有效进行互动交流，大幅提高培训效果。具体培训包括新员工岗前培训、业务技 能培训、管理培训、企业文化培训、管理能力培训、团队建设培训等。公司将继续坚持以人为本的管理理念，高度重视人才 的培养，持续开展岗位能力提升培训，精心培训和储备核心人才。</w:t>
      </w:r>
    </w:p>
    <w:p>
      <w:pPr>
        <w:pStyle w:val="Style32"/>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、劳务外包情况</w:t>
      </w:r>
      <w:bookmarkEnd w:id="368"/>
      <w:bookmarkEnd w:id="369"/>
      <w:bookmarkEnd w:id="371"/>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72" w:name="bookmark372"/>
      <w:bookmarkStart w:id="373" w:name="bookmark373"/>
      <w:bookmarkStart w:id="374" w:name="bookmark374"/>
      <w:r>
        <w:rPr>
          <w:color w:val="000000"/>
          <w:spacing w:val="0"/>
          <w:w w:val="100"/>
          <w:position w:val="0"/>
        </w:rPr>
        <w:t>十、公司利润分配及资本公积金转增股本情况</w:t>
      </w:r>
      <w:bookmarkEnd w:id="372"/>
      <w:bookmarkEnd w:id="373"/>
      <w:bookmarkEnd w:id="374"/>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根据中国证券监督管理委员会公告</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号——上市公司现金分红》和《公司章程》等相关文 件规定，并结合公司的实际情况，公司董事会特制定《未来三年（</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年）股东回报规划》，明确了利润分配方式、 区间、现金分红条件、现金分红期间间隔和比例，规范了利润分配决策程序以及调整或变更利润分配的程序。报告期内，公 司严格执行相关政策和规定。</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1,470,887,550.00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514,810,642.50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514,810,642.50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2,298,926,697.94</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本次现金分红情况</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08"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7" w:lineRule="exact"/>
        <w:ind w:left="0" w:right="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1,470,887,550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元（含税），不送红股，也不以资本公 积金转增股本，预计共分配股利</w:t>
      </w:r>
      <w:r>
        <w:rPr>
          <w:rFonts w:ascii="Times New Roman" w:eastAsia="Times New Roman" w:hAnsi="Times New Roman" w:cs="Times New Roman"/>
          <w:color w:val="000000"/>
          <w:spacing w:val="0"/>
          <w:w w:val="100"/>
          <w:position w:val="0"/>
          <w:sz w:val="18"/>
          <w:szCs w:val="18"/>
        </w:rPr>
        <w:t>514,810,642.50</w:t>
      </w:r>
      <w:r>
        <w:rPr>
          <w:color w:val="000000"/>
          <w:spacing w:val="0"/>
          <w:w w:val="100"/>
          <w:position w:val="0"/>
        </w:rPr>
        <w:t>元，分配后公司剩余可供股东分配的股利为人民币</w:t>
      </w:r>
      <w:r>
        <w:rPr>
          <w:rFonts w:ascii="Times New Roman" w:eastAsia="Times New Roman" w:hAnsi="Times New Roman" w:cs="Times New Roman"/>
          <w:color w:val="000000"/>
          <w:spacing w:val="0"/>
          <w:w w:val="100"/>
          <w:position w:val="0"/>
          <w:sz w:val="18"/>
          <w:szCs w:val="18"/>
        </w:rPr>
        <w:t>1,784,116,055.44</w:t>
      </w:r>
      <w:r>
        <w:rPr>
          <w:color w:val="000000"/>
          <w:spacing w:val="0"/>
          <w:w w:val="100"/>
          <w:position w:val="0"/>
        </w:rPr>
        <w:t>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7" w:lineRule="exact"/>
        <w:ind w:left="0" w:right="0"/>
        <w:jc w:val="both"/>
      </w:pPr>
      <w:r>
        <w:rPr>
          <w:color w:val="000000"/>
          <w:spacing w:val="0"/>
          <w:w w:val="100"/>
          <w:position w:val="0"/>
        </w:rPr>
        <w:t>后续在分配方案实施前公司总股本由于可转债转股、股份回购、股权激励行权、再融资新增股份上市等原因而发生变 化的，则以实施利润分配方案的股权登记日可参与利润分配的总股本为基数，按每股分派金额不变的原则相应调整分派总 额。</w:t>
      </w:r>
    </w:p>
    <w:p>
      <w:pPr>
        <w:pStyle w:val="Style27"/>
        <w:keepNext/>
        <w:keepLines/>
        <w:widowControl w:val="0"/>
        <w:shd w:val="clear" w:color="auto" w:fill="auto"/>
        <w:bidi w:val="0"/>
        <w:spacing w:before="0" w:after="400" w:line="240" w:lineRule="auto"/>
        <w:ind w:left="0" w:right="0" w:firstLine="0"/>
        <w:jc w:val="left"/>
      </w:pPr>
      <w:bookmarkStart w:id="375" w:name="bookmark375"/>
      <w:bookmarkStart w:id="376" w:name="bookmark376"/>
      <w:bookmarkStart w:id="377" w:name="bookmark377"/>
      <w:r>
        <w:rPr>
          <w:color w:val="000000"/>
          <w:spacing w:val="0"/>
          <w:w w:val="100"/>
          <w:position w:val="0"/>
        </w:rPr>
        <w:t>十一、公司股权激励计划、员工持股计划或其他员工激励措施的实施情况</w:t>
      </w:r>
      <w:bookmarkEnd w:id="375"/>
      <w:bookmarkEnd w:id="376"/>
      <w:bookmarkEnd w:id="377"/>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、股权激励</w:t>
      </w:r>
      <w:bookmarkEnd w:id="378"/>
      <w:bookmarkEnd w:id="379"/>
      <w:bookmarkEnd w:id="381"/>
    </w:p>
    <w:p>
      <w:pPr>
        <w:pStyle w:val="Style22"/>
        <w:keepNext w:val="0"/>
        <w:keepLines w:val="0"/>
        <w:widowControl w:val="0"/>
        <w:shd w:val="clear" w:color="auto" w:fill="auto"/>
        <w:bidi w:val="0"/>
        <w:spacing w:before="0" w:after="40" w:line="317" w:lineRule="exact"/>
        <w:ind w:left="0" w:right="0"/>
        <w:jc w:val="both"/>
      </w:pPr>
      <w:bookmarkStart w:id="382" w:name="bookmark382"/>
      <w:r>
        <w:rPr>
          <w:rFonts w:ascii="Times New Roman" w:eastAsia="Times New Roman" w:hAnsi="Times New Roman" w:cs="Times New Roman"/>
          <w:color w:val="000000"/>
          <w:spacing w:val="0"/>
          <w:w w:val="100"/>
          <w:position w:val="0"/>
          <w:sz w:val="18"/>
          <w:szCs w:val="18"/>
        </w:rPr>
        <w:t>1</w:t>
      </w:r>
      <w:bookmarkEnd w:id="382"/>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年第十一次会议、第六届监事会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年第六次会议审议通过了《关于 </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 xml:space="preserve">深圳劲嘉集团股份有限公司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的议案》等相关议案，公司独立董事发表了同意的独立意见，北京市中伦（深 圳）律师事务所对本次股权激励计划发表了法律意见书。</w:t>
      </w:r>
    </w:p>
    <w:p>
      <w:pPr>
        <w:pStyle w:val="Style22"/>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日，公司对本次股权激励计划的首次授予激励对象的姓名和职务在公司内部进行了公示， 在公示的时限内，公司内部人员未提出异议。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日，公司披露了《关于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年限制性股票激励计划授予激励对象 名单的更正公告》，对激励对象名单中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名人员的姓名与身份证记载不一致事项予以更正，同日公司披露了《监事会关于公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年限制性股票激励计划激励对象名单的核查意见及公示情况说明的公告》。</w:t>
      </w:r>
    </w:p>
    <w:p>
      <w:pPr>
        <w:pStyle w:val="Style22"/>
        <w:keepNext w:val="0"/>
        <w:keepLines w:val="0"/>
        <w:widowControl w:val="0"/>
        <w:shd w:val="clear" w:color="auto" w:fill="auto"/>
        <w:tabs>
          <w:tab w:pos="657" w:val="left"/>
        </w:tabs>
        <w:bidi w:val="0"/>
        <w:spacing w:before="0" w:after="40" w:line="316" w:lineRule="exact"/>
        <w:ind w:left="0" w:right="0"/>
        <w:jc w:val="both"/>
      </w:pPr>
      <w:bookmarkStart w:id="383" w:name="bookmark383"/>
      <w:r>
        <w:rPr>
          <w:rFonts w:ascii="Times New Roman" w:eastAsia="Times New Roman" w:hAnsi="Times New Roman" w:cs="Times New Roman"/>
          <w:color w:val="000000"/>
          <w:spacing w:val="0"/>
          <w:w w:val="100"/>
          <w:position w:val="0"/>
          <w:sz w:val="18"/>
          <w:szCs w:val="18"/>
        </w:rPr>
        <w:t>3</w:t>
      </w:r>
      <w:bookmarkEnd w:id="38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 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的议案》等相关议案，并授权董事会办理公司限制性股票激励计划相关事宜。</w:t>
      </w:r>
    </w:p>
    <w:p>
      <w:pPr>
        <w:pStyle w:val="Style22"/>
        <w:keepNext w:val="0"/>
        <w:keepLines w:val="0"/>
        <w:widowControl w:val="0"/>
        <w:shd w:val="clear" w:color="auto" w:fill="auto"/>
        <w:tabs>
          <w:tab w:pos="657" w:val="left"/>
        </w:tabs>
        <w:bidi w:val="0"/>
        <w:spacing w:before="0" w:after="40" w:line="316" w:lineRule="exact"/>
        <w:ind w:left="0" w:right="0"/>
        <w:jc w:val="both"/>
      </w:pPr>
      <w:bookmarkStart w:id="384" w:name="bookmark384"/>
      <w:r>
        <w:rPr>
          <w:rFonts w:ascii="Times New Roman" w:eastAsia="Times New Roman" w:hAnsi="Times New Roman" w:cs="Times New Roman"/>
          <w:color w:val="000000"/>
          <w:spacing w:val="0"/>
          <w:w w:val="100"/>
          <w:position w:val="0"/>
          <w:sz w:val="18"/>
          <w:szCs w:val="18"/>
        </w:rPr>
        <w:t>4</w:t>
      </w:r>
      <w:bookmarkEnd w:id="3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 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日作为首次授予日，向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,713.1452</w:t>
      </w:r>
      <w:r>
        <w:rPr>
          <w:color w:val="000000"/>
          <w:spacing w:val="0"/>
          <w:w w:val="100"/>
          <w:position w:val="0"/>
        </w:rPr>
        <w:t>万股限制性股票。公司独立董事对此发表了同 意的独立意见，公司监事会对首次授予限制性股票的激励对象名单进行了核实，北京市中伦（深圳）律师事务所对相关事项 发表了法律意见书。</w:t>
      </w:r>
    </w:p>
    <w:p>
      <w:pPr>
        <w:pStyle w:val="Style22"/>
        <w:keepNext w:val="0"/>
        <w:keepLines w:val="0"/>
        <w:widowControl w:val="0"/>
        <w:shd w:val="clear" w:color="auto" w:fill="auto"/>
        <w:tabs>
          <w:tab w:pos="666" w:val="left"/>
        </w:tabs>
        <w:bidi w:val="0"/>
        <w:spacing w:before="0" w:after="40" w:line="316" w:lineRule="exact"/>
        <w:ind w:left="0" w:right="0"/>
        <w:jc w:val="both"/>
      </w:pPr>
      <w:bookmarkStart w:id="385" w:name="bookmark385"/>
      <w:r>
        <w:rPr>
          <w:rFonts w:ascii="Times New Roman" w:eastAsia="Times New Roman" w:hAnsi="Times New Roman" w:cs="Times New Roman"/>
          <w:color w:val="000000"/>
          <w:spacing w:val="0"/>
          <w:w w:val="100"/>
          <w:position w:val="0"/>
          <w:sz w:val="18"/>
          <w:szCs w:val="18"/>
        </w:rPr>
        <w:t>5</w:t>
      </w:r>
      <w:bookmarkEnd w:id="385"/>
      <w:r>
        <w:rPr>
          <w:color w:val="000000"/>
          <w:spacing w:val="0"/>
          <w:w w:val="100"/>
          <w:position w:val="0"/>
        </w:rPr>
        <w:t>、</w:t>
        <w:tab/>
        <w:t>公司向深圳证券交易所、中国证券登记结算有限责任公司深圳分公司申请向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,713.145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万股限制 性股票，限制性股票授予日为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日，授予股份的上市日期为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日。其中：授予限制性股票（定增部分） 激励对象共</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人，授予的定增部分限制性股票数量为</w:t>
      </w:r>
      <w:r>
        <w:rPr>
          <w:rFonts w:ascii="Times New Roman" w:eastAsia="Times New Roman" w:hAnsi="Times New Roman" w:cs="Times New Roman"/>
          <w:color w:val="000000"/>
          <w:spacing w:val="0"/>
          <w:w w:val="100"/>
          <w:position w:val="0"/>
          <w:sz w:val="18"/>
          <w:szCs w:val="18"/>
        </w:rPr>
        <w:t>601.71</w:t>
      </w:r>
      <w:r>
        <w:rPr>
          <w:color w:val="000000"/>
          <w:spacing w:val="0"/>
          <w:w w:val="100"/>
          <w:position w:val="0"/>
        </w:rPr>
        <w:t>万股；授予限制性股票（回购部分）的激励对象共</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人，授予 的回购部分限制性股票数量为</w:t>
      </w:r>
      <w:r>
        <w:rPr>
          <w:rFonts w:ascii="Times New Roman" w:eastAsia="Times New Roman" w:hAnsi="Times New Roman" w:cs="Times New Roman"/>
          <w:color w:val="000000"/>
          <w:spacing w:val="0"/>
          <w:w w:val="100"/>
          <w:position w:val="0"/>
          <w:sz w:val="18"/>
          <w:szCs w:val="18"/>
        </w:rPr>
        <w:t>2,111.435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w:t>
      </w:r>
    </w:p>
    <w:p>
      <w:pPr>
        <w:pStyle w:val="Style22"/>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公司董事、高级管理人员获得的股权激励情况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316" w:lineRule="exact"/>
        <w:ind w:left="0" w:right="0" w:firstLine="0"/>
        <w:jc w:val="right"/>
      </w:pPr>
      <w:r>
        <w:rPr>
          <w:color w:val="000000"/>
          <w:spacing w:val="0"/>
          <w:w w:val="100"/>
          <w:position w:val="0"/>
        </w:rPr>
        <w:t>单位：股</w:t>
      </w:r>
    </w:p>
    <w:tbl>
      <w:tblPr>
        <w:tblOverlap w:val="never"/>
        <w:jc w:val="center"/>
        <w:tblLayout w:type="fixed"/>
      </w:tblPr>
      <w:tblGrid>
        <w:gridCol w:w="571"/>
        <w:gridCol w:w="994"/>
        <w:gridCol w:w="494"/>
        <w:gridCol w:w="682"/>
        <w:gridCol w:w="682"/>
        <w:gridCol w:w="686"/>
        <w:gridCol w:w="682"/>
        <w:gridCol w:w="682"/>
        <w:gridCol w:w="682"/>
        <w:gridCol w:w="682"/>
        <w:gridCol w:w="686"/>
        <w:gridCol w:w="682"/>
        <w:gridCol w:w="682"/>
        <w:gridCol w:w="696"/>
      </w:tblGrid>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年初</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 股票 期权</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 内可行 权股数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 内已行 权股数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内已行 权股数 行权价</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有股票</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期权数</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报告期 末市价 （元</w:t>
            </w:r>
            <w:r>
              <w:rPr>
                <w:rFonts w:ascii="Times New Roman" w:eastAsia="Times New Roman" w:hAnsi="Times New Roman" w:cs="Times New Roman"/>
                <w:color w:val="000000"/>
                <w:spacing w:val="0"/>
                <w:w w:val="100"/>
                <w:position w:val="0"/>
                <w:sz w:val="18"/>
                <w:szCs w:val="18"/>
              </w:rPr>
              <w:t>/</w:t>
            </w:r>
          </w:p>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新授予 限制性 股票数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限制性 股票的 授予价 格（元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bl>
    <w:tbl>
      <w:tblPr>
        <w:tblOverlap w:val="never"/>
        <w:jc w:val="center"/>
        <w:tblLayout w:type="fixed"/>
      </w:tblPr>
      <w:tblGrid>
        <w:gridCol w:w="571"/>
        <w:gridCol w:w="994"/>
        <w:gridCol w:w="494"/>
        <w:gridCol w:w="682"/>
        <w:gridCol w:w="682"/>
        <w:gridCol w:w="686"/>
        <w:gridCol w:w="682"/>
        <w:gridCol w:w="682"/>
        <w:gridCol w:w="682"/>
        <w:gridCol w:w="682"/>
        <w:gridCol w:w="686"/>
        <w:gridCol w:w="682"/>
        <w:gridCol w:w="682"/>
        <w:gridCol w:w="69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格（元</w:t>
            </w:r>
            <w:r>
              <w:rPr>
                <w:rFonts w:ascii="Times New Roman" w:eastAsia="Times New Roman" w:hAnsi="Times New Roman" w:cs="Times New Roman"/>
                <w:color w:val="000000"/>
                <w:spacing w:val="0"/>
                <w:w w:val="100"/>
                <w:position w:val="0"/>
                <w:sz w:val="18"/>
                <w:szCs w:val="18"/>
              </w:rPr>
              <w:t>/</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侯旭</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李德 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董事、常务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李晓 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经理、原董</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富培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8"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高级管理人员的考评机制及激励情况</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公司对高级管理人员持有的限制性股票严格按照《深圳劲嘉集团股份有限公司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 法》进行考评。</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员工持股计划的实施情况</w:t>
      </w:r>
      <w:bookmarkEnd w:id="386"/>
      <w:bookmarkEnd w:id="387"/>
      <w:bookmarkEnd w:id="389"/>
    </w:p>
    <w:p>
      <w:pPr>
        <w:pStyle w:val="Style2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其他员工激励措施</w:t>
      </w:r>
      <w:bookmarkEnd w:id="390"/>
      <w:bookmarkEnd w:id="391"/>
      <w:bookmarkEnd w:id="393"/>
    </w:p>
    <w:p>
      <w:pPr>
        <w:pStyle w:val="Style2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rPr>
        <w:t>十二、报告期内的内部控制制度建设及实施情况</w:t>
      </w:r>
      <w:bookmarkEnd w:id="394"/>
      <w:bookmarkEnd w:id="395"/>
      <w:bookmarkEnd w:id="396"/>
    </w:p>
    <w:p>
      <w:pPr>
        <w:pStyle w:val="Style32"/>
        <w:keepNext/>
        <w:keepLines/>
        <w:widowControl w:val="0"/>
        <w:shd w:val="clear" w:color="auto" w:fill="auto"/>
        <w:bidi w:val="0"/>
        <w:spacing w:before="0" w:after="2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、内部控制建设及实施情况</w:t>
      </w:r>
      <w:bookmarkEnd w:id="397"/>
      <w:bookmarkEnd w:id="398"/>
      <w:bookmarkEnd w:id="400"/>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公司严格按《公司法》、《证券法》、《深圳证券交易所股票上市规则》、《深圳证券交易所上市公司自律监管指引第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号一主板上市公司规范运作》等相关法律法规合规经营运作，形成了相对完备的内控制度。</w:t>
      </w:r>
    </w:p>
    <w:p>
      <w:pPr>
        <w:pStyle w:val="Style22"/>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年度，根据公司实际情况，公司对《公司章程》、《股东大会议事规则》、《独立董事工作条例》、《关联交易决 策制度》、《公开信息披露管理制度》、《重大信息内部报告制度》、《董事、监事和高级管理人员所持本公司股份及其变 动管理办法》、《内幕信息知情人登记管理制度》等内部制度进行了修订，保持公司内部制度的时效性和科学性。</w:t>
      </w:r>
    </w:p>
    <w:p>
      <w:pPr>
        <w:pStyle w:val="Style22"/>
        <w:keepNext w:val="0"/>
        <w:keepLines w:val="0"/>
        <w:widowControl w:val="0"/>
        <w:shd w:val="clear" w:color="auto" w:fill="auto"/>
        <w:bidi w:val="0"/>
        <w:spacing w:before="0" w:after="320" w:line="313" w:lineRule="exact"/>
        <w:ind w:left="0" w:right="0"/>
        <w:jc w:val="both"/>
      </w:pPr>
      <w:r>
        <w:rPr>
          <w:color w:val="000000"/>
          <w:spacing w:val="0"/>
          <w:w w:val="100"/>
          <w:position w:val="0"/>
        </w:rPr>
        <w:t>公司董事会根据企业内部控制规范体系对重大缺陷、重要缺陷和一般缺陷的认定要求，结合公司规模、行业特征、风险 偏好和风险承受度等因素，区分财务报告内部控制和非财务报告内部控制，研究确定了适用于本公司的内部控制缺陷具体认 定标准。根据公司内部控制重大缺陷的认定情况，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年公司不存在财务报告内部控制重大缺陷和重要缺陷，不存在非财 务报告内部控制重大缺陷和重要缺陷。</w:t>
      </w:r>
      <w:r>
        <w:br w:type="page"/>
      </w:r>
    </w:p>
    <w:p>
      <w:pPr>
        <w:pStyle w:val="Style32"/>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、报告期内发现的内部控制重大缺陷的具体情况</w:t>
      </w:r>
      <w:bookmarkEnd w:id="401"/>
      <w:bookmarkEnd w:id="402"/>
      <w:bookmarkEnd w:id="404"/>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405" w:name="bookmark405"/>
      <w:bookmarkStart w:id="406" w:name="bookmark406"/>
      <w:bookmarkStart w:id="407" w:name="bookmark407"/>
      <w:r>
        <w:rPr>
          <w:color w:val="000000"/>
          <w:spacing w:val="0"/>
          <w:w w:val="100"/>
          <w:position w:val="0"/>
        </w:rPr>
        <w:t>十三、公司报告期内对子公司的管理控制情况</w:t>
      </w:r>
      <w:bookmarkEnd w:id="405"/>
      <w:bookmarkEnd w:id="406"/>
      <w:bookmarkEnd w:id="407"/>
    </w:p>
    <w:tbl>
      <w:tblPr>
        <w:tblOverlap w:val="never"/>
        <w:jc w:val="center"/>
        <w:tblLayout w:type="fixed"/>
      </w:tblPr>
      <w:tblGrid>
        <w:gridCol w:w="1373"/>
        <w:gridCol w:w="1891"/>
        <w:gridCol w:w="2122"/>
        <w:gridCol w:w="998"/>
        <w:gridCol w:w="1277"/>
        <w:gridCol w:w="850"/>
        <w:gridCol w:w="107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 的问题</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后续解决计 划</w:t>
            </w:r>
          </w:p>
        </w:tc>
      </w:tr>
      <w:tr>
        <w:trPr>
          <w:trHeight w:val="228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青岛英诺包装科 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、建立现代化企业运作 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、整合运营管理 工作；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、对子公司的人 员配置、信息流转做出 优化；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、健全和优化财 务管理制度、财务管理 体系。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、对子公司组织架构进行 重新梳理；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、将子公司统 一纳入公司业务系统；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委派董事、高管或财务人 员，建立了经营者定期报告 机制；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、对子公司财务状 况进行常态化监督管理。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rPr>
        <w:t>十四、内部控制自我评价报告或内部控制审计报告</w:t>
      </w:r>
      <w:bookmarkEnd w:id="408"/>
      <w:bookmarkEnd w:id="409"/>
      <w:bookmarkEnd w:id="410"/>
    </w:p>
    <w:p>
      <w:pPr>
        <w:pStyle w:val="Style32"/>
        <w:keepNext/>
        <w:keepLines/>
        <w:widowControl w:val="0"/>
        <w:shd w:val="clear" w:color="auto" w:fill="auto"/>
        <w:bidi w:val="0"/>
        <w:spacing w:before="0" w:after="34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2842"/>
        <w:gridCol w:w="3398"/>
        <w:gridCol w:w="3341"/>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6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出现下列情形之一的，认定为重大缺陷：① 公司控制环境无效；②公司董事、监事和 高级管理人员舞弊;③对已经公告的财务报 告出现的重大差错进行错报更正（由于政策 变化或其他客观因素变化导致的对以前年 度的追溯调整除外）；④注册会计师发现当 期财务报表存在重大错报，而公司内部控制 在运行过程中未能发现该错报;⑤公司审计 委员会和审计部门对内部控制的监督无效。 出现下列情形之一的，认定为重要缺陷：① 未依照公认会计准则选择和应用会计政策； ②未建立反舞弊程序和控制措施；③财务 报告过程中出现单独或多项缺陷，虽然未达 到重大缺陷认定标准，但影响到财务报告的</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出现以下情形的，认定为重大缺陷，其他 情形按影响程度分别确定为重要缺陷或一 般缺陷：①违反国家法律、法规或规范性 文件；②决策程序不科学导致重大决策失 误；③重要业务缺乏制度控制或制度系统 性失效；④内部控制评价的结果特别是重 大或重要缺陷未得到整改；⑤安全、环保 事故对公司造成重大负面影响的情形。</w:t>
            </w:r>
          </w:p>
        </w:tc>
      </w:tr>
    </w:tbl>
    <w:p>
      <w:pPr>
        <w:spacing w:lineRule="exact" w:line="1"/>
        <w:rPr>
          <w:sz w:val="2"/>
          <w:szCs w:val="2"/>
        </w:rPr>
      </w:pPr>
      <w:r>
        <w:br w:type="page"/>
      </w:r>
    </w:p>
    <w:tbl>
      <w:tblPr>
        <w:tblOverlap w:val="never"/>
        <w:jc w:val="center"/>
        <w:tblLayout w:type="fixed"/>
      </w:tblPr>
      <w:tblGrid>
        <w:gridCol w:w="2842"/>
        <w:gridCol w:w="3398"/>
        <w:gridCol w:w="3341"/>
      </w:tblGrid>
      <w:tr>
        <w:trPr>
          <w:trHeight w:val="13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314" w:lineRule="exact"/>
              <w:ind w:left="0" w:right="0" w:firstLine="0"/>
              <w:jc w:val="left"/>
            </w:pPr>
            <w:r>
              <w:rPr>
                <w:color w:val="000000"/>
                <w:spacing w:val="0"/>
                <w:w w:val="100"/>
                <w:position w:val="0"/>
              </w:rPr>
              <w:t>真实、准确目标。</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出现下列情形之一的，认定为一般缺陷：未 构成重大缺陷、重要缺陷标准的其他内部控 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7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rPr>
              <w:t>资产总额潜在错报：重大缺陷：错报金额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；重要缺陷：资产总额的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6"/>
              <w:keepNext w:val="0"/>
              <w:keepLines w:val="0"/>
              <w:widowControl w:val="0"/>
              <w:shd w:val="clear" w:color="auto" w:fill="auto"/>
              <w:bidi w:val="0"/>
              <w:spacing w:before="0" w:after="40" w:line="326" w:lineRule="exact"/>
              <w:ind w:left="0" w:right="0" w:firstLine="0"/>
              <w:jc w:val="left"/>
            </w:pPr>
            <w:r>
              <w:rPr>
                <w:color w:val="000000"/>
                <w:spacing w:val="0"/>
                <w:w w:val="100"/>
                <w:position w:val="0"/>
              </w:rPr>
              <w:t>一般缺陷：错报金额〈资产总额的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营业收入潜在错报：重大缺陷：错报金额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；重要缺陷：营业收入的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一般缺陷：错报金额〈营业收入的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利润总额潜在错报：重大缺陷：错报金额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；重要缺陷:利润总额的</w:t>
            </w:r>
            <w:r>
              <w:rPr>
                <w:rFonts w:ascii="Times New Roman" w:eastAsia="Times New Roman" w:hAnsi="Times New Roman" w:cs="Times New Roman"/>
                <w:color w:val="000000"/>
                <w:spacing w:val="0"/>
                <w:w w:val="100"/>
                <w:position w:val="0"/>
                <w:sz w:val="18"/>
                <w:szCs w:val="18"/>
              </w:rPr>
              <w:t xml:space="preserve">3%&lt; </w:t>
            </w:r>
            <w:r>
              <w:rPr>
                <w:color w:val="000000"/>
                <w:spacing w:val="0"/>
                <w:w w:val="100"/>
                <w:position w:val="0"/>
              </w:rPr>
              <w:t>错报金额〈利润总额的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一般缺陷：错报金额〈利润总额的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非财务报告内部控制缺陷评价的定量标准 参照财务报告内部控制缺陷评价的定量标 准执行。</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、内部控制审计报告</w:t>
      </w:r>
      <w:bookmarkEnd w:id="415"/>
      <w:bookmarkEnd w:id="416"/>
      <w:bookmarkEnd w:id="418"/>
    </w:p>
    <w:p>
      <w:pPr>
        <w:pStyle w:val="Style22"/>
        <w:keepNext w:val="0"/>
        <w:keepLines w:val="0"/>
        <w:widowControl w:val="0"/>
        <w:shd w:val="clear" w:color="auto" w:fill="auto"/>
        <w:bidi w:val="0"/>
        <w:spacing w:before="0" w:after="34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419" w:name="bookmark419"/>
      <w:bookmarkStart w:id="420" w:name="bookmark420"/>
      <w:bookmarkStart w:id="421" w:name="bookmark421"/>
      <w:r>
        <w:rPr>
          <w:color w:val="000000"/>
          <w:spacing w:val="0"/>
          <w:w w:val="100"/>
          <w:position w:val="0"/>
        </w:rPr>
        <w:t>十五、上市公司治理专项行动自查问题整改情况</w:t>
      </w:r>
      <w:bookmarkEnd w:id="419"/>
      <w:bookmarkEnd w:id="420"/>
      <w:bookmarkEnd w:id="421"/>
    </w:p>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日，证监会下发《关于开展上市公司治理专项行动的公告》（证监会公告</w:t>
      </w:r>
      <w:r>
        <w:rPr>
          <w:rFonts w:ascii="Times New Roman" w:eastAsia="Times New Roman" w:hAnsi="Times New Roman" w:cs="Times New Roman"/>
          <w:color w:val="000000"/>
          <w:spacing w:val="0"/>
          <w:w w:val="100"/>
          <w:position w:val="0"/>
          <w:sz w:val="18"/>
          <w:szCs w:val="18"/>
        </w:rPr>
        <w:t>[2020]69</w:t>
      </w:r>
      <w:r>
        <w:rPr>
          <w:color w:val="000000"/>
          <w:spacing w:val="0"/>
          <w:w w:val="100"/>
          <w:position w:val="0"/>
        </w:rPr>
        <w:t>号），全面启动上市公司治 理专项行动，并要求上市公司开展自查。</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公司自查整改情况如下：</w:t>
      </w:r>
    </w:p>
    <w:p>
      <w:pPr>
        <w:pStyle w:val="Style22"/>
        <w:keepNext w:val="0"/>
        <w:keepLines w:val="0"/>
        <w:widowControl w:val="0"/>
        <w:shd w:val="clear" w:color="auto" w:fill="auto"/>
        <w:tabs>
          <w:tab w:pos="334" w:val="left"/>
        </w:tabs>
        <w:bidi w:val="0"/>
        <w:spacing w:before="0" w:after="0" w:line="331" w:lineRule="exact"/>
        <w:ind w:left="0" w:right="0" w:firstLine="0"/>
        <w:jc w:val="both"/>
      </w:pPr>
      <w:bookmarkStart w:id="422" w:name="bookmark422"/>
      <w:r>
        <w:rPr>
          <w:rFonts w:ascii="Times New Roman" w:eastAsia="Times New Roman" w:hAnsi="Times New Roman" w:cs="Times New Roman"/>
          <w:color w:val="000000"/>
          <w:spacing w:val="0"/>
          <w:w w:val="100"/>
          <w:position w:val="0"/>
          <w:sz w:val="18"/>
          <w:szCs w:val="18"/>
        </w:rPr>
        <w:t>1</w:t>
      </w:r>
      <w:bookmarkEnd w:id="422"/>
      <w:r>
        <w:rPr>
          <w:color w:val="000000"/>
          <w:spacing w:val="0"/>
          <w:w w:val="100"/>
          <w:position w:val="0"/>
        </w:rPr>
        <w:t>、</w:t>
        <w:tab/>
        <w:t>问题类型：三会运作</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具体问题：公司存在董事会到期未换届情况</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整改情况：公司第五届董事会、监事会于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日到期，鉴于当时是新型冠状病毒感染的肺炎疫情防控特殊时期，而 审议董事、监事选举事项的股东大会是必须现场召开的大型聚集性会议，因此换届延迟。公司已于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日召开股东 大会完成换届选举事宜。</w:t>
      </w:r>
    </w:p>
    <w:p>
      <w:pPr>
        <w:pStyle w:val="Style22"/>
        <w:keepNext w:val="0"/>
        <w:keepLines w:val="0"/>
        <w:widowControl w:val="0"/>
        <w:shd w:val="clear" w:color="auto" w:fill="auto"/>
        <w:tabs>
          <w:tab w:pos="354" w:val="left"/>
        </w:tabs>
        <w:bidi w:val="0"/>
        <w:spacing w:before="0" w:after="0" w:line="319" w:lineRule="exact"/>
        <w:ind w:left="0" w:right="0" w:firstLine="0"/>
        <w:jc w:val="both"/>
      </w:pPr>
      <w:bookmarkStart w:id="423" w:name="bookmark423"/>
      <w:r>
        <w:rPr>
          <w:rFonts w:ascii="Times New Roman" w:eastAsia="Times New Roman" w:hAnsi="Times New Roman" w:cs="Times New Roman"/>
          <w:color w:val="000000"/>
          <w:spacing w:val="0"/>
          <w:w w:val="100"/>
          <w:position w:val="0"/>
          <w:sz w:val="18"/>
          <w:szCs w:val="18"/>
        </w:rPr>
        <w:t>2</w:t>
      </w:r>
      <w:bookmarkEnd w:id="423"/>
      <w:r>
        <w:rPr>
          <w:color w:val="000000"/>
          <w:spacing w:val="0"/>
          <w:w w:val="100"/>
          <w:position w:val="0"/>
        </w:rPr>
        <w:t>、</w:t>
        <w:tab/>
        <w:t>问题类型：董监高履职尽责</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具体问题：公司存在董监高未按照规定出席（列席）或委托他人代为出席股东大会、董事会、监事会等会议的情形</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整改情况：按照公司章程规定，股东大会召开时，本公司全体董事、监事和董事会秘书应当出席会议，总经理和其他高级管 理人员应当列席会议。在公司股东大会实际召开时，由于部分董事、监事、高级管理人员因出差，无法出席或列席股东大会， 缺席人员均已书面方式请假，缺席人员不会对股东大会的程序或决议的合规性造成影响。</w:t>
      </w:r>
    </w:p>
    <w:p>
      <w:pPr>
        <w:pStyle w:val="Style22"/>
        <w:keepNext w:val="0"/>
        <w:keepLines w:val="0"/>
        <w:widowControl w:val="0"/>
        <w:shd w:val="clear" w:color="auto" w:fill="auto"/>
        <w:tabs>
          <w:tab w:pos="354" w:val="left"/>
        </w:tabs>
        <w:bidi w:val="0"/>
        <w:spacing w:before="0" w:after="0" w:line="319" w:lineRule="exact"/>
        <w:ind w:left="0" w:right="0" w:firstLine="0"/>
        <w:jc w:val="left"/>
      </w:pPr>
      <w:bookmarkStart w:id="424" w:name="bookmark424"/>
      <w:r>
        <w:rPr>
          <w:rFonts w:ascii="Times New Roman" w:eastAsia="Times New Roman" w:hAnsi="Times New Roman" w:cs="Times New Roman"/>
          <w:color w:val="000000"/>
          <w:spacing w:val="0"/>
          <w:w w:val="100"/>
          <w:position w:val="0"/>
          <w:sz w:val="18"/>
          <w:szCs w:val="18"/>
        </w:rPr>
        <w:t>3</w:t>
      </w:r>
      <w:bookmarkEnd w:id="424"/>
      <w:r>
        <w:rPr>
          <w:color w:val="000000"/>
          <w:spacing w:val="0"/>
          <w:w w:val="100"/>
          <w:position w:val="0"/>
        </w:rPr>
        <w:t>、</w:t>
        <w:tab/>
        <w:t>问题类型：内部控制规范性</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具体问题：公司存在关于征集投票的制度不符合法律法规规定的情形</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整改情况：公司于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日召开的股东大会审议通过了《关于修订</w:t>
      </w:r>
      <w:r>
        <w:rPr>
          <w:color w:val="000000"/>
          <w:spacing w:val="0"/>
          <w:w w:val="100"/>
          <w:position w:val="0"/>
          <w:sz w:val="18"/>
          <w:szCs w:val="18"/>
        </w:rPr>
        <w:t>〈</w:t>
      </w:r>
      <w:r>
        <w:rPr>
          <w:color w:val="000000"/>
          <w:spacing w:val="0"/>
          <w:w w:val="100"/>
          <w:position w:val="0"/>
        </w:rPr>
        <w:t>股东大会议事规则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的议案》，规定依照法律、行 政法规或者中国证监会的规定设立的投资者保护机构可以公开征集股东投票权。</w:t>
      </w:r>
      <w:r>
        <w:br w:type="page"/>
      </w:r>
    </w:p>
    <w:p>
      <w:pPr>
        <w:pStyle w:val="Style10"/>
        <w:keepNext/>
        <w:keepLines/>
        <w:widowControl w:val="0"/>
        <w:shd w:val="clear" w:color="auto" w:fill="auto"/>
        <w:bidi w:val="0"/>
        <w:spacing w:before="0" w:line="240" w:lineRule="auto"/>
        <w:ind w:left="0" w:right="0" w:firstLine="0"/>
        <w:jc w:val="center"/>
      </w:pPr>
      <w:bookmarkStart w:id="425" w:name="bookmark425"/>
      <w:bookmarkStart w:id="426" w:name="bookmark426"/>
      <w:bookmarkStart w:id="427" w:name="bookmark427"/>
      <w:r>
        <w:rPr>
          <w:color w:val="000000"/>
          <w:spacing w:val="0"/>
          <w:w w:val="100"/>
          <w:position w:val="0"/>
        </w:rPr>
        <w:t>第五节环境和社会责任</w:t>
      </w:r>
      <w:bookmarkEnd w:id="425"/>
      <w:bookmarkEnd w:id="426"/>
      <w:bookmarkEnd w:id="427"/>
    </w:p>
    <w:p>
      <w:pPr>
        <w:pStyle w:val="Style27"/>
        <w:keepNext/>
        <w:keepLines/>
        <w:widowControl w:val="0"/>
        <w:shd w:val="clear" w:color="auto" w:fill="auto"/>
        <w:bidi w:val="0"/>
        <w:spacing w:before="0" w:after="400" w:line="240" w:lineRule="auto"/>
        <w:ind w:left="0" w:right="0" w:firstLine="340"/>
        <w:jc w:val="left"/>
      </w:pPr>
      <w:bookmarkStart w:id="428" w:name="bookmark428"/>
      <w:bookmarkStart w:id="429" w:name="bookmark429"/>
      <w:bookmarkStart w:id="430" w:name="bookmark430"/>
      <w:bookmarkStart w:id="431" w:name="bookmark431"/>
      <w:r>
        <w:rPr>
          <w:color w:val="000000"/>
          <w:spacing w:val="0"/>
          <w:w w:val="100"/>
          <w:position w:val="0"/>
        </w:rPr>
        <w:t>、重大环保问题</w:t>
      </w:r>
      <w:bookmarkEnd w:id="429"/>
      <w:bookmarkEnd w:id="430"/>
      <w:bookmarkEnd w:id="431"/>
      <w:bookmarkEnd w:id="42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811"/>
        <w:gridCol w:w="696"/>
        <w:gridCol w:w="854"/>
        <w:gridCol w:w="677"/>
        <w:gridCol w:w="696"/>
        <w:gridCol w:w="1037"/>
        <w:gridCol w:w="1234"/>
        <w:gridCol w:w="1094"/>
        <w:gridCol w:w="1123"/>
        <w:gridCol w:w="979"/>
        <w:gridCol w:w="667"/>
      </w:tblGrid>
      <w:tr>
        <w:trPr>
          <w:trHeight w:val="107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公司或</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160"/>
              <w:jc w:val="left"/>
            </w:pPr>
            <w:r>
              <w:rPr>
                <w:color w:val="000000"/>
                <w:spacing w:val="0"/>
                <w:w w:val="100"/>
                <w:position w:val="0"/>
              </w:rPr>
              <w:t>主要</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污染 物</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污染物 种类</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center"/>
            </w:pPr>
            <w:r>
              <w:rPr>
                <w:color w:val="000000"/>
                <w:spacing w:val="0"/>
                <w:w w:val="100"/>
                <w:position w:val="0"/>
              </w:rPr>
              <w:t>排放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 口数 量</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执行的污</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染物排放</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标准</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60" w:line="240" w:lineRule="auto"/>
              <w:ind w:left="0" w:right="0" w:firstLine="0"/>
              <w:jc w:val="center"/>
            </w:pPr>
            <w:r>
              <w:rPr>
                <w:color w:val="000000"/>
                <w:spacing w:val="0"/>
                <w:w w:val="100"/>
                <w:position w:val="0"/>
              </w:rPr>
              <w:t>排放总量</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核定的排 放总量</w:t>
            </w:r>
          </w:p>
          <w:p>
            <w:pPr>
              <w:pStyle w:val="Style1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(t/a)</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超标</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排放</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tc>
      </w:tr>
      <w:tr>
        <w:trPr>
          <w:trHeight w:val="45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深圳劲 嘉集团 股份有 限公司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工业</w:t>
            </w:r>
          </w:p>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废水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值</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处理 后达 标排 放</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污水处理</w:t>
            </w:r>
          </w:p>
          <w:p>
            <w:pPr>
              <w:pStyle w:val="Style16"/>
              <w:keepNext w:val="0"/>
              <w:keepLines w:val="0"/>
              <w:widowControl w:val="0"/>
              <w:shd w:val="clear" w:color="auto" w:fill="auto"/>
              <w:bidi w:val="0"/>
              <w:spacing w:before="0" w:after="0" w:line="322" w:lineRule="exact"/>
              <w:ind w:left="0" w:right="0" w:firstLine="140"/>
              <w:jc w:val="left"/>
            </w:pPr>
            <w:r>
              <w:rPr>
                <w:color w:val="000000"/>
                <w:spacing w:val="0"/>
                <w:w w:val="100"/>
                <w:position w:val="0"/>
              </w:rPr>
              <w:t>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楼污 水排放口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无量纲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无量纲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色度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悬浮物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 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0.0415672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7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五日生</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化需氧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0.0342528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石油类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0.09 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0.0001606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化学需</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——氧量_</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41.98 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0.0748923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0.18 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0.0003211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 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70mg/L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0.0561960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工业</w:t>
            </w:r>
          </w:p>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废气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挥发性</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有机物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处理 后达 标排 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生产楼 楼顶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 mg/Nm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80mg/Nm3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18.4954061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安徽安 泰新型 包装材 料有限 公司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工业</w:t>
            </w:r>
          </w:p>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废气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氮氧化 物</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处理 后达 标排 放</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锅炉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二氧化 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粉尘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非甲烷 总烃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RTO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28.69mg/m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120mg/m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137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青岛英</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诺包装</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工业</w:t>
            </w:r>
          </w:p>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废气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非甲烷 总烃</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处理 后达 标排 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一线楼顶、 二线车间 北面通道</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线）</w:t>
            </w:r>
          </w:p>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60mg/Nm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r>
        <w:trPr>
          <w:trHeight w:val="76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颗粒物</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一线北面</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通道、</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线筛分)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10mg/Nm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r>
    </w:tbl>
    <w:tbl>
      <w:tblPr>
        <w:tblOverlap w:val="never"/>
        <w:jc w:val="center"/>
        <w:tblLayout w:type="fixed"/>
      </w:tblPr>
      <w:tblGrid>
        <w:gridCol w:w="811"/>
        <w:gridCol w:w="696"/>
        <w:gridCol w:w="854"/>
        <w:gridCol w:w="677"/>
        <w:gridCol w:w="696"/>
        <w:gridCol w:w="1037"/>
        <w:gridCol w:w="1234"/>
        <w:gridCol w:w="1094"/>
        <w:gridCol w:w="1123"/>
        <w:gridCol w:w="979"/>
        <w:gridCol w:w="667"/>
      </w:tblGrid>
      <w:tr>
        <w:trPr>
          <w:trHeight w:val="21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二线车间 东面通道、 一线楼顶、 二线车间 北面通道</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2" w:lineRule="exact"/>
              <w:ind w:left="0" w:right="0" w:firstLine="0"/>
              <w:jc w:val="center"/>
            </w:pPr>
            <w:r>
              <w:rPr>
                <w:rFonts w:ascii="Times New Roman" w:eastAsia="Times New Roman" w:hAnsi="Times New Roman" w:cs="Times New Roman"/>
                <w:color w:val="000000"/>
                <w:spacing w:val="0"/>
                <w:w w:val="100"/>
                <w:position w:val="0"/>
                <w:sz w:val="18"/>
                <w:szCs w:val="18"/>
              </w:rPr>
              <w:t>1.0mg/Nm</w:t>
            </w:r>
            <w:r>
              <w:rPr>
                <w:rFonts w:ascii="Times New Roman" w:eastAsia="Times New Roman" w:hAnsi="Times New Roman" w:cs="Times New Roman"/>
                <w:color w:val="000000"/>
                <w:spacing w:val="0"/>
                <w:w w:val="100"/>
                <w:position w:val="0"/>
                <w:sz w:val="18"/>
                <w:szCs w:val="18"/>
                <w:vertAlign w:val="superscript"/>
              </w:rPr>
              <w:t xml:space="preserve">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线锅炉） </w:t>
            </w:r>
            <w:r>
              <w:rPr>
                <w:rFonts w:ascii="Times New Roman" w:eastAsia="Times New Roman" w:hAnsi="Times New Roman" w:cs="Times New Roman"/>
                <w:color w:val="000000"/>
                <w:spacing w:val="0"/>
                <w:w w:val="100"/>
                <w:position w:val="0"/>
                <w:sz w:val="18"/>
                <w:szCs w:val="18"/>
              </w:rPr>
              <w:t>2.9mg/Nm</w:t>
            </w:r>
            <w:r>
              <w:rPr>
                <w:rFonts w:ascii="Times New Roman" w:eastAsia="Times New Roman" w:hAnsi="Times New Roman" w:cs="Times New Roman"/>
                <w:color w:val="000000"/>
                <w:spacing w:val="0"/>
                <w:w w:val="100"/>
                <w:position w:val="0"/>
                <w:sz w:val="18"/>
                <w:szCs w:val="18"/>
                <w:vertAlign w:val="superscript"/>
              </w:rPr>
              <w:t xml:space="preserve">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线筛分） </w:t>
            </w:r>
            <w:r>
              <w:rPr>
                <w:rFonts w:ascii="Times New Roman" w:eastAsia="Times New Roman" w:hAnsi="Times New Roman" w:cs="Times New Roman"/>
                <w:color w:val="000000"/>
                <w:spacing w:val="0"/>
                <w:w w:val="100"/>
                <w:position w:val="0"/>
                <w:sz w:val="18"/>
                <w:szCs w:val="18"/>
              </w:rPr>
              <w:t>1.0mg/Nm</w:t>
            </w:r>
            <w:r>
              <w:rPr>
                <w:rFonts w:ascii="Times New Roman" w:eastAsia="Times New Roman" w:hAnsi="Times New Roman" w:cs="Times New Roman"/>
                <w:color w:val="000000"/>
                <w:spacing w:val="0"/>
                <w:w w:val="100"/>
                <w:position w:val="0"/>
                <w:sz w:val="18"/>
                <w:szCs w:val="18"/>
                <w:vertAlign w:val="superscript"/>
              </w:rPr>
              <w:t xml:space="preserve">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线锅炉）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NOx</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140"/>
              <w:jc w:val="both"/>
            </w:pPr>
            <w:r>
              <w:rPr>
                <w:color w:val="000000"/>
                <w:spacing w:val="0"/>
                <w:w w:val="100"/>
                <w:position w:val="0"/>
              </w:rPr>
              <w:t>一线楼顶、 二线车间 北面通道</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线）</w:t>
            </w:r>
          </w:p>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100mg/Nm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46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二氧化 硫</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140"/>
              <w:jc w:val="both"/>
            </w:pPr>
            <w:r>
              <w:rPr>
                <w:color w:val="000000"/>
                <w:spacing w:val="0"/>
                <w:w w:val="100"/>
                <w:position w:val="0"/>
              </w:rPr>
              <w:t>一线楼顶、 二线车间 北面通道</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线）</w:t>
            </w:r>
          </w:p>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2.9mg/Nm</w:t>
            </w:r>
            <w:r>
              <w:rPr>
                <w:rFonts w:ascii="Times New Roman" w:eastAsia="Times New Roman" w:hAnsi="Times New Roman" w:cs="Times New Roman"/>
                <w:color w:val="000000"/>
                <w:spacing w:val="0"/>
                <w:w w:val="100"/>
                <w:position w:val="0"/>
                <w:sz w:val="18"/>
                <w:szCs w:val="18"/>
                <w:vertAlign w:val="superscript"/>
              </w:rPr>
              <w:t>3</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线）</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50mg/Nm</w:t>
            </w:r>
            <w:r>
              <w:rPr>
                <w:rFonts w:ascii="Times New Roman" w:eastAsia="Times New Roman" w:hAnsi="Times New Roman" w:cs="Times New Roman"/>
                <w:color w:val="000000"/>
                <w:spacing w:val="0"/>
                <w:w w:val="100"/>
                <w:position w:val="0"/>
                <w:sz w:val="18"/>
                <w:szCs w:val="18"/>
                <w:vertAlign w:val="superscript"/>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防治污染设施的建设和运行情况</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公司、安徽安泰及青岛英诺不断完善环境保护及防治污染相关的制度，并严格按照相关法律法规要求建设防治污染相关的设 施，持续加强环保设施运维管理，定期开展环保设施运行状态检查。报告期内，公司、安徽安泰及青岛英诺环保设施运行高 效，未发生重大环境污染事故。</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建设项目环境影响评价及其他环境保护行政许可情况</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公司、安徽安泰及青岛英诺的所有建设项目均按照法规要求开展环境影响评价，并依法取得项目环境影响评价批复；报告期 内，公司、安徽安泰及青岛英诺《排放污染物许可证》均在有效期内。</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突发环境事件应急预案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公司编制了突发环境事件应急预案，该应急预案已在深圳市环保监察支队完成备案;安徽安泰编制了突发环境事件应急预案， 该应急预案已在合肥市环保局经济技术开发区分局完成备案；青岛英诺编制了突发环境事件应急预案备案，该应急预案已在 青岛市生态环境局高新区分局完成备案。</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公司、安徽安泰及青岛英诺定期组织突发环境事件相关的培训及演练，不断提高应急响应能力，报告期内均未发生突发环境 事件。</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环境自行监测方案</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公司、安徽安泰及青岛英诺定期委托具有资质的第三方检测机构进行环境监测，并在日常生产中进行严格标准的自行监测， 报告期内监测结果均达标。</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报告期内因环境问题受到行政处罚的情况</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其他应当公开的环境信息</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报告期内，公司、安徽安泰及青岛英诺均严格执行环保相关法律法规，对可能影响环境的因素进行了有效管理和控制，不存 在超标排放的情形。</w:t>
      </w:r>
      <w:r>
        <w:br w:type="page"/>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其他环保相关信息</w:t>
      </w:r>
    </w:p>
    <w:p>
      <w:pPr>
        <w:pStyle w:val="Style22"/>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公司之全资子公司中丰田于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日被珠海市生态环境局列入《珠海市涉</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企业分级管理企业名单(第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批次)》，中丰田严格遵照《广东省环境保护厅关于重点行业挥发性有机物综合整治的实施方案(</w:t>
      </w:r>
      <w:r>
        <w:rPr>
          <w:rFonts w:ascii="Times New Roman" w:eastAsia="Times New Roman" w:hAnsi="Times New Roman" w:cs="Times New Roman"/>
          <w:color w:val="000000"/>
          <w:spacing w:val="0"/>
          <w:w w:val="100"/>
          <w:position w:val="0"/>
          <w:sz w:val="18"/>
          <w:szCs w:val="18"/>
        </w:rPr>
        <w:t>2014-2017</w:t>
      </w:r>
      <w:r>
        <w:rPr>
          <w:color w:val="000000"/>
          <w:spacing w:val="0"/>
          <w:w w:val="100"/>
          <w:position w:val="0"/>
        </w:rPr>
        <w:t>年)》、《广东省 环境保护厅关于开展固定污染源挥发性有机物排放重点监管企业综合整治工作指引》及行业治理技术指南有关要求，开展排 放评估工作，有针对性地开展固定污染源挥发性有机物治理改造，增强污染排放过程控制和车间收集效率，投资新建相关环 保处理设施，定期聘请有资质的第三方出具排放情况监测报告，确保主要污染物稳定达标排放。因在环境治理中对污染物实 施持续有效防控，中丰田于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日被珠海市生态环境局纳入《珠海市</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年生态环境监督执法正面清单》。</w:t>
      </w:r>
    </w:p>
    <w:p>
      <w:pPr>
        <w:pStyle w:val="Style30"/>
        <w:keepNext w:val="0"/>
        <w:keepLines w:val="0"/>
        <w:widowControl w:val="0"/>
        <w:shd w:val="clear" w:color="auto" w:fill="auto"/>
        <w:bidi w:val="0"/>
        <w:spacing w:before="0" w:after="0" w:line="240" w:lineRule="auto"/>
        <w:ind w:left="456" w:right="0" w:firstLine="0"/>
        <w:jc w:val="left"/>
      </w:pPr>
      <w:r>
        <w:rPr>
          <w:color w:val="000000"/>
          <w:spacing w:val="0"/>
          <w:w w:val="100"/>
          <w:position w:val="0"/>
        </w:rPr>
        <w:t>本报告期内中丰田检测主要大气污染物情况如下表所示:</w:t>
      </w:r>
    </w:p>
    <w:tbl>
      <w:tblPr>
        <w:tblOverlap w:val="never"/>
        <w:jc w:val="center"/>
        <w:tblLayout w:type="fixed"/>
      </w:tblPr>
      <w:tblGrid>
        <w:gridCol w:w="778"/>
        <w:gridCol w:w="682"/>
        <w:gridCol w:w="787"/>
        <w:gridCol w:w="936"/>
        <w:gridCol w:w="754"/>
        <w:gridCol w:w="715"/>
        <w:gridCol w:w="859"/>
        <w:gridCol w:w="1133"/>
        <w:gridCol w:w="994"/>
        <w:gridCol w:w="1253"/>
        <w:gridCol w:w="979"/>
      </w:tblGrid>
      <w:tr>
        <w:trPr>
          <w:trHeight w:val="1344"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公司或</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主要 污染 物</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特征污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染物的</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名称</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排放方 式</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center"/>
            </w:pPr>
            <w:r>
              <w:rPr>
                <w:color w:val="000000"/>
                <w:spacing w:val="0"/>
                <w:w w:val="100"/>
                <w:position w:val="0"/>
              </w:rPr>
              <w:t>排放口</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(个)</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排放 口分 布情 况</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center"/>
            </w:pPr>
            <w:r>
              <w:rPr>
                <w:color w:val="000000"/>
                <w:spacing w:val="0"/>
                <w:w w:val="100"/>
                <w:position w:val="0"/>
              </w:rPr>
              <w:t>排放浓</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度</w:t>
            </w:r>
          </w:p>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(mg/m</w:t>
            </w:r>
            <w:r>
              <w:rPr>
                <w:rFonts w:ascii="Times New Roman" w:eastAsia="Times New Roman" w:hAnsi="Times New Roman" w:cs="Times New Roman"/>
                <w:color w:val="000000"/>
                <w:spacing w:val="0"/>
                <w:w w:val="100"/>
                <w:position w:val="0"/>
                <w:sz w:val="18"/>
                <w:szCs w:val="18"/>
                <w:vertAlign w:val="superscript"/>
              </w:rPr>
              <w:t>3</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污染物排放</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标准量</w:t>
            </w:r>
          </w:p>
          <w:p>
            <w:pPr>
              <w:pStyle w:val="Style16"/>
              <w:keepNext w:val="0"/>
              <w:keepLines w:val="0"/>
              <w:widowControl w:val="0"/>
              <w:shd w:val="clear" w:color="auto" w:fill="auto"/>
              <w:bidi w:val="0"/>
              <w:spacing w:before="0" w:after="12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(mg/m3)</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center"/>
            </w:pPr>
            <w:r>
              <w:rPr>
                <w:color w:val="000000"/>
                <w:spacing w:val="0"/>
                <w:w w:val="100"/>
                <w:position w:val="0"/>
              </w:rPr>
              <w:t>排放总量</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20" w:after="120" w:line="240" w:lineRule="auto"/>
              <w:ind w:left="0" w:right="0" w:firstLine="0"/>
              <w:jc w:val="center"/>
            </w:pPr>
            <w:r>
              <w:rPr>
                <w:color w:val="000000"/>
                <w:spacing w:val="0"/>
                <w:w w:val="100"/>
                <w:position w:val="0"/>
              </w:rPr>
              <w:t>核定的排放</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总量</w:t>
            </w:r>
            <w:r>
              <w:rPr>
                <w:rFonts w:ascii="Times New Roman" w:eastAsia="Times New Roman" w:hAnsi="Times New Roman" w:cs="Times New Roman"/>
                <w:color w:val="000000"/>
                <w:spacing w:val="0"/>
                <w:w w:val="100"/>
                <w:position w:val="0"/>
                <w:sz w:val="18"/>
                <w:szCs w:val="18"/>
              </w:rPr>
              <w:t>(t)</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超标排放 情况</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中丰田 光电科 技(珠 海)有 限公司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工业</w:t>
            </w:r>
          </w:p>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废气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处理后</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达标排</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RTO</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排放</w:t>
            </w:r>
          </w:p>
          <w:p>
            <w:pPr>
              <w:pStyle w:val="Style1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0.000621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0.00324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0.004047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二氧化 硫</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氮氧化 物</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处理后</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达标排</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复合 楼顶 排放 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0.00612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0.00909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处理后</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达标排</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FT/</w:t>
            </w:r>
            <w:r>
              <w:rPr>
                <w:color w:val="000000"/>
                <w:spacing w:val="0"/>
                <w:w w:val="100"/>
                <w:position w:val="0"/>
              </w:rPr>
              <w:t>排 放口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0.00213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0.004185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苯</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处理后</w:t>
            </w:r>
          </w:p>
          <w:p>
            <w:pPr>
              <w:pStyle w:val="Style1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达标排</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基膜 压花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排放 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53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VOCs</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FT/</w:t>
            </w:r>
            <w:r>
              <w:rPr>
                <w:color w:val="000000"/>
                <w:spacing w:val="0"/>
                <w:w w:val="100"/>
                <w:position w:val="0"/>
              </w:rPr>
              <w:t>排 放口</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bl>
    <w:p>
      <w:pPr>
        <w:pStyle w:val="Style27"/>
        <w:keepNext/>
        <w:keepLines/>
        <w:widowControl w:val="0"/>
        <w:shd w:val="clear" w:color="auto" w:fill="auto"/>
        <w:bidi w:val="0"/>
        <w:spacing w:before="0" w:after="260" w:line="240" w:lineRule="auto"/>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二</w:t>
      </w:r>
      <w:bookmarkEnd w:id="434"/>
      <w:r>
        <w:rPr>
          <w:color w:val="000000"/>
          <w:spacing w:val="0"/>
          <w:w w:val="100"/>
          <w:position w:val="0"/>
        </w:rPr>
        <w:t>、社会责任情况</w:t>
      </w:r>
      <w:bookmarkEnd w:id="432"/>
      <w:bookmarkEnd w:id="433"/>
      <w:bookmarkEnd w:id="435"/>
    </w:p>
    <w:p>
      <w:pPr>
        <w:pStyle w:val="Style22"/>
        <w:keepNext w:val="0"/>
        <w:keepLines w:val="0"/>
        <w:widowControl w:val="0"/>
        <w:shd w:val="clear" w:color="auto" w:fill="auto"/>
        <w:tabs>
          <w:tab w:pos="471" w:val="left"/>
        </w:tabs>
        <w:bidi w:val="0"/>
        <w:spacing w:before="0" w:after="40" w:line="314" w:lineRule="exact"/>
        <w:ind w:left="0" w:right="0" w:firstLine="0"/>
        <w:jc w:val="both"/>
      </w:pPr>
      <w:bookmarkStart w:id="436" w:name="bookmark436"/>
      <w:r>
        <w:rPr>
          <w:color w:val="000000"/>
          <w:spacing w:val="0"/>
          <w:w w:val="100"/>
          <w:position w:val="0"/>
        </w:rPr>
        <w:t>（</w:t>
      </w:r>
      <w:bookmarkEnd w:id="436"/>
      <w:r>
        <w:rPr>
          <w:color w:val="000000"/>
          <w:spacing w:val="0"/>
          <w:w w:val="100"/>
          <w:position w:val="0"/>
        </w:rPr>
        <w:t>一）</w:t>
        <w:tab/>
        <w:t>股东和投资者权益保护</w:t>
      </w:r>
    </w:p>
    <w:p>
      <w:pPr>
        <w:pStyle w:val="Style22"/>
        <w:keepNext w:val="0"/>
        <w:keepLines w:val="0"/>
        <w:widowControl w:val="0"/>
        <w:shd w:val="clear" w:color="auto" w:fill="auto"/>
        <w:bidi w:val="0"/>
        <w:spacing w:before="0" w:after="40" w:line="315" w:lineRule="exact"/>
        <w:ind w:left="0" w:right="0"/>
        <w:jc w:val="both"/>
      </w:pPr>
      <w:r>
        <w:rPr>
          <w:color w:val="000000"/>
          <w:spacing w:val="0"/>
          <w:w w:val="100"/>
          <w:position w:val="0"/>
        </w:rPr>
        <w:t>公司始终高度重视投资者保护工作，一直把保护投资者合法利益放在重要位置，公司在不断努力实现业绩增长，积极以 现金分红回馈股东的同时，严格遵守监管部门有关法律法规及规范性文件的相关要求，通过持续改善法人治理结构、优化投 资者回报机制、严格履行承诺、不断提高信息披露工作及投资者管理工作水平，切实履行上市公司责任，维护广大投资者特 别是中小投资者的权益。</w:t>
      </w:r>
    </w:p>
    <w:p>
      <w:pPr>
        <w:pStyle w:val="Style22"/>
        <w:keepNext w:val="0"/>
        <w:keepLines w:val="0"/>
        <w:widowControl w:val="0"/>
        <w:shd w:val="clear" w:color="auto" w:fill="auto"/>
        <w:tabs>
          <w:tab w:pos="644" w:val="left"/>
        </w:tabs>
        <w:bidi w:val="0"/>
        <w:spacing w:before="0" w:after="40" w:line="309" w:lineRule="exact"/>
        <w:ind w:left="0" w:right="0"/>
        <w:jc w:val="both"/>
      </w:pPr>
      <w:bookmarkStart w:id="437" w:name="bookmark437"/>
      <w:r>
        <w:rPr>
          <w:rFonts w:ascii="Times New Roman" w:eastAsia="Times New Roman" w:hAnsi="Times New Roman" w:cs="Times New Roman"/>
          <w:color w:val="000000"/>
          <w:spacing w:val="0"/>
          <w:w w:val="100"/>
          <w:position w:val="0"/>
          <w:sz w:val="18"/>
          <w:szCs w:val="18"/>
        </w:rPr>
        <w:t>1</w:t>
      </w:r>
      <w:bookmarkEnd w:id="437"/>
      <w:r>
        <w:rPr>
          <w:color w:val="000000"/>
          <w:spacing w:val="0"/>
          <w:w w:val="100"/>
          <w:position w:val="0"/>
        </w:rPr>
        <w:t>、</w:t>
        <w:tab/>
        <w:t>股东大会流程合法有效。公司股东大会表决均采用现场投票与网络投票相结合的方式进行，并对中小投资的表决情 况单独计票；在每一次股东大会会议流程中，公司均设置了与投资者互动交流的环节，为投资者了解公司日常经营和未来发 展提供了充分的条件；股东大会会议记录完整，并妥善保管；会议决议严格按照中国证监会、深圳证券交易所的相关规定充 分及时披露。报告期内，公司共召开年度股东大会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次，会议全程由律师出席见证。</w:t>
      </w:r>
    </w:p>
    <w:p>
      <w:pPr>
        <w:pStyle w:val="Style22"/>
        <w:keepNext w:val="0"/>
        <w:keepLines w:val="0"/>
        <w:widowControl w:val="0"/>
        <w:shd w:val="clear" w:color="auto" w:fill="auto"/>
        <w:tabs>
          <w:tab w:pos="644" w:val="left"/>
        </w:tabs>
        <w:bidi w:val="0"/>
        <w:spacing w:before="0" w:after="40" w:line="314" w:lineRule="exact"/>
        <w:ind w:left="0" w:right="0"/>
        <w:jc w:val="both"/>
      </w:pPr>
      <w:bookmarkStart w:id="438" w:name="bookmark438"/>
      <w:r>
        <w:rPr>
          <w:rFonts w:ascii="Times New Roman" w:eastAsia="Times New Roman" w:hAnsi="Times New Roman" w:cs="Times New Roman"/>
          <w:color w:val="000000"/>
          <w:spacing w:val="0"/>
          <w:w w:val="100"/>
          <w:position w:val="0"/>
          <w:sz w:val="18"/>
          <w:szCs w:val="18"/>
        </w:rPr>
        <w:t>2</w:t>
      </w:r>
      <w:bookmarkEnd w:id="438"/>
      <w:r>
        <w:rPr>
          <w:color w:val="000000"/>
          <w:spacing w:val="0"/>
          <w:w w:val="100"/>
          <w:position w:val="0"/>
        </w:rPr>
        <w:t>、</w:t>
        <w:tab/>
        <w:t>充分履行信息披露义务。公司严格按照《深圳证券交易所股票上市规则》、《深圳证券交易所上市公司自律监管指 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号一主板上市公司规范运作》、《公司章程》等法律法规及内部规范制度的规定，通过证监会指定的信息披露媒体 真实、准确、完整、及时地披露各类定期报告和临时公告，不存在误导性陈述及选择性披露的情形。报告期内，公司高质量 完成信息披露公告</w:t>
      </w: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项。</w:t>
      </w:r>
    </w:p>
    <w:p>
      <w:pPr>
        <w:pStyle w:val="Style22"/>
        <w:keepNext w:val="0"/>
        <w:keepLines w:val="0"/>
        <w:widowControl w:val="0"/>
        <w:shd w:val="clear" w:color="auto" w:fill="auto"/>
        <w:tabs>
          <w:tab w:pos="649" w:val="left"/>
        </w:tabs>
        <w:bidi w:val="0"/>
        <w:spacing w:before="0" w:after="40" w:line="326" w:lineRule="exact"/>
        <w:ind w:left="0" w:right="0"/>
        <w:jc w:val="both"/>
      </w:pPr>
      <w:bookmarkStart w:id="439" w:name="bookmark439"/>
      <w:r>
        <w:rPr>
          <w:rFonts w:ascii="Times New Roman" w:eastAsia="Times New Roman" w:hAnsi="Times New Roman" w:cs="Times New Roman"/>
          <w:color w:val="000000"/>
          <w:spacing w:val="0"/>
          <w:w w:val="100"/>
          <w:position w:val="0"/>
          <w:sz w:val="18"/>
          <w:szCs w:val="18"/>
        </w:rPr>
        <w:t>3</w:t>
      </w:r>
      <w:bookmarkEnd w:id="439"/>
      <w:r>
        <w:rPr>
          <w:color w:val="000000"/>
          <w:spacing w:val="0"/>
          <w:w w:val="100"/>
          <w:position w:val="0"/>
        </w:rPr>
        <w:t>、</w:t>
        <w:tab/>
        <w:t>实行持续、稳定的利润分配政策。重视对投资者的合理投资回报并兼顾公司的可持续发展。公司在满足正常经营和 长期发展的前提下，优先实施现金分红方案，与全体股东共享公司发展的经营成果。</w:t>
      </w:r>
    </w:p>
    <w:p>
      <w:pPr>
        <w:pStyle w:val="Style22"/>
        <w:keepNext w:val="0"/>
        <w:keepLines w:val="0"/>
        <w:widowControl w:val="0"/>
        <w:shd w:val="clear" w:color="auto" w:fill="auto"/>
        <w:tabs>
          <w:tab w:pos="644" w:val="left"/>
        </w:tabs>
        <w:bidi w:val="0"/>
        <w:spacing w:before="0" w:after="380" w:line="315" w:lineRule="exact"/>
        <w:ind w:left="0" w:right="0"/>
        <w:jc w:val="both"/>
      </w:pPr>
      <w:bookmarkStart w:id="440" w:name="bookmark440"/>
      <w:r>
        <w:rPr>
          <w:rFonts w:ascii="Times New Roman" w:eastAsia="Times New Roman" w:hAnsi="Times New Roman" w:cs="Times New Roman"/>
          <w:color w:val="000000"/>
          <w:spacing w:val="0"/>
          <w:w w:val="100"/>
          <w:position w:val="0"/>
          <w:sz w:val="18"/>
          <w:szCs w:val="18"/>
        </w:rPr>
        <w:t>4</w:t>
      </w:r>
      <w:bookmarkEnd w:id="440"/>
      <w:r>
        <w:rPr>
          <w:color w:val="000000"/>
          <w:spacing w:val="0"/>
          <w:w w:val="100"/>
          <w:position w:val="0"/>
        </w:rPr>
        <w:t>、</w:t>
        <w:tab/>
        <w:t>采取多种方式持续加强与个人及机构投资者的沟通。报告期内，公司通过证券交易所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投资者互动平台回复 投资者各类咨询</w:t>
      </w:r>
      <w:r>
        <w:rPr>
          <w:rFonts w:ascii="Times New Roman" w:eastAsia="Times New Roman" w:hAnsi="Times New Roman" w:cs="Times New Roman"/>
          <w:color w:val="000000"/>
          <w:spacing w:val="0"/>
          <w:w w:val="100"/>
          <w:position w:val="0"/>
          <w:sz w:val="18"/>
          <w:szCs w:val="18"/>
        </w:rPr>
        <w:t>369</w:t>
      </w:r>
      <w:r>
        <w:rPr>
          <w:color w:val="000000"/>
          <w:spacing w:val="0"/>
          <w:w w:val="100"/>
          <w:position w:val="0"/>
        </w:rPr>
        <w:t>条，回复率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；通过专人接听投资者服务热线及投资者专用邮箱及时回复投资者咨询及收取建议；举 办年度业绩说明会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次，参与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年深圳上市公司投资者网上集体接待日活动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次，通过网络方式回答投资者提问；披露投资 者关系调研记录表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份。公司严格按照有关规定履行了投资者接待义务，接待人员耐心细致地回复了投资者关心的问题，并 根据调研的交流沟通内容如实编制了《投资者关系活动记录表》，及时将相关信息在巨潮资讯网进行披露，确保广大投资者 能公平地获得公司经营管理及发展计划等资讯，提高了公司信息透明度。</w:t>
      </w:r>
    </w:p>
    <w:p>
      <w:pPr>
        <w:pStyle w:val="Style22"/>
        <w:keepNext w:val="0"/>
        <w:keepLines w:val="0"/>
        <w:widowControl w:val="0"/>
        <w:shd w:val="clear" w:color="auto" w:fill="auto"/>
        <w:tabs>
          <w:tab w:pos="471" w:val="left"/>
        </w:tabs>
        <w:bidi w:val="0"/>
        <w:spacing w:before="0" w:after="40" w:line="314" w:lineRule="exact"/>
        <w:ind w:left="0" w:right="0" w:firstLine="0"/>
        <w:jc w:val="both"/>
      </w:pPr>
      <w:bookmarkStart w:id="441" w:name="bookmark441"/>
      <w:r>
        <w:rPr>
          <w:color w:val="000000"/>
          <w:spacing w:val="0"/>
          <w:w w:val="100"/>
          <w:position w:val="0"/>
        </w:rPr>
        <w:t>（</w:t>
      </w:r>
      <w:bookmarkEnd w:id="441"/>
      <w:r>
        <w:rPr>
          <w:color w:val="000000"/>
          <w:spacing w:val="0"/>
          <w:w w:val="100"/>
          <w:position w:val="0"/>
        </w:rPr>
        <w:t>二）</w:t>
        <w:tab/>
        <w:t>职工权益保护</w:t>
      </w:r>
    </w:p>
    <w:p>
      <w:pPr>
        <w:pStyle w:val="Style22"/>
        <w:keepNext w:val="0"/>
        <w:keepLines w:val="0"/>
        <w:widowControl w:val="0"/>
        <w:shd w:val="clear" w:color="auto" w:fill="auto"/>
        <w:tabs>
          <w:tab w:pos="649" w:val="left"/>
        </w:tabs>
        <w:bidi w:val="0"/>
        <w:spacing w:before="0" w:after="40" w:line="314" w:lineRule="exact"/>
        <w:ind w:left="0" w:right="0"/>
        <w:jc w:val="both"/>
      </w:pPr>
      <w:bookmarkStart w:id="442" w:name="bookmark442"/>
      <w:r>
        <w:rPr>
          <w:rFonts w:ascii="Times New Roman" w:eastAsia="Times New Roman" w:hAnsi="Times New Roman" w:cs="Times New Roman"/>
          <w:color w:val="000000"/>
          <w:spacing w:val="0"/>
          <w:w w:val="100"/>
          <w:position w:val="0"/>
          <w:sz w:val="18"/>
          <w:szCs w:val="18"/>
        </w:rPr>
        <w:t>1</w:t>
      </w:r>
      <w:bookmarkEnd w:id="442"/>
      <w:r>
        <w:rPr>
          <w:color w:val="000000"/>
          <w:spacing w:val="0"/>
          <w:w w:val="100"/>
          <w:position w:val="0"/>
        </w:rPr>
        <w:t>、</w:t>
        <w:tab/>
        <w:t>保障员工合法权益。公司严格遵守《中华人民共和国劳动法》、《中华人民共和国劳动合同法》等企业所在地的相 关法律法规制定和完善内部规章制度，涵盖人员录用、员工培训、工资薪酬、福利保障等方面，并实行全员劳动合同制，依 法保障员工应享有的各种权利；积极落实相关社会保障制度，为员工足额缴纳各项法定社会保险与福利，包括基本养老保险、 基本医疗保险、失业保险、工伤保险、生育保险、住房公积金、企业年金等；公司提供年度健康体检、定期组织团建及部门 旅游等福利，营造高效工作、劳逸结合的良好氛围。</w:t>
      </w:r>
    </w:p>
    <w:p>
      <w:pPr>
        <w:pStyle w:val="Style22"/>
        <w:keepNext w:val="0"/>
        <w:keepLines w:val="0"/>
        <w:widowControl w:val="0"/>
        <w:shd w:val="clear" w:color="auto" w:fill="auto"/>
        <w:tabs>
          <w:tab w:pos="644" w:val="left"/>
        </w:tabs>
        <w:bidi w:val="0"/>
        <w:spacing w:before="0" w:after="40" w:line="314" w:lineRule="exact"/>
        <w:ind w:left="0" w:right="0"/>
        <w:jc w:val="both"/>
      </w:pPr>
      <w:bookmarkStart w:id="443" w:name="bookmark443"/>
      <w:r>
        <w:rPr>
          <w:rFonts w:ascii="Times New Roman" w:eastAsia="Times New Roman" w:hAnsi="Times New Roman" w:cs="Times New Roman"/>
          <w:color w:val="000000"/>
          <w:spacing w:val="0"/>
          <w:w w:val="100"/>
          <w:position w:val="0"/>
          <w:sz w:val="18"/>
          <w:szCs w:val="18"/>
        </w:rPr>
        <w:t>2</w:t>
      </w:r>
      <w:bookmarkEnd w:id="443"/>
      <w:r>
        <w:rPr>
          <w:color w:val="000000"/>
          <w:spacing w:val="0"/>
          <w:w w:val="100"/>
          <w:position w:val="0"/>
        </w:rPr>
        <w:t>、</w:t>
        <w:tab/>
        <w:t>重视各岗位业务职能培训。为持续提升员工的业务及职业技能。公司组织全体员工及特定对象提供综合及专业培训。 报告期内，公司共开展线上及线下培训</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场，合计超</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个课时，课程包括新员工岗位培训、安全生产培训、质量控制培训、 校版技巧分享、</w:t>
      </w:r>
      <w:r>
        <w:rPr>
          <w:rFonts w:ascii="Times New Roman" w:eastAsia="Times New Roman" w:hAnsi="Times New Roman" w:cs="Times New Roman"/>
          <w:color w:val="000000"/>
          <w:spacing w:val="0"/>
          <w:w w:val="100"/>
          <w:position w:val="0"/>
          <w:sz w:val="18"/>
          <w:szCs w:val="18"/>
        </w:rPr>
        <w:t>office</w:t>
      </w:r>
      <w:r>
        <w:rPr>
          <w:color w:val="000000"/>
          <w:spacing w:val="0"/>
          <w:w w:val="100"/>
          <w:position w:val="0"/>
        </w:rPr>
        <w:t>办公软件实操等。</w:t>
      </w:r>
    </w:p>
    <w:p>
      <w:pPr>
        <w:pStyle w:val="Style22"/>
        <w:keepNext w:val="0"/>
        <w:keepLines w:val="0"/>
        <w:widowControl w:val="0"/>
        <w:shd w:val="clear" w:color="auto" w:fill="auto"/>
        <w:tabs>
          <w:tab w:pos="658" w:val="left"/>
        </w:tabs>
        <w:bidi w:val="0"/>
        <w:spacing w:before="0" w:after="380" w:line="314" w:lineRule="exact"/>
        <w:ind w:left="0" w:right="0"/>
        <w:jc w:val="both"/>
      </w:pPr>
      <w:bookmarkStart w:id="444" w:name="bookmark444"/>
      <w:r>
        <w:rPr>
          <w:rFonts w:ascii="Times New Roman" w:eastAsia="Times New Roman" w:hAnsi="Times New Roman" w:cs="Times New Roman"/>
          <w:color w:val="000000"/>
          <w:spacing w:val="0"/>
          <w:w w:val="100"/>
          <w:position w:val="0"/>
          <w:sz w:val="18"/>
          <w:szCs w:val="18"/>
        </w:rPr>
        <w:t>3</w:t>
      </w:r>
      <w:bookmarkEnd w:id="444"/>
      <w:r>
        <w:rPr>
          <w:color w:val="000000"/>
          <w:spacing w:val="0"/>
          <w:w w:val="100"/>
          <w:position w:val="0"/>
        </w:rPr>
        <w:t>、</w:t>
        <w:tab/>
        <w:t>构建完善的职业健康与安全管理制度体系。公司坚持以预防为主，为员工提供健康保障，严格按照内部职业健康与 安全管理制度来设定年度目标和计划，压实安全责任；依法落实员工安全生产、职业安全健康的知情权、参与权和监督权， 深入开展监督检查和隐患排查活动，全面排查消除隐患，报告期内组织开展</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次专项检查，对安全隐患及问题实施专人治理 及跟进整改，有效防止安全事故的发生；通过定期开展岗位风险识别和职业病危害因素监测，组织开展全员安全健康宣传教 育活动，通过应急演练、安全警示教育等活动，提高员工保护意识，筑牢员工的人身安全及公司的安全生产的防线。</w:t>
      </w:r>
    </w:p>
    <w:p>
      <w:pPr>
        <w:pStyle w:val="Style22"/>
        <w:keepNext w:val="0"/>
        <w:keepLines w:val="0"/>
        <w:widowControl w:val="0"/>
        <w:shd w:val="clear" w:color="auto" w:fill="auto"/>
        <w:tabs>
          <w:tab w:pos="471" w:val="left"/>
        </w:tabs>
        <w:bidi w:val="0"/>
        <w:spacing w:before="0" w:after="40" w:line="314" w:lineRule="exact"/>
        <w:ind w:left="0" w:right="0" w:firstLine="0"/>
        <w:jc w:val="left"/>
      </w:pPr>
      <w:bookmarkStart w:id="445" w:name="bookmark445"/>
      <w:r>
        <w:rPr>
          <w:color w:val="000000"/>
          <w:spacing w:val="0"/>
          <w:w w:val="100"/>
          <w:position w:val="0"/>
        </w:rPr>
        <w:t>（</w:t>
      </w:r>
      <w:bookmarkEnd w:id="445"/>
      <w:r>
        <w:rPr>
          <w:color w:val="000000"/>
          <w:spacing w:val="0"/>
          <w:w w:val="100"/>
          <w:position w:val="0"/>
        </w:rPr>
        <w:t>三）</w:t>
        <w:tab/>
        <w:t>供应商、客户权益保护</w:t>
      </w:r>
    </w:p>
    <w:p>
      <w:pPr>
        <w:pStyle w:val="Style22"/>
        <w:keepNext w:val="0"/>
        <w:keepLines w:val="0"/>
        <w:widowControl w:val="0"/>
        <w:shd w:val="clear" w:color="auto" w:fill="auto"/>
        <w:bidi w:val="0"/>
        <w:spacing w:before="0" w:after="0" w:line="310" w:lineRule="exact"/>
        <w:ind w:left="0" w:right="0"/>
        <w:jc w:val="both"/>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 xml:space="preserve">、公司以诚信为基础与供应商保持良好的供求关系，促进各方共同发展。公司相关部门之间相互联动，根据客户提供 的订单预测及库存情况合理制定采购计划，确保产品交期及时、产品质量可控、存货水平合理；公司内部建立严格和完善的 供货保障体系、供应商评估和考核体系，对供应商的生产能力、生产工艺、交货周期、产品质量控制等方面指标进行量化， </w:t>
      </w:r>
      <w:r>
        <w:rPr>
          <w:color w:val="000000"/>
          <w:spacing w:val="0"/>
          <w:w w:val="100"/>
          <w:position w:val="0"/>
        </w:rPr>
        <w:t>进而选择合格的原材料供应商进行合作，以保障原材料产品的品质；基于将供应链的思想引入企业管理实践设立了供应链公 司，实行原辅材料统一采购，不仅满足本公司及下属子公司经营需求，还与同行业公司达成供需合作关系，进一步加深与供 应商合作和往来。</w:t>
      </w:r>
    </w:p>
    <w:p>
      <w:pPr>
        <w:pStyle w:val="Style22"/>
        <w:keepNext w:val="0"/>
        <w:keepLines w:val="0"/>
        <w:widowControl w:val="0"/>
        <w:shd w:val="clear" w:color="auto" w:fill="auto"/>
        <w:bidi w:val="0"/>
        <w:spacing w:before="0" w:after="360" w:line="317" w:lineRule="exact"/>
        <w:ind w:left="0" w:right="0"/>
        <w:jc w:val="left"/>
      </w:pPr>
      <w:bookmarkStart w:id="447" w:name="bookmark447"/>
      <w:r>
        <w:rPr>
          <w:rFonts w:ascii="Times New Roman" w:eastAsia="Times New Roman" w:hAnsi="Times New Roman" w:cs="Times New Roman"/>
          <w:color w:val="000000"/>
          <w:spacing w:val="0"/>
          <w:w w:val="100"/>
          <w:position w:val="0"/>
          <w:sz w:val="18"/>
          <w:szCs w:val="18"/>
        </w:rPr>
        <w:t>2</w:t>
      </w:r>
      <w:bookmarkEnd w:id="447"/>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不断提升产品品质，提高竞争力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的宗旨，以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质量第一、信誉第一、科学管理、用户满意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为服务方针，公 司将服务时效性作为公司一项核心能力指标进行管理与考核，制定了一系列服务时效性的措施，不断强化内部组织管理，对 影响服务时效性的各环节进行持续分析和改进。通过不断增加研发、设备投入，提升产品和服务质量，持续为客户提供长期、 优质、综合式服务。</w:t>
      </w:r>
    </w:p>
    <w:p>
      <w:pPr>
        <w:pStyle w:val="Style22"/>
        <w:keepNext w:val="0"/>
        <w:keepLines w:val="0"/>
        <w:widowControl w:val="0"/>
        <w:shd w:val="clear" w:color="auto" w:fill="auto"/>
        <w:tabs>
          <w:tab w:pos="479" w:val="left"/>
        </w:tabs>
        <w:bidi w:val="0"/>
        <w:spacing w:before="0" w:after="0" w:line="317" w:lineRule="exact"/>
        <w:ind w:left="0" w:right="0" w:firstLine="0"/>
        <w:jc w:val="left"/>
      </w:pPr>
      <w:bookmarkStart w:id="448" w:name="bookmark448"/>
      <w:r>
        <w:rPr>
          <w:color w:val="000000"/>
          <w:spacing w:val="0"/>
          <w:w w:val="100"/>
          <w:position w:val="0"/>
        </w:rPr>
        <w:t>（</w:t>
      </w:r>
      <w:bookmarkEnd w:id="448"/>
      <w:r>
        <w:rPr>
          <w:color w:val="000000"/>
          <w:spacing w:val="0"/>
          <w:w w:val="100"/>
          <w:position w:val="0"/>
        </w:rPr>
        <w:t>四）</w:t>
        <w:tab/>
        <w:t>绿色发展</w:t>
      </w:r>
    </w:p>
    <w:p>
      <w:pPr>
        <w:pStyle w:val="Style22"/>
        <w:keepNext w:val="0"/>
        <w:keepLines w:val="0"/>
        <w:widowControl w:val="0"/>
        <w:shd w:val="clear" w:color="auto" w:fill="auto"/>
        <w:bidi w:val="0"/>
        <w:spacing w:before="0" w:after="140" w:line="312" w:lineRule="exact"/>
        <w:ind w:left="0" w:right="0"/>
        <w:jc w:val="both"/>
      </w:pPr>
      <w:r>
        <w:rPr>
          <w:color w:val="000000"/>
          <w:spacing w:val="0"/>
          <w:w w:val="100"/>
          <w:position w:val="0"/>
        </w:rPr>
        <w:t>公司致力于将绿色发展理念融入到厂区规划、采购、研发、设计、生产等各个环节，不断完善环境管理体系和职业健康 安全体系，保证公司健康持续发展、绿色经营。公司建立了园区再生资源处理中心，进行固废集中回收处理及废纸再生循环 利用。公司先后荣获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绿色设计与制造一体化解决方案供应商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花园式工厂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鹏城减废先进企业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绿色包装印刷材料 及制品精密印制技术国家地方联合研究中心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推进绿色印刷标兵企业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工业和信息化部百家工业产品生态（绿色）设计 试点企业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等称号。</w:t>
      </w:r>
    </w:p>
    <w:p>
      <w:pPr>
        <w:pStyle w:val="Style22"/>
        <w:keepNext w:val="0"/>
        <w:keepLines w:val="0"/>
        <w:widowControl w:val="0"/>
        <w:shd w:val="clear" w:color="auto" w:fill="auto"/>
        <w:bidi w:val="0"/>
        <w:spacing w:before="0" w:after="280" w:line="360"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年，公司不存在重大环保或其他重大社会安全问题。</w:t>
      </w:r>
    </w:p>
    <w:p>
      <w:pPr>
        <w:pStyle w:val="Style22"/>
        <w:keepNext w:val="0"/>
        <w:keepLines w:val="0"/>
        <w:widowControl w:val="0"/>
        <w:shd w:val="clear" w:color="auto" w:fill="auto"/>
        <w:tabs>
          <w:tab w:pos="479" w:val="left"/>
        </w:tabs>
        <w:bidi w:val="0"/>
        <w:spacing w:before="0" w:after="0" w:line="317" w:lineRule="exact"/>
        <w:ind w:left="0" w:right="0" w:firstLine="0"/>
        <w:jc w:val="left"/>
      </w:pPr>
      <w:bookmarkStart w:id="449" w:name="bookmark449"/>
      <w:r>
        <w:rPr>
          <w:color w:val="000000"/>
          <w:spacing w:val="0"/>
          <w:w w:val="100"/>
          <w:position w:val="0"/>
        </w:rPr>
        <w:t>（</w:t>
      </w:r>
      <w:bookmarkEnd w:id="449"/>
      <w:r>
        <w:rPr>
          <w:color w:val="000000"/>
          <w:spacing w:val="0"/>
          <w:w w:val="100"/>
          <w:position w:val="0"/>
        </w:rPr>
        <w:t>五）</w:t>
        <w:tab/>
        <w:t>社会公益事业</w:t>
      </w:r>
    </w:p>
    <w:p>
      <w:pPr>
        <w:pStyle w:val="Style22"/>
        <w:keepNext w:val="0"/>
        <w:keepLines w:val="0"/>
        <w:widowControl w:val="0"/>
        <w:shd w:val="clear" w:color="auto" w:fill="auto"/>
        <w:bidi w:val="0"/>
        <w:spacing w:before="0" w:after="360" w:line="317"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源于社会，回报社会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的企业社会责任理念，积极参与公益事业，将企业公民的理念与精神践行至慈善教育、 环境保护等众多领域。公司党委依托党建的组织优势、资源优势、平台优势，号召党员发挥先锋模范带头作用，在深圳疫情 常态化防控下，积极参与社区服务，组织园区内核酸采集及维护秩序，协助医疗队安全运送物质，开展协助疫情防控检查， 为抗疫工作奉献力量。</w:t>
      </w:r>
    </w:p>
    <w:p>
      <w:pPr>
        <w:pStyle w:val="Style27"/>
        <w:keepNext/>
        <w:keepLines/>
        <w:widowControl w:val="0"/>
        <w:shd w:val="clear" w:color="auto" w:fill="auto"/>
        <w:bidi w:val="0"/>
        <w:spacing w:before="0" w:after="2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、巩固拓展脱贫攻坚成果、乡村振兴的情况</w:t>
      </w:r>
      <w:bookmarkEnd w:id="450"/>
      <w:bookmarkEnd w:id="451"/>
      <w:bookmarkEnd w:id="453"/>
    </w:p>
    <w:p>
      <w:pPr>
        <w:pStyle w:val="Style22"/>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公司报告期内暂未开展脱贫攻坚、乡村振兴工作，也暂无后续脱贫攻坚、乡村振兴计划。</w:t>
      </w:r>
      <w:r>
        <w:br w:type="page"/>
      </w:r>
    </w:p>
    <w:p>
      <w:pPr>
        <w:pStyle w:val="Style10"/>
        <w:keepNext/>
        <w:keepLines/>
        <w:widowControl w:val="0"/>
        <w:shd w:val="clear" w:color="auto" w:fill="auto"/>
        <w:bidi w:val="0"/>
        <w:spacing w:before="0" w:after="520" w:line="240" w:lineRule="auto"/>
        <w:ind w:left="0" w:right="0" w:firstLine="0"/>
        <w:jc w:val="center"/>
      </w:pPr>
      <w:bookmarkStart w:id="454" w:name="bookmark454"/>
      <w:bookmarkStart w:id="455" w:name="bookmark455"/>
      <w:bookmarkStart w:id="456" w:name="bookmark456"/>
      <w:r>
        <w:rPr>
          <w:color w:val="000000"/>
          <w:spacing w:val="0"/>
          <w:w w:val="100"/>
          <w:position w:val="0"/>
        </w:rPr>
        <w:t>第六节重要事项</w:t>
      </w:r>
      <w:bookmarkEnd w:id="454"/>
      <w:bookmarkEnd w:id="455"/>
      <w:bookmarkEnd w:id="456"/>
    </w:p>
    <w:p>
      <w:pPr>
        <w:pStyle w:val="Style27"/>
        <w:keepNext/>
        <w:keepLines/>
        <w:widowControl w:val="0"/>
        <w:shd w:val="clear" w:color="auto" w:fill="auto"/>
        <w:bidi w:val="0"/>
        <w:spacing w:before="0" w:after="34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rPr>
        <w:t>一</w:t>
      </w:r>
      <w:bookmarkEnd w:id="460"/>
      <w:r>
        <w:rPr>
          <w:color w:val="000000"/>
          <w:spacing w:val="0"/>
          <w:w w:val="100"/>
          <w:position w:val="0"/>
        </w:rPr>
        <w:t>、承诺事项履行情况</w:t>
      </w:r>
      <w:bookmarkEnd w:id="458"/>
      <w:bookmarkEnd w:id="459"/>
      <w:bookmarkEnd w:id="461"/>
      <w:bookmarkEnd w:id="457"/>
    </w:p>
    <w:p>
      <w:pPr>
        <w:pStyle w:val="Style32"/>
        <w:keepNext/>
        <w:keepLines/>
        <w:widowControl w:val="0"/>
        <w:shd w:val="clear" w:color="auto" w:fill="auto"/>
        <w:bidi w:val="0"/>
        <w:spacing w:before="0" w:after="340" w:line="307"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、公司实际控制人、股东、关联方、收购人以及公司等承诺相关方在报告期内履行完毕及截至报告期末 尚未履行完毕的承诺事项</w:t>
      </w:r>
      <w:bookmarkEnd w:id="462"/>
      <w:bookmarkEnd w:id="463"/>
      <w:bookmarkEnd w:id="46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416"/>
        <w:gridCol w:w="850"/>
        <w:gridCol w:w="3403"/>
        <w:gridCol w:w="710"/>
        <w:gridCol w:w="566"/>
        <w:gridCol w:w="787"/>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深圳市劲嘉创业 投资有限公司、太 和印刷实业有限 公司、新疆世纪运 通股权投资合伙 企业（有限合伙）、 公司实际控制人 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深圳市劲嘉创业投资有限公司、太和印刷实 业有限公司、新疆世纪运通股权投资合伙企 业（有限合伙）、公司实际控制人避免同业 竞争承诺：一、公司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本人目前不存在自营 或者为他人经营与发行人相同的业务，也不 会以任何方式直接或间接从事与发行人现 在和将来主营业务相同、相似或构成实质竞 争的业务；二、公司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本人将忠实履行承诺 和保证确认的真实性，如果违反上述承诺或 确认事项不真实，本公司将承担由此引发的 一切法律责任。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乔鲁予、侯旭东、</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股份限售</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乔鲁予、侯旭东、李德华承诺：间接持有本 公司股份相关的持股锁定及持股变动申报 需遵守公司法第</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条、《公司章程》第</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条和第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条、《证券法》第</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条、《深圳证 券交易所股票上市规则（</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年修订）》第 </w:t>
            </w:r>
            <w:r>
              <w:rPr>
                <w:rFonts w:ascii="Times New Roman" w:eastAsia="Times New Roman" w:hAnsi="Times New Roman" w:cs="Times New Roman"/>
                <w:color w:val="000000"/>
                <w:spacing w:val="0"/>
                <w:w w:val="100"/>
                <w:position w:val="0"/>
                <w:sz w:val="18"/>
                <w:szCs w:val="18"/>
              </w:rPr>
              <w:t>3.1.6</w:t>
            </w:r>
            <w:r>
              <w:rPr>
                <w:color w:val="000000"/>
                <w:spacing w:val="0"/>
                <w:w w:val="100"/>
                <w:position w:val="0"/>
              </w:rPr>
              <w:t xml:space="preserve">条的相关规定及要求，并承诺其所持 有的公司股份自公司股票上市交易之日起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年内不得转让，包括（但不限于）任何形 式的委托他人管理。超过上述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年的期限， 在公司任职期间，每年转让的公司股份不得 超过其所持有的公司股份总数的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后半年内，不转让所持有的公司股份。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深圳市劲嘉创业 投资有限公司、公 司实际控制人乔</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再融资相</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本人不越权干预公司的经营管理 活动，不侵占公司的利益；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、本承诺出具 日后至公司本次非公开发行实施完毕前，若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本次</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48"/>
        <w:gridCol w:w="1416"/>
        <w:gridCol w:w="850"/>
        <w:gridCol w:w="3403"/>
        <w:gridCol w:w="710"/>
        <w:gridCol w:w="566"/>
        <w:gridCol w:w="78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中国证监会作出关于填补回报措施及其承 诺的其他新的监管规定的，且本承诺相关内 容不能满足中国证监会该等规定时，本公司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本人承诺届时将按照中国证监会的最新规 定出具补充承诺；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本人承诺切实 履行公司制定的有关填补回报措施以及本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本人对此作出的任何有关填补回报措 施的承诺，若本公司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本人违反该等承诺并 给公司或者投资者造成损失的，本公司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人愿意依法承担对公司或者投资者的补偿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 行实 施完 毕前</w:t>
            </w: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公司全体董事及 高级管理人员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再融资相</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、本人承诺不无偿或以不公平条件向其他 单位或者个人输送利益，也不采用其他方式 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、本人承诺对本人的职务 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、本人承诺不动用公 司资产从事与本人履行职责无关的投资、消 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、本人承诺由董事会或薪酬与考 核委员会制定的薪酬制度与公司填补回报 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、未来公司如实 施股权激励，本人承诺股权激励的行权条件 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自本承诺出具日至公司本次非公开发行实 施完毕前，若中国证监会作出关于填补回报 措施及其承诺的其他新的监管规定的，且上 述承诺不能满足中国证监会该等规定时，本 人承诺届时将按照中国证监会的最新规定 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 制定的有关填补回报措施以及本人对此作 出的任何有关填补回报措施的承诺，若本人 违反该等承诺并给公司或者投资者造成损 失的，本人愿意依法承担对公司或者投资者 的补偿责任。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 本次 非公 开发 行实 施完 毕前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587"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承诺不为激励对象依本计划获取有关限制 性股票提供贷款以及其他任何形式的财务 资助，包括为其贷款提供担保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 限制 性股 票激 励计 划有 效期 内</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若公司因信息披露文件中有虚假记载、误导 性陈述或者重大遗漏，导致不符合授予权益 或行使权益安排的，激励对象自相关信息披</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 限制 性股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848"/>
        <w:gridCol w:w="1416"/>
        <w:gridCol w:w="850"/>
        <w:gridCol w:w="3403"/>
        <w:gridCol w:w="710"/>
        <w:gridCol w:w="566"/>
        <w:gridCol w:w="787"/>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露文件被确认存在虚假记载、误导性陈述或 者重大遗漏后，将由本计划所获得的全部利 益返还公司。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票激</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励计 划有 效期 内</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回购股份</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公司拟使用自有资金以集中竞价交易方式 进行股份回购，回购的资金总额不低于人民 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万元（含），不超过人民币</w:t>
            </w:r>
            <w:r>
              <w:rPr>
                <w:rFonts w:ascii="Times New Roman" w:eastAsia="Times New Roman" w:hAnsi="Times New Roman" w:cs="Times New Roman"/>
                <w:color w:val="000000"/>
                <w:spacing w:val="0"/>
                <w:w w:val="100"/>
                <w:position w:val="0"/>
                <w:sz w:val="18"/>
                <w:szCs w:val="18"/>
              </w:rPr>
              <w:t xml:space="preserve">40,000 </w:t>
            </w:r>
            <w:r>
              <w:rPr>
                <w:color w:val="000000"/>
                <w:spacing w:val="0"/>
                <w:w w:val="100"/>
                <w:position w:val="0"/>
              </w:rPr>
              <w:t>万元（含）。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履行完毕</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after="360" w:line="322" w:lineRule="exact"/>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、公司资产或项目存在盈利预测，且报告期仍处在盈利预测期间，公司就资产或项目达到原盈利预测及 其原因做出说明</w:t>
      </w:r>
      <w:bookmarkEnd w:id="466"/>
      <w:bookmarkEnd w:id="467"/>
      <w:bookmarkEnd w:id="46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81"/>
        <w:gridCol w:w="1181"/>
        <w:gridCol w:w="1176"/>
        <w:gridCol w:w="970"/>
        <w:gridCol w:w="1277"/>
        <w:gridCol w:w="850"/>
        <w:gridCol w:w="1637"/>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原预测披露索引</w:t>
            </w:r>
          </w:p>
        </w:tc>
      </w:tr>
      <w:tr>
        <w:trPr>
          <w:trHeight w:val="197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刊登于指定信息披 露媒体的《关于长春 吉星印务有限责任 公司业绩承诺期及 业绩承诺金额调整 的公告》</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业绩承诺的完成情况及其对商誉减值测试的影响</w:t>
      </w:r>
    </w:p>
    <w:p>
      <w:pPr>
        <w:pStyle w:val="Style22"/>
        <w:keepNext w:val="0"/>
        <w:keepLines w:val="0"/>
        <w:widowControl w:val="0"/>
        <w:shd w:val="clear" w:color="auto" w:fill="auto"/>
        <w:bidi w:val="0"/>
        <w:spacing w:before="0" w:after="40" w:line="313" w:lineRule="exact"/>
        <w:ind w:left="0" w:right="0"/>
        <w:jc w:val="both"/>
      </w:pPr>
      <w:bookmarkStart w:id="470" w:name="bookmark470"/>
      <w:r>
        <w:rPr>
          <w:rFonts w:ascii="Times New Roman" w:eastAsia="Times New Roman" w:hAnsi="Times New Roman" w:cs="Times New Roman"/>
          <w:color w:val="000000"/>
          <w:spacing w:val="0"/>
          <w:w w:val="100"/>
          <w:position w:val="0"/>
          <w:sz w:val="18"/>
          <w:szCs w:val="18"/>
        </w:rPr>
        <w:t>1</w:t>
      </w:r>
      <w:bookmarkEnd w:id="47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日，公司与上海中昂实业有限公司（以下简称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中昂实业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）、上海伟岩投资咨询管理有限公司（以下简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）签署了《关于长春吉星印务有限责任公司的股权转让协议》，就公司以人民币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万元收购中昂实业持有 长春吉星</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万元收购伟岩投资持有长春吉星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股权达成一致意见，并做出业绩承诺，约定长春吉星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扣除非经常性损益后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不低于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年净利润额目标业 绩</w:t>
      </w:r>
      <w:r>
        <w:rPr>
          <w:rFonts w:ascii="Times New Roman" w:eastAsia="Times New Roman" w:hAnsi="Times New Roman" w:cs="Times New Roman"/>
          <w:color w:val="000000"/>
          <w:spacing w:val="0"/>
          <w:w w:val="100"/>
          <w:position w:val="0"/>
          <w:sz w:val="18"/>
          <w:szCs w:val="18"/>
        </w:rPr>
        <w:t>=4,000+4,000x15%=4,600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=4,600+4,600</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15%=5,290</w:t>
      </w:r>
      <w:r>
        <w:rPr>
          <w:color w:val="000000"/>
          <w:spacing w:val="0"/>
          <w:w w:val="100"/>
          <w:position w:val="0"/>
        </w:rPr>
        <w:t>万元。公司与中昂实业约定，长春吉星 业绩累计完成率大于累计承诺业绩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且小于或等于</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，公司将该年剩余比例股权转让款项支付给中昂实业。</w:t>
      </w:r>
    </w:p>
    <w:p>
      <w:pPr>
        <w:pStyle w:val="Style22"/>
        <w:keepNext w:val="0"/>
        <w:keepLines w:val="0"/>
        <w:widowControl w:val="0"/>
        <w:shd w:val="clear" w:color="auto" w:fill="auto"/>
        <w:tabs>
          <w:tab w:pos="654" w:val="left"/>
        </w:tabs>
        <w:bidi w:val="0"/>
        <w:spacing w:before="0" w:after="40" w:line="312" w:lineRule="exact"/>
        <w:ind w:left="0" w:right="0"/>
        <w:jc w:val="both"/>
      </w:pPr>
      <w:bookmarkStart w:id="471" w:name="bookmark471"/>
      <w:r>
        <w:rPr>
          <w:rFonts w:ascii="Times New Roman" w:eastAsia="Times New Roman" w:hAnsi="Times New Roman" w:cs="Times New Roman"/>
          <w:color w:val="000000"/>
          <w:spacing w:val="0"/>
          <w:w w:val="100"/>
          <w:position w:val="0"/>
          <w:sz w:val="18"/>
          <w:szCs w:val="18"/>
        </w:rPr>
        <w:t>2</w:t>
      </w:r>
      <w:bookmarkEnd w:id="4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日，公司召开的第五届董事会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年第三次会议审议通过了《关于签署长春吉星印务有限责任公司股权 转让补充协议的议案》，同意公司与中昂实业签署《关于长春吉星印务有限责任公司股权转让的补充协议》，同意长春吉星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年实现的业绩不作为考核的年份，业绩承诺期限改为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5,290</w:t>
      </w:r>
      <w:r>
        <w:rPr>
          <w:color w:val="000000"/>
          <w:spacing w:val="0"/>
          <w:w w:val="100"/>
          <w:position w:val="0"/>
        </w:rPr>
        <w:t>万元。</w:t>
      </w:r>
    </w:p>
    <w:p>
      <w:pPr>
        <w:pStyle w:val="Style22"/>
        <w:keepNext w:val="0"/>
        <w:keepLines w:val="0"/>
        <w:widowControl w:val="0"/>
        <w:shd w:val="clear" w:color="auto" w:fill="auto"/>
        <w:tabs>
          <w:tab w:pos="654" w:val="left"/>
        </w:tabs>
        <w:bidi w:val="0"/>
        <w:spacing w:before="0" w:after="0" w:line="322" w:lineRule="exact"/>
        <w:ind w:left="0" w:right="0"/>
        <w:jc w:val="both"/>
      </w:pPr>
      <w:bookmarkStart w:id="472" w:name="bookmark472"/>
      <w:r>
        <w:rPr>
          <w:rFonts w:ascii="Times New Roman" w:eastAsia="Times New Roman" w:hAnsi="Times New Roman" w:cs="Times New Roman"/>
          <w:color w:val="000000"/>
          <w:spacing w:val="0"/>
          <w:w w:val="100"/>
          <w:position w:val="0"/>
          <w:sz w:val="18"/>
          <w:szCs w:val="18"/>
        </w:rPr>
        <w:t>3</w:t>
      </w:r>
      <w:bookmarkEnd w:id="4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日，公司召开的第五届董事会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年第十次会议审议通过了《关于签署</w:t>
      </w:r>
      <w:r>
        <w:rPr>
          <w:color w:val="000000"/>
          <w:spacing w:val="0"/>
          <w:w w:val="100"/>
          <w:position w:val="0"/>
          <w:sz w:val="18"/>
          <w:szCs w:val="18"/>
        </w:rPr>
        <w:t>〈</w:t>
      </w:r>
      <w:r>
        <w:rPr>
          <w:color w:val="000000"/>
          <w:spacing w:val="0"/>
          <w:w w:val="100"/>
          <w:position w:val="0"/>
        </w:rPr>
        <w:t>长春吉星印务有限责任公司 股权转让补充协议</w:t>
      </w:r>
      <w:r>
        <w:rPr>
          <w:color w:val="000000"/>
          <w:spacing w:val="0"/>
          <w:w w:val="100"/>
          <w:position w:val="0"/>
          <w:sz w:val="18"/>
          <w:szCs w:val="18"/>
        </w:rPr>
        <w:t>〉</w:t>
      </w:r>
      <w:r>
        <w:rPr>
          <w:color w:val="000000"/>
          <w:spacing w:val="0"/>
          <w:w w:val="100"/>
          <w:position w:val="0"/>
        </w:rPr>
        <w:t>（二）的议案》，同意长春吉星延长业绩承诺期并变更业绩承诺金额，业绩承诺期由</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年净利润（扣除非经常性损益后，下同，即下述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均指扣除非经常性损益后的净利润）目标业绩为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年净利润目标业绩为</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净利润目标业绩均不低于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p>
    <w:p>
      <w:pPr>
        <w:pStyle w:val="Style22"/>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根据公司与中昂实业签署的《长春吉星印务有限责任公司股权转让补充协议</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年度，长春吉星净利润额 目标业绩为不低于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万元；吉星印务业绩完成率（当年实际业绩除以当年承诺业绩）大于</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时，即为完成了当年度的 业绩承诺。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年度，长春吉星完成了业绩承诺。</w:t>
      </w:r>
    </w:p>
    <w:p>
      <w:pPr>
        <w:pStyle w:val="Style22"/>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商誉减值测试详见本报告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，经商誉减值测试，该资产组相关的商誉未减值。</w:t>
      </w:r>
    </w:p>
    <w:p>
      <w:pPr>
        <w:pStyle w:val="Style27"/>
        <w:keepNext/>
        <w:keepLines/>
        <w:widowControl w:val="0"/>
        <w:shd w:val="clear" w:color="auto" w:fill="auto"/>
        <w:tabs>
          <w:tab w:pos="517" w:val="left"/>
        </w:tabs>
        <w:bidi w:val="0"/>
        <w:spacing w:before="0" w:after="28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rPr>
        <w:t>二</w:t>
      </w:r>
      <w:bookmarkEnd w:id="475"/>
      <w:r>
        <w:rPr>
          <w:color w:val="000000"/>
          <w:spacing w:val="0"/>
          <w:w w:val="100"/>
          <w:position w:val="0"/>
        </w:rPr>
        <w:t>、</w:t>
        <w:tab/>
        <w:t>控股股东及其他关联方对上市公司的非经营性占用资金情况</w:t>
      </w:r>
      <w:bookmarkEnd w:id="473"/>
      <w:bookmarkEnd w:id="474"/>
      <w:bookmarkEnd w:id="476"/>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17" w:val="left"/>
        </w:tabs>
        <w:bidi w:val="0"/>
        <w:spacing w:before="0" w:after="28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w:t>
        <w:tab/>
        <w:t>违规对外担保情况</w:t>
      </w:r>
      <w:bookmarkEnd w:id="477"/>
      <w:bookmarkEnd w:id="478"/>
      <w:bookmarkEnd w:id="480"/>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公司报告期无违规对外担保情况。</w:t>
      </w:r>
    </w:p>
    <w:p>
      <w:pPr>
        <w:pStyle w:val="Style27"/>
        <w:keepNext/>
        <w:keepLines/>
        <w:widowControl w:val="0"/>
        <w:shd w:val="clear" w:color="auto" w:fill="auto"/>
        <w:tabs>
          <w:tab w:pos="517" w:val="left"/>
        </w:tabs>
        <w:bidi w:val="0"/>
        <w:spacing w:before="0" w:after="28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1"/>
      <w:bookmarkEnd w:id="482"/>
      <w:bookmarkEnd w:id="484"/>
    </w:p>
    <w:p>
      <w:pPr>
        <w:pStyle w:val="Style22"/>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80" w:line="240" w:lineRule="auto"/>
        <w:ind w:left="0" w:right="0" w:firstLine="0"/>
        <w:jc w:val="both"/>
      </w:pPr>
      <w:bookmarkStart w:id="485" w:name="bookmark485"/>
      <w:bookmarkStart w:id="486" w:name="bookmark486"/>
      <w:bookmarkStart w:id="487" w:name="bookmark487"/>
      <w:bookmarkStart w:id="488" w:name="bookmark488"/>
      <w:r>
        <w:rPr>
          <w:color w:val="000000"/>
          <w:spacing w:val="0"/>
          <w:w w:val="100"/>
          <w:position w:val="0"/>
        </w:rPr>
        <w:t>五</w:t>
      </w:r>
      <w:bookmarkEnd w:id="48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85"/>
      <w:bookmarkEnd w:id="486"/>
      <w:bookmarkEnd w:id="488"/>
    </w:p>
    <w:p>
      <w:pPr>
        <w:pStyle w:val="Style22"/>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17" w:val="left"/>
        </w:tabs>
        <w:bidi w:val="0"/>
        <w:spacing w:before="0" w:after="28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rPr>
        <w:t>六</w:t>
      </w:r>
      <w:bookmarkEnd w:id="491"/>
      <w:r>
        <w:rPr>
          <w:color w:val="000000"/>
          <w:spacing w:val="0"/>
          <w:w w:val="100"/>
          <w:position w:val="0"/>
        </w:rPr>
        <w:t>、</w:t>
        <w:tab/>
        <w:t>与上年度财务报告相比，会计政策、会计估计变更或重大会计差错更正的情况说明</w:t>
      </w:r>
      <w:bookmarkEnd w:id="489"/>
      <w:bookmarkEnd w:id="490"/>
      <w:bookmarkEnd w:id="492"/>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p>
    <w:p>
      <w:pPr>
        <w:pStyle w:val="Style27"/>
        <w:keepNext/>
        <w:keepLines/>
        <w:widowControl w:val="0"/>
        <w:shd w:val="clear" w:color="auto" w:fill="auto"/>
        <w:tabs>
          <w:tab w:pos="522" w:val="left"/>
        </w:tabs>
        <w:bidi w:val="0"/>
        <w:spacing w:before="0" w:after="36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七</w:t>
      </w:r>
      <w:bookmarkEnd w:id="495"/>
      <w:r>
        <w:rPr>
          <w:color w:val="000000"/>
          <w:spacing w:val="0"/>
          <w:w w:val="100"/>
          <w:position w:val="0"/>
        </w:rPr>
        <w:t>、</w:t>
        <w:tab/>
        <w:t>与上年度财务报告相比，合并报表范围发生变化的情况说明</w:t>
      </w:r>
      <w:bookmarkEnd w:id="493"/>
      <w:bookmarkEnd w:id="494"/>
      <w:bookmarkEnd w:id="49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563"/>
        <w:gridCol w:w="2549"/>
        <w:gridCol w:w="4478"/>
      </w:tblGrid>
      <w:tr>
        <w:trPr>
          <w:trHeight w:val="4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遵义劲嘉新型智能包装有限公司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该子公司主营业务为精品酒盒的研发生产等，纳入公司合 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深圳鼎盛丰华科技有限公司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该子公司主营业务为创意产品的设计和营销，纳入公司合 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深圳云普星河科技服务有限公司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该子公司主营业务为电子烟产品的产业链服务，纳入公司 合并报表范围，预计对未来业绩产生积极影响</w:t>
            </w:r>
          </w:p>
        </w:tc>
      </w:tr>
      <w:tr>
        <w:trPr>
          <w:trHeight w:val="44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印尼云普星河有限责任公司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该子公司主营业务为电子烟产品在海外的产业链服务，纳</w:t>
            </w:r>
          </w:p>
        </w:tc>
      </w:tr>
    </w:tbl>
    <w:tbl>
      <w:tblPr>
        <w:tblOverlap w:val="never"/>
        <w:jc w:val="center"/>
        <w:tblLayout w:type="fixed"/>
      </w:tblPr>
      <w:tblGrid>
        <w:gridCol w:w="2563"/>
        <w:gridCol w:w="2549"/>
        <w:gridCol w:w="447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入公司合并报表范围，预计对未来业绩产生积极影响</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青岛英诺包装科技有限公司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该子公司主营业务为</w:t>
            </w:r>
            <w:r>
              <w:rPr>
                <w:rFonts w:ascii="Times New Roman" w:eastAsia="Times New Roman" w:hAnsi="Times New Roman" w:cs="Times New Roman"/>
                <w:color w:val="000000"/>
                <w:spacing w:val="0"/>
                <w:w w:val="100"/>
                <w:position w:val="0"/>
                <w:sz w:val="18"/>
                <w:szCs w:val="18"/>
              </w:rPr>
              <w:t>BOPP</w:t>
            </w:r>
            <w:r>
              <w:rPr>
                <w:color w:val="000000"/>
                <w:spacing w:val="0"/>
                <w:w w:val="100"/>
                <w:position w:val="0"/>
              </w:rPr>
              <w:t>烟膜及其他社会膜，纳入公司 合并报表范围，预计对未来业绩产生积极影响</w:t>
            </w:r>
          </w:p>
        </w:tc>
      </w:tr>
      <w:tr>
        <w:trPr>
          <w:trHeight w:val="106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青岛嘉颐泽印刷包装有限公司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由于该子公司已无生产工作，为实现资源的优化配置，公 司对其施行股权转让，转让后不再列入公司合并报表范 围，预计对未来业绩不产生重大影响</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八</w:t>
      </w:r>
      <w:bookmarkEnd w:id="499"/>
      <w:r>
        <w:rPr>
          <w:color w:val="000000"/>
          <w:spacing w:val="0"/>
          <w:w w:val="100"/>
          <w:position w:val="0"/>
        </w:rPr>
        <w:t>、聘任、解聘会计师事务所情况</w:t>
      </w:r>
      <w:bookmarkEnd w:id="497"/>
      <w:bookmarkEnd w:id="498"/>
      <w:bookmarkEnd w:id="50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李建树、欧阳海英</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九</w:t>
      </w:r>
      <w:bookmarkEnd w:id="503"/>
      <w:r>
        <w:rPr>
          <w:color w:val="000000"/>
          <w:spacing w:val="0"/>
          <w:w w:val="100"/>
          <w:position w:val="0"/>
        </w:rPr>
        <w:t>、年度报告披露后面临退市情况</w:t>
      </w:r>
      <w:bookmarkEnd w:id="501"/>
      <w:bookmarkEnd w:id="502"/>
      <w:bookmarkEnd w:id="504"/>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r>
        <w:rPr>
          <w:color w:val="000000"/>
          <w:spacing w:val="0"/>
          <w:w w:val="100"/>
          <w:position w:val="0"/>
        </w:rPr>
        <w:t>十、破产重整相关事项</w:t>
      </w:r>
      <w:bookmarkEnd w:id="505"/>
      <w:bookmarkEnd w:id="506"/>
      <w:bookmarkEnd w:id="507"/>
    </w:p>
    <w:p>
      <w:pPr>
        <w:pStyle w:val="Style22"/>
        <w:keepNext w:val="0"/>
        <w:keepLines w:val="0"/>
        <w:widowControl w:val="0"/>
        <w:numPr>
          <w:ilvl w:val="0"/>
          <w:numId w:val="21"/>
        </w:numPr>
        <w:shd w:val="clear" w:color="auto" w:fill="auto"/>
        <w:tabs>
          <w:tab w:pos="282" w:val="left"/>
        </w:tabs>
        <w:bidi w:val="0"/>
        <w:spacing w:before="0" w:after="140" w:line="240" w:lineRule="auto"/>
        <w:ind w:left="0" w:right="0" w:firstLine="0"/>
        <w:jc w:val="left"/>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r>
        <w:rPr>
          <w:color w:val="000000"/>
          <w:spacing w:val="0"/>
          <w:w w:val="100"/>
          <w:position w:val="0"/>
        </w:rPr>
        <w:t>十一、重大诉讼、仲裁事项</w:t>
      </w:r>
      <w:bookmarkEnd w:id="509"/>
      <w:bookmarkEnd w:id="510"/>
      <w:bookmarkEnd w:id="511"/>
    </w:p>
    <w:p>
      <w:pPr>
        <w:pStyle w:val="Style22"/>
        <w:keepNext w:val="0"/>
        <w:keepLines w:val="0"/>
        <w:widowControl w:val="0"/>
        <w:numPr>
          <w:ilvl w:val="0"/>
          <w:numId w:val="21"/>
        </w:numPr>
        <w:shd w:val="clear" w:color="auto" w:fill="auto"/>
        <w:tabs>
          <w:tab w:pos="282" w:val="left"/>
        </w:tabs>
        <w:bidi w:val="0"/>
        <w:spacing w:before="0" w:after="14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r>
        <w:rPr>
          <w:color w:val="000000"/>
          <w:spacing w:val="0"/>
          <w:w w:val="100"/>
          <w:position w:val="0"/>
        </w:rPr>
        <w:t>十二、重大处罚及整改情况</w:t>
      </w:r>
      <w:bookmarkEnd w:id="513"/>
      <w:bookmarkEnd w:id="514"/>
      <w:bookmarkEnd w:id="515"/>
    </w:p>
    <w:p>
      <w:pPr>
        <w:pStyle w:val="Style22"/>
        <w:keepNext w:val="0"/>
        <w:keepLines w:val="0"/>
        <w:widowControl w:val="0"/>
        <w:numPr>
          <w:ilvl w:val="0"/>
          <w:numId w:val="21"/>
        </w:numPr>
        <w:shd w:val="clear" w:color="auto" w:fill="auto"/>
        <w:tabs>
          <w:tab w:pos="282" w:val="left"/>
        </w:tabs>
        <w:bidi w:val="0"/>
        <w:spacing w:before="0" w:after="140" w:line="240" w:lineRule="auto"/>
        <w:ind w:left="0" w:right="0" w:firstLine="0"/>
        <w:jc w:val="left"/>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公司报告期不存在重大处罚及整改情况。</w:t>
      </w:r>
    </w:p>
    <w:p>
      <w:pPr>
        <w:pStyle w:val="Style27"/>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rPr>
        <w:t>十三、公司及其控股股东、实际控制人的诚信状况</w:t>
      </w:r>
      <w:bookmarkEnd w:id="517"/>
      <w:bookmarkEnd w:id="518"/>
      <w:bookmarkEnd w:id="519"/>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rPr>
        <w:t>十四、重大关联交易</w:t>
      </w:r>
      <w:bookmarkEnd w:id="520"/>
      <w:bookmarkEnd w:id="521"/>
      <w:bookmarkEnd w:id="522"/>
    </w:p>
    <w:p>
      <w:pPr>
        <w:pStyle w:val="Style32"/>
        <w:keepNext/>
        <w:keepLines/>
        <w:widowControl w:val="0"/>
        <w:shd w:val="clear" w:color="auto" w:fill="auto"/>
        <w:tabs>
          <w:tab w:pos="36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w:t>
        <w:tab/>
        <w:t>与日常经营相关的重大关联交易</w:t>
      </w:r>
      <w:bookmarkEnd w:id="523"/>
      <w:bookmarkEnd w:id="524"/>
      <w:bookmarkEnd w:id="526"/>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公司报告期未发生与日常经营相关的重大关联交易。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资产或股权收购、出售发生的重大关联交易</w:t>
      </w:r>
      <w:bookmarkEnd w:id="527"/>
      <w:bookmarkEnd w:id="528"/>
      <w:bookmarkEnd w:id="530"/>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公司报告期未发生资产或股权收购、出售的重大关联交易。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共同对外投资的重大关联交易</w:t>
      </w:r>
      <w:bookmarkEnd w:id="531"/>
      <w:bookmarkEnd w:id="532"/>
      <w:bookmarkEnd w:id="534"/>
    </w:p>
    <w:p>
      <w:pPr>
        <w:pStyle w:val="Style22"/>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35" w:name="bookmark535"/>
      <w:bookmarkEnd w:id="5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公司报告期未发生共同对外投资的重大关联交易。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关联债权债务往来</w:t>
      </w:r>
      <w:bookmarkEnd w:id="536"/>
      <w:bookmarkEnd w:id="537"/>
      <w:bookmarkEnd w:id="539"/>
    </w:p>
    <w:p>
      <w:pPr>
        <w:pStyle w:val="Style22"/>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40" w:name="bookmark540"/>
      <w:bookmarkEnd w:id="5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5</w:t>
      </w:r>
      <w:bookmarkEnd w:id="543"/>
      <w:r>
        <w:rPr>
          <w:color w:val="000000"/>
          <w:spacing w:val="0"/>
          <w:w w:val="100"/>
          <w:position w:val="0"/>
        </w:rPr>
        <w:t>、</w:t>
        <w:tab/>
        <w:t>与存在关联关系的财务公司的往来情况</w:t>
      </w:r>
      <w:bookmarkEnd w:id="541"/>
      <w:bookmarkEnd w:id="542"/>
      <w:bookmarkEnd w:id="544"/>
    </w:p>
    <w:p>
      <w:pPr>
        <w:pStyle w:val="Style22"/>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45" w:name="bookmark545"/>
      <w:bookmarkEnd w:id="5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6</w:t>
      </w:r>
      <w:bookmarkEnd w:id="548"/>
      <w:r>
        <w:rPr>
          <w:color w:val="000000"/>
          <w:spacing w:val="0"/>
          <w:w w:val="100"/>
          <w:position w:val="0"/>
        </w:rPr>
        <w:t>、</w:t>
        <w:tab/>
        <w:t>公司控股的财务公司与关联方的往来情况</w:t>
      </w:r>
      <w:bookmarkEnd w:id="546"/>
      <w:bookmarkEnd w:id="547"/>
      <w:bookmarkEnd w:id="549"/>
    </w:p>
    <w:p>
      <w:pPr>
        <w:pStyle w:val="Style22"/>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50" w:name="bookmark550"/>
      <w:bookmarkEnd w:id="5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7</w:t>
      </w:r>
      <w:bookmarkEnd w:id="553"/>
      <w:r>
        <w:rPr>
          <w:color w:val="000000"/>
          <w:spacing w:val="0"/>
          <w:w w:val="100"/>
          <w:position w:val="0"/>
        </w:rPr>
        <w:t>、</w:t>
        <w:tab/>
        <w:t>其他重大关联交易</w:t>
      </w:r>
      <w:bookmarkEnd w:id="551"/>
      <w:bookmarkEnd w:id="552"/>
      <w:bookmarkEnd w:id="554"/>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年日常经营关联交易预计的议案》，预计了公司及控股子公司与关联方的日常经营关联交易额度；于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年第十次会议审议通过了《关于增加公司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年日常关联交易预计的议案》，增加了公司及 控股子公司与兴鑫互联及控股子公司日常关联交易额度。</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截至本报告期末，公司日常关联交易的合同签订金额或预计金额均在审议通过的额度内。</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年日常经营关联交易预计的 公告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《证券时报》、《中国证券报》、《上海证券 报》、《证券日报》以及巨潮资讯网</w:t>
            </w:r>
          </w:p>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关于增加公司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年日常关联交易预计的 公告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《证券时报》、《中国证券报》、《上海证券 报》、《证券日报》以及巨潮资讯网</w:t>
            </w:r>
          </w:p>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555" w:name="bookmark555"/>
      <w:bookmarkStart w:id="556" w:name="bookmark556"/>
      <w:bookmarkStart w:id="557" w:name="bookmark557"/>
      <w:r>
        <w:rPr>
          <w:color w:val="000000"/>
          <w:spacing w:val="0"/>
          <w:w w:val="100"/>
          <w:position w:val="0"/>
        </w:rPr>
        <w:t>十五、重大合同及其履行情况</w:t>
      </w:r>
      <w:bookmarkEnd w:id="555"/>
      <w:bookmarkEnd w:id="556"/>
      <w:bookmarkEnd w:id="557"/>
    </w:p>
    <w:p>
      <w:pPr>
        <w:pStyle w:val="Style32"/>
        <w:keepNext/>
        <w:keepLines/>
        <w:widowControl w:val="0"/>
        <w:shd w:val="clear" w:color="auto" w:fill="auto"/>
        <w:tabs>
          <w:tab w:pos="368" w:val="left"/>
        </w:tabs>
        <w:bidi w:val="0"/>
        <w:spacing w:before="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重大托管、承包、租赁事项情况</w:t>
      </w:r>
      <w:bookmarkEnd w:id="558"/>
      <w:bookmarkEnd w:id="559"/>
      <w:bookmarkEnd w:id="561"/>
    </w:p>
    <w:p>
      <w:pPr>
        <w:pStyle w:val="Style37"/>
        <w:keepNext/>
        <w:keepLines/>
        <w:widowControl w:val="0"/>
        <w:shd w:val="clear" w:color="auto" w:fill="auto"/>
        <w:tabs>
          <w:tab w:pos="493" w:val="left"/>
        </w:tabs>
        <w:bidi w:val="0"/>
        <w:spacing w:before="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1</w:t>
      </w:r>
      <w:r>
        <w:rPr>
          <w:color w:val="000000"/>
          <w:spacing w:val="0"/>
          <w:w w:val="100"/>
          <w:position w:val="0"/>
        </w:rPr>
        <w:t>）</w:t>
        <w:tab/>
        <w:t>重大托管情况</w:t>
      </w:r>
      <w:bookmarkEnd w:id="562"/>
      <w:bookmarkEnd w:id="563"/>
      <w:bookmarkEnd w:id="565"/>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公司报告期不存在重大托管情况。</w:t>
      </w:r>
    </w:p>
    <w:p>
      <w:pPr>
        <w:pStyle w:val="Style37"/>
        <w:keepNext/>
        <w:keepLines/>
        <w:widowControl w:val="0"/>
        <w:shd w:val="clear" w:color="auto" w:fill="auto"/>
        <w:tabs>
          <w:tab w:pos="493" w:val="left"/>
        </w:tabs>
        <w:bidi w:val="0"/>
        <w:spacing w:before="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2</w:t>
      </w:r>
      <w:r>
        <w:rPr>
          <w:color w:val="000000"/>
          <w:spacing w:val="0"/>
          <w:w w:val="100"/>
          <w:position w:val="0"/>
        </w:rPr>
        <w:t>）</w:t>
        <w:tab/>
        <w:t>重大承包情况</w:t>
      </w:r>
      <w:bookmarkEnd w:id="566"/>
      <w:bookmarkEnd w:id="567"/>
      <w:bookmarkEnd w:id="56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公司报告期不存在重大承包情况。</w:t>
      </w:r>
    </w:p>
    <w:p>
      <w:pPr>
        <w:pStyle w:val="Style37"/>
        <w:keepNext/>
        <w:keepLines/>
        <w:widowControl w:val="0"/>
        <w:shd w:val="clear" w:color="auto" w:fill="auto"/>
        <w:tabs>
          <w:tab w:pos="493" w:val="left"/>
        </w:tabs>
        <w:bidi w:val="0"/>
        <w:spacing w:before="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3</w:t>
      </w:r>
      <w:r>
        <w:rPr>
          <w:color w:val="000000"/>
          <w:spacing w:val="0"/>
          <w:w w:val="100"/>
          <w:position w:val="0"/>
        </w:rPr>
        <w:t>）</w:t>
        <w:tab/>
        <w:t>重大租赁情况</w:t>
      </w:r>
      <w:bookmarkEnd w:id="570"/>
      <w:bookmarkEnd w:id="571"/>
      <w:bookmarkEnd w:id="57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重大担保</w:t>
      </w:r>
      <w:bookmarkEnd w:id="574"/>
      <w:bookmarkEnd w:id="575"/>
      <w:bookmarkEnd w:id="57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劲嘉供应</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链有限公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劲嘉供应</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链有限公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深圳前海</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劲嘉供应</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链有限公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深圳劲嘉</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新型智能</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包装有限</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深圳劲嘉</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新型智能</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包装有限</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深圳前海</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劲嘉供应</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链有限公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深圳劲嘉</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新型智能</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包装有限</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深圳劲嘉</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新型智能</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包装有限</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深圳劲嘉</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新型智能</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包装有限</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1027"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194,500</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2443"/>
        <w:gridCol w:w="1286"/>
        <w:gridCol w:w="1862"/>
        <w:gridCol w:w="3994"/>
      </w:tblGrid>
      <w:tr>
        <w:trPr>
          <w:trHeight w:val="408"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r>
      <w:tr>
        <w:trPr>
          <w:trHeight w:val="71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为股东、实际控制人及其关联方提供担保的余</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r>
      <w:tr>
        <w:trPr>
          <w:trHeight w:val="1022"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、委托他人进行现金资产管理情况</w:t>
      </w:r>
      <w:bookmarkEnd w:id="578"/>
      <w:bookmarkEnd w:id="579"/>
      <w:bookmarkEnd w:id="581"/>
    </w:p>
    <w:p>
      <w:pPr>
        <w:pStyle w:val="Style37"/>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2"/>
      <w:bookmarkEnd w:id="583"/>
      <w:bookmarkEnd w:id="585"/>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56"/>
        <w:gridCol w:w="1603"/>
        <w:gridCol w:w="1550"/>
        <w:gridCol w:w="156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55,992.64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6"/>
      <w:bookmarkEnd w:id="587"/>
      <w:bookmarkEnd w:id="58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、其他重大合同</w:t>
      </w:r>
      <w:bookmarkEnd w:id="590"/>
      <w:bookmarkEnd w:id="591"/>
      <w:bookmarkEnd w:id="59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8"/>
        <w:gridCol w:w="638"/>
        <w:gridCol w:w="638"/>
        <w:gridCol w:w="638"/>
        <w:gridCol w:w="638"/>
        <w:gridCol w:w="562"/>
        <w:gridCol w:w="715"/>
        <w:gridCol w:w="638"/>
        <w:gridCol w:w="490"/>
        <w:gridCol w:w="566"/>
        <w:gridCol w:w="427"/>
        <w:gridCol w:w="1075"/>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 报告 期末 的执 行情 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15" w:hRule="exact"/>
        </w:trPr>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合同订</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立对方</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名称</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合同标 的</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及资产 的账面 价值</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（万 元）（如</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及资产 的评估 价值</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（万 元）（如</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left w:val="single" w:sz="4"/>
            </w:tcBorders>
            <w:shd w:val="clear" w:color="auto" w:fill="D3D3D3"/>
            <w:vAlign w:val="top"/>
          </w:tcPr>
          <w:p>
            <w:pPr>
              <w:pStyle w:val="Style16"/>
              <w:keepNext w:val="0"/>
              <w:keepLines w:val="0"/>
              <w:widowControl w:val="0"/>
              <w:shd w:val="clear" w:color="auto" w:fill="auto"/>
              <w:bidi w:val="0"/>
              <w:spacing w:before="220" w:after="120" w:line="240" w:lineRule="auto"/>
              <w:ind w:left="0" w:right="0" w:firstLine="0"/>
              <w:jc w:val="left"/>
            </w:pPr>
            <w:r>
              <w:rPr>
                <w:color w:val="000000"/>
                <w:spacing w:val="0"/>
                <w:w w:val="100"/>
                <w:position w:val="0"/>
              </w:rPr>
              <w:t>评估机</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构名称</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left w:val="single" w:sz="4"/>
            </w:tcBorders>
            <w:shd w:val="clear" w:color="auto" w:fill="D3D3D3"/>
            <w:vAlign w:val="top"/>
          </w:tcPr>
          <w:p>
            <w:pPr>
              <w:pStyle w:val="Style16"/>
              <w:keepNext w:val="0"/>
              <w:keepLines w:val="0"/>
              <w:widowControl w:val="0"/>
              <w:shd w:val="clear" w:color="auto" w:fill="auto"/>
              <w:bidi w:val="0"/>
              <w:spacing w:before="220" w:after="120" w:line="240" w:lineRule="auto"/>
              <w:ind w:left="0" w:right="0" w:firstLine="0"/>
              <w:jc w:val="center"/>
            </w:pPr>
            <w:r>
              <w:rPr>
                <w:color w:val="000000"/>
                <w:spacing w:val="0"/>
                <w:w w:val="100"/>
                <w:position w:val="0"/>
              </w:rPr>
              <w:t>评估基</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准日</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定价</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格（万</w:t>
            </w:r>
          </w:p>
          <w:p>
            <w:pPr>
              <w:pStyle w:val="Style16"/>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元）</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是否关</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刊登于指定</w:t>
            </w:r>
          </w:p>
        </w:tc>
      </w:tr>
      <w:tr>
        <w:trPr>
          <w:trHeight w:val="2539"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 昂实业 有限公 司</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吉星印 务</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股权</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left w:val="single" w:sz="4"/>
            </w:tcBorders>
            <w:shd w:val="clear" w:color="auto" w:fill="FFFFFF"/>
            <w:vAlign w:val="top"/>
          </w:tcPr>
          <w:p>
            <w:pPr>
              <w:pStyle w:val="Style16"/>
              <w:keepNext w:val="0"/>
              <w:keepLines w:val="0"/>
              <w:widowControl w:val="0"/>
              <w:shd w:val="clear" w:color="auto" w:fill="auto"/>
              <w:bidi w:val="0"/>
              <w:spacing w:before="20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信息披露媒 体的《关于签 订收购长春 吉星印务有 限责任公司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股权之 股权转让协 议的公告》</w:t>
            </w:r>
          </w:p>
        </w:tc>
      </w:tr>
      <w:tr>
        <w:trPr>
          <w:trHeight w:val="16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天津长 荣印刷 设备股 份有限 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共同开 发、引 进行业 技术等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体的《关于与 长荣股份签</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署战略合作</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协议的公告》</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 惠东建 筑工程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劲嘉工 业园区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厂房 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上海中 昂实业 有限公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关于长 春吉星 业绩承 诺期及 业绩承 诺金额 调整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刊登于指定 信息披露媒 体的《关于长 春吉星印务 有限责任公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司业绩承诺 期及业绩承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诺金额调整</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38"/>
        <w:gridCol w:w="638"/>
        <w:gridCol w:w="638"/>
        <w:gridCol w:w="562"/>
        <w:gridCol w:w="715"/>
        <w:gridCol w:w="638"/>
        <w:gridCol w:w="490"/>
        <w:gridCol w:w="566"/>
        <w:gridCol w:w="427"/>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的公告》</w:t>
            </w:r>
          </w:p>
        </w:tc>
      </w:tr>
      <w:tr>
        <w:trPr>
          <w:trHeight w:val="258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 昂实业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关于长 春吉星 印务业 绩承诺 期的调 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刊登于指定</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信息披露媒</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体的《关于拟</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签署长春吉</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星印务有限</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责任公司股</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权转让补充</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协议的公告》</w:t>
            </w:r>
          </w:p>
        </w:tc>
      </w:tr>
      <w:tr>
        <w:trPr>
          <w:trHeight w:val="289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重庆宏 声实业 （集</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团）有 限责任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表决权 委托事 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刊登于指定 信息披露媒 体的《关于与 重庆宏声实 业（集团）有 限责任公司 签署战略合 作协议的公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w:t>
            </w:r>
          </w:p>
        </w:tc>
      </w:tr>
      <w:tr>
        <w:trPr>
          <w:trHeight w:val="258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顺华</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港）有</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青岛英 诺</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股权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刊登于指定 信息披露媒 体的《关于收 购青岛英诺 包装科技有</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限公司剩余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股权的 公告》</w:t>
            </w:r>
          </w:p>
        </w:tc>
      </w:tr>
      <w:tr>
        <w:trPr>
          <w:trHeight w:val="19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菏泽中 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菏泽开 发区丹 阳建筑 工程有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菏泽中 丰田园 区 </w:t>
            </w:r>
            <w:r>
              <w:rPr>
                <w:i/>
                <w:iCs/>
                <w:color w:val="000000"/>
                <w:spacing w:val="0"/>
                <w:w w:val="100"/>
                <w:position w:val="0"/>
              </w:rPr>
              <w:t xml:space="preserve">1-3# </w:t>
            </w:r>
            <w:r>
              <w:rPr>
                <w:color w:val="000000"/>
                <w:spacing w:val="0"/>
                <w:w w:val="100"/>
                <w:position w:val="0"/>
              </w:rPr>
              <w:t>厂房及 配套工 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菏泽中 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苏美达 国际技 术贸易 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BOPP</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双向拉 伸聚丙 烯薄膜 生产线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中华烟 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陈金 水、张 东浩及 秋山产 业株式</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恒天商 业</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38"/>
        <w:gridCol w:w="638"/>
        <w:gridCol w:w="638"/>
        <w:gridCol w:w="562"/>
        <w:gridCol w:w="715"/>
        <w:gridCol w:w="638"/>
        <w:gridCol w:w="490"/>
        <w:gridCol w:w="566"/>
        <w:gridCol w:w="427"/>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苗泽中 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苗泽圣 强建筑 工程有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厂区内 道路管 网建设 及园区 建设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苗泽中 丰田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苏美达 国际技 术贸易 有限公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康普分 切机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594" w:name="bookmark594"/>
      <w:bookmarkStart w:id="595" w:name="bookmark595"/>
      <w:bookmarkStart w:id="596" w:name="bookmark596"/>
      <w:r>
        <w:rPr>
          <w:color w:val="000000"/>
          <w:spacing w:val="0"/>
          <w:w w:val="100"/>
          <w:position w:val="0"/>
        </w:rPr>
        <w:t>十六、其他重大事项的说明</w:t>
      </w:r>
      <w:bookmarkEnd w:id="594"/>
      <w:bookmarkEnd w:id="595"/>
      <w:bookmarkEnd w:id="59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18"/>
        <w:gridCol w:w="1368"/>
        <w:gridCol w:w="3336"/>
        <w:gridCol w:w="3254"/>
      </w:tblGrid>
      <w:tr>
        <w:trPr>
          <w:trHeight w:val="4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公告编号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主要内容</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r>
      <w:tr>
        <w:trPr>
          <w:trHeight w:val="75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关于股东亚东复星瑞哲安泰发展有限公司 部分股份解除质押的公告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《证券日报》、《证券时报》、《中国证 券报》、《上海证券报》及巨潮资讯网</w:t>
            </w:r>
          </w:p>
        </w:tc>
      </w:tr>
      <w:tr>
        <w:trPr>
          <w:trHeight w:val="73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以上股东协议转让股份完成过 户登记的公告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《证券日报》、《证券时报》、《中国证 券报》、《上海证券报》及巨潮资讯网</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01"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2021-021</w:t>
            </w:r>
          </w:p>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2021-034</w:t>
            </w:r>
          </w:p>
        </w:tc>
        <w:tc>
          <w:tcPr>
            <w:tcBorders>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关于控股股东质押或解除质押的相关公告</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《证券日报》、《证券时报》、《中国证 券报》、《上海证券报》及巨潮资讯网</w:t>
            </w:r>
          </w:p>
        </w:tc>
      </w:tr>
      <w:tr>
        <w:trPr>
          <w:trHeight w:val="36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关于公司及子公司向银行申请综合授信额 度及公司提供对外担保的公告</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bl>
    <w:p>
      <w:pPr>
        <w:spacing w:lineRule="exact" w:line="1"/>
        <w:rPr>
          <w:sz w:val="2"/>
          <w:szCs w:val="2"/>
        </w:rPr>
      </w:pPr>
      <w:r>
        <w:br w:type="page"/>
      </w:r>
    </w:p>
    <w:tbl>
      <w:tblPr>
        <w:tblOverlap w:val="never"/>
        <w:jc w:val="center"/>
        <w:tblLayout w:type="fixed"/>
      </w:tblPr>
      <w:tblGrid>
        <w:gridCol w:w="1718"/>
        <w:gridCol w:w="1368"/>
        <w:gridCol w:w="3336"/>
        <w:gridCol w:w="3254"/>
      </w:tblGrid>
      <w:tr>
        <w:trPr>
          <w:trHeight w:val="74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关于回购股份期限届满暨回购方案实施完 毕的公告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2021-065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r>
        <w:trPr>
          <w:trHeight w:val="136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股票激励计划（草案）、深圳劲嘉集团股 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 施考核管理办法</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关于全资子公司投资设立产业基金的公告</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2021-102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关于公司提供担保事项的公告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以上股东股份减持计划的预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以上股东减持股份至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 暨权益变动的提示性公告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《证券日报》、《证券时报》、《中国证 券报》、《上海证券报》及巨潮资讯网</w:t>
            </w:r>
          </w:p>
        </w:tc>
      </w:tr>
      <w:tr>
        <w:trPr>
          <w:trHeight w:val="74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2021-134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关于子公司减资的公告</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《证券日报》、《证券时报》、《中国证 券报》、《上海证券报》及巨潮资讯网</w:t>
            </w:r>
          </w:p>
        </w:tc>
      </w:tr>
    </w:tbl>
    <w:p>
      <w:pPr>
        <w:pStyle w:val="Style22"/>
        <w:keepNext w:val="0"/>
        <w:keepLines w:val="0"/>
        <w:widowControl w:val="0"/>
        <w:shd w:val="clear" w:color="auto" w:fill="auto"/>
        <w:bidi w:val="0"/>
        <w:spacing w:before="0" w:after="72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日，产业基金济南睿德投资合伙企业（有限合伙）已在中国证券投资基金业协会完成备案手续。报告期 内，产业基金对云烁科技出资</w:t>
      </w:r>
      <w:r>
        <w:rPr>
          <w:rFonts w:ascii="Times New Roman" w:eastAsia="Times New Roman" w:hAnsi="Times New Roman" w:cs="Times New Roman"/>
          <w:color w:val="000000"/>
          <w:spacing w:val="0"/>
          <w:w w:val="100"/>
          <w:position w:val="0"/>
          <w:sz w:val="18"/>
          <w:szCs w:val="18"/>
        </w:rPr>
        <w:t>1,059</w:t>
      </w:r>
      <w:r>
        <w:rPr>
          <w:color w:val="000000"/>
          <w:spacing w:val="0"/>
          <w:w w:val="100"/>
          <w:position w:val="0"/>
        </w:rPr>
        <w:t>万元人民币，持有云烁科技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股权；对深圳市子木智能设备有限公司出资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 币，持有深圳市子木智能设备有限公司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p>
    <w:p>
      <w:pPr>
        <w:pStyle w:val="Style27"/>
        <w:keepNext/>
        <w:keepLines/>
        <w:widowControl w:val="0"/>
        <w:shd w:val="clear" w:color="auto" w:fill="auto"/>
        <w:bidi w:val="0"/>
        <w:spacing w:before="0" w:after="380" w:line="240" w:lineRule="auto"/>
        <w:ind w:left="0" w:right="0" w:firstLine="0"/>
        <w:jc w:val="both"/>
      </w:pPr>
      <w:bookmarkStart w:id="597" w:name="bookmark597"/>
      <w:bookmarkStart w:id="598" w:name="bookmark598"/>
      <w:bookmarkStart w:id="599" w:name="bookmark599"/>
      <w:r>
        <w:rPr>
          <w:color w:val="000000"/>
          <w:spacing w:val="0"/>
          <w:w w:val="100"/>
          <w:position w:val="0"/>
        </w:rPr>
        <w:t>十七、公司子公司重大事项</w:t>
      </w:r>
      <w:bookmarkEnd w:id="597"/>
      <w:bookmarkEnd w:id="598"/>
      <w:bookmarkEnd w:id="599"/>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600" w:name="bookmark600"/>
      <w:bookmarkStart w:id="601" w:name="bookmark601"/>
      <w:bookmarkStart w:id="602" w:name="bookmark602"/>
      <w:r>
        <w:rPr>
          <w:color w:val="000000"/>
          <w:spacing w:val="0"/>
          <w:w w:val="100"/>
          <w:position w:val="0"/>
        </w:rPr>
        <w:t>第七节股份变动及股东情况</w:t>
      </w:r>
      <w:bookmarkEnd w:id="600"/>
      <w:bookmarkEnd w:id="601"/>
      <w:bookmarkEnd w:id="602"/>
    </w:p>
    <w:p>
      <w:pPr>
        <w:pStyle w:val="Style27"/>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bookmarkStart w:id="606" w:name="bookmark606"/>
      <w:bookmarkStart w:id="607" w:name="bookmark607"/>
      <w:r>
        <w:rPr>
          <w:color w:val="000000"/>
          <w:spacing w:val="0"/>
          <w:w w:val="100"/>
          <w:position w:val="0"/>
        </w:rPr>
        <w:t>一</w:t>
      </w:r>
      <w:bookmarkEnd w:id="606"/>
      <w:r>
        <w:rPr>
          <w:color w:val="000000"/>
          <w:spacing w:val="0"/>
          <w:w w:val="100"/>
          <w:position w:val="0"/>
        </w:rPr>
        <w:t>、股份变动情况</w:t>
      </w:r>
      <w:bookmarkEnd w:id="604"/>
      <w:bookmarkEnd w:id="605"/>
      <w:bookmarkEnd w:id="607"/>
      <w:bookmarkEnd w:id="603"/>
    </w:p>
    <w:p>
      <w:pPr>
        <w:pStyle w:val="Style32"/>
        <w:keepNext/>
        <w:keepLines/>
        <w:widowControl w:val="0"/>
        <w:shd w:val="clear" w:color="auto" w:fill="auto"/>
        <w:bidi w:val="0"/>
        <w:spacing w:before="0" w:after="36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、股份变动情况</w:t>
      </w:r>
      <w:bookmarkEnd w:id="608"/>
      <w:bookmarkEnd w:id="609"/>
      <w:bookmarkEnd w:id="6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090"/>
        <w:gridCol w:w="710"/>
        <w:gridCol w:w="778"/>
        <w:gridCol w:w="648"/>
        <w:gridCol w:w="706"/>
        <w:gridCol w:w="922"/>
        <w:gridCol w:w="917"/>
        <w:gridCol w:w="1094"/>
        <w:gridCol w:w="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21,769,479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27,131,452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48,900,931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21,769,479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27,131,452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48,900,931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21,769,479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27,131,452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48,900,931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1,443,100,971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1,421,986,619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1,443,100,971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1,421,986,619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1,464,870,450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1,470,887,550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股份变动系公司在报告期内实施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年限制性股票激励计划所致，限制性股票来源为公司回购专用账户回购的股份及公 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w:t>
      </w:r>
    </w:p>
    <w:p>
      <w:pPr>
        <w:pStyle w:val="Style22"/>
        <w:keepNext w:val="0"/>
        <w:keepLines w:val="0"/>
        <w:widowControl w:val="0"/>
        <w:shd w:val="clear" w:color="auto" w:fill="auto"/>
        <w:bidi w:val="0"/>
        <w:spacing w:before="0" w:after="120" w:line="319" w:lineRule="exact"/>
        <w:ind w:left="0" w:right="0" w:firstLine="0"/>
        <w:jc w:val="both"/>
      </w:pPr>
      <w:r>
        <w:rPr>
          <w:color w:val="000000"/>
          <w:spacing w:val="0"/>
          <w:w w:val="100"/>
          <w:position w:val="0"/>
        </w:rPr>
        <w:t>股份变动的批准情况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704" w:val="left"/>
        </w:tabs>
        <w:bidi w:val="0"/>
        <w:spacing w:before="0" w:after="0" w:line="319" w:lineRule="exact"/>
        <w:ind w:left="0" w:right="0"/>
        <w:jc w:val="both"/>
      </w:pPr>
      <w:bookmarkStart w:id="612" w:name="bookmark612"/>
      <w:r>
        <w:rPr>
          <w:rFonts w:ascii="Times New Roman" w:eastAsia="Times New Roman" w:hAnsi="Times New Roman" w:cs="Times New Roman"/>
          <w:color w:val="000000"/>
          <w:spacing w:val="0"/>
          <w:w w:val="100"/>
          <w:position w:val="0"/>
          <w:sz w:val="18"/>
          <w:szCs w:val="18"/>
        </w:rPr>
        <w:t>1</w:t>
      </w:r>
      <w:bookmarkEnd w:id="61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 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的议案》等相关议案，并授权董事会办理公司本次限制性股票激励计划相关事宜。</w:t>
      </w:r>
    </w:p>
    <w:p>
      <w:pPr>
        <w:pStyle w:val="Style22"/>
        <w:keepNext w:val="0"/>
        <w:keepLines w:val="0"/>
        <w:widowControl w:val="0"/>
        <w:shd w:val="clear" w:color="auto" w:fill="auto"/>
        <w:tabs>
          <w:tab w:pos="734" w:val="left"/>
        </w:tabs>
        <w:bidi w:val="0"/>
        <w:spacing w:before="0" w:after="240" w:line="319" w:lineRule="exact"/>
        <w:ind w:left="0" w:right="0"/>
        <w:jc w:val="both"/>
      </w:pPr>
      <w:bookmarkStart w:id="613" w:name="bookmark613"/>
      <w:r>
        <w:rPr>
          <w:rFonts w:ascii="Times New Roman" w:eastAsia="Times New Roman" w:hAnsi="Times New Roman" w:cs="Times New Roman"/>
          <w:color w:val="000000"/>
          <w:spacing w:val="0"/>
          <w:w w:val="100"/>
          <w:position w:val="0"/>
          <w:sz w:val="18"/>
          <w:szCs w:val="18"/>
        </w:rPr>
        <w:t>2</w:t>
      </w:r>
      <w:bookmarkEnd w:id="61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日作为首次授予日，向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2,713.1452</w:t>
      </w:r>
      <w:r>
        <w:rPr>
          <w:color w:val="000000"/>
          <w:spacing w:val="0"/>
          <w:w w:val="100"/>
          <w:position w:val="0"/>
        </w:rPr>
        <w:t>万股限制性股票。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公司向深圳证券交易所、中国证券登记结算有限责任公司深圳分公司申请向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,713.1452</w:t>
      </w:r>
      <w:r>
        <w:rPr>
          <w:color w:val="000000"/>
          <w:spacing w:val="0"/>
          <w:w w:val="100"/>
          <w:position w:val="0"/>
        </w:rPr>
        <w:t>万股限制性股 票，授予股份的上市日期为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日，其中：授予限制性股票（定增部分）激励对象共</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人，授予的定增部分限制性 股票数量为</w:t>
      </w:r>
      <w:r>
        <w:rPr>
          <w:rFonts w:ascii="Times New Roman" w:eastAsia="Times New Roman" w:hAnsi="Times New Roman" w:cs="Times New Roman"/>
          <w:color w:val="000000"/>
          <w:spacing w:val="0"/>
          <w:w w:val="100"/>
          <w:position w:val="0"/>
          <w:sz w:val="18"/>
          <w:szCs w:val="18"/>
        </w:rPr>
        <w:t>601.71</w:t>
      </w:r>
      <w:r>
        <w:rPr>
          <w:color w:val="000000"/>
          <w:spacing w:val="0"/>
          <w:w w:val="100"/>
          <w:position w:val="0"/>
        </w:rPr>
        <w:t>万股；授予限制性股票（回购部分）的激励对象共</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人，授予的回购部分限制性股票数量为</w:t>
      </w:r>
      <w:r>
        <w:rPr>
          <w:rFonts w:ascii="Times New Roman" w:eastAsia="Times New Roman" w:hAnsi="Times New Roman" w:cs="Times New Roman"/>
          <w:color w:val="000000"/>
          <w:spacing w:val="0"/>
          <w:w w:val="100"/>
          <w:position w:val="0"/>
          <w:sz w:val="18"/>
          <w:szCs w:val="18"/>
        </w:rPr>
        <w:t>2,111.435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 股。</w:t>
      </w:r>
    </w:p>
    <w:p>
      <w:pPr>
        <w:pStyle w:val="Style2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29"/>
        <w:gridCol w:w="2755"/>
        <w:gridCol w:w="3197"/>
      </w:tblGrid>
      <w:tr>
        <w:trPr>
          <w:trHeight w:val="4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1,464,870,450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1,470,887,550</w:t>
            </w:r>
          </w:p>
        </w:tc>
      </w:tr>
      <w:tr>
        <w:trPr>
          <w:trHeight w:val="4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4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bl>
    <w:p>
      <w:pPr>
        <w:widowControl w:val="0"/>
        <w:spacing w:after="3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、限售股份变动情况</w:t>
      </w:r>
      <w:bookmarkEnd w:id="614"/>
      <w:bookmarkEnd w:id="615"/>
      <w:bookmarkEnd w:id="61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850"/>
        <w:gridCol w:w="994"/>
        <w:gridCol w:w="850"/>
        <w:gridCol w:w="994"/>
        <w:gridCol w:w="1982"/>
        <w:gridCol w:w="291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2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780,062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1,380,062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、李晓华为公司董事、 高管，持有的</w:t>
            </w:r>
            <w:r>
              <w:rPr>
                <w:rFonts w:ascii="Times New Roman" w:eastAsia="Times New Roman" w:hAnsi="Times New Roman" w:cs="Times New Roman"/>
                <w:color w:val="000000"/>
                <w:spacing w:val="0"/>
                <w:w w:val="100"/>
                <w:position w:val="0"/>
                <w:sz w:val="18"/>
                <w:szCs w:val="18"/>
              </w:rPr>
              <w:t>780,062</w:t>
            </w:r>
            <w:r>
              <w:rPr>
                <w:color w:val="000000"/>
                <w:spacing w:val="0"/>
                <w:w w:val="100"/>
                <w:position w:val="0"/>
              </w:rPr>
              <w:t>股 作为高管锁定股锁定；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授获</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股股权激励 限制性股票。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r>
        <w:trPr>
          <w:trHeight w:val="228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李德华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4,615,743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5,365,743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李德华为公司董事、 高管，持有的</w:t>
            </w:r>
            <w:r>
              <w:rPr>
                <w:rFonts w:ascii="Times New Roman" w:eastAsia="Times New Roman" w:hAnsi="Times New Roman" w:cs="Times New Roman"/>
                <w:color w:val="000000"/>
                <w:spacing w:val="0"/>
                <w:w w:val="100"/>
                <w:position w:val="0"/>
                <w:sz w:val="18"/>
                <w:szCs w:val="18"/>
              </w:rPr>
              <w:t xml:space="preserve">4,615,743 </w:t>
            </w:r>
            <w:r>
              <w:rPr>
                <w:color w:val="000000"/>
                <w:spacing w:val="0"/>
                <w:w w:val="100"/>
                <w:position w:val="0"/>
              </w:rPr>
              <w:t>股作为高管锁定股锁定；</w:t>
            </w:r>
          </w:p>
          <w:p>
            <w:pPr>
              <w:pStyle w:val="Style16"/>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授获</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股股权 激励限制性股票。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bl>
    <w:p>
      <w:pPr>
        <w:spacing w:lineRule="exact" w:line="1"/>
        <w:rPr>
          <w:sz w:val="2"/>
          <w:szCs w:val="2"/>
        </w:rPr>
      </w:pPr>
      <w:r>
        <w:br w:type="page"/>
      </w:r>
    </w:p>
    <w:tbl>
      <w:tblPr>
        <w:tblOverlap w:val="never"/>
        <w:jc w:val="center"/>
        <w:tblLayout w:type="fixed"/>
      </w:tblPr>
      <w:tblGrid>
        <w:gridCol w:w="998"/>
        <w:gridCol w:w="850"/>
        <w:gridCol w:w="994"/>
        <w:gridCol w:w="850"/>
        <w:gridCol w:w="994"/>
        <w:gridCol w:w="1982"/>
        <w:gridCol w:w="2918"/>
      </w:tblGrid>
      <w:tr>
        <w:trPr>
          <w:trHeight w:val="22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11,200,60</w:t>
            </w:r>
          </w:p>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11,900,606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、黄华为公司高管，持 有的</w:t>
            </w:r>
            <w:r>
              <w:rPr>
                <w:rFonts w:ascii="Times New Roman" w:eastAsia="Times New Roman" w:hAnsi="Times New Roman" w:cs="Times New Roman"/>
                <w:color w:val="000000"/>
                <w:spacing w:val="0"/>
                <w:w w:val="100"/>
                <w:position w:val="0"/>
                <w:sz w:val="18"/>
                <w:szCs w:val="18"/>
              </w:rPr>
              <w:t>11,200,606</w:t>
            </w:r>
            <w:r>
              <w:rPr>
                <w:color w:val="000000"/>
                <w:spacing w:val="0"/>
                <w:w w:val="100"/>
                <w:position w:val="0"/>
              </w:rPr>
              <w:t>股作为高 管锁定股锁定；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、授获 </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股股权激励限制 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r>
        <w:trPr>
          <w:trHeight w:val="22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侯旭东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4,668,243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5,468,243</w:t>
            </w:r>
          </w:p>
        </w:tc>
        <w:tc>
          <w:tcPr>
            <w:tcBorders>
              <w:top w:val="single" w:sz="4"/>
              <w:left w:val="single" w:sz="4"/>
            </w:tcBorders>
            <w:shd w:val="clear" w:color="auto" w:fill="FFFFFF"/>
            <w:vAlign w:val="center"/>
          </w:tcPr>
          <w:p>
            <w:pPr>
              <w:pStyle w:val="Style16"/>
              <w:keepNext w:val="0"/>
              <w:keepLines w:val="0"/>
              <w:widowControl w:val="0"/>
              <w:shd w:val="clear" w:color="auto" w:fill="auto"/>
              <w:tabs>
                <w:tab w:pos="26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侯旭东为公司董事、 高管，持有的</w:t>
            </w:r>
            <w:r>
              <w:rPr>
                <w:rFonts w:ascii="Times New Roman" w:eastAsia="Times New Roman" w:hAnsi="Times New Roman" w:cs="Times New Roman"/>
                <w:color w:val="000000"/>
                <w:spacing w:val="0"/>
                <w:w w:val="100"/>
                <w:position w:val="0"/>
                <w:sz w:val="18"/>
                <w:szCs w:val="18"/>
              </w:rPr>
              <w:t xml:space="preserve">4,668,243 </w:t>
            </w:r>
            <w:r>
              <w:rPr>
                <w:color w:val="000000"/>
                <w:spacing w:val="0"/>
                <w:w w:val="100"/>
                <w:position w:val="0"/>
              </w:rPr>
              <w:t>股作为高管锁定股锁定；</w:t>
            </w:r>
          </w:p>
          <w:p>
            <w:pPr>
              <w:pStyle w:val="Style16"/>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授获</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股股权 激励限制性股票。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吕伟为公司高管，授获 </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股股权激励限制 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富培军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、富培军为公司高管， 持有的</w:t>
            </w:r>
            <w:r>
              <w:rPr>
                <w:rFonts w:ascii="Times New Roman" w:eastAsia="Times New Roman" w:hAnsi="Times New Roman" w:cs="Times New Roman"/>
                <w:color w:val="000000"/>
                <w:spacing w:val="0"/>
                <w:w w:val="100"/>
                <w:position w:val="0"/>
                <w:sz w:val="18"/>
                <w:szCs w:val="18"/>
              </w:rPr>
              <w:t>504,000</w:t>
            </w:r>
            <w:r>
              <w:rPr>
                <w:color w:val="000000"/>
                <w:spacing w:val="0"/>
                <w:w w:val="100"/>
                <w:position w:val="0"/>
              </w:rPr>
              <w:t>股作为高 管锁定股锁定；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、授获 </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股股权激励限制 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、高管锁定股按照《公司法》、《证 券法》等法律法规计算其本年度可转 让股份法定额度；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、在满足限制性 股票解除限售条件后，公司董事会将 按照股东大会之授权统一办理满足 解除限售条件的限制性股票解除限 售事宜。</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陈顺芹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陈顺芹为公司监事，持有 的</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股作为高管锁定 股锁定。</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高管锁定股按照《公司法》、《证券法》 等法律法规计算其本年度可转让股 份法定额度。</w:t>
            </w:r>
          </w:p>
        </w:tc>
      </w:tr>
      <w:tr>
        <w:trPr>
          <w:trHeight w:val="19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股权激励对 象：中层管 理人员、核 心业务（技 术）人员</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227 </w:t>
            </w:r>
            <w:r>
              <w:rPr>
                <w:color w:val="000000"/>
                <w:spacing w:val="0"/>
                <w:w w:val="100"/>
                <w:position w:val="0"/>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23,341,452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23,341,452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授获</w:t>
            </w:r>
            <w:r>
              <w:rPr>
                <w:rFonts w:ascii="Times New Roman" w:eastAsia="Times New Roman" w:hAnsi="Times New Roman" w:cs="Times New Roman"/>
                <w:color w:val="000000"/>
                <w:spacing w:val="0"/>
                <w:w w:val="100"/>
                <w:position w:val="0"/>
                <w:sz w:val="18"/>
                <w:szCs w:val="18"/>
              </w:rPr>
              <w:t>23,341,452</w:t>
            </w:r>
            <w:r>
              <w:rPr>
                <w:color w:val="000000"/>
                <w:spacing w:val="0"/>
                <w:w w:val="100"/>
                <w:position w:val="0"/>
              </w:rPr>
              <w:t>股股权</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激励限制性股票。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在满足限制性股票解除限售条件后， 公司董事会将按照股东大会之授权 统一办理满足解除限售条件的限制 性股票解除限售事宜。</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21,769,47</w:t>
            </w:r>
          </w:p>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27,131,452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48,900,931</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bidi w:val="0"/>
        <w:spacing w:before="0" w:after="3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二</w:t>
      </w:r>
      <w:bookmarkEnd w:id="620"/>
      <w:r>
        <w:rPr>
          <w:color w:val="000000"/>
          <w:spacing w:val="0"/>
          <w:w w:val="100"/>
          <w:position w:val="0"/>
        </w:rPr>
        <w:t>、证券发行与上市情况</w:t>
      </w:r>
      <w:bookmarkEnd w:id="618"/>
      <w:bookmarkEnd w:id="619"/>
      <w:bookmarkEnd w:id="621"/>
    </w:p>
    <w:p>
      <w:pPr>
        <w:pStyle w:val="Style32"/>
        <w:keepNext/>
        <w:keepLines/>
        <w:widowControl w:val="0"/>
        <w:shd w:val="clear" w:color="auto" w:fill="auto"/>
        <w:bidi w:val="0"/>
        <w:spacing w:before="0" w:after="36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、报告期内证券发行（不含优先股）情况</w:t>
      </w:r>
      <w:bookmarkEnd w:id="622"/>
      <w:bookmarkEnd w:id="623"/>
      <w:bookmarkEnd w:id="62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710"/>
        <w:gridCol w:w="1416"/>
        <w:gridCol w:w="1075"/>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股票及其衍</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w:t>
            </w:r>
          </w:p>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交易终</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59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披露于《证券日 报》、《证券时报》、 《上海证券报》、 《中国证券报》及</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巨潮资讯网的《关 于首次授予（定增 部分）限制性股票 授予完成的公告》</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2"/>
        <w:keepNext w:val="0"/>
        <w:keepLines w:val="0"/>
        <w:widowControl w:val="0"/>
        <w:shd w:val="clear" w:color="auto" w:fill="auto"/>
        <w:tabs>
          <w:tab w:pos="704" w:val="left"/>
        </w:tabs>
        <w:bidi w:val="0"/>
        <w:spacing w:before="0" w:after="0" w:line="317" w:lineRule="exact"/>
        <w:ind w:left="0" w:right="0"/>
        <w:jc w:val="both"/>
      </w:pPr>
      <w:bookmarkStart w:id="626" w:name="bookmark626"/>
      <w:r>
        <w:rPr>
          <w:rFonts w:ascii="Times New Roman" w:eastAsia="Times New Roman" w:hAnsi="Times New Roman" w:cs="Times New Roman"/>
          <w:color w:val="000000"/>
          <w:spacing w:val="0"/>
          <w:w w:val="100"/>
          <w:position w:val="0"/>
          <w:sz w:val="18"/>
          <w:szCs w:val="18"/>
        </w:rPr>
        <w:t>1</w:t>
      </w:r>
      <w:bookmarkEnd w:id="626"/>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 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的议案》等相关议案，并授权董事会办理公司本次限制性股票激励计划相关事宜。</w:t>
      </w:r>
    </w:p>
    <w:p>
      <w:pPr>
        <w:pStyle w:val="Style22"/>
        <w:keepNext w:val="0"/>
        <w:keepLines w:val="0"/>
        <w:widowControl w:val="0"/>
        <w:shd w:val="clear" w:color="auto" w:fill="auto"/>
        <w:tabs>
          <w:tab w:pos="704" w:val="left"/>
        </w:tabs>
        <w:bidi w:val="0"/>
        <w:spacing w:before="0" w:after="360" w:line="317" w:lineRule="exact"/>
        <w:ind w:left="0" w:right="0"/>
        <w:jc w:val="both"/>
      </w:pPr>
      <w:bookmarkStart w:id="627" w:name="bookmark627"/>
      <w:r>
        <w:rPr>
          <w:rFonts w:ascii="Times New Roman" w:eastAsia="Times New Roman" w:hAnsi="Times New Roman" w:cs="Times New Roman"/>
          <w:color w:val="000000"/>
          <w:spacing w:val="0"/>
          <w:w w:val="100"/>
          <w:position w:val="0"/>
          <w:sz w:val="18"/>
          <w:szCs w:val="18"/>
        </w:rPr>
        <w:t>2</w:t>
      </w:r>
      <w:bookmarkEnd w:id="62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 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日作为首次授予日，向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2,713.1452</w:t>
      </w:r>
      <w:r>
        <w:rPr>
          <w:color w:val="000000"/>
          <w:spacing w:val="0"/>
          <w:w w:val="100"/>
          <w:position w:val="0"/>
        </w:rPr>
        <w:t>万股限制性股票，其中：授予限制性股票（定 增部分）激励对象共</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人，授予的定增部分限制性股票数量为</w:t>
      </w:r>
      <w:r>
        <w:rPr>
          <w:rFonts w:ascii="Times New Roman" w:eastAsia="Times New Roman" w:hAnsi="Times New Roman" w:cs="Times New Roman"/>
          <w:color w:val="000000"/>
          <w:spacing w:val="0"/>
          <w:w w:val="100"/>
          <w:position w:val="0"/>
          <w:sz w:val="18"/>
          <w:szCs w:val="18"/>
        </w:rPr>
        <w:t>601.71</w:t>
      </w:r>
      <w:r>
        <w:rPr>
          <w:color w:val="000000"/>
          <w:spacing w:val="0"/>
          <w:w w:val="100"/>
          <w:position w:val="0"/>
        </w:rPr>
        <w:t>万股。</w:t>
      </w:r>
    </w:p>
    <w:p>
      <w:pPr>
        <w:pStyle w:val="Style32"/>
        <w:keepNext/>
        <w:keepLines/>
        <w:widowControl w:val="0"/>
        <w:shd w:val="clear" w:color="auto" w:fill="auto"/>
        <w:tabs>
          <w:tab w:pos="378" w:val="left"/>
        </w:tabs>
        <w:bidi w:val="0"/>
        <w:spacing w:before="0" w:after="28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公司股份总数及股东结构的变动、公司资产和负债结构的变动情况说明</w:t>
      </w:r>
      <w:bookmarkEnd w:id="628"/>
      <w:bookmarkEnd w:id="629"/>
      <w:bookmarkEnd w:id="631"/>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日，公司于《证券时报》、《证券日报》、《中国证券报》、《上海证券报》及巨潮咨询 网分别刊登了《关于首次授予（定增部分）限制性股票授予完成的公告》、《关于首次授予（回购部分）限制性股票授予完 成的公告》，本计划的限制性股票已完成登记授予工作，本次授予的激励对象共</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18"/>
          <w:szCs w:val="18"/>
        </w:rPr>
        <w:t xml:space="preserve">2,713.1452 </w:t>
      </w:r>
      <w:r>
        <w:rPr>
          <w:color w:val="000000"/>
          <w:spacing w:val="0"/>
          <w:w w:val="100"/>
          <w:position w:val="0"/>
        </w:rPr>
        <w:t>万股。授予股票的上市日为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日。公司股份总数变动为</w:t>
      </w:r>
      <w:r>
        <w:rPr>
          <w:rFonts w:ascii="Times New Roman" w:eastAsia="Times New Roman" w:hAnsi="Times New Roman" w:cs="Times New Roman"/>
          <w:color w:val="000000"/>
          <w:spacing w:val="0"/>
          <w:w w:val="100"/>
          <w:position w:val="0"/>
          <w:sz w:val="18"/>
          <w:szCs w:val="18"/>
        </w:rPr>
        <w:t>1,470,887,550</w:t>
      </w:r>
      <w:r>
        <w:rPr>
          <w:color w:val="000000"/>
          <w:spacing w:val="0"/>
          <w:w w:val="100"/>
          <w:position w:val="0"/>
        </w:rPr>
        <w:t>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w:t>
        <w:tab/>
        <w:t>现存的内部职工股情况</w:t>
      </w:r>
      <w:bookmarkEnd w:id="632"/>
      <w:bookmarkEnd w:id="633"/>
      <w:bookmarkEnd w:id="635"/>
    </w:p>
    <w:p>
      <w:pPr>
        <w:pStyle w:val="Style2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三</w:t>
      </w:r>
      <w:bookmarkEnd w:id="638"/>
      <w:r>
        <w:rPr>
          <w:color w:val="000000"/>
          <w:spacing w:val="0"/>
          <w:w w:val="100"/>
          <w:position w:val="0"/>
        </w:rPr>
        <w:t>、股东和实际控制人情况</w:t>
      </w:r>
      <w:bookmarkEnd w:id="636"/>
      <w:bookmarkEnd w:id="637"/>
      <w:bookmarkEnd w:id="639"/>
    </w:p>
    <w:p>
      <w:pPr>
        <w:pStyle w:val="Style32"/>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、公司股东数量及持股情况</w:t>
      </w:r>
      <w:bookmarkEnd w:id="640"/>
      <w:bookmarkEnd w:id="641"/>
      <w:bookmarkEnd w:id="643"/>
    </w:p>
    <w:p>
      <w:pPr>
        <w:pStyle w:val="Style22"/>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6"/>
        <w:gridCol w:w="1459"/>
        <w:gridCol w:w="1066"/>
        <w:gridCol w:w="1325"/>
        <w:gridCol w:w="936"/>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52,986</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报告期末表决权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5"/>
        <w:gridCol w:w="269"/>
        <w:gridCol w:w="926"/>
        <w:gridCol w:w="485"/>
        <w:gridCol w:w="792"/>
        <w:gridCol w:w="782"/>
        <w:gridCol w:w="336"/>
        <w:gridCol w:w="456"/>
        <w:gridCol w:w="782"/>
        <w:gridCol w:w="221"/>
        <w:gridCol w:w="619"/>
        <w:gridCol w:w="446"/>
        <w:gridCol w:w="902"/>
        <w:gridCol w:w="422"/>
        <w:gridCol w:w="936"/>
      </w:tblGrid>
      <w:tr>
        <w:trPr>
          <w:trHeight w:val="1301"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前上一月末普通 股股东总数</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前上一月末表决 权恢复的优先股 股东总数（如有）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深圳市劲嘉创业 投资有限公司</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463,089,7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463,089,7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303,180,000</w:t>
            </w:r>
          </w:p>
        </w:tc>
      </w:tr>
      <w:tr>
        <w:trPr>
          <w:trHeight w:val="1022"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济南泰汇顺企业</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管理合伙企业（有</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限合伙）</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71,873,52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71,873,52</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71,873,52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60,225,91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34,310,23</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60,225,91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新疆世纪运通股</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权投资合伙企业</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39,450,00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1027"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93" w:lineRule="exact"/>
              <w:ind w:left="0" w:right="0" w:firstLine="0"/>
              <w:jc w:val="both"/>
            </w:pPr>
            <w:r>
              <w:rPr>
                <w:color w:val="000000"/>
                <w:spacing w:val="0"/>
                <w:w w:val="100"/>
                <w:position w:val="0"/>
              </w:rPr>
              <w:t>天津市启韵致恒 企业管理合伙企</w:t>
            </w:r>
          </w:p>
          <w:p>
            <w:pPr>
              <w:pStyle w:val="Style16"/>
              <w:keepNext w:val="0"/>
              <w:keepLines w:val="0"/>
              <w:widowControl w:val="0"/>
              <w:shd w:val="clear" w:color="auto" w:fill="auto"/>
              <w:bidi w:val="0"/>
              <w:spacing w:before="0" w:after="0" w:line="293" w:lineRule="exact"/>
              <w:ind w:left="0" w:right="0" w:firstLine="0"/>
              <w:jc w:val="both"/>
            </w:pPr>
            <w:r>
              <w:rPr>
                <w:color w:val="000000"/>
                <w:spacing w:val="0"/>
                <w:w w:val="100"/>
                <w:position w:val="0"/>
              </w:rPr>
              <w:t>业（有限合伙）</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29,297,50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29,297,50</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29,297,409</w:t>
            </w:r>
          </w:p>
        </w:tc>
      </w:tr>
      <w:tr>
        <w:trPr>
          <w:trHeight w:val="710"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中信证券股份有 限公司</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17,764,07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17,672,62</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17,764,07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中国工商银行股 份有限公司一广 发多因子灵活配 置混合型证券投 资基金</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17,027,08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17,027,08</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15,634,14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3,733,535</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715"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中信建投证券股 份有限公司</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12,331,60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10,051,26</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泰康人寿保险有 限责任公司一传 统一普通保险产</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w:t>
            </w:r>
            <w:r>
              <w:rPr>
                <w:rFonts w:ascii="Times New Roman" w:eastAsia="Times New Roman" w:hAnsi="Times New Roman" w:cs="Times New Roman"/>
                <w:color w:val="000000"/>
                <w:spacing w:val="0"/>
                <w:w w:val="100"/>
                <w:position w:val="0"/>
                <w:sz w:val="18"/>
                <w:szCs w:val="18"/>
              </w:rPr>
              <w:t xml:space="preserve">-019L-CT001 </w:t>
            </w:r>
            <w:r>
              <w:rPr>
                <w:color w:val="000000"/>
                <w:spacing w:val="0"/>
                <w:w w:val="100"/>
                <w:position w:val="0"/>
              </w:rPr>
              <w:t>深</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12,301,00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12,300,92</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4" w:hRule="exact"/>
        </w:trPr>
        <w:tc>
          <w:tcPr>
            <w:gridSpan w:val="4"/>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w:t>
            </w:r>
          </w:p>
        </w:tc>
        <w:tc>
          <w:tcPr>
            <w:gridSpan w:val="11"/>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深圳市劲嘉创业投资有限公司与新疆世纪运通股权投资合伙企业（有限合伙）存在如</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1301"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下关联关系：乔鲁予持有深圳市劲嘉创业投资有限公司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的股份，持有新疆世纪运 通股权投资合伙企业（有限合伙）</w:t>
            </w:r>
            <w:r>
              <w:rPr>
                <w:rFonts w:ascii="Times New Roman" w:eastAsia="Times New Roman" w:hAnsi="Times New Roman" w:cs="Times New Roman"/>
                <w:color w:val="000000"/>
                <w:spacing w:val="0"/>
                <w:w w:val="100"/>
                <w:position w:val="0"/>
                <w:sz w:val="18"/>
                <w:szCs w:val="18"/>
              </w:rPr>
              <w:t>71.44%</w:t>
            </w:r>
            <w:r>
              <w:rPr>
                <w:color w:val="000000"/>
                <w:spacing w:val="0"/>
                <w:w w:val="100"/>
                <w:position w:val="0"/>
              </w:rPr>
              <w:t>的股份，其余前十名无限售股股东之间，未 知是否存在关联关系，也未知该无限售条件股股东之间是否属于《上市公司收购管理 办法》规定的一致行动人。</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深圳市劲嘉创业投资有限公司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463,089,709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463,089,709</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济南泰汇顺企业管理合伙企业（有限 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71,873,523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71,873,523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60,225,918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60,225,918</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新疆世纪运通股权投资合伙企业（有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39,450,000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天津市启韵致恒企业管理合伙企业</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29,297,500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29,297,500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17,764,073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17,764,073</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中国工商银行股份有限公司一广发 多因子灵活配置混合型证券投资基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17,027,081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17,027,081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12,331,606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12,331,606</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泰康人寿保险有限责任公司一传统 一普通保险产品</w:t>
            </w:r>
            <w:r>
              <w:rPr>
                <w:rFonts w:ascii="Times New Roman" w:eastAsia="Times New Roman" w:hAnsi="Times New Roman" w:cs="Times New Roman"/>
                <w:color w:val="000000"/>
                <w:spacing w:val="0"/>
                <w:w w:val="100"/>
                <w:position w:val="0"/>
                <w:sz w:val="18"/>
                <w:szCs w:val="18"/>
              </w:rPr>
              <w:t>-019L-CT001</w:t>
            </w:r>
            <w:r>
              <w:rPr>
                <w:color w:val="000000"/>
                <w:spacing w:val="0"/>
                <w:w w:val="100"/>
                <w:position w:val="0"/>
              </w:rPr>
              <w:t>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12,301,003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12,301,003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泰康人寿保险有限责任公司一投连 一优选成长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9,942,200</w:t>
            </w:r>
          </w:p>
        </w:tc>
      </w:tr>
      <w:tr>
        <w:trPr>
          <w:trHeight w:val="16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深圳市劲嘉创业投资有限公司与新疆世纪运通股权投资合伙企业（有限合伙）存在如 下关联关系：乔鲁予持有深圳市劲嘉创业投资有限公司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的股份，持有新疆世纪运 通股权投资合伙企业（有限合伙）</w:t>
            </w:r>
            <w:r>
              <w:rPr>
                <w:rFonts w:ascii="Times New Roman" w:eastAsia="Times New Roman" w:hAnsi="Times New Roman" w:cs="Times New Roman"/>
                <w:color w:val="000000"/>
                <w:spacing w:val="0"/>
                <w:w w:val="100"/>
                <w:position w:val="0"/>
                <w:sz w:val="18"/>
                <w:szCs w:val="18"/>
              </w:rPr>
              <w:t>71.44%</w:t>
            </w:r>
            <w:r>
              <w:rPr>
                <w:color w:val="000000"/>
                <w:spacing w:val="0"/>
                <w:w w:val="100"/>
                <w:position w:val="0"/>
              </w:rPr>
              <w:t>的股份，其余前十名无限售股股东之间，未 知是否存在关联关系，也未知该无限售条件股股东之间是否属于《上市公司持股变动 信息披露管理方法》规定的一致行动人。</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名普通股股东中，没有参与融资融券业务的情况。</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2"/>
        <w:keepNext/>
        <w:keepLines/>
        <w:widowControl w:val="0"/>
        <w:shd w:val="clear" w:color="auto" w:fill="auto"/>
        <w:bidi w:val="0"/>
        <w:spacing w:before="0" w:after="40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、公司控股股东情况</w:t>
      </w:r>
      <w:bookmarkEnd w:id="644"/>
      <w:bookmarkEnd w:id="645"/>
      <w:bookmarkEnd w:id="64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82"/>
        <w:gridCol w:w="2093"/>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深圳市劲嘉创业投资有限公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91440300750482408E</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直接投资高新技术产业和 其他技术创新产业；受托 管理和经营其他创业投资 公司的创业资本。</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、公司实际控制人及其一致行动人</w:t>
      </w:r>
      <w:bookmarkEnd w:id="648"/>
      <w:bookmarkEnd w:id="649"/>
      <w:bookmarkEnd w:id="65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乔鲁予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年，任本公司董事长；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年任本公司董事长、总经理；现 任本公司董事长。</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060065" cy="21272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060065" cy="2127250"/>
                    </a:xfrm>
                    <a:prstGeom prst="rect"/>
                  </pic:spPr>
                </pic:pic>
              </a:graphicData>
            </a:graphic>
          </wp:inline>
        </w:drawing>
      </w:r>
    </w:p>
    <w:p>
      <w:pPr>
        <w:widowControl w:val="0"/>
        <w:spacing w:after="2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4</w:t>
      </w:r>
      <w:bookmarkEnd w:id="65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2"/>
      <w:bookmarkEnd w:id="653"/>
      <w:bookmarkEnd w:id="65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5</w:t>
      </w:r>
      <w:bookmarkEnd w:id="65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6"/>
      <w:bookmarkEnd w:id="657"/>
      <w:bookmarkEnd w:id="65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6</w:t>
      </w:r>
      <w:bookmarkEnd w:id="662"/>
      <w:r>
        <w:rPr>
          <w:color w:val="000000"/>
          <w:spacing w:val="0"/>
          <w:w w:val="100"/>
          <w:position w:val="0"/>
        </w:rPr>
        <w:t>、</w:t>
        <w:tab/>
        <w:t>控股股东、实际控制人、重组方及其他承诺主体股份限制减持情况</w:t>
      </w:r>
      <w:bookmarkEnd w:id="660"/>
      <w:bookmarkEnd w:id="661"/>
      <w:bookmarkEnd w:id="66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、股份回购在报告期的具体实施情况</w:t>
      </w:r>
      <w:bookmarkEnd w:id="664"/>
      <w:bookmarkEnd w:id="665"/>
      <w:bookmarkEnd w:id="66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05"/>
        <w:gridCol w:w="1200"/>
        <w:gridCol w:w="1003"/>
        <w:gridCol w:w="1277"/>
        <w:gridCol w:w="989"/>
        <w:gridCol w:w="1704"/>
        <w:gridCol w:w="998"/>
        <w:gridCol w:w="1205"/>
      </w:tblGrid>
      <w:tr>
        <w:trPr>
          <w:trHeight w:val="16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占总股本的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已回购数量</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已回购数量占</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股权激励计划</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所涉及的标的</w:t>
            </w:r>
          </w:p>
          <w:p>
            <w:pPr>
              <w:pStyle w:val="Style1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股票的比例</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197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38,095,238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不低于人民币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（含），不超过 人民币</w:t>
            </w:r>
            <w:r>
              <w:rPr>
                <w:rFonts w:ascii="Times New Roman" w:eastAsia="Times New Roman" w:hAnsi="Times New Roman" w:cs="Times New Roman"/>
                <w:color w:val="000000"/>
                <w:spacing w:val="0"/>
                <w:w w:val="100"/>
                <w:position w:val="0"/>
                <w:sz w:val="18"/>
                <w:szCs w:val="18"/>
              </w:rPr>
              <w:t xml:space="preserve">40,000 </w:t>
            </w:r>
            <w:r>
              <w:rPr>
                <w:color w:val="000000"/>
                <w:spacing w:val="0"/>
                <w:w w:val="100"/>
                <w:position w:val="0"/>
              </w:rPr>
              <w:t>万元（含）</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本次回购的股份拟用 作后期实施股权激励 或员工持股计划的股 份来源、用于转换公 司发行的可转换为股 票的公司债券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21,114,352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采用集中竞价方式减持回购股份的实施进展情况</w:t>
      </w:r>
    </w:p>
    <w:p>
      <w:pPr>
        <w:widowControl w:val="0"/>
        <w:spacing w:after="139" w:line="1" w:lineRule="exact"/>
      </w:pP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68" w:name="bookmark668"/>
      <w:bookmarkStart w:id="669" w:name="bookmark669"/>
      <w:bookmarkStart w:id="670" w:name="bookmark670"/>
      <w:r>
        <w:rPr>
          <w:color w:val="000000"/>
          <w:spacing w:val="0"/>
          <w:w w:val="100"/>
          <w:position w:val="0"/>
        </w:rPr>
        <w:t>第八节优先股相关情况</w:t>
      </w:r>
      <w:bookmarkEnd w:id="668"/>
      <w:bookmarkEnd w:id="669"/>
      <w:bookmarkEnd w:id="670"/>
    </w:p>
    <w:p>
      <w:pPr>
        <w:pStyle w:val="Style22"/>
        <w:keepNext w:val="0"/>
        <w:keepLines w:val="0"/>
        <w:widowControl w:val="0"/>
        <w:shd w:val="clear" w:color="auto" w:fill="auto"/>
        <w:bidi w:val="0"/>
        <w:spacing w:before="0" w:after="140" w:line="240" w:lineRule="auto"/>
        <w:ind w:left="0" w:right="0" w:firstLine="0"/>
        <w:jc w:val="left"/>
      </w:pPr>
      <w:bookmarkStart w:id="671" w:name="bookmark67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1"/>
    </w:p>
    <w:p>
      <w:pPr>
        <w:pStyle w:val="Style2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5" w:right="1022" w:bottom="1455" w:left="1009"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72" w:name="bookmark672"/>
      <w:bookmarkStart w:id="673" w:name="bookmark673"/>
      <w:bookmarkStart w:id="674" w:name="bookmark674"/>
      <w:r>
        <w:rPr>
          <w:color w:val="000000"/>
          <w:spacing w:val="0"/>
          <w:w w:val="100"/>
          <w:position w:val="0"/>
        </w:rPr>
        <w:t>第九节债券相关情况</w:t>
      </w:r>
      <w:bookmarkEnd w:id="672"/>
      <w:bookmarkEnd w:id="673"/>
      <w:bookmarkEnd w:id="674"/>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75" w:name="bookmark67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75"/>
    </w:p>
    <w:p>
      <w:pPr>
        <w:pStyle w:val="Style10"/>
        <w:keepNext/>
        <w:keepLines/>
        <w:widowControl w:val="0"/>
        <w:shd w:val="clear" w:color="auto" w:fill="auto"/>
        <w:bidi w:val="0"/>
        <w:spacing w:before="580" w:line="240" w:lineRule="auto"/>
        <w:ind w:left="0" w:right="0" w:firstLine="0"/>
        <w:jc w:val="center"/>
      </w:pPr>
      <w:bookmarkStart w:id="676" w:name="bookmark676"/>
      <w:bookmarkStart w:id="677" w:name="bookmark677"/>
      <w:bookmarkStart w:id="678" w:name="bookmark678"/>
      <w:r>
        <w:rPr>
          <w:color w:val="000000"/>
          <w:spacing w:val="0"/>
          <w:w w:val="100"/>
          <w:position w:val="0"/>
        </w:rPr>
        <w:t>第十节财务报告</w:t>
      </w:r>
      <w:bookmarkEnd w:id="676"/>
      <w:bookmarkEnd w:id="677"/>
      <w:bookmarkEnd w:id="678"/>
    </w:p>
    <w:p>
      <w:pPr>
        <w:pStyle w:val="Style27"/>
        <w:keepNext/>
        <w:keepLines/>
        <w:widowControl w:val="0"/>
        <w:shd w:val="clear" w:color="auto" w:fill="auto"/>
        <w:bidi w:val="0"/>
        <w:spacing w:before="0" w:after="320" w:line="240" w:lineRule="auto"/>
        <w:ind w:left="0" w:right="0" w:firstLine="240"/>
        <w:jc w:val="both"/>
      </w:pPr>
      <w:bookmarkStart w:id="679" w:name="bookmark679"/>
      <w:bookmarkStart w:id="680" w:name="bookmark680"/>
      <w:bookmarkStart w:id="681" w:name="bookmark681"/>
      <w:bookmarkStart w:id="682" w:name="bookmark682"/>
      <w:r>
        <w:rPr>
          <w:color w:val="000000"/>
          <w:spacing w:val="0"/>
          <w:w w:val="100"/>
          <w:position w:val="0"/>
        </w:rPr>
        <w:t>、审计报告</w:t>
      </w:r>
      <w:bookmarkEnd w:id="680"/>
      <w:bookmarkEnd w:id="681"/>
      <w:bookmarkEnd w:id="682"/>
      <w:bookmarkEnd w:id="67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0111260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李建树、欧阳海英</w:t>
            </w:r>
          </w:p>
        </w:tc>
      </w:tr>
    </w:tbl>
    <w:p>
      <w:pPr>
        <w:pStyle w:val="Style30"/>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深圳劲嘉集团股份有限公司全体股东：</w:t>
      </w:r>
    </w:p>
    <w:p>
      <w:pPr>
        <w:pStyle w:val="Style22"/>
        <w:keepNext w:val="0"/>
        <w:keepLines w:val="0"/>
        <w:widowControl w:val="0"/>
        <w:shd w:val="clear" w:color="auto" w:fill="auto"/>
        <w:tabs>
          <w:tab w:pos="880" w:val="left"/>
        </w:tabs>
        <w:bidi w:val="0"/>
        <w:spacing w:before="0" w:after="0" w:line="317" w:lineRule="exact"/>
        <w:ind w:left="0" w:right="0" w:firstLine="440"/>
        <w:jc w:val="both"/>
      </w:pPr>
      <w:bookmarkStart w:id="683" w:name="bookmark683"/>
      <w:r>
        <w:rPr>
          <w:b/>
          <w:bCs/>
          <w:color w:val="000000"/>
          <w:spacing w:val="0"/>
          <w:w w:val="100"/>
          <w:position w:val="0"/>
        </w:rPr>
        <w:t>一</w:t>
      </w:r>
      <w:bookmarkEnd w:id="683"/>
      <w:r>
        <w:rPr>
          <w:b/>
          <w:bCs/>
          <w:color w:val="000000"/>
          <w:spacing w:val="0"/>
          <w:w w:val="100"/>
          <w:position w:val="0"/>
        </w:rPr>
        <w:t>、</w:t>
        <w:tab/>
        <w:t>审计意见</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我们审计了深圳劲嘉集团股份有限公司（以下简称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我们认为，后附的财务报表在所有重大方面按照企业会计准则的规定编制，公允反映了劲嘉股份公司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年度合并及公司的经营成果和现金流量。</w:t>
      </w:r>
    </w:p>
    <w:p>
      <w:pPr>
        <w:pStyle w:val="Style22"/>
        <w:keepNext w:val="0"/>
        <w:keepLines w:val="0"/>
        <w:widowControl w:val="0"/>
        <w:shd w:val="clear" w:color="auto" w:fill="auto"/>
        <w:tabs>
          <w:tab w:pos="880" w:val="left"/>
        </w:tabs>
        <w:bidi w:val="0"/>
        <w:spacing w:before="0" w:after="0" w:line="317" w:lineRule="exact"/>
        <w:ind w:left="0" w:right="0" w:firstLine="440"/>
        <w:jc w:val="both"/>
      </w:pPr>
      <w:bookmarkStart w:id="684" w:name="bookmark684"/>
      <w:r>
        <w:rPr>
          <w:b/>
          <w:bCs/>
          <w:color w:val="000000"/>
          <w:spacing w:val="0"/>
          <w:w w:val="100"/>
          <w:position w:val="0"/>
        </w:rPr>
        <w:t>二</w:t>
      </w:r>
      <w:bookmarkEnd w:id="684"/>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阐述了我们在这些准则下的责任。按照中国注册会计师职业道德守则，我们独立于劲嘉股份公司，并履行了职业道德方面的 其他责任。我们相信，我们获取的审计证据是充分、适当的，为发表审计意见提供了基础。</w:t>
      </w:r>
    </w:p>
    <w:p>
      <w:pPr>
        <w:pStyle w:val="Style22"/>
        <w:keepNext w:val="0"/>
        <w:keepLines w:val="0"/>
        <w:widowControl w:val="0"/>
        <w:shd w:val="clear" w:color="auto" w:fill="auto"/>
        <w:tabs>
          <w:tab w:pos="885" w:val="left"/>
        </w:tabs>
        <w:bidi w:val="0"/>
        <w:spacing w:before="0" w:after="0" w:line="317" w:lineRule="exact"/>
        <w:ind w:left="0" w:right="0" w:firstLine="440"/>
        <w:jc w:val="both"/>
      </w:pPr>
      <w:bookmarkStart w:id="685" w:name="bookmark685"/>
      <w:r>
        <w:rPr>
          <w:b/>
          <w:bCs/>
          <w:color w:val="000000"/>
          <w:spacing w:val="0"/>
          <w:w w:val="100"/>
          <w:position w:val="0"/>
        </w:rPr>
        <w:t>三</w:t>
      </w:r>
      <w:bookmarkEnd w:id="685"/>
      <w:r>
        <w:rPr>
          <w:b/>
          <w:bCs/>
          <w:color w:val="000000"/>
          <w:spacing w:val="0"/>
          <w:w w:val="100"/>
          <w:position w:val="0"/>
        </w:rPr>
        <w:t>、</w:t>
        <w:tab/>
        <w:t>关键审计事项</w:t>
      </w:r>
    </w:p>
    <w:p>
      <w:pPr>
        <w:pStyle w:val="Style22"/>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审计并形成审计意见为背景，我们不对这些事项单独发表意见。我们确定下列事项是需要在审计报告中沟通的关键审计事项。</w:t>
      </w:r>
    </w:p>
    <w:p>
      <w:pPr>
        <w:pStyle w:val="Style22"/>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（一）</w:t>
      </w:r>
      <w:r>
        <w:rPr>
          <w:color w:val="000000"/>
          <w:spacing w:val="0"/>
          <w:w w:val="100"/>
          <w:position w:val="0"/>
        </w:rPr>
        <w:t>商誉减值</w:t>
      </w:r>
    </w:p>
    <w:tbl>
      <w:tblPr>
        <w:tblOverlap w:val="never"/>
        <w:jc w:val="center"/>
        <w:tblLayout w:type="fixed"/>
      </w:tblPr>
      <w:tblGrid>
        <w:gridCol w:w="4699"/>
        <w:gridCol w:w="4978"/>
      </w:tblGrid>
      <w:tr>
        <w:trPr>
          <w:trHeight w:val="54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367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商誉所述，截至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司合并报表商誉账面余额为</w:t>
            </w:r>
            <w:r>
              <w:rPr>
                <w:rFonts w:ascii="Times New Roman" w:eastAsia="Times New Roman" w:hAnsi="Times New Roman" w:cs="Times New Roman"/>
                <w:color w:val="000000"/>
                <w:spacing w:val="0"/>
                <w:w w:val="100"/>
                <w:position w:val="0"/>
                <w:sz w:val="18"/>
                <w:szCs w:val="18"/>
              </w:rPr>
              <w:t>117,143.31</w:t>
            </w:r>
            <w:r>
              <w:rPr>
                <w:color w:val="000000"/>
                <w:spacing w:val="0"/>
                <w:w w:val="100"/>
                <w:position w:val="0"/>
              </w:rPr>
              <w:t>万元，已计提减值准 备为</w:t>
            </w:r>
            <w:r>
              <w:rPr>
                <w:rFonts w:ascii="Times New Roman" w:eastAsia="Times New Roman" w:hAnsi="Times New Roman" w:cs="Times New Roman"/>
                <w:color w:val="000000"/>
                <w:spacing w:val="0"/>
                <w:w w:val="100"/>
                <w:position w:val="0"/>
                <w:sz w:val="18"/>
                <w:szCs w:val="18"/>
              </w:rPr>
              <w:t>3,083.9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万元，年末账面价值较大，主要系公司收购子 公司所形成；如财务报表附注四、</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长期资产减值所述，劲 嘉股份公司管理层（以下简称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）在每年年度终了对 商誉进行减值测试，并依据减值测试的结果调整商誉的账面 价值。商誉减值测试的结果很大程度上依赖于管理层所做的 估计和采用的假设，例如对资产组预计未来可产生现金流量 和折现率的估计。该等估计受到管理层对未来市场以及对经 济环境判断的影响，采用不同的估计和假设会对商誉减值测 试结果产生较大的影响。</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tabs>
                <w:tab w:pos="475" w:val="left"/>
              </w:tabs>
              <w:bidi w:val="0"/>
              <w:spacing w:before="8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我们了解并评价了与商誉减值相关内部控制执行的有效 性，与管理层讨论商誉减值测试的方法，包括与商誉相关的资 产组或者资产组组合的划分，每个资产组或资产组组合的未来 预测收益、现金流量及折现率等假设的合理性；</w:t>
            </w:r>
          </w:p>
          <w:p>
            <w:pPr>
              <w:pStyle w:val="Style16"/>
              <w:keepNext w:val="0"/>
              <w:keepLines w:val="0"/>
              <w:widowControl w:val="0"/>
              <w:shd w:val="clear" w:color="auto" w:fill="auto"/>
              <w:tabs>
                <w:tab w:pos="451" w:val="left"/>
              </w:tabs>
              <w:bidi w:val="0"/>
              <w:spacing w:before="0" w:after="8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我们检查了管理层对于未来现金流量的预测及未来现金流 量现值的计算；</w:t>
            </w:r>
          </w:p>
          <w:p>
            <w:pPr>
              <w:pStyle w:val="Style16"/>
              <w:keepNext w:val="0"/>
              <w:keepLines w:val="0"/>
              <w:widowControl w:val="0"/>
              <w:shd w:val="clear" w:color="auto" w:fill="auto"/>
              <w:tabs>
                <w:tab w:pos="456" w:val="left"/>
              </w:tabs>
              <w:bidi w:val="0"/>
              <w:spacing w:before="0" w:after="8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我们引入了估值专家协助复核了估值方法、模型和关键参 数。</w:t>
            </w:r>
          </w:p>
        </w:tc>
      </w:tr>
    </w:tbl>
    <w:p>
      <w:pPr>
        <w:pStyle w:val="Style30"/>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（二）</w:t>
      </w:r>
      <w:r>
        <w:rPr>
          <w:color w:val="000000"/>
          <w:spacing w:val="0"/>
          <w:w w:val="100"/>
          <w:position w:val="0"/>
        </w:rPr>
        <w:t>收入确认</w:t>
      </w:r>
    </w:p>
    <w:p>
      <w:pPr>
        <w:widowControl w:val="0"/>
        <w:spacing w:line="1" w:lineRule="exact"/>
      </w:pPr>
    </w:p>
    <w:tbl>
      <w:tblPr>
        <w:tblOverlap w:val="never"/>
        <w:jc w:val="center"/>
        <w:tblLayout w:type="fixed"/>
      </w:tblPr>
      <w:tblGrid>
        <w:gridCol w:w="4306"/>
        <w:gridCol w:w="5371"/>
      </w:tblGrid>
      <w:tr>
        <w:trPr>
          <w:trHeight w:val="54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85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公司主要产品为烟标及印刷品，主要客户为各地方烟草 公司。如财务报表附注六、</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所述，公司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年合并营 业收入为</w:t>
            </w:r>
            <w:r>
              <w:rPr>
                <w:rFonts w:ascii="Times New Roman" w:eastAsia="Times New Roman" w:hAnsi="Times New Roman" w:cs="Times New Roman"/>
                <w:color w:val="000000"/>
                <w:spacing w:val="0"/>
                <w:w w:val="100"/>
                <w:position w:val="0"/>
                <w:sz w:val="18"/>
                <w:szCs w:val="18"/>
              </w:rPr>
              <w:t>506,707.72</w:t>
            </w:r>
            <w:r>
              <w:rPr>
                <w:color w:val="000000"/>
                <w:spacing w:val="0"/>
                <w:w w:val="100"/>
                <w:position w:val="0"/>
              </w:rPr>
              <w:t>万元，对财务报表影响重大。由于 收入确认舞弊风险较高，且对于财务报表使用者对公司 经营状况的判断至关重要，故将收入确认作为关键审计 事项。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tabs>
                <w:tab w:pos="360"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测试和评价与收入确认相关的关键内部控制；</w:t>
            </w:r>
          </w:p>
          <w:p>
            <w:pPr>
              <w:pStyle w:val="Style16"/>
              <w:keepNext w:val="0"/>
              <w:keepLines w:val="0"/>
              <w:widowControl w:val="0"/>
              <w:shd w:val="clear" w:color="auto" w:fill="auto"/>
              <w:tabs>
                <w:tab w:pos="365"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复核相关会计政策是否正确且一贯地运用；</w:t>
            </w:r>
          </w:p>
          <w:p>
            <w:pPr>
              <w:pStyle w:val="Style16"/>
              <w:keepNext w:val="0"/>
              <w:keepLines w:val="0"/>
              <w:widowControl w:val="0"/>
              <w:shd w:val="clear" w:color="auto" w:fill="auto"/>
              <w:tabs>
                <w:tab w:pos="384"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从收入记录中选取样本检查支持性文件结合应收账款函证程序， 同时函证本年交易额；</w:t>
            </w:r>
          </w:p>
          <w:p>
            <w:pPr>
              <w:pStyle w:val="Style16"/>
              <w:keepNext w:val="0"/>
              <w:keepLines w:val="0"/>
              <w:widowControl w:val="0"/>
              <w:shd w:val="clear" w:color="auto" w:fill="auto"/>
              <w:tabs>
                <w:tab w:pos="437"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对本期各客户、产品及月度的收入、成本、毛利波动进行分析， 判断合理性；</w:t>
            </w:r>
          </w:p>
          <w:p>
            <w:pPr>
              <w:pStyle w:val="Style16"/>
              <w:keepNext w:val="0"/>
              <w:keepLines w:val="0"/>
              <w:widowControl w:val="0"/>
              <w:shd w:val="clear" w:color="auto" w:fill="auto"/>
              <w:tabs>
                <w:tab w:pos="456"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就资产负债表日前后记录的销售收入交易，选取样本检查销售 订单、核对产品出库单、核对签收单、报关单、提单、核对运单，以 评价销售收入是否被记录于恰当的会计期间。</w:t>
            </w:r>
          </w:p>
        </w:tc>
      </w:tr>
    </w:tbl>
    <w:p>
      <w:pPr>
        <w:pStyle w:val="Style30"/>
        <w:keepNext w:val="0"/>
        <w:keepLines w:val="0"/>
        <w:widowControl w:val="0"/>
        <w:shd w:val="clear" w:color="auto" w:fill="auto"/>
        <w:tabs>
          <w:tab w:pos="786" w:val="left"/>
        </w:tabs>
        <w:bidi w:val="0"/>
        <w:spacing w:before="0" w:after="0" w:line="314" w:lineRule="exact"/>
        <w:ind w:left="0" w:right="0" w:firstLine="0"/>
        <w:jc w:val="left"/>
      </w:pPr>
      <w:r>
        <w:rPr>
          <w:b/>
          <w:bCs/>
          <w:color w:val="000000"/>
          <w:spacing w:val="0"/>
          <w:w w:val="100"/>
          <w:position w:val="0"/>
        </w:rPr>
        <w:t>四、</w:t>
        <w:tab/>
        <w:t>其他信息</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劲嘉股份公司管理层对其他信息负责。其他信息包括年度报告中涵盖的信息，但不包括财务报表和我们的审计报告。</w:t>
      </w:r>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2"/>
        <w:keepNext w:val="0"/>
        <w:keepLines w:val="0"/>
        <w:widowControl w:val="0"/>
        <w:shd w:val="clear" w:color="auto" w:fill="auto"/>
        <w:tabs>
          <w:tab w:pos="867" w:val="left"/>
        </w:tabs>
        <w:bidi w:val="0"/>
        <w:spacing w:before="0" w:after="0" w:line="314" w:lineRule="exact"/>
        <w:ind w:left="0" w:right="0" w:firstLine="440"/>
        <w:jc w:val="both"/>
      </w:pPr>
      <w:bookmarkStart w:id="686" w:name="bookmark686"/>
      <w:r>
        <w:rPr>
          <w:b/>
          <w:bCs/>
          <w:color w:val="000000"/>
          <w:spacing w:val="0"/>
          <w:w w:val="100"/>
          <w:position w:val="0"/>
        </w:rPr>
        <w:t>五</w:t>
      </w:r>
      <w:bookmarkEnd w:id="686"/>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劲嘉股份公司管理层（以下简称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 执行和维护必要的内部控制，以使财务报表不存在由于舞弊或错误导致的重大错报。</w:t>
      </w:r>
    </w:p>
    <w:p>
      <w:pPr>
        <w:pStyle w:val="Style2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在编制财务报表时，管理层负责评估劲嘉股份公司的持续经营能力，披露与持续经营相关的事项（如适用），并运用持 续经营假设，除非管理层计划清算劲嘉股份公司、终止运营或别无其他现实的选择。</w:t>
      </w:r>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治理层负责监督劲嘉股份公司的财务报告过程。</w:t>
      </w:r>
    </w:p>
    <w:p>
      <w:pPr>
        <w:pStyle w:val="Style22"/>
        <w:keepNext w:val="0"/>
        <w:keepLines w:val="0"/>
        <w:widowControl w:val="0"/>
        <w:shd w:val="clear" w:color="auto" w:fill="auto"/>
        <w:tabs>
          <w:tab w:pos="872" w:val="left"/>
        </w:tabs>
        <w:bidi w:val="0"/>
        <w:spacing w:before="0" w:after="0" w:line="314" w:lineRule="exact"/>
        <w:ind w:left="0" w:right="0" w:firstLine="440"/>
        <w:jc w:val="both"/>
      </w:pPr>
      <w:bookmarkStart w:id="687" w:name="bookmark687"/>
      <w:r>
        <w:rPr>
          <w:b/>
          <w:bCs/>
          <w:color w:val="000000"/>
          <w:spacing w:val="0"/>
          <w:w w:val="100"/>
          <w:position w:val="0"/>
        </w:rPr>
        <w:t>六</w:t>
      </w:r>
      <w:bookmarkEnd w:id="687"/>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tabs>
          <w:tab w:pos="974" w:val="left"/>
        </w:tabs>
        <w:bidi w:val="0"/>
        <w:spacing w:before="0" w:after="0" w:line="314" w:lineRule="exact"/>
        <w:ind w:left="0" w:right="0" w:firstLine="360"/>
        <w:jc w:val="both"/>
      </w:pPr>
      <w:bookmarkStart w:id="688" w:name="bookmark688"/>
      <w:r>
        <w:rPr>
          <w:color w:val="000000"/>
          <w:spacing w:val="0"/>
          <w:w w:val="100"/>
          <w:position w:val="0"/>
        </w:rPr>
        <w:t>（</w:t>
      </w:r>
      <w:bookmarkEnd w:id="68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2"/>
        <w:keepNext w:val="0"/>
        <w:keepLines w:val="0"/>
        <w:widowControl w:val="0"/>
        <w:shd w:val="clear" w:color="auto" w:fill="auto"/>
        <w:tabs>
          <w:tab w:pos="878" w:val="left"/>
        </w:tabs>
        <w:bidi w:val="0"/>
        <w:spacing w:before="0" w:after="0" w:line="314" w:lineRule="exact"/>
        <w:ind w:left="0" w:right="0" w:firstLine="360"/>
        <w:jc w:val="both"/>
      </w:pPr>
      <w:bookmarkStart w:id="689" w:name="bookmark689"/>
      <w:r>
        <w:rPr>
          <w:color w:val="000000"/>
          <w:spacing w:val="0"/>
          <w:w w:val="100"/>
          <w:position w:val="0"/>
        </w:rPr>
        <w:t>（</w:t>
      </w:r>
      <w:bookmarkEnd w:id="689"/>
      <w:r>
        <w:rPr>
          <w:color w:val="000000"/>
          <w:spacing w:val="0"/>
          <w:w w:val="100"/>
          <w:position w:val="0"/>
        </w:rPr>
        <w:t>二）</w:t>
        <w:tab/>
        <w:t>了解与审计相关的内部控制，以设计恰当的审计程序，结合财务报表审计对内部控制有效性发表意见。</w:t>
      </w:r>
    </w:p>
    <w:p>
      <w:pPr>
        <w:pStyle w:val="Style22"/>
        <w:keepNext w:val="0"/>
        <w:keepLines w:val="0"/>
        <w:widowControl w:val="0"/>
        <w:shd w:val="clear" w:color="auto" w:fill="auto"/>
        <w:tabs>
          <w:tab w:pos="878" w:val="left"/>
        </w:tabs>
        <w:bidi w:val="0"/>
        <w:spacing w:before="0" w:after="0" w:line="314" w:lineRule="exact"/>
        <w:ind w:left="0" w:right="0" w:firstLine="360"/>
        <w:jc w:val="both"/>
      </w:pPr>
      <w:bookmarkStart w:id="690" w:name="bookmark690"/>
      <w:r>
        <w:rPr>
          <w:color w:val="000000"/>
          <w:spacing w:val="0"/>
          <w:w w:val="100"/>
          <w:position w:val="0"/>
        </w:rPr>
        <w:t>（</w:t>
      </w:r>
      <w:bookmarkEnd w:id="690"/>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974" w:val="left"/>
        </w:tabs>
        <w:bidi w:val="0"/>
        <w:spacing w:before="0" w:after="0" w:line="314" w:lineRule="exact"/>
        <w:ind w:left="0" w:right="0" w:firstLine="360"/>
        <w:jc w:val="both"/>
      </w:pPr>
      <w:bookmarkStart w:id="691" w:name="bookmark691"/>
      <w:r>
        <w:rPr>
          <w:color w:val="000000"/>
          <w:spacing w:val="0"/>
          <w:w w:val="100"/>
          <w:position w:val="0"/>
        </w:rPr>
        <w:t>（</w:t>
      </w:r>
      <w:bookmarkEnd w:id="691"/>
      <w:r>
        <w:rPr>
          <w:color w:val="000000"/>
          <w:spacing w:val="0"/>
          <w:w w:val="100"/>
          <w:position w:val="0"/>
        </w:rPr>
        <w:t>四）</w:t>
        <w:tab/>
        <w:t>对管理层使用持续经营假设的恰当性得出结论。同时，根据获取的审计证据，就可能导致对劲嘉股份公司持续经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论基于截至审计报告日可获得的信息。然而，未来的事项或情况可能导致劲嘉股份公司不能持续经营。</w:t>
      </w:r>
    </w:p>
    <w:p>
      <w:pPr>
        <w:pStyle w:val="Style22"/>
        <w:keepNext w:val="0"/>
        <w:keepLines w:val="0"/>
        <w:widowControl w:val="0"/>
        <w:shd w:val="clear" w:color="auto" w:fill="auto"/>
        <w:tabs>
          <w:tab w:pos="878" w:val="left"/>
        </w:tabs>
        <w:bidi w:val="0"/>
        <w:spacing w:before="0" w:after="0" w:line="322" w:lineRule="exact"/>
        <w:ind w:left="0" w:right="0" w:firstLine="360"/>
        <w:jc w:val="both"/>
      </w:pPr>
      <w:bookmarkStart w:id="692" w:name="bookmark692"/>
      <w:r>
        <w:rPr>
          <w:color w:val="000000"/>
          <w:spacing w:val="0"/>
          <w:w w:val="100"/>
          <w:position w:val="0"/>
        </w:rPr>
        <w:t>（</w:t>
      </w:r>
      <w:bookmarkEnd w:id="692"/>
      <w:r>
        <w:rPr>
          <w:color w:val="000000"/>
          <w:spacing w:val="0"/>
          <w:w w:val="100"/>
          <w:position w:val="0"/>
        </w:rPr>
        <w:t>五）</w:t>
        <w:tab/>
        <w:t>评价财务报表的总体列报、结构和内容，并评价财务报表是否公允反映相关交易和事项。</w:t>
      </w:r>
    </w:p>
    <w:p>
      <w:pPr>
        <w:pStyle w:val="Style22"/>
        <w:keepNext w:val="0"/>
        <w:keepLines w:val="0"/>
        <w:widowControl w:val="0"/>
        <w:shd w:val="clear" w:color="auto" w:fill="auto"/>
        <w:tabs>
          <w:tab w:pos="970" w:val="left"/>
        </w:tabs>
        <w:bidi w:val="0"/>
        <w:spacing w:before="0" w:after="0" w:line="322" w:lineRule="exact"/>
        <w:ind w:left="0" w:right="0" w:firstLine="360"/>
        <w:jc w:val="both"/>
      </w:pPr>
      <w:bookmarkStart w:id="693" w:name="bookmark693"/>
      <w:r>
        <w:rPr>
          <w:color w:val="000000"/>
          <w:spacing w:val="0"/>
          <w:w w:val="100"/>
          <w:position w:val="0"/>
        </w:rPr>
        <w:t>（</w:t>
      </w:r>
      <w:bookmarkEnd w:id="693"/>
      <w:r>
        <w:rPr>
          <w:color w:val="000000"/>
          <w:spacing w:val="0"/>
          <w:w w:val="100"/>
          <w:position w:val="0"/>
        </w:rPr>
        <w:t>六）</w:t>
        <w:tab/>
        <w:t>就劲嘉股份公司中实体或业务活动的财务信息获取充分、适当的审计证据，以对财务报表发表意见。我们负责指 导、监督和执行集团审计。我们对审计意见承担全部责任。</w:t>
      </w:r>
      <w:r>
        <w:br w:type="page"/>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2"/>
        <w:keepNext w:val="0"/>
        <w:keepLines w:val="0"/>
        <w:widowControl w:val="0"/>
        <w:shd w:val="clear" w:color="auto" w:fill="auto"/>
        <w:bidi w:val="0"/>
        <w:spacing w:before="0" w:after="104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中审众环会计师事务所（特殊普通合伙）</w:t>
        <w:b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p>
    <w:p>
      <w:pPr>
        <w:pStyle w:val="Style44"/>
        <w:keepNext w:val="0"/>
        <w:keepLines w:val="0"/>
        <w:widowControl w:val="0"/>
        <w:shd w:val="clear" w:color="auto" w:fill="auto"/>
        <w:bidi w:val="0"/>
        <w:spacing w:before="0" w:after="580" w:line="360" w:lineRule="auto"/>
        <w:ind w:left="0" w:right="1080" w:firstLine="0"/>
        <w:jc w:val="righ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p>
      <w:pPr>
        <w:pStyle w:val="Style27"/>
        <w:keepNext/>
        <w:keepLines/>
        <w:widowControl w:val="0"/>
        <w:shd w:val="clear" w:color="auto" w:fill="auto"/>
        <w:bidi w:val="0"/>
        <w:spacing w:before="0" w:after="260" w:line="240" w:lineRule="auto"/>
        <w:ind w:left="0" w:right="0" w:firstLine="0"/>
        <w:jc w:val="left"/>
      </w:pPr>
      <w:bookmarkStart w:id="694" w:name="bookmark694"/>
      <w:bookmarkStart w:id="695" w:name="bookmark695"/>
      <w:bookmarkStart w:id="696" w:name="bookmark696"/>
      <w:r>
        <w:rPr>
          <w:color w:val="000000"/>
          <w:spacing w:val="0"/>
          <w:w w:val="100"/>
          <w:position w:val="0"/>
        </w:rPr>
        <w:t>二、财务报表</w:t>
      </w:r>
      <w:bookmarkEnd w:id="694"/>
      <w:bookmarkEnd w:id="695"/>
      <w:bookmarkEnd w:id="696"/>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60" w:line="240" w:lineRule="auto"/>
        <w:ind w:left="0" w:right="0" w:firstLine="0"/>
        <w:jc w:val="left"/>
      </w:pPr>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7"/>
      <w:bookmarkEnd w:id="698"/>
      <w:bookmarkEnd w:id="699"/>
    </w:p>
    <w:p>
      <w:pPr>
        <w:pStyle w:val="Style22"/>
        <w:keepNext w:val="0"/>
        <w:keepLines w:val="0"/>
        <w:widowControl w:val="0"/>
        <w:shd w:val="clear" w:color="auto" w:fill="auto"/>
        <w:bidi w:val="0"/>
        <w:spacing w:before="0" w:after="160" w:line="312"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6368415</wp:posOffset>
                </wp:positionH>
                <wp:positionV relativeFrom="paragraph">
                  <wp:posOffset>520700</wp:posOffset>
                </wp:positionV>
                <wp:extent cx="481330" cy="143510"/>
                <wp:wrapSquare wrapText="bothSides"/>
                <wp:docPr id="3" name="Shape 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01.44999999999999pt;margin-top:41.pt;width:37.899999999999999pt;height:11.300000000000001pt;z-index:-12582937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编制单位：深圳劲嘉集团股份有限公司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D3D3D3"/>
            <w:vAlign w:val="top"/>
          </w:tcPr>
          <w:p>
            <w:pPr>
              <w:framePr w:w="9581" w:h="6048" w:hSpace="14" w:vSpace="619" w:wrap="notBeside" w:vAnchor="text" w:hAnchor="text" w:x="68" w:y="62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1,534,338,056.20</w:t>
            </w:r>
          </w:p>
        </w:tc>
        <w:tc>
          <w:tcPr>
            <w:tcBorders>
              <w:top w:val="single" w:sz="4"/>
              <w:left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1,628,681,361.26</w:t>
            </w: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559,926,408.02</w:t>
            </w:r>
          </w:p>
        </w:tc>
        <w:tc>
          <w:tcPr>
            <w:tcBorders>
              <w:top w:val="single" w:sz="4"/>
              <w:left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596,910,846.32</w:t>
            </w:r>
          </w:p>
        </w:tc>
      </w:tr>
      <w:tr>
        <w:trPr>
          <w:trHeight w:val="398"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412,165,644.23</w:t>
            </w: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695,793,544.30</w:t>
            </w:r>
          </w:p>
        </w:tc>
        <w:tc>
          <w:tcPr>
            <w:tcBorders>
              <w:top w:val="single" w:sz="4"/>
              <w:left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614,135,980.23</w:t>
            </w: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132,453,753.75</w:t>
            </w:r>
          </w:p>
        </w:tc>
      </w:tr>
      <w:tr>
        <w:trPr>
          <w:trHeight w:val="398"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44,965,209.24</w:t>
            </w:r>
          </w:p>
        </w:tc>
        <w:tc>
          <w:tcPr>
            <w:tcBorders>
              <w:top w:val="single" w:sz="4"/>
              <w:left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68,108,928.49</w:t>
            </w: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048" w:hSpace="14" w:vSpace="619" w:wrap="notBeside" w:vAnchor="text" w:hAnchor="text" w:x="68"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68" w:y="62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48,047,068.11</w:t>
            </w:r>
          </w:p>
        </w:tc>
        <w:tc>
          <w:tcPr>
            <w:tcBorders>
              <w:top w:val="single" w:sz="4"/>
              <w:left w:val="single" w:sz="4"/>
              <w:bottom w:val="single" w:sz="4"/>
              <w:right w:val="single" w:sz="4"/>
            </w:tcBorders>
            <w:shd w:val="clear" w:color="auto" w:fill="FFFFFF"/>
            <w:vAlign w:val="center"/>
          </w:tcPr>
          <w:p>
            <w:pPr>
              <w:pStyle w:val="Style16"/>
              <w:keepNext w:val="0"/>
              <w:keepLines w:val="0"/>
              <w:framePr w:w="9581" w:h="6048" w:hSpace="14" w:vSpace="619" w:wrap="notBeside" w:vAnchor="text" w:hAnchor="text" w:x="68"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73,091,192.72</w:t>
            </w:r>
          </w:p>
        </w:tc>
      </w:tr>
    </w:tbl>
    <w:p>
      <w:pPr>
        <w:pStyle w:val="Style30"/>
        <w:keepNext w:val="0"/>
        <w:keepLines w:val="0"/>
        <w:framePr w:w="9686" w:h="312" w:hSpace="53" w:wrap="notBeside" w:vAnchor="text" w:hAnchor="text" w:x="54"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35,849,884.59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1,057,870,881.43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639,222,349.14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79,664,522.64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42,649,108.39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4,528,877,975.09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3,795,253,520.30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1,531,241,247.99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1,426,746,358.13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383,263,509.37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588,254,104.24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1,818,748,277.81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1,652,818,071.72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119,352,259.53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3,376,319.13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297,509,855.79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277,437,341.88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1,140,593,947.82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988,758,840.80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43,883,102.40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35,701,543.01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57,386,134.16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50,546,779.53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92,038,634.25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67,763,477.70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5,799,204,044.84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5,211,519,407.94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10,328,082,019.93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9,006,772,928.24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816,363,306.86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386,144,999.25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633,486,243.15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506,081,389.72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3,653,891.73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152,533,728.60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26,611,918.76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119,889,406.53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109,464,097.55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62,140,253.03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53,253,197.93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236,569,147.39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167,989,115.66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30,769,093.90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61,209,511.86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2,729,332.41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704,125.54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2,138,574,821.56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1,254,508,844.41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3,552,986.57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12,480,138.66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12,904,828.91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25,605,283.32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31,970,775.11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10,021,147.41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88,764,019.18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109,531,259.64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2,227,338,840.74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1,364,040,104.05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1,470,887,550.00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1,464,870,450.00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1,391,325,009.44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1,436,721,527.90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145,695,897.24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92,063,182.73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-20,446,797.28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-19,789,871.12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688,231,045.51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619,349,844.97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4,462,374,008.67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4,016,826,566.14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7,846,674,919.10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7,425,915,335.16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254,068,260.09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216,817,489.03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8,100,743,179.19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7,642,732,824.19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10,328,082,019.93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9,006,772,928.24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701040</wp:posOffset>
                </wp:positionH>
                <wp:positionV relativeFrom="margin">
                  <wp:posOffset>5132705</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法定代表人：侯旭东</w:t>
                            </w:r>
                          </w:p>
                        </w:txbxContent>
                      </wps:txbx>
                      <wps:bodyPr wrap="none" lIns="0" tIns="0" rIns="0" bIns="0">
                        <a:noAutoFit/>
                      </wps:bodyPr>
                    </wps:wsp>
                  </a:graphicData>
                </a:graphic>
              </wp:anchor>
            </w:drawing>
          </mc:Choice>
          <mc:Fallback>
            <w:pict>
              <v:shape id="_x0000_s1031" type="#_x0000_t202" style="position:absolute;margin-left:55.200000000000003pt;margin-top:404.15000000000003pt;width:83.049999999999997pt;height:11.75pt;z-index:-125829373;mso-wrap-distance-left:9.pt;mso-wrap-distance-top:12.pt;mso-wrap-distance-right:405.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法定代表人：侯旭东</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2877185</wp:posOffset>
                </wp:positionH>
                <wp:positionV relativeFrom="margin">
                  <wp:posOffset>5132705</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33" type="#_x0000_t202" style="position:absolute;margin-left:226.55000000000001pt;margin-top:404.15000000000003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5501640</wp:posOffset>
                </wp:positionH>
                <wp:positionV relativeFrom="margin">
                  <wp:posOffset>5132705</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35" type="#_x0000_t202" style="position:absolute;margin-left:433.19999999999999pt;margin-top:404.15000000000003pt;width:101.3pt;height:11.75pt;z-index:-125829369;mso-wrap-distance-left:387.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00"/>
      <w:bookmarkEnd w:id="701"/>
      <w:bookmarkEnd w:id="702"/>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460,052,327.61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631,611,084.05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499,926,408.02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587,910,846.32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246,391,321.28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264,826,141.05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18,070,860.00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24,782,093.15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3,099,944.01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1,993,937.70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667,247,121.14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171,720,099.55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152,892,381.56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76,668,307.60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494,321,259.84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376,824,053.77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2,524,916.81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6,988,977.19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2,620,584,158.71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2,066,657,232.78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3,314,572,607.95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3,241,655,993.18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314,912,009.31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334,966,434.85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779,870,403.13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804,942,778.87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17,845,231.97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16,361,692.40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148,125,041.63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134,284,048.56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20,303,087.49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13,913,279.87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13,567,104.54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6,854,758.47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492,377,721.92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698,054,363.11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5,230,543,207.94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5,251,033,349.31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7,851,127,366.65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7,317,690,582.09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548,765,089.06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254,955,662.71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328,532,739.63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437,688,311.07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3,209,724.00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1,400,524.80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591,743.52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25,687,449.86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29,740,495.41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16,839,561.60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10,085,199.16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829,389,632.02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644,315,387.15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60,283,300.00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182,068.22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1,864,290,089.19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1,381,725,220.46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23,955,750.00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19,348,750.00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14,178,227.89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38,133,977.89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79,348,750.00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1,902,424,067.08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1,461,073,970.46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1,470,887,550.00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1,464,870,450.00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1,636,353,903.36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1,680,148,972.04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145,695,897.24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92,063,182.73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688,231,045.51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619,349,844.97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2,298,926,697.94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2,184,310,527.35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5,948,703,299.57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5,856,616,611.63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7,851,127,366.65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7,317,690,582.09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4,191,426,341.33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4,191,426,341.33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4,160,303,899.08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3,317,299,271.14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3,435,144,229.33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2,732,997,018.06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50,438,786.43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50,802,763.42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92,530,728.74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72,343,460.04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351,105,470.44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263,232,931.01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238,585,758.36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203,020,149.16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-7,501,074.22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-5,097,050.55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5,417,282.87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740,043.17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16,338,641.70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10,113,821.68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42,492,781.74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36,981,437.21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307,589,211.26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96,977,424.73</w:t>
            </w: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123,476,209.66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75,414,835.20</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-29,799,774.71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-2,705,653.03</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-43,989,057.84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-18,033,959.68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7,432,413.60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3,155,392.46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1,197,207,052.16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990,501,711.88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610,881.57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6,118,521.42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1,919,921.06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3,479,301.38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1,195,898,012.67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993,140,931.92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140,571,530.02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129,376,961.28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1,055,326,482.65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863,763,970.64</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1,055,326,482.65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863,763,970.64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1,019,743,277.37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823,590,253.75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35,583,205.28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40,173,716.89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-8,278,356.29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-8,278,356.29</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-8,278,356.29</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-8,278,356.29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1,054,669,556.49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855,485,614.35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1,019,086,351.21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815,311,897.46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35,583,205.28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40,173,716.89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2"/>
        <w:keepNext w:val="0"/>
        <w:keepLines w:val="0"/>
        <w:widowControl w:val="0"/>
        <w:shd w:val="clear" w:color="auto" w:fill="auto"/>
        <w:tabs>
          <w:tab w:pos="3576" w:val="left"/>
          <w:tab w:pos="7685" w:val="left"/>
        </w:tabs>
        <w:bidi w:val="0"/>
        <w:spacing w:before="0" w:after="380" w:line="240" w:lineRule="auto"/>
        <w:ind w:left="0" w:right="0" w:firstLine="0"/>
        <w:jc w:val="left"/>
      </w:pPr>
      <w:r>
        <w:rPr>
          <w:color w:val="000000"/>
          <w:spacing w:val="0"/>
          <w:w w:val="100"/>
          <w:position w:val="0"/>
        </w:rPr>
        <w:t>法定代表人：侯旭东</w:t>
        <w:tab/>
        <w:t>主管会计工作负责人：富培军</w:t>
        <w:tab/>
        <w:t>会计机构负责人：富培军</w:t>
      </w:r>
    </w:p>
    <w:p>
      <w:pPr>
        <w:pStyle w:val="Style32"/>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1,646,147,717.99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1,784,111,979.55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1,169,245,336.92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1,313,585,869.50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14,661,897.43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16,771,593.65</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35,826,095.45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36,090,001.65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138,239,340.55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103,074,116.89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64,363,599.66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72,411,664.20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729,567.26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-790,968.09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4,121,336.08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314,666.67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5,438,840.26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2,736,531.68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23,526,577.88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14,160,548.10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516,962,671.88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715,960,444.81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76,702,010.94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42,387,805.63</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-16,314,705.26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5,997,715.11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-18,747,421.02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1,835,888.63</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4,177,889.40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-41,391.09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739,395,093.60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980,882,907.31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-331,498.37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804,398.56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655,250.04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1,219,221.30</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738,408,345.19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980,468,084.57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49,596,339.76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39,915,005.00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688,812,005.43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940,553,079.57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688,812,005.43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940,553,079.57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688,812,005.43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940,553,079.57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7,023,098,330.78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4,318,195,631.47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30,816,190.17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7,713,046.35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294,602,264.12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177,427,976.34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7,348,516,785.07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4,503,336,654.16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4,851,469,462.19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2,141,694,063.58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801,737,863.83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597,915,654.76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348,690,530.94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463,276,297.87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485,860,484.27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255,006,262.36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6,487,758,341.23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3,457,892,278.57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860,758,443.84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1,045,444,375.59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62,200,542.91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68,062,804.38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42,021,854.03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35,983,868.35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83,889,349.88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3,380,951,551.93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3,872,602,506.68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3,569,063,298.75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3,976,649,179.41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381,802,057.16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173,702,937.74</w:t>
            </w: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160,483,884.00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192,393,638.05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3,372,671,757.07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3,835,063,574.11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4,107,351,336.28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4,074,766,511.85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-538,288,037.53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-98,117,332.44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149,695,711.24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782,260,472.34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551,652,015.50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982,956,183.58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613,852,015.50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539,929,264.28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335,855,010.30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30,769,093.90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117,030,950.88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959,929,802.25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687,583,167.57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1,500,859,066.53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1,023,438,177.87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-517,902,882.95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-409,586,162.37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-3,026,307.32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-10,849,048.55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-198,458,783.96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526,891,832.23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1,495,429,130.97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968,537,298.74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1,296,970,347.01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1,495,429,130.97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2,435,001,585.58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1,868,452,520.85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1,046,752.19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400,324.74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1,490,323,513.41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494,971,835.59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3,926,371,851.18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2,363,824,681.18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2,664,511,043.47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1,012,826,714.63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144,090,796.36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124,959,408.11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83,364,553.40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157,752,507.56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781,738,422.61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471,864,076.31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3,673,704,815.84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1,767,402,706.61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252,667,035.34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596,421,974.57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72,094,251.12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275,417,899.14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19,637,980.00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3,137,410,451.93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3,537,132,506.68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3,324,823,883.05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3,812,630,405.82</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40,428,401.30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13,767,478.67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233,134,337.66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135,193,406.99</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3,053,852,027.26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3,679,493,574.11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3,327,414,766.22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3,828,454,459.77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-2,590,883.17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-15,824,053.95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145,695,897.24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510,244,716.25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315,535,822.33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705,940,613.49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375,535,822.33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509,152,670.38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218,824,059.42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670,890,140.59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419,149,642.98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1,180,042,810.97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637,973,702.40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-474,102,197.48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-262,437,880.07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-107,947.64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-917,929.52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-224,133,992.95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317,242,111.03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579,339,778.17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262,097,667.14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355,205,785.22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579,339,778.17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721,52</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92,063 </w:t>
            </w:r>
            <w:r>
              <w:rPr>
                <w:rFonts w:ascii="Times New Roman" w:eastAsia="Times New Roman" w:hAnsi="Times New Roman" w:cs="Times New Roman"/>
                <w:color w:val="000000"/>
                <w:spacing w:val="0"/>
                <w:w w:val="100"/>
                <w:position w:val="0"/>
                <w:sz w:val="18"/>
                <w:szCs w:val="18"/>
              </w:rPr>
              <w:t xml:space="preserve">,182.7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4,016,</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826,56</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915,33</w:t>
            </w:r>
          </w:p>
          <w:p>
            <w:pPr>
              <w:pStyle w:val="Style1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7,642,</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732,82</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721,52</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92,063 </w:t>
            </w:r>
            <w:r>
              <w:rPr>
                <w:rFonts w:ascii="Times New Roman" w:eastAsia="Times New Roman" w:hAnsi="Times New Roman" w:cs="Times New Roman"/>
                <w:color w:val="000000"/>
                <w:spacing w:val="0"/>
                <w:w w:val="100"/>
                <w:position w:val="0"/>
                <w:sz w:val="18"/>
                <w:szCs w:val="18"/>
              </w:rPr>
              <w:t xml:space="preserve">,182.7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4,016,</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826,56</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915,33</w:t>
            </w:r>
          </w:p>
          <w:p>
            <w:pPr>
              <w:pStyle w:val="Style16"/>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7,642,</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732,82</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6,017 </w:t>
            </w:r>
            <w:r>
              <w:rPr>
                <w:rFonts w:ascii="Times New Roman" w:eastAsia="Times New Roman" w:hAnsi="Times New Roman" w:cs="Times New Roman"/>
                <w:color w:val="000000"/>
                <w:spacing w:val="0"/>
                <w:w w:val="100"/>
                <w:position w:val="0"/>
                <w:sz w:val="18"/>
                <w:szCs w:val="18"/>
              </w:rPr>
              <w:t>,100.</w:t>
            </w:r>
          </w:p>
          <w:p>
            <w:pPr>
              <w:pStyle w:val="Style16"/>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-45,39</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53,632</w:t>
            </w:r>
          </w:p>
          <w:p>
            <w:pPr>
              <w:pStyle w:val="Style1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,714.5</w:t>
            </w:r>
          </w:p>
          <w:p>
            <w:pPr>
              <w:pStyle w:val="Style1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-656,9</w:t>
            </w:r>
          </w:p>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68,881 </w:t>
            </w:r>
            <w:r>
              <w:rPr>
                <w:rFonts w:ascii="Times New Roman" w:eastAsia="Times New Roman" w:hAnsi="Times New Roman" w:cs="Times New Roman"/>
                <w:color w:val="000000"/>
                <w:spacing w:val="0"/>
                <w:w w:val="100"/>
                <w:position w:val="0"/>
                <w:sz w:val="18"/>
                <w:szCs w:val="18"/>
              </w:rPr>
              <w:t xml:space="preserve">,200.5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445,54</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7,442.</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420,75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458,01</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0,355.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-656,9</w:t>
            </w:r>
          </w:p>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743,27</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1,019, 086,35</w:t>
            </w:r>
          </w:p>
          <w:p>
            <w:pPr>
              <w:pStyle w:val="Style16"/>
              <w:keepNext w:val="0"/>
              <w:keepLines w:val="0"/>
              <w:widowControl w:val="0"/>
              <w:shd w:val="clear" w:color="auto" w:fill="auto"/>
              <w:bidi w:val="0"/>
              <w:spacing w:before="0" w:after="0" w:line="346"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35,583 </w:t>
            </w:r>
            <w:r>
              <w:rPr>
                <w:rFonts w:ascii="Times New Roman" w:eastAsia="Times New Roman" w:hAnsi="Times New Roman" w:cs="Times New Roman"/>
                <w:color w:val="000000"/>
                <w:spacing w:val="0"/>
                <w:w w:val="100"/>
                <w:position w:val="0"/>
                <w:sz w:val="18"/>
                <w:szCs w:val="18"/>
              </w:rPr>
              <w:t xml:space="preserve">,205.2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669,55</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w:t>
            </w:r>
          </w:p>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6,017 </w:t>
            </w:r>
            <w:r>
              <w:rPr>
                <w:rFonts w:ascii="Times New Roman" w:eastAsia="Times New Roman" w:hAnsi="Times New Roman" w:cs="Times New Roman"/>
                <w:color w:val="000000"/>
                <w:spacing w:val="0"/>
                <w:w w:val="100"/>
                <w:position w:val="0"/>
                <w:sz w:val="18"/>
                <w:szCs w:val="18"/>
              </w:rPr>
              <w:t>,100.</w:t>
            </w:r>
          </w:p>
          <w:p>
            <w:pPr>
              <w:pStyle w:val="Style16"/>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26,289 </w:t>
            </w:r>
            <w:r>
              <w:rPr>
                <w:rFonts w:ascii="Times New Roman" w:eastAsia="Times New Roman" w:hAnsi="Times New Roman" w:cs="Times New Roman"/>
                <w:color w:val="000000"/>
                <w:spacing w:val="0"/>
                <w:w w:val="100"/>
                <w:position w:val="0"/>
                <w:sz w:val="18"/>
                <w:szCs w:val="18"/>
              </w:rPr>
              <w:t xml:space="preserve">,050.4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p>
            <w:pPr>
              <w:pStyle w:val="Style16"/>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36,306</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17,733 </w:t>
            </w:r>
            <w:r>
              <w:rPr>
                <w:rFonts w:ascii="Times New Roman" w:eastAsia="Times New Roman" w:hAnsi="Times New Roman" w:cs="Times New Roman"/>
                <w:color w:val="000000"/>
                <w:spacing w:val="0"/>
                <w:w w:val="100"/>
                <w:position w:val="0"/>
                <w:sz w:val="18"/>
                <w:szCs w:val="18"/>
              </w:rPr>
              <w:t xml:space="preserve">,761.5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17,733 </w:t>
            </w:r>
            <w:r>
              <w:rPr>
                <w:rFonts w:ascii="Times New Roman" w:eastAsia="Times New Roman" w:hAnsi="Times New Roman" w:cs="Times New Roman"/>
                <w:color w:val="000000"/>
                <w:spacing w:val="0"/>
                <w:w w:val="100"/>
                <w:position w:val="0"/>
                <w:sz w:val="18"/>
                <w:szCs w:val="18"/>
              </w:rPr>
              <w:t xml:space="preserve">,761.5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17,733 </w:t>
            </w:r>
            <w:r>
              <w:rPr>
                <w:rFonts w:ascii="Times New Roman" w:eastAsia="Times New Roman" w:hAnsi="Times New Roman" w:cs="Times New Roman"/>
                <w:color w:val="000000"/>
                <w:spacing w:val="0"/>
                <w:w w:val="100"/>
                <w:position w:val="0"/>
                <w:sz w:val="18"/>
                <w:szCs w:val="18"/>
              </w:rPr>
              <w:t xml:space="preserve">,761.5 </w:t>
            </w: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68,881 </w:t>
            </w:r>
            <w:r>
              <w:rPr>
                <w:rFonts w:ascii="Times New Roman" w:eastAsia="Times New Roman" w:hAnsi="Times New Roman" w:cs="Times New Roman"/>
                <w:color w:val="000000"/>
                <w:spacing w:val="0"/>
                <w:w w:val="100"/>
                <w:position w:val="0"/>
                <w:sz w:val="18"/>
                <w:szCs w:val="18"/>
              </w:rPr>
              <w:t xml:space="preserve">,200.5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14,634</w:t>
            </w:r>
          </w:p>
          <w:p>
            <w:pPr>
              <w:pStyle w:val="Style1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68,881 </w:t>
            </w:r>
            <w:r>
              <w:rPr>
                <w:rFonts w:ascii="Times New Roman" w:eastAsia="Times New Roman" w:hAnsi="Times New Roman" w:cs="Times New Roman"/>
                <w:color w:val="000000"/>
                <w:spacing w:val="0"/>
                <w:w w:val="100"/>
                <w:position w:val="0"/>
                <w:sz w:val="18"/>
                <w:szCs w:val="18"/>
              </w:rPr>
              <w:t xml:space="preserve">,200.5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14,634</w:t>
            </w:r>
          </w:p>
          <w:p>
            <w:pPr>
              <w:pStyle w:val="Style1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-86,74</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52,045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1,470 ,887, </w:t>
            </w:r>
            <w:r>
              <w:rPr>
                <w:rFonts w:ascii="Times New Roman" w:eastAsia="Times New Roman" w:hAnsi="Times New Roman" w:cs="Times New Roman"/>
                <w:color w:val="000000"/>
                <w:spacing w:val="0"/>
                <w:w w:val="100"/>
                <w:position w:val="0"/>
                <w:sz w:val="18"/>
                <w:szCs w:val="18"/>
              </w:rPr>
              <w:t xml:space="preserve">550.0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1,391, 325,00</w:t>
            </w:r>
          </w:p>
          <w:p>
            <w:pPr>
              <w:pStyle w:val="Style16"/>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145,69</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5,897.</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4,462, 374,00</w:t>
            </w:r>
          </w:p>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674,91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254,06</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633,66</w:t>
            </w:r>
          </w:p>
          <w:p>
            <w:pPr>
              <w:pStyle w:val="Style1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525,29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801,01</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088,15</w:t>
            </w:r>
          </w:p>
          <w:p>
            <w:pPr>
              <w:pStyle w:val="Style1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305,624</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633,66</w:t>
            </w:r>
          </w:p>
          <w:p>
            <w:pPr>
              <w:pStyle w:val="Style1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525,29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801,01</w:t>
            </w:r>
          </w:p>
          <w:p>
            <w:pPr>
              <w:pStyle w:val="Style16"/>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088,15</w:t>
            </w:r>
          </w:p>
          <w:p>
            <w:pPr>
              <w:pStyle w:val="Style1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305,624</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-4,912, 138.80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92,063</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-8,278,</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499,82</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-88,807</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411,019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,896.71</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-8,278,</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823,59 </w:t>
            </w:r>
            <w:r>
              <w:rPr>
                <w:rFonts w:ascii="Times New Roman" w:eastAsia="Times New Roman" w:hAnsi="Times New Roman" w:cs="Times New Roman"/>
                <w:color w:val="000000"/>
                <w:spacing w:val="0"/>
                <w:w w:val="100"/>
                <w:position w:val="0"/>
                <w:sz w:val="18"/>
                <w:szCs w:val="18"/>
              </w:rPr>
              <w:t>0,253.</w:t>
            </w:r>
          </w:p>
          <w:p>
            <w:pPr>
              <w:pStyle w:val="Style16"/>
              <w:keepNext w:val="0"/>
              <w:keepLines w:val="0"/>
              <w:widowControl w:val="0"/>
              <w:shd w:val="clear" w:color="auto" w:fill="auto"/>
              <w:bidi w:val="0"/>
              <w:spacing w:before="0" w:after="0" w:line="36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815,31</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w:t>
            </w:r>
          </w:p>
          <w:p>
            <w:pPr>
              <w:pStyle w:val="Style1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855,485</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,614.35</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92,063 </w:t>
            </w:r>
            <w:r>
              <w:rPr>
                <w:rFonts w:ascii="Times New Roman" w:eastAsia="Times New Roman" w:hAnsi="Times New Roman" w:cs="Times New Roman"/>
                <w:color w:val="000000"/>
                <w:spacing w:val="0"/>
                <w:w w:val="100"/>
                <w:position w:val="0"/>
                <w:sz w:val="18"/>
                <w:szCs w:val="18"/>
              </w:rPr>
              <w:t xml:space="preserve">,182.7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w:t>
            </w:r>
          </w:p>
          <w:p>
            <w:pPr>
              <w:pStyle w:val="Style1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-89,863</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92,063 </w:t>
            </w:r>
            <w:r>
              <w:rPr>
                <w:rFonts w:ascii="Times New Roman" w:eastAsia="Times New Roman" w:hAnsi="Times New Roman" w:cs="Times New Roman"/>
                <w:color w:val="000000"/>
                <w:spacing w:val="0"/>
                <w:w w:val="100"/>
                <w:position w:val="0"/>
                <w:sz w:val="18"/>
                <w:szCs w:val="18"/>
              </w:rPr>
              <w:t xml:space="preserve">,182.7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w:t>
            </w:r>
          </w:p>
          <w:p>
            <w:pPr>
              <w:pStyle w:val="Style1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-92,063</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,182.73</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64,700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09,392</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-131,18</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-349,69</w:t>
            </w:r>
          </w:p>
          <w:p>
            <w:pPr>
              <w:pStyle w:val="Style1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0,396.1</w:t>
            </w:r>
          </w:p>
          <w:p>
            <w:pPr>
              <w:pStyle w:val="Style1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5,307.</w:t>
            </w:r>
          </w:p>
          <w:p>
            <w:pPr>
              <w:pStyle w:val="Style1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09,392</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09,392</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-131,18</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-349,69 0,396.1</w:t>
            </w:r>
          </w:p>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-4,912, 138.80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-4,912, 138.80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-4,912, 138.80</w:t>
            </w:r>
          </w:p>
        </w:tc>
      </w:tr>
      <w:tr>
        <w:trPr>
          <w:trHeight w:val="1344"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1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721,52</w:t>
            </w:r>
          </w:p>
          <w:p>
            <w:pPr>
              <w:pStyle w:val="Style1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92,063 </w:t>
            </w:r>
            <w:r>
              <w:rPr>
                <w:rFonts w:ascii="Times New Roman" w:eastAsia="Times New Roman" w:hAnsi="Times New Roman" w:cs="Times New Roman"/>
                <w:color w:val="000000"/>
                <w:spacing w:val="0"/>
                <w:w w:val="100"/>
                <w:position w:val="0"/>
                <w:sz w:val="18"/>
                <w:szCs w:val="18"/>
              </w:rPr>
              <w:t xml:space="preserve">,182.7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826,56</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915,33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70,450.</w:t>
            </w:r>
          </w:p>
          <w:p>
            <w:pPr>
              <w:pStyle w:val="Style1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1,680,14</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8,972.04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619,349,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2,184,3</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5,856,616,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70,450.</w:t>
            </w:r>
          </w:p>
          <w:p>
            <w:pPr>
              <w:pStyle w:val="Style1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1,680,14</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8,972.04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619,349,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2,184,3</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5,856,616,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611.63</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6,017,1</w:t>
            </w:r>
          </w:p>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-43,795,</w:t>
            </w:r>
          </w:p>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068.68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53,632,7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92,086,68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2,005.4</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6,017,1</w:t>
            </w:r>
          </w:p>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44,022,8</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50,039,91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6,017,1</w:t>
            </w:r>
          </w:p>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26,289,0</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32,306,15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17,733,7</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17,733,76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-574,19</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5,834.8</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-505,31</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4,634.3</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-86,749,</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-86,749,</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140,381,</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-141,450,5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1,470,8</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87,550.</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1,636,35</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145,695,</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5,948,703,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870,45</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1,685,0</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61,110.8</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525,294</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1,556,322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5,231,548,2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870,45</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1,685,0</w:t>
            </w:r>
          </w:p>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61,110.8</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525,294</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1,556,322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5,231,548,2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-4,912,1</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94,055, </w:t>
            </w:r>
            <w:r>
              <w:rPr>
                <w:rFonts w:ascii="Times New Roman" w:eastAsia="Times New Roman" w:hAnsi="Times New Roman" w:cs="Times New Roman"/>
                <w:color w:val="000000"/>
                <w:spacing w:val="0"/>
                <w:w w:val="100"/>
                <w:position w:val="0"/>
                <w:sz w:val="18"/>
                <w:szCs w:val="18"/>
              </w:rPr>
              <w:t>307.96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627,988,3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625,068,36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940,553,0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940,553,07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94,055, </w:t>
            </w:r>
            <w:r>
              <w:rPr>
                <w:rFonts w:ascii="Times New Roman" w:eastAsia="Times New Roman" w:hAnsi="Times New Roman" w:cs="Times New Roman"/>
                <w:color w:val="000000"/>
                <w:spacing w:val="0"/>
                <w:w w:val="100"/>
                <w:position w:val="0"/>
                <w:sz w:val="18"/>
                <w:szCs w:val="18"/>
              </w:rPr>
              <w:t>307.96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-312,564,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-218,509,39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94,055, </w:t>
            </w:r>
            <w:r>
              <w:rPr>
                <w:rFonts w:ascii="Times New Roman" w:eastAsia="Times New Roman" w:hAnsi="Times New Roman" w:cs="Times New Roman"/>
                <w:color w:val="000000"/>
                <w:spacing w:val="0"/>
                <w:w w:val="100"/>
                <w:position w:val="0"/>
                <w:sz w:val="18"/>
                <w:szCs w:val="18"/>
              </w:rPr>
              <w:t>307.96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-218,509,39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-4,912,138.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870,45</w:t>
            </w:r>
          </w:p>
          <w:p>
            <w:pPr>
              <w:pStyle w:val="Style1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1,680,1</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48,972.</w:t>
            </w:r>
          </w:p>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92,063,1</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619,349</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2,184,310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5,856,616,6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bl>
    <w:p>
      <w:pPr>
        <w:pStyle w:val="Style27"/>
        <w:keepNext/>
        <w:keepLines/>
        <w:widowControl w:val="0"/>
        <w:shd w:val="clear" w:color="auto" w:fill="auto"/>
        <w:tabs>
          <w:tab w:pos="517" w:val="left"/>
        </w:tabs>
        <w:bidi w:val="0"/>
        <w:spacing w:before="0" w:after="28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三</w:t>
      </w:r>
      <w:bookmarkEnd w:id="729"/>
      <w:r>
        <w:rPr>
          <w:color w:val="000000"/>
          <w:spacing w:val="0"/>
          <w:w w:val="100"/>
          <w:position w:val="0"/>
        </w:rPr>
        <w:t>、</w:t>
        <w:tab/>
        <w:t>公司基本情况</w:t>
      </w:r>
      <w:bookmarkEnd w:id="727"/>
      <w:bookmarkEnd w:id="728"/>
      <w:bookmarkEnd w:id="730"/>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深圳劲嘉集团股份有限公司（以下简称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月在深圳注册成立，现总部位于广东省深圳市南 山区高新产业园区科技中二路劲嘉科技大厦</w:t>
      </w:r>
      <w:r>
        <w:rPr>
          <w:rFonts w:ascii="Times New Roman" w:eastAsia="Times New Roman" w:hAnsi="Times New Roman" w:cs="Times New Roman"/>
          <w:color w:val="000000"/>
          <w:spacing w:val="0"/>
          <w:w w:val="100"/>
          <w:position w:val="0"/>
          <w:sz w:val="18"/>
          <w:szCs w:val="18"/>
        </w:rPr>
        <w:t>18-19</w:t>
      </w:r>
      <w:r>
        <w:rPr>
          <w:color w:val="000000"/>
          <w:spacing w:val="0"/>
          <w:w w:val="100"/>
          <w:position w:val="0"/>
        </w:rPr>
        <w:t>楼。</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）的主要产品是高技术和高附加值的烟标、新型烟草制品、中高端知名消费品牌的 彩盒包装及镭射纸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膜、烟膜等包装新材料。</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日决议批准报出。根据本公司章程，本财务报表将提交股东大会审议。</w:t>
      </w:r>
    </w:p>
    <w:p>
      <w:pPr>
        <w:pStyle w:val="Style22"/>
        <w:keepNext w:val="0"/>
        <w:keepLines w:val="0"/>
        <w:widowControl w:val="0"/>
        <w:shd w:val="clear" w:color="auto" w:fill="auto"/>
        <w:bidi w:val="0"/>
        <w:spacing w:before="0" w:after="38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在其他主体中的权益匚本集团本年合并范 围比上年增加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517" w:val="left"/>
        </w:tabs>
        <w:bidi w:val="0"/>
        <w:spacing w:before="0" w:after="380" w:line="240" w:lineRule="auto"/>
        <w:ind w:left="0" w:right="0" w:firstLine="0"/>
        <w:jc w:val="both"/>
      </w:pPr>
      <w:bookmarkStart w:id="731" w:name="bookmark731"/>
      <w:bookmarkStart w:id="732" w:name="bookmark732"/>
      <w:bookmarkStart w:id="733" w:name="bookmark733"/>
      <w:bookmarkStart w:id="734" w:name="bookmark734"/>
      <w:r>
        <w:rPr>
          <w:color w:val="000000"/>
          <w:spacing w:val="0"/>
          <w:w w:val="100"/>
          <w:position w:val="0"/>
        </w:rPr>
        <w:t>四</w:t>
      </w:r>
      <w:bookmarkEnd w:id="733"/>
      <w:r>
        <w:rPr>
          <w:color w:val="000000"/>
          <w:spacing w:val="0"/>
          <w:w w:val="100"/>
          <w:position w:val="0"/>
        </w:rPr>
        <w:t>、</w:t>
        <w:tab/>
        <w:t>财务报表的编制基础</w:t>
      </w:r>
      <w:bookmarkEnd w:id="731"/>
      <w:bookmarkEnd w:id="732"/>
      <w:bookmarkEnd w:id="734"/>
    </w:p>
    <w:p>
      <w:pPr>
        <w:pStyle w:val="Style32"/>
        <w:keepNext/>
        <w:keepLines/>
        <w:widowControl w:val="0"/>
        <w:shd w:val="clear" w:color="auto" w:fill="auto"/>
        <w:tabs>
          <w:tab w:pos="385" w:val="left"/>
        </w:tabs>
        <w:bidi w:val="0"/>
        <w:spacing w:before="0" w:after="28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color w:val="000000"/>
          <w:spacing w:val="0"/>
          <w:w w:val="100"/>
          <w:position w:val="0"/>
        </w:rPr>
        <w:t>、</w:t>
        <w:tab/>
        <w:t>编制基础</w:t>
      </w:r>
      <w:bookmarkEnd w:id="735"/>
      <w:bookmarkEnd w:id="736"/>
      <w:bookmarkEnd w:id="738"/>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基本准则》 （财政部令第</w:t>
      </w:r>
      <w:r>
        <w:rPr>
          <w:rFonts w:ascii="Arial" w:eastAsia="Arial" w:hAnsi="Arial" w:cs="Arial"/>
          <w:color w:val="000000"/>
          <w:spacing w:val="0"/>
          <w:w w:val="100"/>
          <w:position w:val="0"/>
          <w:sz w:val="18"/>
          <w:szCs w:val="18"/>
        </w:rPr>
        <w:t>33</w:t>
      </w:r>
      <w:r>
        <w:rPr>
          <w:color w:val="000000"/>
          <w:spacing w:val="0"/>
          <w:w w:val="100"/>
          <w:position w:val="0"/>
        </w:rPr>
        <w:t>号发布、财政部令第</w:t>
      </w:r>
      <w:r>
        <w:rPr>
          <w:rFonts w:ascii="Arial" w:eastAsia="Arial" w:hAnsi="Arial" w:cs="Arial"/>
          <w:color w:val="000000"/>
          <w:spacing w:val="0"/>
          <w:w w:val="100"/>
          <w:position w:val="0"/>
          <w:sz w:val="18"/>
          <w:szCs w:val="18"/>
        </w:rPr>
        <w:t>76</w:t>
      </w:r>
      <w:r>
        <w:rPr>
          <w:color w:val="000000"/>
          <w:spacing w:val="0"/>
          <w:w w:val="100"/>
          <w:position w:val="0"/>
        </w:rPr>
        <w:t>号修订）、于</w:t>
      </w:r>
      <w:r>
        <w:rPr>
          <w:rFonts w:ascii="Arial" w:eastAsia="Arial" w:hAnsi="Arial" w:cs="Arial"/>
          <w:color w:val="000000"/>
          <w:spacing w:val="0"/>
          <w:w w:val="100"/>
          <w:position w:val="0"/>
          <w:sz w:val="18"/>
          <w:szCs w:val="18"/>
        </w:rPr>
        <w:t>2006</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日及其后颁布和修订的</w:t>
      </w:r>
      <w:r>
        <w:rPr>
          <w:rFonts w:ascii="Arial" w:eastAsia="Arial" w:hAnsi="Arial" w:cs="Arial"/>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rFonts w:ascii="Arial" w:eastAsia="Arial" w:hAnsi="Arial" w:cs="Arial"/>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22"/>
          <w:szCs w:val="22"/>
        </w:rPr>
        <w:t>（</w:t>
      </w:r>
      <w:r>
        <w:rPr>
          <w:rFonts w:ascii="Arial" w:eastAsia="Arial" w:hAnsi="Arial" w:cs="Arial"/>
          <w:color w:val="000000"/>
          <w:spacing w:val="0"/>
          <w:w w:val="100"/>
          <w:position w:val="0"/>
          <w:sz w:val="18"/>
          <w:szCs w:val="18"/>
        </w:rPr>
        <w:t>2014</w:t>
      </w:r>
      <w:r>
        <w:rPr>
          <w:color w:val="000000"/>
          <w:spacing w:val="0"/>
          <w:w w:val="100"/>
          <w:position w:val="0"/>
        </w:rPr>
        <w:t>年修订）》的披露规定编制。</w:t>
      </w:r>
    </w:p>
    <w:p>
      <w:pPr>
        <w:pStyle w:val="Style22"/>
        <w:keepNext w:val="0"/>
        <w:keepLines w:val="0"/>
        <w:widowControl w:val="0"/>
        <w:shd w:val="clear" w:color="auto" w:fill="auto"/>
        <w:bidi w:val="0"/>
        <w:spacing w:before="0" w:after="380" w:line="311" w:lineRule="exact"/>
        <w:ind w:left="0" w:right="0"/>
        <w:jc w:val="both"/>
      </w:pPr>
      <w:r>
        <w:rPr>
          <w:color w:val="000000"/>
          <w:spacing w:val="0"/>
          <w:w w:val="100"/>
          <w:position w:val="0"/>
        </w:rPr>
        <w:t>根据企业会计准则的相关规定，本集团会计核算以权责发生制为基础。除某些金融工具和投资性房地产外，本财务报表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32"/>
        <w:keepNext/>
        <w:keepLines/>
        <w:widowControl w:val="0"/>
        <w:shd w:val="clear" w:color="auto" w:fill="auto"/>
        <w:tabs>
          <w:tab w:pos="385" w:val="left"/>
        </w:tabs>
        <w:bidi w:val="0"/>
        <w:spacing w:before="0" w:after="28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color w:val="000000"/>
          <w:spacing w:val="0"/>
          <w:w w:val="100"/>
          <w:position w:val="0"/>
        </w:rPr>
        <w:t>、</w:t>
        <w:tab/>
        <w:t>持续经营</w:t>
      </w:r>
      <w:bookmarkEnd w:id="739"/>
      <w:bookmarkEnd w:id="740"/>
      <w:bookmarkEnd w:id="742"/>
    </w:p>
    <w:p>
      <w:pPr>
        <w:pStyle w:val="Style22"/>
        <w:keepNext w:val="0"/>
        <w:keepLines w:val="0"/>
        <w:widowControl w:val="0"/>
        <w:shd w:val="clear" w:color="auto" w:fill="auto"/>
        <w:bidi w:val="0"/>
        <w:spacing w:before="0" w:after="380" w:line="311" w:lineRule="exact"/>
        <w:ind w:left="0" w:right="0"/>
        <w:jc w:val="both"/>
      </w:pPr>
      <w:r>
        <w:rPr>
          <w:color w:val="000000"/>
          <w:spacing w:val="0"/>
          <w:w w:val="100"/>
          <w:position w:val="0"/>
        </w:rPr>
        <w:t>本公司预计自报告期末起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个月的持续经营能力正常。</w:t>
      </w:r>
    </w:p>
    <w:p>
      <w:pPr>
        <w:pStyle w:val="Style27"/>
        <w:keepNext/>
        <w:keepLines/>
        <w:widowControl w:val="0"/>
        <w:shd w:val="clear" w:color="auto" w:fill="auto"/>
        <w:tabs>
          <w:tab w:pos="517"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五</w:t>
      </w:r>
      <w:bookmarkEnd w:id="745"/>
      <w:r>
        <w:rPr>
          <w:color w:val="000000"/>
          <w:spacing w:val="0"/>
          <w:w w:val="100"/>
          <w:position w:val="0"/>
        </w:rPr>
        <w:t>、</w:t>
        <w:tab/>
        <w:t>重要会计政策及会计估计</w:t>
      </w:r>
      <w:bookmarkEnd w:id="743"/>
      <w:bookmarkEnd w:id="744"/>
      <w:bookmarkEnd w:id="746"/>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本集团根据实际生产经营特点，依据相关企业会计准则的规定，对收入确认、研究开发支出等交易和事项制定了若干项 具体会计政策和会计估计，详见本附注四、</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各项描述。关于管理层所作出的重大会计判断和估计的说明，请参阅附 注四、</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重大会计判断和估计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85" w:val="left"/>
        </w:tabs>
        <w:bidi w:val="0"/>
        <w:spacing w:before="0" w:after="28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遵循企业会计准则的声明</w:t>
      </w:r>
      <w:bookmarkEnd w:id="747"/>
      <w:bookmarkEnd w:id="748"/>
      <w:bookmarkEnd w:id="750"/>
    </w:p>
    <w:p>
      <w:pPr>
        <w:pStyle w:val="Style22"/>
        <w:keepNext w:val="0"/>
        <w:keepLines w:val="0"/>
        <w:widowControl w:val="0"/>
        <w:shd w:val="clear" w:color="auto" w:fill="auto"/>
        <w:bidi w:val="0"/>
        <w:spacing w:before="0" w:after="380" w:line="309" w:lineRule="exact"/>
        <w:ind w:left="0" w:right="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日的财务状况及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年度的经营成果和现金流量等有关信息。此外，本公司及本集团的财务报表在所有重大方面符合中国证券监督管理委员 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 求。</w:t>
      </w:r>
    </w:p>
    <w:p>
      <w:pPr>
        <w:pStyle w:val="Style32"/>
        <w:keepNext/>
        <w:keepLines/>
        <w:widowControl w:val="0"/>
        <w:shd w:val="clear" w:color="auto" w:fill="auto"/>
        <w:tabs>
          <w:tab w:pos="385" w:val="left"/>
        </w:tabs>
        <w:bidi w:val="0"/>
        <w:spacing w:before="0" w:after="28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会计期间</w:t>
      </w:r>
      <w:bookmarkEnd w:id="751"/>
      <w:bookmarkEnd w:id="752"/>
      <w:bookmarkEnd w:id="754"/>
    </w:p>
    <w:p>
      <w:pPr>
        <w:pStyle w:val="Style22"/>
        <w:keepNext w:val="0"/>
        <w:keepLines w:val="0"/>
        <w:widowControl w:val="0"/>
        <w:shd w:val="clear" w:color="auto" w:fill="auto"/>
        <w:bidi w:val="0"/>
        <w:spacing w:before="0" w:after="280" w:line="298" w:lineRule="exact"/>
        <w:ind w:left="0" w:right="0"/>
        <w:jc w:val="both"/>
      </w:pPr>
      <w:r>
        <w:rPr>
          <w:color w:val="000000"/>
          <w:spacing w:val="0"/>
          <w:w w:val="100"/>
          <w:position w:val="0"/>
        </w:rPr>
        <w:t>本集团的会计期间分为年度和中期，会计中期指短于一个完整的会计年度的报告期间。本集团会计年度采用公历年度，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23"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w:t>
        <w:tab/>
        <w:t>营业周期</w:t>
      </w:r>
      <w:bookmarkEnd w:id="755"/>
      <w:bookmarkEnd w:id="756"/>
      <w:bookmarkEnd w:id="758"/>
    </w:p>
    <w:p>
      <w:pPr>
        <w:pStyle w:val="Style22"/>
        <w:keepNext w:val="0"/>
        <w:keepLines w:val="0"/>
        <w:widowControl w:val="0"/>
        <w:shd w:val="clear" w:color="auto" w:fill="auto"/>
        <w:bidi w:val="0"/>
        <w:spacing w:before="0" w:after="380" w:line="322" w:lineRule="exact"/>
        <w:ind w:left="0" w:right="0"/>
        <w:jc w:val="both"/>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2"/>
        <w:keepNext/>
        <w:keepLines/>
        <w:widowControl w:val="0"/>
        <w:shd w:val="clear" w:color="auto" w:fill="auto"/>
        <w:tabs>
          <w:tab w:pos="323"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w:t>
        <w:tab/>
        <w:t>记账本位币</w:t>
      </w:r>
      <w:bookmarkEnd w:id="759"/>
      <w:bookmarkEnd w:id="760"/>
      <w:bookmarkEnd w:id="762"/>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之境外子公司根据其经营所处的主要经济环境中的货币确定港币为其记账本位币。本集团编制本财务报表时所采用的货币为 人民币。</w:t>
      </w:r>
    </w:p>
    <w:p>
      <w:pPr>
        <w:pStyle w:val="Style32"/>
        <w:keepNext/>
        <w:keepLines/>
        <w:widowControl w:val="0"/>
        <w:shd w:val="clear" w:color="auto" w:fill="auto"/>
        <w:tabs>
          <w:tab w:pos="323"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w:t>
        <w:tab/>
        <w:t>同一控制下和非同一控制下企业合并的会计处理方法</w:t>
      </w:r>
      <w:bookmarkEnd w:id="763"/>
      <w:bookmarkEnd w:id="764"/>
      <w:bookmarkEnd w:id="766"/>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2"/>
        <w:keepNext w:val="0"/>
        <w:keepLines w:val="0"/>
        <w:widowControl w:val="0"/>
        <w:shd w:val="clear" w:color="auto" w:fill="auto"/>
        <w:tabs>
          <w:tab w:pos="765" w:val="left"/>
        </w:tabs>
        <w:bidi w:val="0"/>
        <w:spacing w:before="0" w:after="0" w:line="313"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22"/>
        <w:keepNext w:val="0"/>
        <w:keepLines w:val="0"/>
        <w:widowControl w:val="0"/>
        <w:shd w:val="clear" w:color="auto" w:fill="auto"/>
        <w:tabs>
          <w:tab w:pos="765" w:val="left"/>
        </w:tabs>
        <w:bidi w:val="0"/>
        <w:spacing w:before="0" w:after="0" w:line="313"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 xml:space="preserve">[2012]19 </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 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 五、</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w:t>
      </w:r>
      <w:r>
        <w:rPr>
          <w:color w:val="000000"/>
          <w:spacing w:val="0"/>
          <w:w w:val="100"/>
          <w:position w:val="0"/>
        </w:rPr>
        <w:t>被购买方直接处置相关资产或负债相同的基础进行会计处理。</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32"/>
        <w:keepNext/>
        <w:keepLines/>
        <w:widowControl w:val="0"/>
        <w:shd w:val="clear" w:color="auto" w:fill="auto"/>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6</w:t>
      </w:r>
      <w:bookmarkEnd w:id="771"/>
      <w:r>
        <w:rPr>
          <w:color w:val="000000"/>
          <w:spacing w:val="0"/>
          <w:w w:val="100"/>
          <w:position w:val="0"/>
        </w:rPr>
        <w:t>、合并财务报表的编制方法</w:t>
      </w:r>
      <w:bookmarkEnd w:id="769"/>
      <w:bookmarkEnd w:id="770"/>
      <w:bookmarkEnd w:id="772"/>
    </w:p>
    <w:p>
      <w:pPr>
        <w:pStyle w:val="Style22"/>
        <w:keepNext w:val="0"/>
        <w:keepLines w:val="0"/>
        <w:widowControl w:val="0"/>
        <w:shd w:val="clear" w:color="auto" w:fill="auto"/>
        <w:tabs>
          <w:tab w:pos="765" w:val="left"/>
        </w:tabs>
        <w:bidi w:val="0"/>
        <w:spacing w:before="0" w:after="0" w:line="312"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被本集团控制的主体。</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一旦相关事实和情况的变化导致上述控制定义涉及的相关要素发生了变化，本集团将进行重新评估。</w:t>
      </w:r>
    </w:p>
    <w:p>
      <w:pPr>
        <w:pStyle w:val="Style22"/>
        <w:keepNext w:val="0"/>
        <w:keepLines w:val="0"/>
        <w:widowControl w:val="0"/>
        <w:shd w:val="clear" w:color="auto" w:fill="auto"/>
        <w:tabs>
          <w:tab w:pos="765" w:val="left"/>
        </w:tabs>
        <w:bidi w:val="0"/>
        <w:spacing w:before="0" w:after="0" w:line="312" w:lineRule="exact"/>
        <w:ind w:left="0" w:right="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集团内所有重大往来余额、交易及未实现利润在合并财务报表编制时予以抵销。</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制权时采用与该子公司直接处置相关资产或负债相同的基础进行会计处理。其后，对该部分剩余股权按照《企业会计准则第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长 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260" w:line="312" w:lineRule="exact"/>
        <w:ind w:left="0" w:right="0"/>
        <w:jc w:val="both"/>
      </w:pPr>
      <w:r>
        <w:rPr>
          <w:color w:val="000000"/>
          <w:spacing w:val="0"/>
          <w:w w:val="100"/>
          <w:position w:val="0"/>
        </w:rPr>
        <w:t>本集团通过多次交易分步处置对子公司股权投资直至丧失控制权的，需区分处置对子公司股权投资直至丧失控制权的各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 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 一揽子交易的，将各项交易作为一项处置子公司并丧失控制权的交易进行会计处理；但是，在丧失控制权之前每一次处置价 款与处置投资对应的享有该子公司净资产份额的差额，在合并财务报表中确认为其他综合收益，在丧失控制权时一并转入丧 失控制权当期的损益。</w:t>
      </w:r>
    </w:p>
    <w:p>
      <w:pPr>
        <w:pStyle w:val="Style32"/>
        <w:keepNext/>
        <w:keepLines/>
        <w:widowControl w:val="0"/>
        <w:shd w:val="clear" w:color="auto" w:fill="auto"/>
        <w:tabs>
          <w:tab w:pos="336"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7</w:t>
      </w:r>
      <w:bookmarkEnd w:id="777"/>
      <w:r>
        <w:rPr>
          <w:color w:val="000000"/>
          <w:spacing w:val="0"/>
          <w:w w:val="100"/>
          <w:position w:val="0"/>
        </w:rPr>
        <w:t>、</w:t>
        <w:tab/>
        <w:t>合营安排分类及共同经营会计处理方法</w:t>
      </w:r>
      <w:bookmarkEnd w:id="775"/>
      <w:bookmarkEnd w:id="776"/>
      <w:bookmarkEnd w:id="778"/>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本集团对合营企业的投资采用权益法核算，按照本附注五、</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所述的会计政策处理。</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本集团作为合营方对共同经营，确认本集团单独持有的资产、单独所承担的负债，以及按本集团份额确认共同持有的资 产和共同承担的负债；确认出售本集团享有的共同经营产出份额所产生的收入；按本集团份额确认共同经营因出售产出所产 生的收入；确认本集团单独所发生的费用，以及按本集团份额确认共同经营发生的费用。</w:t>
      </w:r>
    </w:p>
    <w:p>
      <w:pPr>
        <w:pStyle w:val="Style22"/>
        <w:keepNext w:val="0"/>
        <w:keepLines w:val="0"/>
        <w:widowControl w:val="0"/>
        <w:shd w:val="clear" w:color="auto" w:fill="auto"/>
        <w:bidi w:val="0"/>
        <w:spacing w:before="0" w:after="380" w:line="313" w:lineRule="exact"/>
        <w:ind w:left="0" w:right="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号——资产减值》等规定的资产减值损失的，对于由本集团向共同经营投出或出售资产的情况，本集团全额确认 该损失；对于本集团自共同经营购买资产的情况，本集团按承担的份额确认该损失。</w:t>
      </w:r>
    </w:p>
    <w:p>
      <w:pPr>
        <w:pStyle w:val="Style32"/>
        <w:keepNext/>
        <w:keepLines/>
        <w:widowControl w:val="0"/>
        <w:shd w:val="clear" w:color="auto" w:fill="auto"/>
        <w:tabs>
          <w:tab w:pos="341"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本集团现金及现金等价物包括库存现金、可以随时用于支付的存款以及本集团持有的期限短（一般为从购买日起三个月 内到期）、流动性强、易于转换为已知金额现金、价值变动风险很小的投资。</w:t>
      </w:r>
    </w:p>
    <w:p>
      <w:pPr>
        <w:pStyle w:val="Style32"/>
        <w:keepNext/>
        <w:keepLines/>
        <w:widowControl w:val="0"/>
        <w:shd w:val="clear" w:color="auto" w:fill="auto"/>
        <w:tabs>
          <w:tab w:pos="341"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22"/>
        <w:keepNext w:val="0"/>
        <w:keepLines w:val="0"/>
        <w:widowControl w:val="0"/>
        <w:shd w:val="clear" w:color="auto" w:fill="auto"/>
        <w:tabs>
          <w:tab w:pos="788" w:val="left"/>
        </w:tabs>
        <w:bidi w:val="0"/>
        <w:spacing w:before="0" w:after="0" w:line="312"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本集团发生的外币交易在初始确认时，按交易日的即期汇率折算为记账本位币金额。</w:t>
      </w:r>
    </w:p>
    <w:p>
      <w:pPr>
        <w:pStyle w:val="Style22"/>
        <w:keepNext w:val="0"/>
        <w:keepLines w:val="0"/>
        <w:widowControl w:val="0"/>
        <w:shd w:val="clear" w:color="auto" w:fill="auto"/>
        <w:tabs>
          <w:tab w:pos="788" w:val="left"/>
        </w:tabs>
        <w:bidi w:val="0"/>
        <w:spacing w:before="0" w:after="0" w:line="312"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本化条件的资产相关的外币专门借款产生的汇兑差额按照借款费用资本化的原则处理；以及②分类为以公允价值计量且其变 动计入其他综合收益的外币货币性项目，除摊余成本（含减值）之外的其他账面余额变动产生的汇兑差额计入其他综合收益 之外，均计入当期损益。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2"/>
        <w:keepNext w:val="0"/>
        <w:keepLines w:val="0"/>
        <w:widowControl w:val="0"/>
        <w:shd w:val="clear" w:color="auto" w:fill="auto"/>
        <w:tabs>
          <w:tab w:pos="788" w:val="left"/>
        </w:tabs>
        <w:bidi w:val="0"/>
        <w:spacing w:before="0" w:after="0" w:line="312"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交易发生日的当期平均汇率折算。年初未分配利润为上一年折算后的年末未分配利润；期末未分配利润按折算后的利润分配 各项目计算列示；折算后资产类项目与负债类项目和股东权益类项目合计数的差额，作为外币报表折算差额，确认为其他综 合收益。处置境外经营并丧失控制权时，将资产负债表中股东权益项目下列示的、与该境外经营相关的外币报表折算差额， 全部或按处置该境外经营的比例转入处置当期损益。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在处置本集团在境外经营的全部所有者权益或因处置部分股权投资或其他原因丧失了对境外经营控制权时，将资产负债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在处置部分股权投资或其他原因导致持有境外经营权益比例降低但不丧失对境外经营控制权时，与该境外经营处置部分 </w:t>
      </w:r>
      <w:r>
        <w:rPr>
          <w:color w:val="000000"/>
          <w:spacing w:val="0"/>
          <w:w w:val="100"/>
          <w:position w:val="0"/>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如有实质上构成对境外经营净投资的外币货币性项目，在合并财务报表中，其因汇率变动而产生的汇兑差额，作为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2"/>
        <w:keepNext/>
        <w:keepLines/>
        <w:widowControl w:val="0"/>
        <w:shd w:val="clear" w:color="auto" w:fill="auto"/>
        <w:bidi w:val="0"/>
        <w:spacing w:before="0" w:after="28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0"/>
      <w:bookmarkEnd w:id="791"/>
      <w:bookmarkEnd w:id="793"/>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在本集团成为金融工具合同的一方时确认一项金融资产或金融负债。</w:t>
      </w:r>
    </w:p>
    <w:p>
      <w:pPr>
        <w:pStyle w:val="Style22"/>
        <w:keepNext w:val="0"/>
        <w:keepLines w:val="0"/>
        <w:widowControl w:val="0"/>
        <w:shd w:val="clear" w:color="auto" w:fill="auto"/>
        <w:tabs>
          <w:tab w:pos="802" w:val="left"/>
        </w:tabs>
        <w:bidi w:val="0"/>
        <w:spacing w:before="0" w:after="0" w:line="311" w:lineRule="exact"/>
        <w:ind w:left="0" w:right="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金融资产的分类、确认和计量</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虑重大融资成分的应收账款或应收票据，本集团按照预期有权收取的对价金额作为初始确认金额。</w:t>
      </w:r>
    </w:p>
    <w:p>
      <w:pPr>
        <w:pStyle w:val="Style22"/>
        <w:keepNext w:val="0"/>
        <w:keepLines w:val="0"/>
        <w:widowControl w:val="0"/>
        <w:numPr>
          <w:ilvl w:val="0"/>
          <w:numId w:val="23"/>
        </w:numPr>
        <w:shd w:val="clear" w:color="auto" w:fill="auto"/>
        <w:tabs>
          <w:tab w:pos="730" w:val="left"/>
        </w:tabs>
        <w:bidi w:val="0"/>
        <w:spacing w:before="0" w:after="0" w:line="311" w:lineRule="exact"/>
        <w:ind w:left="0" w:right="0"/>
        <w:jc w:val="both"/>
      </w:pPr>
      <w:bookmarkStart w:id="795" w:name="bookmark795"/>
      <w:bookmarkEnd w:id="795"/>
      <w:r>
        <w:rPr>
          <w:color w:val="000000"/>
          <w:spacing w:val="0"/>
          <w:w w:val="100"/>
          <w:position w:val="0"/>
        </w:rPr>
        <w:t>以摊余成本计量的金融资产</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22"/>
        <w:keepNext w:val="0"/>
        <w:keepLines w:val="0"/>
        <w:widowControl w:val="0"/>
        <w:numPr>
          <w:ilvl w:val="0"/>
          <w:numId w:val="23"/>
        </w:numPr>
        <w:shd w:val="clear" w:color="auto" w:fill="auto"/>
        <w:tabs>
          <w:tab w:pos="730" w:val="left"/>
        </w:tabs>
        <w:bidi w:val="0"/>
        <w:spacing w:before="0" w:after="0" w:line="311" w:lineRule="exact"/>
        <w:ind w:left="0" w:right="0"/>
        <w:jc w:val="both"/>
      </w:pPr>
      <w:bookmarkStart w:id="796" w:name="bookmark796"/>
      <w:bookmarkEnd w:id="796"/>
      <w:r>
        <w:rPr>
          <w:color w:val="000000"/>
          <w:spacing w:val="0"/>
          <w:w w:val="100"/>
          <w:position w:val="0"/>
        </w:rPr>
        <w:t>以公允价值计量且其变动计入其他综合收益的金融资产</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2"/>
        <w:keepNext w:val="0"/>
        <w:keepLines w:val="0"/>
        <w:widowControl w:val="0"/>
        <w:numPr>
          <w:ilvl w:val="0"/>
          <w:numId w:val="23"/>
        </w:numPr>
        <w:shd w:val="clear" w:color="auto" w:fill="auto"/>
        <w:tabs>
          <w:tab w:pos="730" w:val="left"/>
        </w:tabs>
        <w:bidi w:val="0"/>
        <w:spacing w:before="0" w:after="0" w:line="311" w:lineRule="exact"/>
        <w:ind w:left="0" w:right="0"/>
        <w:jc w:val="both"/>
      </w:pPr>
      <w:bookmarkStart w:id="797" w:name="bookmark797"/>
      <w:bookmarkEnd w:id="797"/>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本集团将上述以摊余成本计量的金融资产和以公允价值计量且其变动计入其他综合收益的金融资产之外的金融资产，分 类为以公允价值计量且其变动计入当期损益的金融资产。此外，在初始确认时，本集团为了消除或显著减少会计错配，将部 分金融资产指定为以公允价值计量且其变动计入当期损益的金融资产。对于此类金融资产，本集团采用公允价值进行后续计 量，公允价值变动计入当期损益。</w:t>
      </w:r>
    </w:p>
    <w:p>
      <w:pPr>
        <w:pStyle w:val="Style22"/>
        <w:keepNext w:val="0"/>
        <w:keepLines w:val="0"/>
        <w:widowControl w:val="0"/>
        <w:shd w:val="clear" w:color="auto" w:fill="auto"/>
        <w:tabs>
          <w:tab w:pos="802" w:val="left"/>
        </w:tabs>
        <w:bidi w:val="0"/>
        <w:spacing w:before="0" w:after="0" w:line="311"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金融负债的分类、确认和计量</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2"/>
        <w:keepNext w:val="0"/>
        <w:keepLines w:val="0"/>
        <w:widowControl w:val="0"/>
        <w:numPr>
          <w:ilvl w:val="0"/>
          <w:numId w:val="25"/>
        </w:numPr>
        <w:shd w:val="clear" w:color="auto" w:fill="auto"/>
        <w:tabs>
          <w:tab w:pos="730" w:val="left"/>
        </w:tabs>
        <w:bidi w:val="0"/>
        <w:spacing w:before="0" w:after="0" w:line="311" w:lineRule="exact"/>
        <w:ind w:left="0" w:right="0"/>
        <w:jc w:val="both"/>
      </w:pPr>
      <w:bookmarkStart w:id="799" w:name="bookmark799"/>
      <w:bookmarkEnd w:id="799"/>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会计错配的，本集团将该金融负债的全部利得或损失（包括企业自身信用风险变动的影响金额）计入当期损益。</w:t>
      </w:r>
    </w:p>
    <w:p>
      <w:pPr>
        <w:pStyle w:val="Style22"/>
        <w:keepNext w:val="0"/>
        <w:keepLines w:val="0"/>
        <w:widowControl w:val="0"/>
        <w:numPr>
          <w:ilvl w:val="0"/>
          <w:numId w:val="25"/>
        </w:numPr>
        <w:shd w:val="clear" w:color="auto" w:fill="auto"/>
        <w:tabs>
          <w:tab w:pos="730" w:val="left"/>
        </w:tabs>
        <w:bidi w:val="0"/>
        <w:spacing w:before="0" w:after="0" w:line="311" w:lineRule="exact"/>
        <w:ind w:left="0" w:right="0"/>
        <w:jc w:val="both"/>
      </w:pPr>
      <w:bookmarkStart w:id="800" w:name="bookmark800"/>
      <w:bookmarkEnd w:id="800"/>
      <w:r>
        <w:rPr>
          <w:color w:val="000000"/>
          <w:spacing w:val="0"/>
          <w:w w:val="100"/>
          <w:position w:val="0"/>
        </w:rPr>
        <w:t>其他金融负债</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除金融资产转移不符合终止确认条件或继续涉入被转移金融资产所形成的金融负债、财务担保合同外的其他金融负债分 </w:t>
      </w:r>
      <w:r>
        <w:rPr>
          <w:color w:val="000000"/>
          <w:spacing w:val="0"/>
          <w:w w:val="100"/>
          <w:position w:val="0"/>
        </w:rPr>
        <w:t>类为以摊余成本计量的金融负债，按摊余成本进行后续计量，终止确认或摊销产生的利得或损失计入当期损益。</w:t>
      </w:r>
    </w:p>
    <w:p>
      <w:pPr>
        <w:pStyle w:val="Style22"/>
        <w:keepNext w:val="0"/>
        <w:keepLines w:val="0"/>
        <w:widowControl w:val="0"/>
        <w:shd w:val="clear" w:color="auto" w:fill="auto"/>
        <w:tabs>
          <w:tab w:pos="765" w:val="left"/>
        </w:tabs>
        <w:bidi w:val="0"/>
        <w:spacing w:before="0" w:after="0" w:line="314" w:lineRule="exact"/>
        <w:ind w:left="0" w:right="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2"/>
        <w:keepNext w:val="0"/>
        <w:keepLines w:val="0"/>
        <w:widowControl w:val="0"/>
        <w:shd w:val="clear" w:color="auto" w:fill="auto"/>
        <w:tabs>
          <w:tab w:pos="765" w:val="left"/>
        </w:tabs>
        <w:bidi w:val="0"/>
        <w:spacing w:before="0" w:after="0" w:line="314" w:lineRule="exact"/>
        <w:ind w:left="0" w:right="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金融负债（或其一部分）的现时义务已经解除的，本集团终止确认该金融负债（或该部分金融负债）。本集团（借入方） 与借出方签订协议，以承担新金融负债的方式替换原金融负债，且新金融负债与原金融负债的合同条款实质上不同的，终止 确认原金融负债，同时确认一项新金融负债。本集团对原金融负债（或其一部分）的合同条款作出实质性修改的，终止确认 原金融负债，同时按照修改后的条款确认一项新金融负债。</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金融负债（或其一部分）终止确认的，本集团将其账面价值与支付的对价（包括转出的非现金资产或承担的负债）之间 的差额，计入当期损益。</w:t>
      </w:r>
    </w:p>
    <w:p>
      <w:pPr>
        <w:pStyle w:val="Style22"/>
        <w:keepNext w:val="0"/>
        <w:keepLines w:val="0"/>
        <w:widowControl w:val="0"/>
        <w:shd w:val="clear" w:color="auto" w:fill="auto"/>
        <w:tabs>
          <w:tab w:pos="765" w:val="left"/>
        </w:tabs>
        <w:bidi w:val="0"/>
        <w:spacing w:before="0" w:after="0" w:line="314"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当本集团具有抵销已确认金额的金融资产和金融负债的法定权利，且该种法定权利是当前可执行的，同时本集团计划以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2"/>
        <w:keepNext w:val="0"/>
        <w:keepLines w:val="0"/>
        <w:widowControl w:val="0"/>
        <w:shd w:val="clear" w:color="auto" w:fill="auto"/>
        <w:tabs>
          <w:tab w:pos="765" w:val="left"/>
        </w:tabs>
        <w:bidi w:val="0"/>
        <w:spacing w:before="0" w:after="0" w:line="314"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照实质上相同的其他金融工具当前的公允价值、现金流量折现法和期权定价模型等。在估值时，本集团采用在当前情况下适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2"/>
        <w:keepNext w:val="0"/>
        <w:keepLines w:val="0"/>
        <w:widowControl w:val="0"/>
        <w:shd w:val="clear" w:color="auto" w:fill="auto"/>
        <w:tabs>
          <w:tab w:pos="765" w:val="left"/>
        </w:tabs>
        <w:bidi w:val="0"/>
        <w:spacing w:before="0" w:after="0" w:line="314" w:lineRule="exact"/>
        <w:ind w:left="0" w:right="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权益工具是指能证明拥有本集团在扣除所有负债后的资产中的剩余权益的合同。本集团发行（含再融资）、回购、出售 或注销权益工具作为权益的变动处理，与权益性交易相关的交易费用从权益中扣减。本集团不确认权益工具的公允价值变动。</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本集团权益工具在存续期间分派股利（含分类为权益工具的工具所产生的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32"/>
        <w:keepNext/>
        <w:keepLines/>
        <w:widowControl w:val="0"/>
        <w:shd w:val="clear" w:color="auto" w:fill="auto"/>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06"/>
      <w:bookmarkEnd w:id="807"/>
      <w:bookmarkEnd w:id="809"/>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本集团需确认减值损失的金融资产系以摊余成本计量的金融资产、以公允价值计量且其变动计入其他综合收益的债务工 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22"/>
        <w:keepNext w:val="0"/>
        <w:keepLines w:val="0"/>
        <w:widowControl w:val="0"/>
        <w:shd w:val="clear" w:color="auto" w:fill="auto"/>
        <w:tabs>
          <w:tab w:pos="799" w:val="left"/>
        </w:tabs>
        <w:bidi w:val="0"/>
        <w:spacing w:before="0" w:after="0" w:line="311"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减值准备的确认方法</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本集团以预期信用损失为基础，对上述各项目按照其适用的预期信用损失计量方法（一般方法或简化方法）计提减值准 备并确认信用减值损失。</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际利率折现。</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预期信用损失计量的一般方法是指，本集团在每个资产负债表日评估金融资产（含合同资产等其他适用项目，下同）的 信用风险自初始确认后是否已经显著增加，如果信用风险自初始确认后已显著增加，本集团按照相当于整个存续期内预期信 用损失的金额计量损失准备；如果信用风险自初始确认后未显著增加，本集团按照相当于未来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 计量损失准备。本集团在评估预期信用损失时，考虑所有合理且有依据的信息，包括前瞻性信息。</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对于在资产负债表日具有较低信用风险的金融工具，本集团假设其信用风险自初始确认后并未显著增加，选择按照未来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不选择简化处理方法，依据其信用风险自初始确认后是否已显著增加，而采用未来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22"/>
        <w:keepNext w:val="0"/>
        <w:keepLines w:val="0"/>
        <w:widowControl w:val="0"/>
        <w:shd w:val="clear" w:color="auto" w:fill="auto"/>
        <w:tabs>
          <w:tab w:pos="799" w:val="left"/>
        </w:tabs>
        <w:bidi w:val="0"/>
        <w:spacing w:before="0" w:after="0" w:line="311" w:lineRule="exact"/>
        <w:ind w:left="0" w:right="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信用风险自初始确认后是否显著增加的判断标准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2"/>
        <w:keepNext w:val="0"/>
        <w:keepLines w:val="0"/>
        <w:widowControl w:val="0"/>
        <w:shd w:val="clear" w:color="auto" w:fill="auto"/>
        <w:tabs>
          <w:tab w:pos="799" w:val="left"/>
        </w:tabs>
        <w:bidi w:val="0"/>
        <w:spacing w:before="0" w:after="0" w:line="311" w:lineRule="exact"/>
        <w:ind w:left="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以组合为基础评估预期信用风险的组合方法</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本集团对信用风险显著不同的金融资产单项评价信用风险，如：应收关联方款项；与对方存在争议或涉及诉讼、仲裁的 应收款项；已有明显迹象表明债务人很可能无法履行还款义务的应收款项等。</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22"/>
        <w:keepNext w:val="0"/>
        <w:keepLines w:val="0"/>
        <w:widowControl w:val="0"/>
        <w:shd w:val="clear" w:color="auto" w:fill="auto"/>
        <w:tabs>
          <w:tab w:pos="799" w:val="left"/>
        </w:tabs>
        <w:bidi w:val="0"/>
        <w:spacing w:before="0" w:after="0" w:line="311"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金融减值的会计处理方法</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期末，本集团计算各类金融资产的预计信用损失，如果该预计信用损失大于其当前减值准备的账面金额，将其差额确认 为减值损失；如果小于当前减值准备的账面金额，则将差额确认为减值利得。</w:t>
      </w:r>
    </w:p>
    <w:p>
      <w:pPr>
        <w:pStyle w:val="Style22"/>
        <w:keepNext w:val="0"/>
        <w:keepLines w:val="0"/>
        <w:widowControl w:val="0"/>
        <w:shd w:val="clear" w:color="auto" w:fill="auto"/>
        <w:tabs>
          <w:tab w:pos="799" w:val="left"/>
        </w:tabs>
        <w:bidi w:val="0"/>
        <w:spacing w:before="0" w:after="0" w:line="311" w:lineRule="exact"/>
        <w:ind w:left="0" w:right="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融资产信用损失的确定方法</w:t>
      </w:r>
    </w:p>
    <w:p>
      <w:pPr>
        <w:pStyle w:val="Style22"/>
        <w:keepNext w:val="0"/>
        <w:keepLines w:val="0"/>
        <w:widowControl w:val="0"/>
        <w:numPr>
          <w:ilvl w:val="0"/>
          <w:numId w:val="27"/>
        </w:numPr>
        <w:shd w:val="clear" w:color="auto" w:fill="auto"/>
        <w:bidi w:val="0"/>
        <w:spacing w:before="0" w:after="0" w:line="311" w:lineRule="exact"/>
        <w:ind w:left="0" w:right="0"/>
        <w:jc w:val="left"/>
      </w:pPr>
      <w:bookmarkStart w:id="815" w:name="bookmark815"/>
      <w:bookmarkEnd w:id="815"/>
      <w:r>
        <w:rPr>
          <w:color w:val="000000"/>
          <w:spacing w:val="0"/>
          <w:w w:val="100"/>
          <w:position w:val="0"/>
        </w:rPr>
        <w:t>应收票据</w:t>
      </w:r>
    </w:p>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本集团对于应收票据按照相当于整个存续期内的预期信用损失金额计量损失准备。基于应收票据的信用风险特征，将其 划分为不同组合：</w:t>
      </w:r>
    </w:p>
    <w:tbl>
      <w:tblPr>
        <w:tblOverlap w:val="never"/>
        <w:jc w:val="center"/>
        <w:tblLayout w:type="fixed"/>
      </w:tblPr>
      <w:tblGrid>
        <w:gridCol w:w="2942"/>
        <w:gridCol w:w="6734"/>
      </w:tblGrid>
      <w:tr>
        <w:trPr>
          <w:trHeight w:val="35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银行承兑汇票</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商业承兑汇票</w:t>
            </w:r>
          </w:p>
        </w:tc>
      </w:tr>
    </w:tbl>
    <w:p>
      <w:pPr>
        <w:pStyle w:val="Style30"/>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②应收账款及合同资产</w:t>
      </w:r>
    </w:p>
    <w:p>
      <w:pPr>
        <w:pStyle w:val="Style30"/>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对于不含重大融资成分的应收账款和合同资产，本集团按照相当于整个存续期内的预期信用损失金额计量损失准备。</w:t>
      </w:r>
    </w:p>
    <w:p>
      <w:pPr>
        <w:pStyle w:val="Style30"/>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对于包含重大融资成分的应收账款、合同资产和租赁应收款，本集团不选择简化处理方法，依据其信用风险自初始确认</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后是否已经显著增加，而采用未来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个月内或者整个存续期内预期信用损失的金额计量损失准备。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539"/>
        <w:gridCol w:w="7138"/>
      </w:tblGrid>
      <w:tr>
        <w:trPr>
          <w:trHeight w:val="35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39"/>
        <w:gridCol w:w="7138"/>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本组合以应收款项的账龄作为信用风险特征</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合并范围内组合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本组合为列入合并范围内公司之间的应收账款</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确凿证据可收回组合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本组合为有确凿证据可以收回的款项</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本组合以应收款项的账龄作为信用风险特征</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合并范围内组合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本组合为列入合并范围内公司之间的应收账款</w:t>
            </w:r>
          </w:p>
        </w:tc>
      </w:tr>
      <w:tr>
        <w:trP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确凿证据可收回组合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本组合为有确凿证据可以收回的款项</w:t>
            </w:r>
          </w:p>
        </w:tc>
      </w:tr>
    </w:tbl>
    <w:p>
      <w:pPr>
        <w:pStyle w:val="Style30"/>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③应收款项融资</w:t>
      </w:r>
    </w:p>
    <w:p>
      <w:pPr>
        <w:pStyle w:val="Style30"/>
        <w:keepNext w:val="0"/>
        <w:keepLines w:val="0"/>
        <w:widowControl w:val="0"/>
        <w:shd w:val="clear" w:color="auto" w:fill="auto"/>
        <w:bidi w:val="0"/>
        <w:spacing w:before="0" w:after="0" w:line="240" w:lineRule="auto"/>
        <w:ind w:left="355" w:right="0" w:firstLine="0"/>
        <w:jc w:val="left"/>
      </w:pPr>
      <w:r>
        <w:rPr>
          <w:color w:val="000000"/>
          <w:spacing w:val="0"/>
          <w:w w:val="100"/>
          <w:position w:val="0"/>
        </w:rPr>
        <w:t>以公允价值计量且其变动计入其他综合收益的应收票据和应收账款，自初始确认日起到期期限在一年内（含一年）的，</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120" w:line="240" w:lineRule="auto"/>
        <w:ind w:left="5" w:right="0" w:firstLine="0"/>
        <w:jc w:val="left"/>
      </w:pPr>
      <w:r>
        <w:rPr>
          <w:color w:val="000000"/>
          <w:spacing w:val="0"/>
          <w:w w:val="100"/>
          <w:position w:val="0"/>
        </w:rPr>
        <w:t>列报为应收款项融资。本集团采用整个存续期的预期信用损失的金额计量减值损失。</w:t>
      </w:r>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除了单项评估信用风险的应收款项融资外，基于其信用风险特征，将其划分为不同组合:</w:t>
      </w:r>
    </w:p>
    <w:tbl>
      <w:tblPr>
        <w:tblOverlap w:val="never"/>
        <w:jc w:val="center"/>
        <w:tblLayout w:type="fixed"/>
      </w:tblPr>
      <w:tblGrid>
        <w:gridCol w:w="2395"/>
        <w:gridCol w:w="7282"/>
      </w:tblGrid>
      <w:tr>
        <w:trPr>
          <w:trHeight w:val="3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本组合以应收款项的账龄作为信用风险特征</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合并范围内组合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本组合为列入合并范围内公司之间的应收账款</w:t>
            </w:r>
          </w:p>
        </w:tc>
      </w:tr>
      <w:tr>
        <w:trP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确凿证据可收回组合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本组合为有确凿证据可以收回的款项</w:t>
            </w:r>
          </w:p>
        </w:tc>
      </w:tr>
    </w:tbl>
    <w:p>
      <w:pPr>
        <w:pStyle w:val="Style30"/>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④其他应收款</w:t>
      </w:r>
    </w:p>
    <w:p>
      <w:pPr>
        <w:pStyle w:val="Style30"/>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1901"/>
        <w:gridCol w:w="7776"/>
      </w:tblGrid>
      <w:tr>
        <w:trPr>
          <w:trHeight w:val="35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本组合以其他应收款项的账龄作为信用风险特征</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合并范围内组合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本组合为列入合并范围内公司之间的其他应收款</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保证金组合</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本组合为日常经常活动中应收取的各类押金、备用金、质保金等应收款项</w:t>
            </w:r>
          </w:p>
        </w:tc>
      </w:tr>
    </w:tbl>
    <w:p>
      <w:pPr>
        <w:widowControl w:val="0"/>
        <w:spacing w:after="319" w:line="1" w:lineRule="exact"/>
      </w:pPr>
    </w:p>
    <w:p>
      <w:pPr>
        <w:pStyle w:val="Style32"/>
        <w:keepNext/>
        <w:keepLines/>
        <w:widowControl w:val="0"/>
        <w:shd w:val="clear" w:color="auto" w:fill="auto"/>
        <w:tabs>
          <w:tab w:pos="474" w:val="left"/>
        </w:tabs>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16"/>
      <w:bookmarkEnd w:id="817"/>
      <w:bookmarkEnd w:id="819"/>
    </w:p>
    <w:p>
      <w:pPr>
        <w:pStyle w:val="Style22"/>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 xml:space="preserve">分类为以公允价值计量且其变动计入其他综合收益的应收票据和应收账款，自初始确认日起到期期限在一年内（含一年） 的，列示为应收款项融资；自初始确认日起到期期限在一年以上的，列示为其他债权投资。其相关会计政策参见本附注五、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20"/>
      <w:bookmarkEnd w:id="821"/>
      <w:bookmarkEnd w:id="823"/>
    </w:p>
    <w:p>
      <w:pPr>
        <w:pStyle w:val="Style22"/>
        <w:keepNext w:val="0"/>
        <w:keepLines w:val="0"/>
        <w:widowControl w:val="0"/>
        <w:shd w:val="clear" w:color="auto" w:fill="auto"/>
        <w:tabs>
          <w:tab w:pos="805" w:val="left"/>
        </w:tabs>
        <w:bidi w:val="0"/>
        <w:spacing w:before="0" w:after="0" w:line="313" w:lineRule="exact"/>
        <w:ind w:left="0" w:right="0" w:firstLine="36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存货主要包括原材料、在产品及自制半成品、周转材料、产成品、库存商品、委托加工物资等，摊销期限不超过一年或 一个营业周期的合同履约成本也列报为存货。</w:t>
      </w:r>
    </w:p>
    <w:p>
      <w:pPr>
        <w:pStyle w:val="Style22"/>
        <w:keepNext w:val="0"/>
        <w:keepLines w:val="0"/>
        <w:widowControl w:val="0"/>
        <w:shd w:val="clear" w:color="auto" w:fill="auto"/>
        <w:tabs>
          <w:tab w:pos="805" w:val="left"/>
        </w:tabs>
        <w:bidi w:val="0"/>
        <w:spacing w:before="0" w:after="0" w:line="313" w:lineRule="exact"/>
        <w:ind w:left="0" w:right="0" w:firstLine="36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存货在取得时按实际成本计价，存货成本包括采购成本、加工成本和其他成本。领用和发出时按加权平均法计价，部分 使用</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财务软件的子公司以计划成本核算，对存货的计划成本和实际成本之间的差异，通过成本差异科目核算，并按期结 转发出存货应负担的成本差异，将计划成本调整为实际成本。</w:t>
      </w:r>
    </w:p>
    <w:p>
      <w:pPr>
        <w:pStyle w:val="Style22"/>
        <w:keepNext w:val="0"/>
        <w:keepLines w:val="0"/>
        <w:widowControl w:val="0"/>
        <w:shd w:val="clear" w:color="auto" w:fill="auto"/>
        <w:tabs>
          <w:tab w:pos="805" w:val="left"/>
        </w:tabs>
        <w:bidi w:val="0"/>
        <w:spacing w:before="0" w:after="0" w:line="313" w:lineRule="exact"/>
        <w:ind w:left="0" w:right="0" w:firstLine="36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w:t>
      </w:r>
      <w:r>
        <w:rPr>
          <w:color w:val="000000"/>
          <w:spacing w:val="0"/>
          <w:w w:val="100"/>
          <w:position w:val="0"/>
        </w:rPr>
        <w:t>备；对在同一地区生产和销售的产品系列相关、具有相同或类似最终用途或目的，且难以与其他项目分开计量的存货，可合 并计提存货跌价准备。</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2"/>
        <w:keepNext w:val="0"/>
        <w:keepLines w:val="0"/>
        <w:widowControl w:val="0"/>
        <w:shd w:val="clear" w:color="auto" w:fill="auto"/>
        <w:tabs>
          <w:tab w:pos="773" w:val="left"/>
        </w:tabs>
        <w:bidi w:val="0"/>
        <w:spacing w:before="0" w:after="0" w:line="312"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2"/>
        <w:keepNext w:val="0"/>
        <w:keepLines w:val="0"/>
        <w:widowControl w:val="0"/>
        <w:shd w:val="clear" w:color="auto" w:fill="auto"/>
        <w:tabs>
          <w:tab w:pos="773" w:val="left"/>
        </w:tabs>
        <w:bidi w:val="0"/>
        <w:spacing w:before="0" w:after="0" w:line="312"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低值易耗品于领用时按一次摊销法摊销；包装物于领用时按一次摊销法摊销。</w:t>
      </w:r>
    </w:p>
    <w:p>
      <w:pPr>
        <w:pStyle w:val="Style32"/>
        <w:keepNext/>
        <w:keepLines/>
        <w:widowControl w:val="0"/>
        <w:shd w:val="clear" w:color="auto" w:fill="auto"/>
        <w:tabs>
          <w:tab w:pos="422"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29"/>
      <w:bookmarkEnd w:id="830"/>
      <w:bookmarkEnd w:id="832"/>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p>
    <w:p>
      <w:pPr>
        <w:pStyle w:val="Style32"/>
        <w:keepNext/>
        <w:keepLines/>
        <w:widowControl w:val="0"/>
        <w:shd w:val="clear" w:color="auto" w:fill="auto"/>
        <w:tabs>
          <w:tab w:pos="422"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833"/>
      <w:bookmarkEnd w:id="834"/>
      <w:bookmarkEnd w:id="836"/>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本集团为取得合同发生的增量成本预期能够收回的，作为合同取得成本确认为一项资产。但是，如果该资产的摊销期限 不超过一年，则在发生时计入当期损益。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年修订）》之外的其他企业会计准则规范范围且同 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22"/>
        <w:keepNext w:val="0"/>
        <w:keepLines w:val="0"/>
        <w:widowControl w:val="0"/>
        <w:shd w:val="clear" w:color="auto" w:fill="auto"/>
        <w:bidi w:val="0"/>
        <w:spacing w:before="0" w:after="400" w:line="314" w:lineRule="exact"/>
        <w:ind w:left="0" w:right="0"/>
        <w:jc w:val="both"/>
      </w:pPr>
      <w:r>
        <w:rPr>
          <w:color w:val="000000"/>
          <w:spacing w:val="0"/>
          <w:w w:val="100"/>
          <w:position w:val="0"/>
        </w:rPr>
        <w:t>与合同成本有关的资产采用与该资产相关的商品收入确认相同的基础进行摊销，计入当期损益。</w:t>
      </w:r>
    </w:p>
    <w:p>
      <w:pPr>
        <w:pStyle w:val="Style32"/>
        <w:keepNext/>
        <w:keepLines/>
        <w:widowControl w:val="0"/>
        <w:shd w:val="clear" w:color="auto" w:fill="auto"/>
        <w:tabs>
          <w:tab w:pos="422"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37"/>
      <w:bookmarkEnd w:id="838"/>
      <w:bookmarkEnd w:id="840"/>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本集团若主要通过出售（包括具有商业实质的非货币性资产交换，下同）而非持续使用一项非流动资产或处置组收回其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类资产或处置组的惯例，在当前状况下即可立即出售；本集团已经就出售计划作出决议且获得确定的购买承诺；预计出售将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号——资产减值》分摊了企业合并 中取得的商誉的，该处置组应当包含分摊至处置组的商誉。</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本集团初始计量或在资产负债表日重新计量划分为持有待售的非流动资产和处置组时，其账面价值高于公允价值减去出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2"/>
        <w:keepNext w:val="0"/>
        <w:keepLines w:val="0"/>
        <w:widowControl w:val="0"/>
        <w:shd w:val="clear" w:color="auto" w:fill="auto"/>
        <w:bidi w:val="0"/>
        <w:spacing w:before="0" w:after="400" w:line="312" w:lineRule="exact"/>
        <w:ind w:left="0" w:right="0"/>
        <w:jc w:val="both"/>
      </w:pPr>
      <w:r>
        <w:rPr>
          <w:color w:val="000000"/>
          <w:spacing w:val="0"/>
          <w:w w:val="100"/>
          <w:position w:val="0"/>
        </w:rPr>
        <w:t xml:space="preserve">非流动资产或处置组不再满足持有待售类别的划分条件时，本集团不再将其继续划分为持有待售类别或将非流动资产从 </w:t>
      </w:r>
      <w:r>
        <w:rPr>
          <w:color w:val="000000"/>
          <w:spacing w:val="0"/>
          <w:w w:val="100"/>
          <w:position w:val="0"/>
        </w:rPr>
        <w:t>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2"/>
        <w:keepNext/>
        <w:keepLines/>
        <w:widowControl w:val="0"/>
        <w:shd w:val="clear" w:color="auto" w:fill="auto"/>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41"/>
      <w:bookmarkEnd w:id="842"/>
      <w:bookmarkEnd w:id="844"/>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方一起共同控制这些政策的制定。</w:t>
      </w:r>
    </w:p>
    <w:p>
      <w:pPr>
        <w:pStyle w:val="Style22"/>
        <w:keepNext w:val="0"/>
        <w:keepLines w:val="0"/>
        <w:widowControl w:val="0"/>
        <w:shd w:val="clear" w:color="auto" w:fill="auto"/>
        <w:tabs>
          <w:tab w:pos="765" w:val="left"/>
        </w:tabs>
        <w:bidi w:val="0"/>
        <w:spacing w:before="0" w:after="0" w:line="311"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投资成本的确定</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的差额，调整资本公积；资本公积不足冲减的，调整留存收益。合并日之前持有的股权投资因采用权益法核算或作为以公允 价值计量且其变动计入其他综合收益的金融资产而确认的其他综合收益，暂不进行会计处理。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22"/>
        <w:keepNext w:val="0"/>
        <w:keepLines w:val="0"/>
        <w:widowControl w:val="0"/>
        <w:shd w:val="clear" w:color="auto" w:fill="auto"/>
        <w:tabs>
          <w:tab w:pos="765" w:val="left"/>
        </w:tabs>
        <w:bidi w:val="0"/>
        <w:spacing w:before="0" w:after="0" w:line="311"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2"/>
        <w:keepNext w:val="0"/>
        <w:keepLines w:val="0"/>
        <w:widowControl w:val="0"/>
        <w:numPr>
          <w:ilvl w:val="0"/>
          <w:numId w:val="29"/>
        </w:numPr>
        <w:shd w:val="clear" w:color="auto" w:fill="auto"/>
        <w:bidi w:val="0"/>
        <w:spacing w:before="0" w:after="0" w:line="311" w:lineRule="exact"/>
        <w:ind w:left="0" w:right="0"/>
        <w:jc w:val="both"/>
      </w:pPr>
      <w:bookmarkStart w:id="847" w:name="bookmark847"/>
      <w:bookmarkEnd w:id="847"/>
      <w:r>
        <w:rPr>
          <w:color w:val="000000"/>
          <w:spacing w:val="0"/>
          <w:w w:val="100"/>
          <w:position w:val="0"/>
        </w:rPr>
        <w:t>成本法核算的长期股权投资</w:t>
      </w:r>
    </w:p>
    <w:p>
      <w:pPr>
        <w:pStyle w:val="Style22"/>
        <w:keepNext w:val="0"/>
        <w:keepLines w:val="0"/>
        <w:widowControl w:val="0"/>
        <w:shd w:val="clear" w:color="auto" w:fill="auto"/>
        <w:bidi w:val="0"/>
        <w:spacing w:before="0" w:after="0" w:line="311"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股利或利润确认。</w:t>
      </w:r>
    </w:p>
    <w:p>
      <w:pPr>
        <w:pStyle w:val="Style22"/>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48" w:name="bookmark848"/>
      <w:bookmarkEnd w:id="848"/>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2"/>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49" w:name="bookmark849"/>
      <w:bookmarkEnd w:id="849"/>
      <w:r>
        <w:rPr>
          <w:color w:val="000000"/>
          <w:spacing w:val="0"/>
          <w:w w:val="100"/>
          <w:position w:val="0"/>
        </w:rPr>
        <w:t>收购少数股权</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2"/>
        <w:keepNext w:val="0"/>
        <w:keepLines w:val="0"/>
        <w:widowControl w:val="0"/>
        <w:numPr>
          <w:ilvl w:val="0"/>
          <w:numId w:val="31"/>
        </w:numPr>
        <w:shd w:val="clear" w:color="auto" w:fill="auto"/>
        <w:tabs>
          <w:tab w:pos="693" w:val="left"/>
        </w:tabs>
        <w:bidi w:val="0"/>
        <w:spacing w:before="0" w:after="0" w:line="312" w:lineRule="exact"/>
        <w:ind w:left="0" w:right="0"/>
        <w:jc w:val="both"/>
      </w:pPr>
      <w:bookmarkStart w:id="850" w:name="bookmark850"/>
      <w:bookmarkEnd w:id="850"/>
      <w:r>
        <w:rPr>
          <w:color w:val="000000"/>
          <w:spacing w:val="0"/>
          <w:w w:val="100"/>
          <w:position w:val="0"/>
        </w:rPr>
        <w:t>处置长期股权投资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）中所述的相关会计政策处理。</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w:t>
      </w:r>
      <w:r>
        <w:rPr>
          <w:color w:val="000000"/>
          <w:spacing w:val="0"/>
          <w:w w:val="100"/>
          <w:position w:val="0"/>
        </w:rPr>
        <w:t>所有者权益全部结转。</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2"/>
        <w:keepNext w:val="0"/>
        <w:keepLines w:val="0"/>
        <w:widowControl w:val="0"/>
        <w:shd w:val="clear" w:color="auto" w:fill="auto"/>
        <w:bidi w:val="0"/>
        <w:spacing w:before="0" w:after="380" w:line="313" w:lineRule="exact"/>
        <w:ind w:left="0" w:right="0"/>
        <w:jc w:val="left"/>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2"/>
        <w:keepNext/>
        <w:keepLines/>
        <w:widowControl w:val="0"/>
        <w:shd w:val="clear" w:color="auto" w:fill="auto"/>
        <w:tabs>
          <w:tab w:pos="457" w:val="left"/>
        </w:tabs>
        <w:bidi w:val="0"/>
        <w:spacing w:before="0" w:after="28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851"/>
      <w:bookmarkEnd w:id="852"/>
      <w:bookmarkEnd w:id="854"/>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转让的土地使用权、已出租的建筑物等。此外，对于本集团持有以备经营出租的空置建筑物，若董事会（或类似机构）作出 书面决议，明确表示将其用于经营出租且持有意图短期内不再发生变化的，也作为投资性房地产列报。</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本集团采用成本模式对投资性房地产进行后续计量，并按照与房屋建筑物或土地使用权一致的政策进行折旧或摊销。</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2"/>
        <w:keepNext w:val="0"/>
        <w:keepLines w:val="0"/>
        <w:widowControl w:val="0"/>
        <w:shd w:val="clear" w:color="auto" w:fill="auto"/>
        <w:bidi w:val="0"/>
        <w:spacing w:before="0" w:after="380" w:line="312" w:lineRule="exact"/>
        <w:ind w:left="0" w:right="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2"/>
        <w:keepNext/>
        <w:keepLines/>
        <w:widowControl w:val="0"/>
        <w:shd w:val="clear" w:color="auto" w:fill="auto"/>
        <w:tabs>
          <w:tab w:pos="457" w:val="left"/>
        </w:tabs>
        <w:bidi w:val="0"/>
        <w:spacing w:before="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855"/>
      <w:bookmarkEnd w:id="856"/>
      <w:bookmarkEnd w:id="858"/>
    </w:p>
    <w:p>
      <w:pPr>
        <w:pStyle w:val="Style37"/>
        <w:keepNext/>
        <w:keepLines/>
        <w:widowControl w:val="0"/>
        <w:shd w:val="clear" w:color="auto" w:fill="auto"/>
        <w:bidi w:val="0"/>
        <w:spacing w:before="0" w:after="280" w:line="240" w:lineRule="auto"/>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9"/>
      <w:bookmarkEnd w:id="860"/>
      <w:bookmarkEnd w:id="862"/>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在与其有关的经济利益很可能流入本集团，且其成本能够可靠地计量时才予以确认。固定资产按成本并考虑预计弃置费用因 素的影响进行初始计量。</w:t>
      </w:r>
    </w:p>
    <w:p>
      <w:pPr>
        <w:pStyle w:val="Style37"/>
        <w:keepNext/>
        <w:keepLines/>
        <w:widowControl w:val="0"/>
        <w:shd w:val="clear" w:color="auto" w:fill="auto"/>
        <w:bidi w:val="0"/>
        <w:spacing w:before="0" w:after="320" w:line="240" w:lineRule="auto"/>
        <w:ind w:left="0" w:right="0" w:firstLine="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3"/>
      <w:bookmarkEnd w:id="864"/>
      <w:bookmarkEnd w:id="866"/>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固定资产的减值测试方法和减值准备计提方法详见附注五、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2"/>
        <w:keepNext w:val="0"/>
        <w:keepLines w:val="0"/>
        <w:widowControl w:val="0"/>
        <w:shd w:val="clear" w:color="auto" w:fill="auto"/>
        <w:bidi w:val="0"/>
        <w:spacing w:before="0" w:after="380" w:line="316" w:lineRule="exact"/>
        <w:ind w:left="0" w:right="0"/>
        <w:jc w:val="both"/>
      </w:pPr>
      <w:r>
        <w:rPr>
          <w:color w:val="000000"/>
          <w:spacing w:val="0"/>
          <w:w w:val="100"/>
          <w:position w:val="0"/>
        </w:rPr>
        <w:t>本集团至少于年度终了对固定资产的使用寿命、预计净残值和折旧方法进行复核，如发生改变则作为会计估计变更处理。</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67"/>
      <w:bookmarkEnd w:id="868"/>
      <w:bookmarkEnd w:id="870"/>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2"/>
        <w:keepNext w:val="0"/>
        <w:keepLines w:val="0"/>
        <w:widowControl w:val="0"/>
        <w:shd w:val="clear" w:color="auto" w:fill="auto"/>
        <w:bidi w:val="0"/>
        <w:spacing w:before="0" w:after="380" w:line="316" w:lineRule="exact"/>
        <w:ind w:left="0" w:right="0"/>
        <w:jc w:val="left"/>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71"/>
      <w:bookmarkEnd w:id="872"/>
      <w:bookmarkEnd w:id="874"/>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所必要的购建或生产活动已经开始时，开始资本化；购建或者生产的符合资本化条件的资产达到预定可使用状态或者可销售 状态时，停止资本化。其余借款费用在发生当期确认为费用。</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875"/>
      <w:bookmarkEnd w:id="876"/>
      <w:bookmarkEnd w:id="878"/>
    </w:p>
    <w:p>
      <w:pPr>
        <w:pStyle w:val="Style22"/>
        <w:keepNext w:val="0"/>
        <w:keepLines w:val="0"/>
        <w:widowControl w:val="0"/>
        <w:shd w:val="clear" w:color="auto" w:fill="auto"/>
        <w:bidi w:val="0"/>
        <w:spacing w:before="0" w:after="380" w:line="316" w:lineRule="exact"/>
        <w:ind w:left="0" w:right="0"/>
        <w:jc w:val="left"/>
      </w:pPr>
      <w:r>
        <w:rPr>
          <w:color w:val="000000"/>
          <w:spacing w:val="0"/>
          <w:w w:val="100"/>
          <w:position w:val="0"/>
        </w:rPr>
        <w:t>使用权资产的确定方法及会计处理方法，参见本附注五、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879"/>
      <w:bookmarkEnd w:id="880"/>
      <w:bookmarkEnd w:id="882"/>
    </w:p>
    <w:p>
      <w:pPr>
        <w:pStyle w:val="Style37"/>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3"/>
      <w:bookmarkEnd w:id="884"/>
      <w:bookmarkEnd w:id="886"/>
    </w:p>
    <w:p>
      <w:pPr>
        <w:pStyle w:val="Style22"/>
        <w:keepNext w:val="0"/>
        <w:keepLines w:val="0"/>
        <w:widowControl w:val="0"/>
        <w:shd w:val="clear" w:color="auto" w:fill="auto"/>
        <w:bidi w:val="0"/>
        <w:spacing w:before="0" w:after="140" w:line="316" w:lineRule="exact"/>
        <w:ind w:left="0" w:right="0"/>
        <w:jc w:val="left"/>
      </w:pPr>
      <w:r>
        <w:rPr>
          <w:color w:val="000000"/>
          <w:spacing w:val="0"/>
          <w:w w:val="100"/>
          <w:position w:val="0"/>
        </w:rPr>
        <w:t>无形资产是指本集团拥有或者控制的没有实物形态的可辨认非货币性资产。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7"/>
      <w:bookmarkEnd w:id="888"/>
      <w:bookmarkEnd w:id="890"/>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本集团内部研究开发项目的支出分为研究阶段支出与开发阶段支出。</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研究阶段的支出，于发生时计入当期损益。</w:t>
      </w:r>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2"/>
        <w:keepNext w:val="0"/>
        <w:keepLines w:val="0"/>
        <w:widowControl w:val="0"/>
        <w:numPr>
          <w:ilvl w:val="0"/>
          <w:numId w:val="33"/>
        </w:numPr>
        <w:shd w:val="clear" w:color="auto" w:fill="auto"/>
        <w:tabs>
          <w:tab w:pos="720" w:val="left"/>
        </w:tabs>
        <w:bidi w:val="0"/>
        <w:spacing w:before="0" w:after="0" w:line="312" w:lineRule="exact"/>
        <w:ind w:left="0" w:right="0"/>
        <w:jc w:val="left"/>
      </w:pPr>
      <w:bookmarkStart w:id="891" w:name="bookmark891"/>
      <w:bookmarkEnd w:id="891"/>
      <w:r>
        <w:rPr>
          <w:color w:val="000000"/>
          <w:spacing w:val="0"/>
          <w:w w:val="100"/>
          <w:position w:val="0"/>
        </w:rPr>
        <w:t>完成该无形资产以使其能够使用或出售在技术上具有可行性；</w:t>
      </w:r>
    </w:p>
    <w:p>
      <w:pPr>
        <w:pStyle w:val="Style22"/>
        <w:keepNext w:val="0"/>
        <w:keepLines w:val="0"/>
        <w:widowControl w:val="0"/>
        <w:numPr>
          <w:ilvl w:val="0"/>
          <w:numId w:val="33"/>
        </w:numPr>
        <w:shd w:val="clear" w:color="auto" w:fill="auto"/>
        <w:tabs>
          <w:tab w:pos="720" w:val="left"/>
        </w:tabs>
        <w:bidi w:val="0"/>
        <w:spacing w:before="0" w:after="0" w:line="312" w:lineRule="exact"/>
        <w:ind w:left="0" w:right="0"/>
        <w:jc w:val="left"/>
      </w:pPr>
      <w:bookmarkStart w:id="892" w:name="bookmark892"/>
      <w:bookmarkEnd w:id="892"/>
      <w:r>
        <w:rPr>
          <w:color w:val="000000"/>
          <w:spacing w:val="0"/>
          <w:w w:val="100"/>
          <w:position w:val="0"/>
        </w:rPr>
        <w:t>具有完成该无形资产并使用或出售的意图；</w:t>
      </w:r>
    </w:p>
    <w:p>
      <w:pPr>
        <w:pStyle w:val="Style22"/>
        <w:keepNext w:val="0"/>
        <w:keepLines w:val="0"/>
        <w:widowControl w:val="0"/>
        <w:numPr>
          <w:ilvl w:val="0"/>
          <w:numId w:val="33"/>
        </w:numPr>
        <w:shd w:val="clear" w:color="auto" w:fill="auto"/>
        <w:tabs>
          <w:tab w:pos="695" w:val="left"/>
        </w:tabs>
        <w:bidi w:val="0"/>
        <w:spacing w:before="0" w:after="0" w:line="317" w:lineRule="exact"/>
        <w:ind w:left="0" w:right="0"/>
        <w:jc w:val="both"/>
      </w:pPr>
      <w:bookmarkStart w:id="893" w:name="bookmark893"/>
      <w:bookmarkEnd w:id="893"/>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2"/>
        <w:keepNext w:val="0"/>
        <w:keepLines w:val="0"/>
        <w:widowControl w:val="0"/>
        <w:numPr>
          <w:ilvl w:val="0"/>
          <w:numId w:val="33"/>
        </w:numPr>
        <w:shd w:val="clear" w:color="auto" w:fill="auto"/>
        <w:tabs>
          <w:tab w:pos="720" w:val="left"/>
        </w:tabs>
        <w:bidi w:val="0"/>
        <w:spacing w:before="0" w:after="0" w:line="312" w:lineRule="exact"/>
        <w:ind w:left="0" w:right="0"/>
        <w:jc w:val="left"/>
      </w:pPr>
      <w:bookmarkStart w:id="894" w:name="bookmark894"/>
      <w:bookmarkEnd w:id="894"/>
      <w:r>
        <w:rPr>
          <w:color w:val="000000"/>
          <w:spacing w:val="0"/>
          <w:w w:val="100"/>
          <w:position w:val="0"/>
        </w:rPr>
        <w:t>有足够的技术、财务资源和其他资源支持，以完成该无形资产的开发，并有能力使用或出售该无形资产；</w:t>
      </w:r>
    </w:p>
    <w:p>
      <w:pPr>
        <w:pStyle w:val="Style22"/>
        <w:keepNext w:val="0"/>
        <w:keepLines w:val="0"/>
        <w:widowControl w:val="0"/>
        <w:numPr>
          <w:ilvl w:val="0"/>
          <w:numId w:val="33"/>
        </w:numPr>
        <w:shd w:val="clear" w:color="auto" w:fill="auto"/>
        <w:tabs>
          <w:tab w:pos="720" w:val="left"/>
        </w:tabs>
        <w:bidi w:val="0"/>
        <w:spacing w:before="0" w:after="0" w:line="312" w:lineRule="exact"/>
        <w:ind w:left="0" w:right="0"/>
        <w:jc w:val="left"/>
      </w:pPr>
      <w:bookmarkStart w:id="895" w:name="bookmark895"/>
      <w:bookmarkEnd w:id="895"/>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380" w:line="312" w:lineRule="exact"/>
        <w:ind w:left="0" w:right="0"/>
        <w:jc w:val="left"/>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896"/>
      <w:bookmarkEnd w:id="897"/>
      <w:bookmarkEnd w:id="899"/>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对于固定资产、在建工程、使用权资产、使用寿命有限的无形资产、以成本模式计量的投资性房地产及对子公司、合营 企业、联营企业的长期股权投资等非流动非金融资产，本集团于资产负债表日判断是否存在减值迹象。如存在减值迹象的，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2"/>
        <w:keepNext w:val="0"/>
        <w:keepLines w:val="0"/>
        <w:widowControl w:val="0"/>
        <w:shd w:val="clear" w:color="auto" w:fill="auto"/>
        <w:bidi w:val="0"/>
        <w:spacing w:before="0" w:after="380" w:line="317" w:lineRule="exact"/>
        <w:ind w:left="0" w:right="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900"/>
      <w:bookmarkEnd w:id="901"/>
      <w:bookmarkEnd w:id="903"/>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长期待摊费用为已经发生但应由报告期和以后各期负担的分摊期限在一年以上的各项费用。本集团的长期待摊费用主要 包括搬迁费用、设备改造安装、装修费等。长期待摊费用在预计受益期间按直线法摊销。</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904"/>
      <w:bookmarkEnd w:id="905"/>
      <w:bookmarkEnd w:id="907"/>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合同负债，是指本集团已收或应收客户对价而应向客户转让商品的义务。如果在本集团向客户转让商品之前，客户已经 支付了合同对价或本集团已经取得了无条件收款权，本集团在客户实际支付款项和到期应支付款项孰早时点，将该已收或应 收款项列示为合同负债。同一合同下的合同资产和合同负债以净额列示，不同合同下的合同资产和合同负债不予抵销。</w:t>
      </w:r>
    </w:p>
    <w:p>
      <w:pPr>
        <w:pStyle w:val="Style32"/>
        <w:keepNext/>
        <w:keepLines/>
        <w:widowControl w:val="0"/>
        <w:shd w:val="clear" w:color="auto" w:fill="auto"/>
        <w:tabs>
          <w:tab w:pos="483" w:val="left"/>
        </w:tabs>
        <w:bidi w:val="0"/>
        <w:spacing w:before="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908"/>
      <w:bookmarkEnd w:id="909"/>
      <w:bookmarkEnd w:id="911"/>
    </w:p>
    <w:p>
      <w:pPr>
        <w:pStyle w:val="Style37"/>
        <w:keepNext/>
        <w:keepLines/>
        <w:widowControl w:val="0"/>
        <w:shd w:val="clear" w:color="auto" w:fill="auto"/>
        <w:tabs>
          <w:tab w:pos="493"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2"/>
      <w:bookmarkEnd w:id="913"/>
      <w:bookmarkEnd w:id="915"/>
    </w:p>
    <w:p>
      <w:pPr>
        <w:pStyle w:val="Style22"/>
        <w:keepNext w:val="0"/>
        <w:keepLines w:val="0"/>
        <w:widowControl w:val="0"/>
        <w:shd w:val="clear" w:color="auto" w:fill="auto"/>
        <w:bidi w:val="0"/>
        <w:spacing w:before="0" w:after="380" w:line="314" w:lineRule="exact"/>
        <w:ind w:left="0" w:right="0"/>
        <w:jc w:val="left"/>
      </w:pPr>
      <w:r>
        <w:rPr>
          <w:color w:val="000000"/>
          <w:spacing w:val="0"/>
          <w:w w:val="100"/>
          <w:position w:val="0"/>
        </w:rPr>
        <w:t>短期薪酬主要包括工资、奖金、津贴和补贴、职工福利费、医疗保险费、生育保险费、工伤保险费、住房公积金、工会 经费和职工教育经费、非货币性福利等。本集团在职工为本集团提供服务的会计期间将实际发生的短期职工薪酬确认为负债， 并计入当期损益或相关资产成本。其中非货币性福利按公允价值计量。</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6"/>
      <w:bookmarkEnd w:id="917"/>
      <w:bookmarkEnd w:id="919"/>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离职后福利主要包括基本养老保险、失业保险以及年金等。离职后福利计划包括设定提存计划及设定受益计划。采用设 定提存计划的，相应的应缴存金额于发生时计入相关资产成本或当期损益。</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0"/>
      <w:bookmarkEnd w:id="921"/>
      <w:bookmarkEnd w:id="923"/>
    </w:p>
    <w:p>
      <w:pPr>
        <w:pStyle w:val="Style22"/>
        <w:keepNext w:val="0"/>
        <w:keepLines w:val="0"/>
        <w:widowControl w:val="0"/>
        <w:shd w:val="clear" w:color="auto" w:fill="auto"/>
        <w:bidi w:val="0"/>
        <w:spacing w:before="0" w:after="0" w:line="312" w:lineRule="exact"/>
        <w:ind w:left="0" w:right="0"/>
        <w:jc w:val="left"/>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2"/>
        <w:keepNext w:val="0"/>
        <w:keepLines w:val="0"/>
        <w:widowControl w:val="0"/>
        <w:shd w:val="clear" w:color="auto" w:fill="auto"/>
        <w:bidi w:val="0"/>
        <w:spacing w:before="0" w:after="380" w:line="322" w:lineRule="exact"/>
        <w:ind w:left="0" w:right="0"/>
        <w:jc w:val="left"/>
      </w:pPr>
      <w:r>
        <w:rPr>
          <w:color w:val="000000"/>
          <w:spacing w:val="0"/>
          <w:w w:val="100"/>
          <w:position w:val="0"/>
        </w:rPr>
        <w:t>职工内部退休计划采用与上述辞退福利相同的原则处理。本集团将自职工停止提供服务日至正常退休日的期间拟支付的 内退人员工资和缴纳的社会保险费等，在符合预计负债确认条件时，计入当期损益（辞退福利）。</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4"/>
      <w:bookmarkEnd w:id="925"/>
      <w:bookmarkEnd w:id="927"/>
    </w:p>
    <w:p>
      <w:pPr>
        <w:pStyle w:val="Style22"/>
        <w:keepNext w:val="0"/>
        <w:keepLines w:val="0"/>
        <w:widowControl w:val="0"/>
        <w:shd w:val="clear" w:color="auto" w:fill="auto"/>
        <w:bidi w:val="0"/>
        <w:spacing w:before="0" w:after="380" w:line="322" w:lineRule="exact"/>
        <w:ind w:left="0" w:right="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928"/>
      <w:bookmarkEnd w:id="929"/>
      <w:bookmarkEnd w:id="931"/>
    </w:p>
    <w:p>
      <w:pPr>
        <w:pStyle w:val="Style22"/>
        <w:keepNext w:val="0"/>
        <w:keepLines w:val="0"/>
        <w:widowControl w:val="0"/>
        <w:shd w:val="clear" w:color="auto" w:fill="auto"/>
        <w:bidi w:val="0"/>
        <w:spacing w:before="0" w:after="320" w:line="317" w:lineRule="exact"/>
        <w:ind w:left="0" w:right="0"/>
        <w:jc w:val="left"/>
      </w:pPr>
      <w:r>
        <w:rPr>
          <w:color w:val="000000"/>
          <w:spacing w:val="0"/>
          <w:w w:val="100"/>
          <w:position w:val="0"/>
        </w:rPr>
        <w:t>租赁负债的确认方法及会计处理方法，参见本附注五、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57" w:val="left"/>
        </w:tabs>
        <w:bidi w:val="0"/>
        <w:spacing w:before="0" w:after="2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32"/>
      <w:bookmarkEnd w:id="933"/>
      <w:bookmarkEnd w:id="935"/>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 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2"/>
        <w:keepNext w:val="0"/>
        <w:keepLines w:val="0"/>
        <w:widowControl w:val="0"/>
        <w:shd w:val="clear" w:color="auto" w:fill="auto"/>
        <w:tabs>
          <w:tab w:pos="799" w:val="left"/>
        </w:tabs>
        <w:bidi w:val="0"/>
        <w:spacing w:before="0" w:after="0" w:line="315" w:lineRule="exact"/>
        <w:ind w:left="0" w:right="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2"/>
        <w:keepNext w:val="0"/>
        <w:keepLines w:val="0"/>
        <w:widowControl w:val="0"/>
        <w:shd w:val="clear" w:color="auto" w:fill="auto"/>
        <w:tabs>
          <w:tab w:pos="799" w:val="left"/>
        </w:tabs>
        <w:bidi w:val="0"/>
        <w:spacing w:before="0" w:after="0" w:line="317"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出确定预计负债金额。对于出售部分业务的重组义务，只有在本集团承诺出售部分业务（即签订了约束性出售协议时），才 确认与重组相关的义务。</w:t>
      </w:r>
    </w:p>
    <w:p>
      <w:pPr>
        <w:pStyle w:val="Style32"/>
        <w:keepNext/>
        <w:keepLines/>
        <w:widowControl w:val="0"/>
        <w:shd w:val="clear" w:color="auto" w:fill="auto"/>
        <w:tabs>
          <w:tab w:pos="457" w:val="left"/>
        </w:tabs>
        <w:bidi w:val="0"/>
        <w:spacing w:before="0" w:after="2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38"/>
      <w:bookmarkEnd w:id="939"/>
      <w:bookmarkEnd w:id="941"/>
    </w:p>
    <w:p>
      <w:pPr>
        <w:pStyle w:val="Style22"/>
        <w:keepNext w:val="0"/>
        <w:keepLines w:val="0"/>
        <w:widowControl w:val="0"/>
        <w:shd w:val="clear" w:color="auto" w:fill="auto"/>
        <w:tabs>
          <w:tab w:pos="799" w:val="left"/>
        </w:tabs>
        <w:bidi w:val="0"/>
        <w:spacing w:before="0" w:after="0" w:line="315" w:lineRule="exact"/>
        <w:ind w:left="0" w:right="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2"/>
        <w:keepNext w:val="0"/>
        <w:keepLines w:val="0"/>
        <w:widowControl w:val="0"/>
        <w:numPr>
          <w:ilvl w:val="0"/>
          <w:numId w:val="35"/>
        </w:numPr>
        <w:shd w:val="clear" w:color="auto" w:fill="auto"/>
        <w:tabs>
          <w:tab w:pos="727" w:val="left"/>
        </w:tabs>
        <w:bidi w:val="0"/>
        <w:spacing w:before="0" w:after="0" w:line="315" w:lineRule="exact"/>
        <w:ind w:left="0" w:right="0"/>
        <w:jc w:val="both"/>
      </w:pPr>
      <w:bookmarkStart w:id="943" w:name="bookmark943"/>
      <w:bookmarkEnd w:id="943"/>
      <w:r>
        <w:rPr>
          <w:color w:val="000000"/>
          <w:spacing w:val="0"/>
          <w:w w:val="100"/>
          <w:position w:val="0"/>
        </w:rPr>
        <w:t>以权益结算的股份支付</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在等待期内每个资产负债表日，本集团根据最新取得的可行权职工人数变动等后续信息做出最佳估计，修正预计可行权 的权益工具数量。上述估计的影响计入当期相关成本或费用，并相应调整资本公积。</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2"/>
        <w:keepNext w:val="0"/>
        <w:keepLines w:val="0"/>
        <w:widowControl w:val="0"/>
        <w:numPr>
          <w:ilvl w:val="0"/>
          <w:numId w:val="35"/>
        </w:numPr>
        <w:shd w:val="clear" w:color="auto" w:fill="auto"/>
        <w:tabs>
          <w:tab w:pos="727" w:val="left"/>
        </w:tabs>
        <w:bidi w:val="0"/>
        <w:spacing w:before="0" w:after="0" w:line="315" w:lineRule="exact"/>
        <w:ind w:left="0" w:right="0"/>
        <w:jc w:val="both"/>
      </w:pPr>
      <w:bookmarkStart w:id="944" w:name="bookmark944"/>
      <w:bookmarkEnd w:id="944"/>
      <w:r>
        <w:rPr>
          <w:color w:val="000000"/>
          <w:spacing w:val="0"/>
          <w:w w:val="100"/>
          <w:position w:val="0"/>
        </w:rPr>
        <w:t>以现金结算的股份支付</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22"/>
        <w:keepNext w:val="0"/>
        <w:keepLines w:val="0"/>
        <w:widowControl w:val="0"/>
        <w:shd w:val="clear" w:color="auto" w:fill="auto"/>
        <w:tabs>
          <w:tab w:pos="799" w:val="left"/>
        </w:tabs>
        <w:bidi w:val="0"/>
        <w:spacing w:before="0" w:after="0" w:line="315"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2"/>
        <w:keepNext w:val="0"/>
        <w:keepLines w:val="0"/>
        <w:widowControl w:val="0"/>
        <w:shd w:val="clear" w:color="auto" w:fill="auto"/>
        <w:bidi w:val="0"/>
        <w:spacing w:before="0" w:after="0" w:line="315" w:lineRule="exact"/>
        <w:ind w:left="0" w:right="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2"/>
        <w:keepNext w:val="0"/>
        <w:keepLines w:val="0"/>
        <w:widowControl w:val="0"/>
        <w:shd w:val="clear" w:color="auto" w:fill="auto"/>
        <w:bidi w:val="0"/>
        <w:spacing w:before="0" w:after="0" w:line="317" w:lineRule="exact"/>
        <w:ind w:left="0" w:right="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）涉及本集团与本公司股东或实际控制人的股份支付交易的会计处理</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涉及本集团与本公司股东或实际控制人的股份支付交易，结算企业与接受服务企业中其一在本集团内，另一在本集团外 的，在本集团合并财务报表中按照以下规定进行会计处理：</w:t>
      </w:r>
    </w:p>
    <w:p>
      <w:pPr>
        <w:pStyle w:val="Style22"/>
        <w:keepNext w:val="0"/>
        <w:keepLines w:val="0"/>
        <w:widowControl w:val="0"/>
        <w:numPr>
          <w:ilvl w:val="0"/>
          <w:numId w:val="37"/>
        </w:numPr>
        <w:shd w:val="clear" w:color="auto" w:fill="auto"/>
        <w:tabs>
          <w:tab w:pos="721" w:val="left"/>
        </w:tabs>
        <w:bidi w:val="0"/>
        <w:spacing w:before="0" w:after="0" w:line="322" w:lineRule="exact"/>
        <w:ind w:left="0" w:right="0"/>
        <w:jc w:val="both"/>
      </w:pPr>
      <w:bookmarkStart w:id="947" w:name="bookmark947"/>
      <w:bookmarkEnd w:id="947"/>
      <w:r>
        <w:rPr>
          <w:color w:val="000000"/>
          <w:spacing w:val="0"/>
          <w:w w:val="100"/>
          <w:position w:val="0"/>
        </w:rPr>
        <w:t>结算企业以其本身权益工具结算的，将该股份支付交易作为权益结算的股份支付处理；除此之外，作为现金结算的股 份支付处理。</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2"/>
        <w:keepNext w:val="0"/>
        <w:keepLines w:val="0"/>
        <w:widowControl w:val="0"/>
        <w:numPr>
          <w:ilvl w:val="0"/>
          <w:numId w:val="37"/>
        </w:numPr>
        <w:shd w:val="clear" w:color="auto" w:fill="auto"/>
        <w:tabs>
          <w:tab w:pos="721" w:val="left"/>
        </w:tabs>
        <w:bidi w:val="0"/>
        <w:spacing w:before="0" w:after="0" w:line="307" w:lineRule="exact"/>
        <w:ind w:left="0" w:right="0"/>
        <w:jc w:val="both"/>
      </w:pPr>
      <w:bookmarkStart w:id="948" w:name="bookmark948"/>
      <w:bookmarkEnd w:id="948"/>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22"/>
        <w:keepNext w:val="0"/>
        <w:keepLines w:val="0"/>
        <w:widowControl w:val="0"/>
        <w:shd w:val="clear" w:color="auto" w:fill="auto"/>
        <w:bidi w:val="0"/>
        <w:spacing w:before="0" w:after="380" w:line="322" w:lineRule="exact"/>
        <w:ind w:left="0" w:right="0"/>
        <w:jc w:val="both"/>
      </w:pPr>
      <w:r>
        <w:rPr>
          <w:color w:val="000000"/>
          <w:spacing w:val="0"/>
          <w:w w:val="100"/>
          <w:position w:val="0"/>
        </w:rPr>
        <w:t>本集团内各企业之间发生的股份支付交易，接受服务企业和结算企业不是同一企业的，在接受服务企业和结算企业各自 的个别财务报表中对该股份支付交易的确认和计量，比照上述原则处理。</w:t>
      </w:r>
    </w:p>
    <w:p>
      <w:pPr>
        <w:pStyle w:val="Style32"/>
        <w:keepNext/>
        <w:keepLines/>
        <w:widowControl w:val="0"/>
        <w:shd w:val="clear" w:color="auto" w:fill="auto"/>
        <w:tabs>
          <w:tab w:pos="504" w:val="left"/>
        </w:tabs>
        <w:bidi w:val="0"/>
        <w:spacing w:before="0" w:after="28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优先股、永续债等其他金融工具</w:t>
      </w:r>
      <w:bookmarkEnd w:id="949"/>
      <w:bookmarkEnd w:id="950"/>
      <w:bookmarkEnd w:id="952"/>
    </w:p>
    <w:p>
      <w:pPr>
        <w:pStyle w:val="Style22"/>
        <w:keepNext w:val="0"/>
        <w:keepLines w:val="0"/>
        <w:widowControl w:val="0"/>
        <w:shd w:val="clear" w:color="auto" w:fill="auto"/>
        <w:tabs>
          <w:tab w:pos="818" w:val="left"/>
        </w:tabs>
        <w:bidi w:val="0"/>
        <w:spacing w:before="0" w:after="0" w:line="317" w:lineRule="exact"/>
        <w:ind w:left="0" w:right="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本集团发行的永续债和优先股等金融工具，同时符合以下条件的，作为权益工具：</w:t>
      </w:r>
    </w:p>
    <w:p>
      <w:pPr>
        <w:pStyle w:val="Style22"/>
        <w:keepNext w:val="0"/>
        <w:keepLines w:val="0"/>
        <w:widowControl w:val="0"/>
        <w:numPr>
          <w:ilvl w:val="0"/>
          <w:numId w:val="39"/>
        </w:numPr>
        <w:shd w:val="clear" w:color="auto" w:fill="auto"/>
        <w:tabs>
          <w:tab w:pos="721" w:val="left"/>
        </w:tabs>
        <w:bidi w:val="0"/>
        <w:spacing w:before="0" w:after="0" w:line="318" w:lineRule="exact"/>
        <w:ind w:left="0" w:right="0"/>
        <w:jc w:val="both"/>
      </w:pPr>
      <w:bookmarkStart w:id="954" w:name="bookmark954"/>
      <w:bookmarkEnd w:id="954"/>
      <w:r>
        <w:rPr>
          <w:color w:val="000000"/>
          <w:spacing w:val="0"/>
          <w:w w:val="100"/>
          <w:position w:val="0"/>
        </w:rPr>
        <w:t>该金融工具不包括交付现金或其他金融资产给其他方，或在潜在不利条件下与其他方交换金融资产或金融负债的合同 义务；</w:t>
      </w:r>
    </w:p>
    <w:p>
      <w:pPr>
        <w:pStyle w:val="Style22"/>
        <w:keepNext w:val="0"/>
        <w:keepLines w:val="0"/>
        <w:widowControl w:val="0"/>
        <w:numPr>
          <w:ilvl w:val="0"/>
          <w:numId w:val="39"/>
        </w:numPr>
        <w:shd w:val="clear" w:color="auto" w:fill="auto"/>
        <w:tabs>
          <w:tab w:pos="721" w:val="left"/>
        </w:tabs>
        <w:bidi w:val="0"/>
        <w:spacing w:before="0" w:after="0" w:line="318" w:lineRule="exact"/>
        <w:ind w:left="0" w:right="0"/>
        <w:jc w:val="both"/>
      </w:pPr>
      <w:bookmarkStart w:id="955" w:name="bookmark955"/>
      <w:bookmarkEnd w:id="955"/>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权益工具进行结算的合同义务；如为衍生工具，则本集团只能通过以固定数量的自身权益工具交换固定金额的现金或其他金 融资产结算该金融工具。</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除按上述条件可归类为权益工具的金融工具以外，本集团发行的其他金融工具应归类为金融负债。</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本集团发行的金融工具为复合金融工具的，按照负债成分的公允价值确认为一项负债，按实际收到的金额扣除负债成分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22"/>
        <w:keepNext w:val="0"/>
        <w:keepLines w:val="0"/>
        <w:widowControl w:val="0"/>
        <w:shd w:val="clear" w:color="auto" w:fill="auto"/>
        <w:tabs>
          <w:tab w:pos="818" w:val="left"/>
        </w:tabs>
        <w:bidi w:val="0"/>
        <w:spacing w:before="0" w:after="0" w:line="317" w:lineRule="exact"/>
        <w:ind w:left="0" w:right="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利得或损失等，除符合资本化条件的借款费用（参见本附注五、</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归类为权益工具的永续债和优先股等金融工具，其发行（含再融资）、回购、出售或注销时，本集团作为权益的变动处 理，相关交易费用亦从权益中扣减。本集团对权益工具持有方的分配作为利润分配处理。</w:t>
      </w:r>
    </w:p>
    <w:p>
      <w:pPr>
        <w:pStyle w:val="Style22"/>
        <w:keepNext w:val="0"/>
        <w:keepLines w:val="0"/>
        <w:widowControl w:val="0"/>
        <w:shd w:val="clear" w:color="auto" w:fill="auto"/>
        <w:bidi w:val="0"/>
        <w:spacing w:before="0" w:after="740" w:line="317" w:lineRule="exact"/>
        <w:ind w:left="0" w:right="0"/>
        <w:jc w:val="both"/>
      </w:pPr>
      <w:r>
        <w:rPr>
          <w:color w:val="000000"/>
          <w:spacing w:val="0"/>
          <w:w w:val="100"/>
          <w:position w:val="0"/>
        </w:rPr>
        <w:t>本集团不确认权益工具的公允价值变动。</w:t>
      </w:r>
    </w:p>
    <w:p>
      <w:pPr>
        <w:pStyle w:val="Style32"/>
        <w:keepNext/>
        <w:keepLines/>
        <w:widowControl w:val="0"/>
        <w:shd w:val="clear" w:color="auto" w:fill="auto"/>
        <w:tabs>
          <w:tab w:pos="504" w:val="left"/>
        </w:tabs>
        <w:bidi w:val="0"/>
        <w:spacing w:before="0" w:after="28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957"/>
      <w:bookmarkEnd w:id="958"/>
      <w:bookmarkEnd w:id="960"/>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收入确认和计量所采用的会计政策</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收入，是本集团在日常活动中形成的、会导致股东权益增加的、与股东投入资本无关的经济利益的总流入。本集团与客 户之间的合同同时满足下列条件时，在客户取得相关商品（含劳务，下同）控制权时确认收入：合同各方已批准该合同并承 </w:t>
      </w:r>
      <w:r>
        <w:rPr>
          <w:color w:val="000000"/>
          <w:spacing w:val="0"/>
          <w:w w:val="100"/>
          <w:position w:val="0"/>
        </w:rPr>
        <w:t>诺将履行各自义务；合同明确了合同各方与所转让商品或提供劳务相关的权利和义务；合同有明确的与所转让商品相关的支 付条款；合同具有商业实质，即履行该合同将改变本集团未来现金流量的风险、时间分布或金额；本集团因向客户转让商品 而有权取得的对价很可能收回。其中，取得相关商品控制权，是指能够主导该商品的使用并从中获得几乎全部的经济利益。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在合同开始日，本集团识别合同中存在的各单项履约义务，并将交易价格按照各单项履约义务所承诺商品的单独售价的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对于合同中的每个单项履约义务，如果满足下列条件之一的，本集团在相关履约时段内按照履约进度将分摊至该单项履 约义务的交易价格确认为收入：客户在本集团履约的同时即取得并消耗本集团履约所带来的经济利益；客户能够控制本集团 履约过程中在建的商品；本集团履约过程中所产出的商品具有不可替代用途，且本集团在整个合同期间内有权就累计至今已 完成的履约部分收取款项。履约进度根据所转让商品的性质采用投入法或产出法确定，当履约进度不能合理确定时，本集团 已经发生的成本预计能够得到补偿的，按照已经发生的成本金额确认收入，直到履约进度能够合理确定为止。</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本集团销售包装印刷品、镭射包装材料商品的业务通常仅包括转让商品的履约义务，在商品发货至对方指定仓库并经对 方验收确认后通知开票时，商品的控制权转移，本集团在该时点确认收入实现。本集团给予客户的信用期通常为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天，与 行业惯例一致，不存在重大融资成分。</w:t>
      </w:r>
    </w:p>
    <w:p>
      <w:pPr>
        <w:pStyle w:val="Style22"/>
        <w:keepNext w:val="0"/>
        <w:keepLines w:val="0"/>
        <w:widowControl w:val="0"/>
        <w:shd w:val="clear" w:color="auto" w:fill="auto"/>
        <w:bidi w:val="0"/>
        <w:spacing w:before="0" w:after="380" w:line="317" w:lineRule="exact"/>
        <w:ind w:left="0" w:right="0"/>
        <w:jc w:val="both"/>
      </w:pPr>
      <w:r>
        <w:rPr>
          <w:color w:val="000000"/>
          <w:spacing w:val="0"/>
          <w:w w:val="100"/>
          <w:position w:val="0"/>
        </w:rPr>
        <w:t>本集团向客户提供物业管理服务业务，因在本集团履约的同时客户即取得并消耗本集团履约所带来的经济利益，根据履 约进度在一段时间内确认收入，履约进度的确定方法为投入法，具体根据合同约定条款确定。</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同类业务采用不同经营模式导致收入确认会计政策存在差异的情况</w:t>
      </w:r>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961"/>
      <w:bookmarkEnd w:id="962"/>
      <w:bookmarkEnd w:id="964"/>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 特定项目的，根据该特定项目的预算中将形成资产的支出金额和计入费用的支出金额的相对比例进行划分，对该划分比例需 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 益相关的政府补助。政府补助为货币性资产的，按照收到或应收的金额计量。政府补助为非货币性资产的，按照公允价值计 量；公允价值不能够可靠取得的，按照名义金额计量。按照名义金额计量的政府补助，直接计入当期损益。</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）所依据的是当地财政部门正式发布并按照《政府信息公开条例》的规定予以主动公 开的财政扶持项目及其财政资金管理办法，且该管理办法应当是普惠性的（任何符合规定条件的企业均可申请），而不是专 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）根据本集团和该补助事项的具体情况，应满足的其他相关条件（如有）。</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与资产相关的政府补助，确认为递延收益，并在相关资产的使用寿命内按照合理、系统的方法分期计入当期损益。与收 </w:t>
      </w:r>
      <w:r>
        <w:rPr>
          <w:color w:val="000000"/>
          <w:spacing w:val="0"/>
          <w:w w:val="100"/>
          <w:position w:val="0"/>
        </w:rPr>
        <w:t>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与本集团日常活动相关的政府补助，按照经济业务的实质，计入其他收益或冲减相关成本费用；与日常活动无关的政府 补助，计入营业外收支。</w:t>
      </w:r>
    </w:p>
    <w:p>
      <w:pPr>
        <w:pStyle w:val="Style22"/>
        <w:keepNext w:val="0"/>
        <w:keepLines w:val="0"/>
        <w:widowControl w:val="0"/>
        <w:shd w:val="clear" w:color="auto" w:fill="auto"/>
        <w:bidi w:val="0"/>
        <w:spacing w:before="0" w:after="400" w:line="322" w:lineRule="exact"/>
        <w:ind w:left="0" w:right="0"/>
        <w:jc w:val="both"/>
      </w:pPr>
      <w:r>
        <w:rPr>
          <w:color w:val="000000"/>
          <w:spacing w:val="0"/>
          <w:w w:val="100"/>
          <w:position w:val="0"/>
        </w:rPr>
        <w:t>已确认的政府补助需要退回时，存在相关递延收益余额的，冲减相关递延收益账面余额，超出部分计入当期损益或对初 始确认时冲减相关资产账面价值的与资产相关的政府补助调整资产账面价值；属于其他情况的，直接计入当期损益。</w:t>
      </w:r>
    </w:p>
    <w:p>
      <w:pPr>
        <w:pStyle w:val="Style32"/>
        <w:keepNext/>
        <w:keepLines/>
        <w:widowControl w:val="0"/>
        <w:shd w:val="clear" w:color="auto" w:fill="auto"/>
        <w:bidi w:val="0"/>
        <w:spacing w:before="0" w:after="40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5"/>
      <w:bookmarkEnd w:id="966"/>
      <w:bookmarkEnd w:id="968"/>
    </w:p>
    <w:p>
      <w:pPr>
        <w:pStyle w:val="Style22"/>
        <w:keepNext w:val="0"/>
        <w:keepLines w:val="0"/>
        <w:widowControl w:val="0"/>
        <w:shd w:val="clear" w:color="auto" w:fill="auto"/>
        <w:tabs>
          <w:tab w:pos="676" w:val="left"/>
        </w:tabs>
        <w:bidi w:val="0"/>
        <w:spacing w:before="0" w:after="0" w:line="360" w:lineRule="auto"/>
        <w:ind w:left="0" w:right="0"/>
        <w:jc w:val="both"/>
      </w:pPr>
      <w:bookmarkStart w:id="969" w:name="bookmark969"/>
      <w:r>
        <w:rPr>
          <w:rFonts w:ascii="Times New Roman" w:eastAsia="Times New Roman" w:hAnsi="Times New Roman" w:cs="Times New Roman"/>
          <w:color w:val="000000"/>
          <w:spacing w:val="0"/>
          <w:w w:val="100"/>
          <w:position w:val="0"/>
          <w:sz w:val="18"/>
          <w:szCs w:val="18"/>
        </w:rPr>
        <w:t>1</w:t>
      </w:r>
      <w:bookmarkEnd w:id="969"/>
      <w:r>
        <w:rPr>
          <w:color w:val="000000"/>
          <w:spacing w:val="0"/>
          <w:w w:val="100"/>
          <w:position w:val="0"/>
        </w:rPr>
        <w:t>、</w:t>
        <w:tab/>
        <w:t>当期所得税</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2"/>
        <w:keepNext w:val="0"/>
        <w:keepLines w:val="0"/>
        <w:widowControl w:val="0"/>
        <w:shd w:val="clear" w:color="auto" w:fill="auto"/>
        <w:tabs>
          <w:tab w:pos="695" w:val="left"/>
        </w:tabs>
        <w:bidi w:val="0"/>
        <w:spacing w:before="0" w:after="0" w:line="360" w:lineRule="auto"/>
        <w:ind w:left="0" w:right="0"/>
        <w:jc w:val="both"/>
      </w:pPr>
      <w:bookmarkStart w:id="970" w:name="bookmark970"/>
      <w:r>
        <w:rPr>
          <w:rFonts w:ascii="Times New Roman" w:eastAsia="Times New Roman" w:hAnsi="Times New Roman" w:cs="Times New Roman"/>
          <w:color w:val="000000"/>
          <w:spacing w:val="0"/>
          <w:w w:val="100"/>
          <w:position w:val="0"/>
          <w:sz w:val="18"/>
          <w:szCs w:val="18"/>
        </w:rPr>
        <w:t>2</w:t>
      </w:r>
      <w:bookmarkEnd w:id="970"/>
      <w:r>
        <w:rPr>
          <w:color w:val="000000"/>
          <w:spacing w:val="0"/>
          <w:w w:val="100"/>
          <w:position w:val="0"/>
        </w:rPr>
        <w:t>、</w:t>
        <w:tab/>
        <w:t>递延所得税资产及递延所得税负债</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2"/>
        <w:keepNext w:val="0"/>
        <w:keepLines w:val="0"/>
        <w:widowControl w:val="0"/>
        <w:shd w:val="clear" w:color="auto" w:fill="auto"/>
        <w:bidi w:val="0"/>
        <w:spacing w:before="0" w:after="140" w:line="317"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2"/>
        <w:keepNext w:val="0"/>
        <w:keepLines w:val="0"/>
        <w:widowControl w:val="0"/>
        <w:shd w:val="clear" w:color="auto" w:fill="auto"/>
        <w:tabs>
          <w:tab w:pos="695" w:val="left"/>
        </w:tabs>
        <w:bidi w:val="0"/>
        <w:spacing w:before="0" w:after="0" w:line="360" w:lineRule="auto"/>
        <w:ind w:left="0" w:right="0"/>
        <w:jc w:val="both"/>
      </w:pPr>
      <w:bookmarkStart w:id="971" w:name="bookmark971"/>
      <w:r>
        <w:rPr>
          <w:rFonts w:ascii="Times New Roman" w:eastAsia="Times New Roman" w:hAnsi="Times New Roman" w:cs="Times New Roman"/>
          <w:color w:val="000000"/>
          <w:spacing w:val="0"/>
          <w:w w:val="100"/>
          <w:position w:val="0"/>
          <w:sz w:val="18"/>
          <w:szCs w:val="18"/>
        </w:rPr>
        <w:t>3</w:t>
      </w:r>
      <w:bookmarkEnd w:id="971"/>
      <w:r>
        <w:rPr>
          <w:color w:val="000000"/>
          <w:spacing w:val="0"/>
          <w:w w:val="100"/>
          <w:position w:val="0"/>
        </w:rPr>
        <w:t>、</w:t>
        <w:tab/>
        <w:t>所得税费用</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所得税费用包括当期所得税和递延所得税。</w:t>
      </w:r>
    </w:p>
    <w:p>
      <w:pPr>
        <w:pStyle w:val="Style22"/>
        <w:keepNext w:val="0"/>
        <w:keepLines w:val="0"/>
        <w:widowControl w:val="0"/>
        <w:shd w:val="clear" w:color="auto" w:fill="auto"/>
        <w:bidi w:val="0"/>
        <w:spacing w:before="0" w:after="140" w:line="312"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2"/>
        <w:keepNext w:val="0"/>
        <w:keepLines w:val="0"/>
        <w:widowControl w:val="0"/>
        <w:shd w:val="clear" w:color="auto" w:fill="auto"/>
        <w:tabs>
          <w:tab w:pos="695" w:val="left"/>
        </w:tabs>
        <w:bidi w:val="0"/>
        <w:spacing w:before="0" w:after="0" w:line="360" w:lineRule="auto"/>
        <w:ind w:left="0" w:right="0"/>
        <w:jc w:val="both"/>
      </w:pPr>
      <w:bookmarkStart w:id="972" w:name="bookmark972"/>
      <w:r>
        <w:rPr>
          <w:rFonts w:ascii="Times New Roman" w:eastAsia="Times New Roman" w:hAnsi="Times New Roman" w:cs="Times New Roman"/>
          <w:color w:val="000000"/>
          <w:spacing w:val="0"/>
          <w:w w:val="100"/>
          <w:position w:val="0"/>
          <w:sz w:val="18"/>
          <w:szCs w:val="18"/>
        </w:rPr>
        <w:t>4</w:t>
      </w:r>
      <w:bookmarkEnd w:id="972"/>
      <w:r>
        <w:rPr>
          <w:color w:val="000000"/>
          <w:spacing w:val="0"/>
          <w:w w:val="100"/>
          <w:position w:val="0"/>
        </w:rPr>
        <w:t>、</w:t>
        <w:tab/>
        <w:t>所得税的抵销</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32"/>
        <w:keepNext/>
        <w:keepLines/>
        <w:widowControl w:val="0"/>
        <w:shd w:val="clear" w:color="auto" w:fill="auto"/>
        <w:tabs>
          <w:tab w:pos="469" w:val="left"/>
        </w:tabs>
        <w:bidi w:val="0"/>
        <w:spacing w:before="0" w:after="26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973"/>
      <w:bookmarkEnd w:id="974"/>
      <w:bookmarkEnd w:id="976"/>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租赁是指本集团让渡或取得了在一定期间内控制一项或多项已识别资产使用的权利以换取或支付对价的合同。在一项合 同开始日，本集团评估合同是否为租赁或包含租赁。</w:t>
      </w:r>
    </w:p>
    <w:p>
      <w:pPr>
        <w:pStyle w:val="Style22"/>
        <w:keepNext w:val="0"/>
        <w:keepLines w:val="0"/>
        <w:widowControl w:val="0"/>
        <w:shd w:val="clear" w:color="auto" w:fill="auto"/>
        <w:tabs>
          <w:tab w:pos="811" w:val="left"/>
        </w:tabs>
        <w:bidi w:val="0"/>
        <w:spacing w:before="0" w:after="0" w:line="314" w:lineRule="exact"/>
        <w:ind w:left="0" w:right="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本集团作为承租人</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本集团租赁资产的类别主要为房产租赁业务。</w:t>
      </w:r>
    </w:p>
    <w:p>
      <w:pPr>
        <w:pStyle w:val="Style22"/>
        <w:keepNext w:val="0"/>
        <w:keepLines w:val="0"/>
        <w:widowControl w:val="0"/>
        <w:shd w:val="clear" w:color="auto" w:fill="auto"/>
        <w:tabs>
          <w:tab w:pos="715" w:val="left"/>
        </w:tabs>
        <w:bidi w:val="0"/>
        <w:spacing w:before="0" w:after="0" w:line="360" w:lineRule="auto"/>
        <w:ind w:left="0" w:right="0"/>
        <w:jc w:val="both"/>
      </w:pPr>
      <w:bookmarkStart w:id="978" w:name="bookmark978"/>
      <w:r>
        <w:rPr>
          <w:rFonts w:ascii="Times New Roman" w:eastAsia="Times New Roman" w:hAnsi="Times New Roman" w:cs="Times New Roman"/>
          <w:color w:val="000000"/>
          <w:spacing w:val="0"/>
          <w:w w:val="100"/>
          <w:position w:val="0"/>
          <w:sz w:val="18"/>
          <w:szCs w:val="18"/>
        </w:rPr>
        <w:t>1</w:t>
      </w:r>
      <w:bookmarkEnd w:id="978"/>
      <w:r>
        <w:rPr>
          <w:color w:val="000000"/>
          <w:spacing w:val="0"/>
          <w:w w:val="100"/>
          <w:position w:val="0"/>
        </w:rPr>
        <w:t>）</w:t>
        <w:tab/>
        <w:t>初始计量</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在租赁期开始日，本集团将可在租赁期内使用租赁资产的权利确认为使用权资产，将尚未支付的租赁付款额的现值确认 为租赁负债，短期租赁和低价值资产租赁除外。在计算租赁付款额的现值时，本集团采用租赁内含利率作为折现率；无法确 定租赁内含利率的，采用承租人增量借款利率作为折现率。</w:t>
      </w:r>
    </w:p>
    <w:p>
      <w:pPr>
        <w:pStyle w:val="Style22"/>
        <w:keepNext w:val="0"/>
        <w:keepLines w:val="0"/>
        <w:widowControl w:val="0"/>
        <w:shd w:val="clear" w:color="auto" w:fill="auto"/>
        <w:tabs>
          <w:tab w:pos="734" w:val="left"/>
        </w:tabs>
        <w:bidi w:val="0"/>
        <w:spacing w:before="0" w:after="0" w:line="360" w:lineRule="auto"/>
        <w:ind w:left="0" w:right="0"/>
        <w:jc w:val="both"/>
      </w:pPr>
      <w:bookmarkStart w:id="979" w:name="bookmark979"/>
      <w:r>
        <w:rPr>
          <w:rFonts w:ascii="Times New Roman" w:eastAsia="Times New Roman" w:hAnsi="Times New Roman" w:cs="Times New Roman"/>
          <w:color w:val="000000"/>
          <w:spacing w:val="0"/>
          <w:w w:val="100"/>
          <w:position w:val="0"/>
          <w:sz w:val="18"/>
          <w:szCs w:val="18"/>
        </w:rPr>
        <w:t>2</w:t>
      </w:r>
      <w:bookmarkEnd w:id="979"/>
      <w:r>
        <w:rPr>
          <w:color w:val="000000"/>
          <w:spacing w:val="0"/>
          <w:w w:val="100"/>
          <w:position w:val="0"/>
        </w:rPr>
        <w:t>）</w:t>
        <w:tab/>
        <w:t>后续计量</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号——固定资产》有关折旧规定对使用权资产计提折旧（详见本附注五、</w:t>
      </w:r>
      <w:r>
        <w:rPr>
          <w:rFonts w:ascii="Times New Roman" w:eastAsia="Times New Roman" w:hAnsi="Times New Roman" w:cs="Times New Roman"/>
          <w:color w:val="000000"/>
          <w:spacing w:val="0"/>
          <w:w w:val="100"/>
          <w:position w:val="0"/>
          <w:sz w:val="18"/>
          <w:szCs w:val="18"/>
        </w:rPr>
        <w:t>19 “</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能够合理确定租赁期届满时取得租赁资产所有权的，本集团在租赁资产剩余使用寿命内计提折旧。无法合理确定租赁期届满 时能够取得租赁资产所有权的，本集团在租赁期与租赁资产剩余使用寿命两者孰短的期间内计提折旧。</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对于租赁负债，本集团按照固定的周期性利率计算其在租赁期内各期间的利息费用，计入当期损益或计入相关资产成本。 未纳入租赁负债计量的可变租赁付款额在实际发生时计入当期损益或相关资产成本。</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发生变动、购买选择权、续租选择权或终止选择权的评估结果或实际行权情况发生变化时，本集团按照变动后的租赁付款额 的现值重新计量租赁负债，并相应调整使用权资产的账面价值。使用权资产账面价值已调减至零，但租赁负债仍需进一步调 减的，本集团将剩余金额计入当期损益。</w:t>
      </w:r>
    </w:p>
    <w:p>
      <w:pPr>
        <w:pStyle w:val="Style22"/>
        <w:keepNext w:val="0"/>
        <w:keepLines w:val="0"/>
        <w:widowControl w:val="0"/>
        <w:shd w:val="clear" w:color="auto" w:fill="auto"/>
        <w:tabs>
          <w:tab w:pos="725" w:val="left"/>
        </w:tabs>
        <w:bidi w:val="0"/>
        <w:spacing w:before="0" w:after="0" w:line="360" w:lineRule="auto"/>
        <w:ind w:left="0" w:right="0"/>
        <w:jc w:val="both"/>
      </w:pPr>
      <w:bookmarkStart w:id="980" w:name="bookmark980"/>
      <w:r>
        <w:rPr>
          <w:rFonts w:ascii="Times New Roman" w:eastAsia="Times New Roman" w:hAnsi="Times New Roman" w:cs="Times New Roman"/>
          <w:color w:val="000000"/>
          <w:spacing w:val="0"/>
          <w:w w:val="100"/>
          <w:position w:val="0"/>
          <w:sz w:val="18"/>
          <w:szCs w:val="18"/>
        </w:rPr>
        <w:t>3</w:t>
      </w:r>
      <w:bookmarkEnd w:id="980"/>
      <w:r>
        <w:rPr>
          <w:color w:val="000000"/>
          <w:spacing w:val="0"/>
          <w:w w:val="100"/>
          <w:position w:val="0"/>
        </w:rPr>
        <w:t>）</w:t>
        <w:tab/>
        <w:t>短期租赁和低价值资产租赁</w:t>
      </w:r>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个月的租赁）和低价值资产租赁，本集团采取简化处理方法，不确认使 用权资产和租赁负债，而在租赁期内各个期间按照直线法或其他系统合理的方法将租赁付款额计入相关资产成本或当期损 益。</w:t>
      </w:r>
    </w:p>
    <w:p>
      <w:pPr>
        <w:pStyle w:val="Style22"/>
        <w:keepNext w:val="0"/>
        <w:keepLines w:val="0"/>
        <w:widowControl w:val="0"/>
        <w:shd w:val="clear" w:color="auto" w:fill="auto"/>
        <w:tabs>
          <w:tab w:pos="811" w:val="left"/>
        </w:tabs>
        <w:bidi w:val="0"/>
        <w:spacing w:before="0" w:after="0" w:line="314"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本集团作为出租人</w:t>
      </w:r>
    </w:p>
    <w:p>
      <w:pPr>
        <w:pStyle w:val="Style22"/>
        <w:keepNext w:val="0"/>
        <w:keepLines w:val="0"/>
        <w:widowControl w:val="0"/>
        <w:shd w:val="clear" w:color="auto" w:fill="auto"/>
        <w:bidi w:val="0"/>
        <w:spacing w:before="0" w:after="140" w:line="322" w:lineRule="exact"/>
        <w:ind w:left="0" w:right="0"/>
        <w:jc w:val="both"/>
      </w:pPr>
      <w:r>
        <w:rPr>
          <w:color w:val="000000"/>
          <w:spacing w:val="0"/>
          <w:w w:val="100"/>
          <w:position w:val="0"/>
        </w:rPr>
        <w:t>本集团在租赁开始日，基于交易的实质，将租赁分为融资租赁和经营租赁。融资租赁是指实质上转移了与租赁资产所有 权有关的几乎全部风险和报酬的租赁。经营租赁是指除融资租赁以外的其他租赁。</w:t>
      </w:r>
    </w:p>
    <w:p>
      <w:pPr>
        <w:pStyle w:val="Style2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p>
      <w:pPr>
        <w:pStyle w:val="Style22"/>
        <w:keepNext w:val="0"/>
        <w:keepLines w:val="0"/>
        <w:widowControl w:val="0"/>
        <w:shd w:val="clear" w:color="auto" w:fill="auto"/>
        <w:bidi w:val="0"/>
        <w:spacing w:before="0" w:after="380" w:line="312" w:lineRule="exact"/>
        <w:ind w:left="0" w:right="0"/>
        <w:jc w:val="both"/>
      </w:pPr>
      <w:r>
        <w:rPr>
          <w:color w:val="000000"/>
          <w:spacing w:val="0"/>
          <w:w w:val="100"/>
          <w:position w:val="0"/>
        </w:rPr>
        <w:t>本集团采用直线法将经营租赁的租赁收款额确认为租赁期内各期间的租金收入。与经营租赁有关的未计入租赁收款额的 可变租赁付款额，于实际发生时计入当期损益。</w:t>
      </w:r>
    </w:p>
    <w:p>
      <w:pPr>
        <w:pStyle w:val="Style32"/>
        <w:keepNext/>
        <w:keepLines/>
        <w:widowControl w:val="0"/>
        <w:shd w:val="clear" w:color="auto" w:fill="auto"/>
        <w:tabs>
          <w:tab w:pos="469" w:val="left"/>
        </w:tabs>
        <w:bidi w:val="0"/>
        <w:spacing w:before="0" w:after="2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982"/>
      <w:bookmarkEnd w:id="983"/>
      <w:bookmarkEnd w:id="985"/>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 xml:space="preserve">终止经营，是指满足下列条件之一的、能够单独区分且已被本集团处置或划分为持有待售类别的组成部分：①该组成部 分代表一项独立的主要业务或一个单独的主要经营地区；②该组成部分是拟对一项独立的主要业务或一个单独的主要经营地 </w:t>
      </w:r>
      <w:r>
        <w:rPr>
          <w:color w:val="000000"/>
          <w:spacing w:val="0"/>
          <w:w w:val="100"/>
          <w:position w:val="0"/>
        </w:rPr>
        <w:t>区进行处置的一项相关联计划的一部分；③该组成部分是专为了转售而取得的子公司。</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终止经营的会计处理方法参见本附注五、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股份回购中支付的对价和交易费用减少股东权益，回购、转让或注销本公司股份时，不确认利得或损失。</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32"/>
        <w:keepNext/>
        <w:keepLines/>
        <w:widowControl w:val="0"/>
        <w:shd w:val="clear" w:color="auto" w:fill="auto"/>
        <w:bidi w:val="0"/>
        <w:spacing w:before="0" w:line="240"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986"/>
      <w:bookmarkEnd w:id="987"/>
      <w:bookmarkEnd w:id="989"/>
    </w:p>
    <w:p>
      <w:pPr>
        <w:pStyle w:val="Style37"/>
        <w:keepNext/>
        <w:keepLines/>
        <w:widowControl w:val="0"/>
        <w:shd w:val="clear" w:color="auto" w:fill="auto"/>
        <w:bidi w:val="0"/>
        <w:spacing w:before="0" w:line="240" w:lineRule="auto"/>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0"/>
      <w:bookmarkEnd w:id="991"/>
      <w:bookmarkEnd w:id="993"/>
    </w:p>
    <w:p>
      <w:pPr>
        <w:pStyle w:val="Style30"/>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37"/>
        <w:gridCol w:w="3034"/>
        <w:gridCol w:w="324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 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 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本公司第六届董事会第四次会议于</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日决议通过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 租赁准则，并依据新租赁准则的规定对相 关会计政策进行变更。</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jc w:val="both"/>
      </w:pPr>
      <w:r>
        <w:rPr>
          <w:color w:val="000000"/>
          <w:spacing w:val="0"/>
          <w:w w:val="100"/>
          <w:position w:val="0"/>
        </w:rPr>
        <w:t>根据新租赁准则的规定，对于首次执行日前已存在的合同，本集团选择不重新评估其是否为租赁或者包含租赁。</w:t>
      </w:r>
    </w:p>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本集团选择仅对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日尚未完成的租赁合同的累计影响数进行调整。首次执行的累积影响金额调整首次执行 </w:t>
      </w:r>
      <w:r>
        <w:rPr>
          <w:color w:val="000000"/>
          <w:spacing w:val="0"/>
          <w:w w:val="100"/>
          <w:position w:val="0"/>
        </w:rPr>
        <w:t>当期期初（即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日），本集团的具体衔接处理及其影响如下：</w:t>
      </w:r>
    </w:p>
    <w:p>
      <w:pPr>
        <w:pStyle w:val="Style22"/>
        <w:keepNext w:val="0"/>
        <w:keepLines w:val="0"/>
        <w:widowControl w:val="0"/>
        <w:shd w:val="clear" w:color="auto" w:fill="auto"/>
        <w:tabs>
          <w:tab w:pos="772" w:val="left"/>
        </w:tabs>
        <w:bidi w:val="0"/>
        <w:spacing w:before="0" w:after="0" w:line="314" w:lineRule="exact"/>
        <w:ind w:left="0" w:right="0"/>
        <w:jc w:val="both"/>
      </w:pPr>
      <w:bookmarkStart w:id="994" w:name="bookmark994"/>
      <w:r>
        <w:rPr>
          <w:rFonts w:ascii="Times New Roman" w:eastAsia="Times New Roman" w:hAnsi="Times New Roman" w:cs="Times New Roman"/>
          <w:color w:val="000000"/>
          <w:spacing w:val="0"/>
          <w:w w:val="100"/>
          <w:position w:val="0"/>
          <w:sz w:val="18"/>
          <w:szCs w:val="18"/>
        </w:rPr>
        <w:t>A</w:t>
      </w:r>
      <w:bookmarkEnd w:id="994"/>
      <w:r>
        <w:rPr>
          <w:color w:val="000000"/>
          <w:spacing w:val="0"/>
          <w:w w:val="100"/>
          <w:position w:val="0"/>
        </w:rPr>
        <w:t>、</w:t>
        <w:tab/>
      </w:r>
      <w:r>
        <w:rPr>
          <w:color w:val="000000"/>
          <w:spacing w:val="0"/>
          <w:w w:val="100"/>
          <w:position w:val="0"/>
        </w:rPr>
        <w:t>本集团作为承租人</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对首次执行日的融资租赁，本集团作为承租人按照融资租入资产和应付融资租赁款的原账面价值，分别计量使用权资产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对首次执行日前的房屋建筑物经营租赁，本集团按照假设自租赁期开始日即采用新租赁准则，并采用首次执行日的增量 借款利率作为折现率计量使用权资产。本集团于首次执行日对使用权资产进行减值测试，并调整使用权资产的账面价值。</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本集团对于首次执行日前的租赁资产属于低价值资产的经营租赁，不确认使用权资产和租赁负债。对于首次执行日除低 价值租赁之外的经营租赁，本集团根据每项租赁采用下列一项或多项简化处理：</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计量租赁负债时，具有相似特征的租赁采用同一折现率；</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使用权资产的计量不包含初始直接费用；</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存在续约选择权或终止租赁选择权的，本集团根据首次执行日前选择权的实际行使及其他最新情况确定租赁期；</w:t>
      </w:r>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作为使用权资产减值测试的替代，本集团根据《企业会计准则第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 日前是否为亏损合同，并根据首次执行日前计入资产负债表的亏损准备金额调整使用权资产；</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首次执行日之前发生租赁变更的，本集团根据租赁变更的最终安排进行会计处理。</w:t>
      </w:r>
    </w:p>
    <w:p>
      <w:pPr>
        <w:pStyle w:val="Style22"/>
        <w:keepNext w:val="0"/>
        <w:keepLines w:val="0"/>
        <w:widowControl w:val="0"/>
        <w:shd w:val="clear" w:color="auto" w:fill="auto"/>
        <w:tabs>
          <w:tab w:pos="772" w:val="left"/>
        </w:tabs>
        <w:bidi w:val="0"/>
        <w:spacing w:before="0" w:after="0" w:line="314" w:lineRule="exact"/>
        <w:ind w:left="0" w:right="0"/>
        <w:jc w:val="both"/>
      </w:pPr>
      <w:bookmarkStart w:id="995" w:name="bookmark995"/>
      <w:r>
        <w:rPr>
          <w:rFonts w:ascii="Times New Roman" w:eastAsia="Times New Roman" w:hAnsi="Times New Roman" w:cs="Times New Roman"/>
          <w:color w:val="000000"/>
          <w:spacing w:val="0"/>
          <w:w w:val="100"/>
          <w:position w:val="0"/>
          <w:sz w:val="18"/>
          <w:szCs w:val="18"/>
        </w:rPr>
        <w:t>B</w:t>
      </w:r>
      <w:bookmarkEnd w:id="995"/>
      <w:r>
        <w:rPr>
          <w:color w:val="000000"/>
          <w:spacing w:val="0"/>
          <w:w w:val="100"/>
          <w:position w:val="0"/>
        </w:rPr>
        <w:t>、</w:t>
        <w:tab/>
      </w:r>
      <w:r>
        <w:rPr>
          <w:color w:val="000000"/>
          <w:spacing w:val="0"/>
          <w:w w:val="100"/>
          <w:position w:val="0"/>
        </w:rPr>
        <w:t>执行新租赁准则的主要变化和影响如下：</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—本集团子公司蓝莓文化承租深圳市前海服务集团有限公司的人才公寓，租赁期为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个月，原作为经营租赁处理， 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日确认使用权资产</w:t>
      </w:r>
      <w:r>
        <w:rPr>
          <w:rFonts w:ascii="Times New Roman" w:eastAsia="Times New Roman" w:hAnsi="Times New Roman" w:cs="Times New Roman"/>
          <w:color w:val="000000"/>
          <w:spacing w:val="0"/>
          <w:w w:val="100"/>
          <w:position w:val="0"/>
          <w:sz w:val="18"/>
          <w:szCs w:val="18"/>
        </w:rPr>
        <w:t>349,413.82</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349,413.82</w:t>
      </w:r>
      <w:r>
        <w:rPr>
          <w:color w:val="000000"/>
          <w:spacing w:val="0"/>
          <w:w w:val="100"/>
          <w:position w:val="0"/>
        </w:rPr>
        <w:t>元。</w:t>
      </w:r>
    </w:p>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—本集团子公司蓝莓文化承租深圳市前海人才乐居有限公司的人才公寓，租赁期为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个月，原作为经营租赁处理， 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日确认使用权资产</w:t>
      </w:r>
      <w:r>
        <w:rPr>
          <w:rFonts w:ascii="Times New Roman" w:eastAsia="Times New Roman" w:hAnsi="Times New Roman" w:cs="Times New Roman"/>
          <w:color w:val="000000"/>
          <w:spacing w:val="0"/>
          <w:w w:val="100"/>
          <w:position w:val="0"/>
          <w:sz w:val="18"/>
          <w:szCs w:val="18"/>
        </w:rPr>
        <w:t>129,055.10</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129,055.10</w:t>
      </w:r>
      <w:r>
        <w:rPr>
          <w:color w:val="000000"/>
          <w:spacing w:val="0"/>
          <w:w w:val="100"/>
          <w:position w:val="0"/>
        </w:rPr>
        <w:t>元。</w:t>
      </w:r>
      <w:r>
        <w:br w:type="page"/>
      </w:r>
    </w:p>
    <w:p>
      <w:pPr>
        <w:pStyle w:val="Style22"/>
        <w:keepNext w:val="0"/>
        <w:keepLines w:val="0"/>
        <w:widowControl w:val="0"/>
        <w:shd w:val="clear" w:color="auto" w:fill="auto"/>
        <w:bidi w:val="0"/>
        <w:spacing w:before="0" w:after="60" w:line="310" w:lineRule="exact"/>
        <w:ind w:left="0" w:right="0"/>
        <w:jc w:val="both"/>
      </w:pPr>
      <w:r>
        <w:rPr>
          <w:color w:val="000000"/>
          <w:spacing w:val="0"/>
          <w:w w:val="100"/>
          <w:position w:val="0"/>
        </w:rPr>
        <w:t>—本集团子公司宜宾嘉美承租宜宾爱龙科技有限公司的仓库、厂房及宿舍，仓库租赁期为</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个月，厂房及公寓租赁 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个月，原作为经营租赁处理，根据新租赁准则，于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日确认使用权资产</w:t>
      </w:r>
      <w:r>
        <w:rPr>
          <w:rFonts w:ascii="Times New Roman" w:eastAsia="Times New Roman" w:hAnsi="Times New Roman" w:cs="Times New Roman"/>
          <w:color w:val="000000"/>
          <w:spacing w:val="0"/>
          <w:w w:val="100"/>
          <w:position w:val="0"/>
          <w:sz w:val="18"/>
          <w:szCs w:val="18"/>
        </w:rPr>
        <w:t>2,268,890.26</w:t>
      </w:r>
      <w:r>
        <w:rPr>
          <w:color w:val="000000"/>
          <w:spacing w:val="0"/>
          <w:w w:val="100"/>
          <w:position w:val="0"/>
        </w:rPr>
        <w:t xml:space="preserve">元，租赁负债 </w:t>
      </w:r>
      <w:r>
        <w:rPr>
          <w:rFonts w:ascii="Times New Roman" w:eastAsia="Times New Roman" w:hAnsi="Times New Roman" w:cs="Times New Roman"/>
          <w:color w:val="000000"/>
          <w:spacing w:val="0"/>
          <w:w w:val="100"/>
          <w:position w:val="0"/>
          <w:sz w:val="18"/>
          <w:szCs w:val="18"/>
        </w:rPr>
        <w:t xml:space="preserve">2,268,890.26 </w:t>
      </w:r>
      <w:r>
        <w:rPr>
          <w:color w:val="000000"/>
          <w:spacing w:val="0"/>
          <w:w w:val="100"/>
          <w:position w:val="0"/>
        </w:rPr>
        <w:t>元。</w:t>
      </w:r>
    </w:p>
    <w:p>
      <w:pPr>
        <w:pStyle w:val="Style22"/>
        <w:keepNext w:val="0"/>
        <w:keepLines w:val="0"/>
        <w:widowControl w:val="0"/>
        <w:shd w:val="clear" w:color="auto" w:fill="auto"/>
        <w:bidi w:val="0"/>
        <w:spacing w:before="0" w:after="140" w:line="31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本集团子公司宜宾嘉美承租宜宾明泰科技有限公司的厂房、宿舍及四川酷比通信设备有限公司的公寓，明泰宿舍租 赁期为</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个月，明泰厂房、酷比公寓租赁期为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个月，原作为经营租赁处理，根据新租赁准则，于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 使用权资产</w:t>
      </w:r>
      <w:r>
        <w:rPr>
          <w:rFonts w:ascii="Times New Roman" w:eastAsia="Times New Roman" w:hAnsi="Times New Roman" w:cs="Times New Roman"/>
          <w:color w:val="000000"/>
          <w:spacing w:val="0"/>
          <w:w w:val="100"/>
          <w:position w:val="0"/>
          <w:sz w:val="18"/>
          <w:szCs w:val="18"/>
        </w:rPr>
        <w:t>1,821,318.17</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1,821,318.17</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360" w:right="0" w:firstLine="0"/>
        <w:jc w:val="left"/>
      </w:pPr>
      <w:r>
        <w:rPr>
          <w:color w:val="000000"/>
          <w:spacing w:val="0"/>
          <w:w w:val="100"/>
          <w:position w:val="0"/>
        </w:rPr>
        <w:t>上述会计政策变更对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2573"/>
        <w:gridCol w:w="1718"/>
        <w:gridCol w:w="1646"/>
        <w:gridCol w:w="1862"/>
        <w:gridCol w:w="1877"/>
      </w:tblGrid>
      <w:tr>
        <w:trPr>
          <w:trHeight w:val="403" w:hRule="exact"/>
        </w:trPr>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报表项目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4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合并报表</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160" w:right="0" w:firstLine="0"/>
              <w:jc w:val="center"/>
            </w:pPr>
            <w:r>
              <w:rPr>
                <w:color w:val="000000"/>
                <w:spacing w:val="0"/>
                <w:w w:val="100"/>
                <w:position w:val="0"/>
              </w:rPr>
              <w:t>公司报表</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合并报表</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公司报表</w:t>
            </w:r>
          </w:p>
        </w:tc>
      </w:tr>
      <w:tr>
        <w:trPr>
          <w:trHeight w:val="38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89,478.93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4,479,198.42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2"/>
        <w:keepNext w:val="0"/>
        <w:keepLines w:val="0"/>
        <w:widowControl w:val="0"/>
        <w:shd w:val="clear" w:color="auto" w:fill="auto"/>
        <w:bidi w:val="0"/>
        <w:spacing w:before="0" w:after="380" w:line="240" w:lineRule="auto"/>
        <w:ind w:left="0" w:right="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96"/>
      <w:bookmarkEnd w:id="997"/>
      <w:bookmarkEnd w:id="99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1,628,681,361.26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1,628,681,361.26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596,910,846.32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596,910,846.32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614,135,980.23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614,135,980.23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68,108,928.49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68,108,928.49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73,091,192.72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73,091,192.72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35,849,884.59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35,849,884.59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639,222,349.14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639,222,349.14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42,649,108.39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42,649,108.39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3,795,253,520.30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3,795,253,520.30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1,426,746,358.13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1,426,746,358.13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588,254,104.24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588,254,104.24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1,652,818,071.72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1,652,818,071.72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4,568,677.35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277,437,341.88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277,437,341.88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988,758,840.80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988,758,840.80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35,701,543.01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35,701,543.01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50,546,779.53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50,546,779.53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5,211,519,407.94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5,211,519,407.94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9,006,772,928.24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9,006,772,928.24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386,144,999.25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386,144,999.25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506,081,389.72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506,081,389.72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26,611,918.76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26,611,918.76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109,464,097.55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109,464,097.55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53,253,197.93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53,253,197.93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167,989,115.66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167,989,115.66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30,769,093.90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30,769,093.90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89,478.93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1,254,508,844.41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1,254,508,844.41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4,479,198.42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4,479,198.42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12,904,828.91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12,904,828.91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10,021,147.41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10,021,147.41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109,531,259.64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109,531,259.64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1,364,040,104.05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1,364,040,104.05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1,464,870,450.00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1,464,870,450.00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1,436,721,527.90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1,436,721,527.90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-19,789,871.12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-19,789,871.12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4,016,826,566.14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4,016,826,566.14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7,425,915,335.16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7,425,915,335.16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216,817,489.03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216,817,489.03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7,642,732,824.19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7,642,732,824.19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9,006,772,928.24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9,006,772,928.24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631,611,084.05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631,611,084.05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587,910,846.32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587,910,846.32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264,826,141.05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264,826,141.05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24,782,093.15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24,782,093.15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1,993,937.70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1,993,937.70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171,720,099.55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171,720,099.55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76,668,307.60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76,668,307.60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376,824,053.77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376,824,053.77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6,988,977.19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6,988,977.19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2,066,657,232.78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2,066,657,232.78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3,241,655,993.18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3,241,655,993.18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334,966,434.85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334,966,434.85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804,942,778.87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804,942,778.87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16,361,692.40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16,361,692.40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134,284,048.56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134,284,048.56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13,913,279.87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13,913,279.87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6,854,758.47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6,854,758.47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698,054,363.11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698,054,363.11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5,251,033,349.31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5,251,033,349.31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7,317,690,582.09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7,317,690,582.09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254,955,662.71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254,955,662.71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437,688,311.07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437,688,311.07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591,743.52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591,743.52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29,740,495.41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29,740,495.41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10,085,199.16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10,085,199.16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644,315,387.15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644,315,387.15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1,381,725,220.46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1,381,725,220.46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19,348,750.00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79,348,750.00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79,348,750.00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1,461,073,970.46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1,461,073,970.46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1,464,870,450.00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1,680,148,972.04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1,680,148,972.04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2,184,310,527.35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2,184,310,527.35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5,856,616,611.63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5,856,616,611.63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7,317,690,582.09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7,317,690,582.09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tabs>
          <w:tab w:pos="480" w:val="left"/>
        </w:tabs>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shd w:val="clear" w:color="auto" w:fill="FFFFFF"/>
        </w:rPr>
        <w:t>（</w:t>
      </w:r>
      <w:bookmarkEnd w:id="1002"/>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0"/>
      <w:bookmarkEnd w:id="1001"/>
      <w:bookmarkEnd w:id="1003"/>
    </w:p>
    <w:p>
      <w:pPr>
        <w:pStyle w:val="Style22"/>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8</w:t>
      </w:r>
      <w:r>
        <w:rPr>
          <w:color w:val="000000"/>
          <w:spacing w:val="0"/>
          <w:w w:val="100"/>
          <w:position w:val="0"/>
        </w:rPr>
        <w:t>、重大会计判断和估计</w:t>
      </w:r>
      <w:bookmarkEnd w:id="1004"/>
      <w:bookmarkEnd w:id="1005"/>
      <w:bookmarkEnd w:id="1007"/>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本集团在运用会计政策过程中，由于经营活动内在的不确定性，需要对无法准确计量的报表项目的账面价值进行判断、 估计和假设。这些判断、估计和假设是基于本集团管理层过去的历史经验，并在考虑其他相关因素的基础上做出的。这些判 断、估计和假设会影响收入、费用、资产和负债的报告金额以及资产负债表日或有负债的披露。然而，这些估计的不确定性 所导致的实际结果可能与本集团管理层当前的估计存在差异，进而造成对未来受影响的资产或负债的账面金额进行重大调 整。</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于资产负债表日，本集团需对财务报表项目金额进行判断、估计和假设的重要领域如下：</w:t>
      </w:r>
    </w:p>
    <w:p>
      <w:pPr>
        <w:pStyle w:val="Style22"/>
        <w:keepNext w:val="0"/>
        <w:keepLines w:val="0"/>
        <w:widowControl w:val="0"/>
        <w:shd w:val="clear" w:color="auto" w:fill="auto"/>
        <w:tabs>
          <w:tab w:pos="432" w:val="left"/>
        </w:tabs>
        <w:bidi w:val="0"/>
        <w:spacing w:before="0" w:after="0" w:line="312" w:lineRule="exact"/>
        <w:ind w:left="0" w:right="0" w:firstLine="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如本附注五、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所述，本集团在收入确认方面涉及到如下重大的会计判断和估计：识别客户合同；估计因向 客户转让商品而有权取得的对价的可收回性；识别合同中的履约义务；估计合同中存在的可变对价以及在相关不确定性消除 时累计已确认收入极可能不会发生重大转回的金额；合同中是否存在重大融资成分；估计合同中单项履约义务的单独售价； 确定履约义务是在某一时段内履行还是在某一时点履行；履约进度的确定，等等。</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本集团主要依靠过去的经验和工作作出判断，这些重大判断和估计变更都可能对变更当期或以后期间的营业收入、营 业成本，以及期间损益产生影响，且可能构成重大影响。</w:t>
      </w:r>
    </w:p>
    <w:p>
      <w:pPr>
        <w:pStyle w:val="Style22"/>
        <w:keepNext w:val="0"/>
        <w:keepLines w:val="0"/>
        <w:widowControl w:val="0"/>
        <w:shd w:val="clear" w:color="auto" w:fill="auto"/>
        <w:tabs>
          <w:tab w:pos="432" w:val="left"/>
        </w:tabs>
        <w:bidi w:val="0"/>
        <w:spacing w:before="0" w:after="0" w:line="312" w:lineRule="exact"/>
        <w:ind w:left="0" w:right="0" w:firstLine="0"/>
        <w:jc w:val="left"/>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w:t>
      </w:r>
    </w:p>
    <w:p>
      <w:pPr>
        <w:pStyle w:val="Style22"/>
        <w:keepNext w:val="0"/>
        <w:keepLines w:val="0"/>
        <w:widowControl w:val="0"/>
        <w:numPr>
          <w:ilvl w:val="0"/>
          <w:numId w:val="41"/>
        </w:numPr>
        <w:shd w:val="clear" w:color="auto" w:fill="auto"/>
        <w:tabs>
          <w:tab w:pos="800" w:val="left"/>
        </w:tabs>
        <w:bidi w:val="0"/>
        <w:spacing w:before="0" w:after="0" w:line="312" w:lineRule="exact"/>
        <w:ind w:left="0" w:right="0" w:firstLine="440"/>
        <w:jc w:val="left"/>
      </w:pPr>
      <w:bookmarkStart w:id="1010" w:name="bookmark1010"/>
      <w:bookmarkEnd w:id="1010"/>
      <w:r>
        <w:rPr>
          <w:color w:val="000000"/>
          <w:spacing w:val="0"/>
          <w:w w:val="100"/>
          <w:position w:val="0"/>
        </w:rPr>
        <w:t>租赁的识别</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本集团在识别一项合同是否为租赁或包含租赁时，需要评估是否存在一项已识别资产，且客户控制了该资产在一定期 间内的使用权。在评估时，需要考虑资产的性质、实质性替换权、以及客户是否有权获得因在该期间使用该资产所产生的几 乎全部经济利益，并能够主导该资产的使用。</w:t>
      </w:r>
    </w:p>
    <w:p>
      <w:pPr>
        <w:pStyle w:val="Style22"/>
        <w:keepNext w:val="0"/>
        <w:keepLines w:val="0"/>
        <w:widowControl w:val="0"/>
        <w:numPr>
          <w:ilvl w:val="0"/>
          <w:numId w:val="41"/>
        </w:numPr>
        <w:shd w:val="clear" w:color="auto" w:fill="auto"/>
        <w:tabs>
          <w:tab w:pos="800" w:val="left"/>
        </w:tabs>
        <w:bidi w:val="0"/>
        <w:spacing w:before="0" w:after="0" w:line="312" w:lineRule="exact"/>
        <w:ind w:left="0" w:right="0" w:firstLine="440"/>
        <w:jc w:val="left"/>
      </w:pPr>
      <w:bookmarkStart w:id="1011" w:name="bookmark1011"/>
      <w:bookmarkEnd w:id="1011"/>
      <w:r>
        <w:rPr>
          <w:color w:val="000000"/>
          <w:spacing w:val="0"/>
          <w:w w:val="100"/>
          <w:position w:val="0"/>
        </w:rPr>
        <w:t>租赁的分类</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本集团作为出租人时，将租赁分类为经营租赁和融资租赁。在进行分类时，管理层需要对是否已将与租出资产所有权 有关的全部风险和报酬实质上转移给承租人作出分析和判断。</w:t>
      </w:r>
    </w:p>
    <w:p>
      <w:pPr>
        <w:pStyle w:val="Style22"/>
        <w:keepNext w:val="0"/>
        <w:keepLines w:val="0"/>
        <w:widowControl w:val="0"/>
        <w:numPr>
          <w:ilvl w:val="0"/>
          <w:numId w:val="41"/>
        </w:numPr>
        <w:shd w:val="clear" w:color="auto" w:fill="auto"/>
        <w:tabs>
          <w:tab w:pos="800" w:val="left"/>
        </w:tabs>
        <w:bidi w:val="0"/>
        <w:spacing w:before="0" w:after="0" w:line="312" w:lineRule="exact"/>
        <w:ind w:left="0" w:right="0" w:firstLine="440"/>
        <w:jc w:val="left"/>
      </w:pPr>
      <w:bookmarkStart w:id="1012" w:name="bookmark1012"/>
      <w:bookmarkEnd w:id="1012"/>
      <w:r>
        <w:rPr>
          <w:color w:val="000000"/>
          <w:spacing w:val="0"/>
          <w:w w:val="100"/>
          <w:position w:val="0"/>
        </w:rPr>
        <w:t>租赁负债</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本集团作为承租人时，租赁负债按照租赁期开始日尚未支付的租赁付款额的现值进行初始计量。在计量租赁付款额的 现值时，本集团对使用的折现率以及存在续租选择权或终止选择权的租赁合同的租赁期进行估计。在评估租赁期时，本集团 综合考虑与本集团行使选择权带来经济利益的所有相关事实和情况，包括自租赁期开始日至选择权行使日之间的事实和情况 的预期变化等。不同的判断及估计可能会影响租赁负债和使用权资产的确认，并将影响后续期间的损益。</w:t>
      </w:r>
    </w:p>
    <w:p>
      <w:pPr>
        <w:pStyle w:val="Style22"/>
        <w:keepNext w:val="0"/>
        <w:keepLines w:val="0"/>
        <w:widowControl w:val="0"/>
        <w:shd w:val="clear" w:color="auto" w:fill="auto"/>
        <w:tabs>
          <w:tab w:pos="432" w:val="left"/>
        </w:tabs>
        <w:bidi w:val="0"/>
        <w:spacing w:before="0" w:after="0" w:line="312" w:lineRule="exact"/>
        <w:ind w:left="0" w:right="0" w:firstLine="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本集团采用预期信用损失模型对金融工具的减值进行评估，应用预期信用损失模型需要做出重大判断和估计，需考虑 </w:t>
      </w:r>
      <w:r>
        <w:rPr>
          <w:color w:val="000000"/>
          <w:spacing w:val="0"/>
          <w:w w:val="100"/>
          <w:position w:val="0"/>
        </w:rPr>
        <w:t>所有合理且有依据的信息，包括前瞻性信息。在做出该等判断和估计时，本集团根据历史数据结合经济政策、宏观经济指标、 行业风险、外部市场环境、技术环境、客户情况的变化等因素推断债务人信用风险的预期变动。</w:t>
      </w:r>
    </w:p>
    <w:p>
      <w:pPr>
        <w:pStyle w:val="Style22"/>
        <w:keepNext w:val="0"/>
        <w:keepLines w:val="0"/>
        <w:widowControl w:val="0"/>
        <w:shd w:val="clear" w:color="auto" w:fill="auto"/>
        <w:tabs>
          <w:tab w:pos="397" w:val="left"/>
        </w:tabs>
        <w:bidi w:val="0"/>
        <w:spacing w:before="0" w:after="0" w:line="312" w:lineRule="exact"/>
        <w:ind w:left="0" w:right="0" w:firstLine="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存货跌价准备</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2"/>
        <w:keepNext w:val="0"/>
        <w:keepLines w:val="0"/>
        <w:widowControl w:val="0"/>
        <w:shd w:val="clear" w:color="auto" w:fill="auto"/>
        <w:tabs>
          <w:tab w:pos="397" w:val="left"/>
        </w:tabs>
        <w:bidi w:val="0"/>
        <w:spacing w:before="0" w:after="0" w:line="312" w:lineRule="exact"/>
        <w:ind w:left="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金融工具公允价值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对不存在活跃交易市场的金融工具，本集团通过各种估值方法确定其公允价值。这些估值方法包括贴现现金流模型分 析等。估值时本集团需对未来现金流量、信用风险、市场波动率和相关性等方面进行估计，并选择适当的折现率。这些相关 假设具有不确定性，其变化会对金融工具的公允价值产生影响。权益工具投资或合同有公开报价的，本集团不将成本作为其 公允价值的最佳估计。</w:t>
      </w:r>
    </w:p>
    <w:p>
      <w:pPr>
        <w:pStyle w:val="Style22"/>
        <w:keepNext w:val="0"/>
        <w:keepLines w:val="0"/>
        <w:widowControl w:val="0"/>
        <w:shd w:val="clear" w:color="auto" w:fill="auto"/>
        <w:tabs>
          <w:tab w:pos="397" w:val="left"/>
        </w:tabs>
        <w:bidi w:val="0"/>
        <w:spacing w:before="0" w:after="0" w:line="312" w:lineRule="exact"/>
        <w:ind w:left="0" w:right="0" w:firstLine="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长期资产减值准备</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在预计未来现金流量现值时，需要对该资产（或资产组）的产量、售价、相关经营成本以及计算现值时使用的折现率 等作出重大判断。本集团在估计可收回金额时会采用所有能够获得的相关资料，包括根据合理和可支持的假设所作出有关产 量、售价和相关经营成本的预测。</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本集团至少每年测试商誉是否发生减值。这要求对分配了商誉的资产组或者资产组组合的未来现金流量的现值进行预 计。对未来现金流量的现值进行预计时，本集团需要预计未来资产组或者资产组组合产生的现金流量，同时选择恰当的折现 率确定未来现金流量的现值。</w:t>
      </w:r>
    </w:p>
    <w:p>
      <w:pPr>
        <w:pStyle w:val="Style22"/>
        <w:keepNext w:val="0"/>
        <w:keepLines w:val="0"/>
        <w:widowControl w:val="0"/>
        <w:shd w:val="clear" w:color="auto" w:fill="auto"/>
        <w:tabs>
          <w:tab w:pos="397" w:val="left"/>
        </w:tabs>
        <w:bidi w:val="0"/>
        <w:spacing w:before="0" w:after="0" w:line="312" w:lineRule="exact"/>
        <w:ind w:left="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折旧和摊销</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本集团对投资性房地产、固定资产和无形资产在考虑其残值后，在使用寿命内按直线法计提折旧和摊销。本集团定期 复核使用寿命，以决定将计入每个报告期的折旧和摊销费用数额。使用寿命是本集团根据对同类资产的以往经验并结合预期 的技术更新而确定的。如果以前的估计发生重大变化，则会在未来期间对折旧和摊销费用进行调整。</w:t>
      </w:r>
    </w:p>
    <w:p>
      <w:pPr>
        <w:pStyle w:val="Style22"/>
        <w:keepNext w:val="0"/>
        <w:keepLines w:val="0"/>
        <w:widowControl w:val="0"/>
        <w:shd w:val="clear" w:color="auto" w:fill="auto"/>
        <w:tabs>
          <w:tab w:pos="397" w:val="left"/>
        </w:tabs>
        <w:bidi w:val="0"/>
        <w:spacing w:before="0" w:after="0" w:line="312" w:lineRule="exact"/>
        <w:ind w:left="0" w:right="0" w:firstLine="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递延所得税资产</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在很有可能有足够的应纳税利润来抵扣亏损的限度内，本集团就所有未利用的税务亏损确认递延所得税资产。这需要 本集团管理层运用大量的判断来估计未来应纳税利润发生的时间和金额，结合纳税筹划策略，以决定应确认的递延所得税资 产的金额。</w:t>
      </w:r>
    </w:p>
    <w:p>
      <w:pPr>
        <w:pStyle w:val="Style22"/>
        <w:keepNext w:val="0"/>
        <w:keepLines w:val="0"/>
        <w:widowControl w:val="0"/>
        <w:shd w:val="clear" w:color="auto" w:fill="auto"/>
        <w:tabs>
          <w:tab w:pos="397" w:val="left"/>
        </w:tabs>
        <w:bidi w:val="0"/>
        <w:spacing w:before="0" w:after="0" w:line="312" w:lineRule="exact"/>
        <w:ind w:left="0" w:right="0" w:firstLine="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所得税</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2"/>
        <w:keepNext w:val="0"/>
        <w:keepLines w:val="0"/>
        <w:widowControl w:val="0"/>
        <w:shd w:val="clear" w:color="auto" w:fill="auto"/>
        <w:tabs>
          <w:tab w:pos="483" w:val="left"/>
        </w:tabs>
        <w:bidi w:val="0"/>
        <w:spacing w:before="0" w:after="0" w:line="312" w:lineRule="exact"/>
        <w:ind w:left="0" w:right="0" w:firstLine="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内部退养福利及补充退休福利</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本集团内部退养福利和补充退休福利费用支出及负债的金额依据各种假设条件确定。这些假设条件包括折现率、平均 医疗费用增长率、内退人员及离退人员补贴增长率和其他因素。实际结果和假设的差异将在发生时立即确认并计入当年费用。 尽管管理层认为已采用了合理假设，但实际经验值及假设条件的变化仍将影响本集团内部退养福利和补充退休福利的费用及 负债余额。</w:t>
      </w:r>
    </w:p>
    <w:p>
      <w:pPr>
        <w:pStyle w:val="Style22"/>
        <w:keepNext w:val="0"/>
        <w:keepLines w:val="0"/>
        <w:widowControl w:val="0"/>
        <w:shd w:val="clear" w:color="auto" w:fill="auto"/>
        <w:tabs>
          <w:tab w:pos="483" w:val="left"/>
        </w:tabs>
        <w:bidi w:val="0"/>
        <w:spacing w:before="0" w:after="0" w:line="312" w:lineRule="exact"/>
        <w:ind w:left="0" w:right="0" w:firstLine="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预计负债</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本集团根据合约条款、现有知识及历史经验，对产品质量保证、预计合同亏损、延迟交货违约金等估计并计提相应准 备。在该等或有事项已经形成一项现时义务，且履行该等现时义务很可能导致经济利益流出本集团的情况下，本集团对或有 事项按履行相关现时义务所需支出的最佳估计数确认为预计负债。预计负债的确认和计量在很大程度上依赖于管理层的判 断。在进行判断过程中本集团需评估该等或有事项相关的风险、不确定性及货币时间价值等因素。</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其中，本集团会就出售、维修及改造所售商品向客户提供的售后质量维修承诺预计负债。预计负债时已考虑本集团近 期的维修经验数据，但近期的维修经验可能无法反映将来的维修情况。这项准备的任何增加或减少，均可能影响未来年度的 损益。</w:t>
      </w:r>
    </w:p>
    <w:p>
      <w:pPr>
        <w:pStyle w:val="Style22"/>
        <w:keepNext w:val="0"/>
        <w:keepLines w:val="0"/>
        <w:widowControl w:val="0"/>
        <w:shd w:val="clear" w:color="auto" w:fill="auto"/>
        <w:bidi w:val="0"/>
        <w:spacing w:before="0" w:after="0" w:line="311" w:lineRule="exact"/>
        <w:ind w:left="0" w:right="0" w:firstLine="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）公允价值计量</w:t>
      </w:r>
    </w:p>
    <w:p>
      <w:pPr>
        <w:pStyle w:val="Style22"/>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本集团的某些资产和负债在财务报表中按公允价值计量。在对某项资产或负债的公允价值作出估计时，本集团采用可 获得的可观察市场数据。如果无法获得第一层次输入值，本集团会聘用第三方有资质的评估师来执行估价。与有资质的外部 估价师紧密合作，以确定适当的估值技术和相关模型的输入值。在确定各类资产和负债的公允价值的过程中所采用的估值技 术和输入值的相关信息在附注十中披露。</w:t>
      </w:r>
    </w:p>
    <w:p>
      <w:pPr>
        <w:pStyle w:val="Style27"/>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六</w:t>
      </w:r>
      <w:bookmarkEnd w:id="1025"/>
      <w:r>
        <w:rPr>
          <w:color w:val="000000"/>
          <w:spacing w:val="0"/>
          <w:w w:val="100"/>
          <w:position w:val="0"/>
        </w:rPr>
        <w:t>、税项</w:t>
      </w:r>
      <w:bookmarkEnd w:id="1023"/>
      <w:bookmarkEnd w:id="1024"/>
      <w:bookmarkEnd w:id="1026"/>
    </w:p>
    <w:p>
      <w:pPr>
        <w:pStyle w:val="Style32"/>
        <w:keepNext/>
        <w:keepLines/>
        <w:widowControl w:val="0"/>
        <w:shd w:val="clear" w:color="auto" w:fill="auto"/>
        <w:bidi w:val="0"/>
        <w:spacing w:before="0" w:after="320" w:line="240" w:lineRule="auto"/>
        <w:ind w:left="0" w:right="0" w:firstLine="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7"/>
      <w:bookmarkEnd w:id="1028"/>
      <w:bookmarkEnd w:id="1029"/>
    </w:p>
    <w:tbl>
      <w:tblPr>
        <w:tblOverlap w:val="never"/>
        <w:jc w:val="center"/>
        <w:tblLayout w:type="fixed"/>
      </w:tblPr>
      <w:tblGrid>
        <w:gridCol w:w="3192"/>
        <w:gridCol w:w="4325"/>
        <w:gridCol w:w="2069"/>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的税率计算销项税，并按扣 除当期允许抵扣的进项税额后的差额计缴增值税。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按应税房产的计税余值的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（年税率）计缴或应税 房产租金收入的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（年税率）计缴。</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5534"/>
        <w:gridCol w:w="4046"/>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贵州劲嘉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贵州瑞源包装有限责任公司（以下简称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贵州瑞源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贵州劲瑞新型包装材料有限公司（以下简称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贵州劲瑞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深圳市劲嘉物业管理有限公司（以下简称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江苏劲嘉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江苏顺泰包装印刷科技有限公司（以下简称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江苏顺泰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深圳合元劲嘉电子科技有限公司（以下简称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合元劲嘉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日更名为深圳市合惠创科技有限公司）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珠海市嘉瑞包装材料有限公司（以下简称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珠海嘉瑞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东方英莎特有限公司（以下简称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英莎特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5534"/>
        <w:gridCol w:w="4046"/>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中华香港国际烟草集团有限公司（以下简称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中华烟草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不超过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6"/>
                <w:szCs w:val="16"/>
              </w:rPr>
              <w:t>万元税率</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6"/>
                <w:szCs w:val="16"/>
              </w:rPr>
              <w:t>万元</w:t>
            </w: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深圳劲嘉新型智能包装有限公司（以下简称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安徽安泰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中丰田光电科技（珠海）有限公司（以下简称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昆明彩印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佳信（香港广</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不超过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6"/>
                <w:szCs w:val="16"/>
              </w:rPr>
              <w:t>万元税率</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6"/>
                <w:szCs w:val="16"/>
              </w:rPr>
              <w:t>万元</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江西丰彩丽印刷包装有限公司（以下简称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江西丰彩丽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深圳前海劲嘉供应链有限公司（以下简称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劲嘉供应链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深圳前海蓝莓文化传播有限公司（以下简称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蓝莓文化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长春吉星印务有限责任公司（以下简称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劲嘉集团（香港森洋）有限公司（以下简称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香港森洋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广州德新产业投资管理有限公司（以下简称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广州德新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深圳劲嘉新产业科技有限公司（以下简称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新产业科技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上海丽兴绿色包装有限公司（以下简称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上海丽兴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深圳嘉星健康科技有限公司（以下简称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嘉星健康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深圳劲嘉盒知科技有限公司（以下简称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盒知科技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深圳嘉玉科技有限公司（以下简称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嘉玉科技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深圳因味科技有限公司（以下简称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因味科技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宜宾嘉美智能包装有限公司（以下简称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宜宾嘉美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深圳市劲嘉产业园物业管理有限公司（以下简称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产业园物业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菏泽中丰田光电科技有限公司（以下简称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菏泽中丰田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遵义劲嘉智能包装有限公司（以下简称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遵义智能包装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深圳鼎盛丰华科技有限公司（以下简称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鼎盛丰华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深圳云普星河科技服务有限公司（以下简称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深圳云普星河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青岛英诺包装科技有限公司（以下简称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青岛英诺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GALAXY LINK INDONESIA </w:t>
            </w:r>
            <w:r>
              <w:rPr>
                <w:color w:val="000000"/>
                <w:spacing w:val="0"/>
                <w:w w:val="100"/>
                <w:position w:val="0"/>
              </w:rPr>
              <w:t>（印尼云普星河）</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0"/>
      <w:bookmarkEnd w:id="1031"/>
      <w:bookmarkEnd w:id="1032"/>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作为生产性服务业纳税人，自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抵减应纳税额；子 公司深圳市劲嘉物业管理有限公司、深圳市劲嘉产业园物业管理有限公司作为生活性服务业纳税人，自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日按照当期可抵扣进项税额加 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抵减应纳税额。</w:t>
      </w:r>
    </w:p>
    <w:p>
      <w:pPr>
        <w:pStyle w:val="Style22"/>
        <w:keepNext w:val="0"/>
        <w:keepLines w:val="0"/>
        <w:widowControl w:val="0"/>
        <w:shd w:val="clear" w:color="auto" w:fill="auto"/>
        <w:bidi w:val="0"/>
        <w:spacing w:before="0" w:after="0" w:line="313" w:lineRule="exact"/>
        <w:ind w:left="0" w:right="0" w:firstLine="4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年通过复审，并领取深圳市科技创新委员会、深圳市财政委员会、 国家税务总局深圳市税务局联合颁发的高新技术企业证书，编号为</w:t>
      </w:r>
      <w:r>
        <w:rPr>
          <w:rFonts w:ascii="Times New Roman" w:eastAsia="Times New Roman" w:hAnsi="Times New Roman" w:cs="Times New Roman"/>
          <w:color w:val="000000"/>
          <w:spacing w:val="0"/>
          <w:w w:val="100"/>
          <w:position w:val="0"/>
          <w:sz w:val="18"/>
          <w:szCs w:val="18"/>
        </w:rPr>
        <w:t>GR202144201662</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日，有效 期三年，根据《中华人民共和国企业所得税法》的有关规定，本公司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年享受高新技术企业税收优惠政策，减按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本公司根据深圳经济特区房产税实施办法(深府〔</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号)规定，纳税单位新建或购置的新建房屋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不包括违章 建造的房屋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，自建成或购置之次月起免纳房产税三年，本公司松岗工业园二期房产、三期房产均自建成之日起三年免纳房 产税。</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34" w:name="bookmark1034"/>
      <w:bookmarkEnd w:id="1034"/>
      <w:r>
        <w:rPr>
          <w:color w:val="000000"/>
          <w:spacing w:val="0"/>
          <w:w w:val="100"/>
          <w:position w:val="0"/>
        </w:rPr>
        <w:t xml:space="preserve"> 贵州劲嘉</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年通过复审，并领取贵州省科技厅、贵州省财政厅、国家税务 总局贵州省税务局联合颁发的高新技术企业证书，证书编号</w:t>
      </w:r>
      <w:r>
        <w:rPr>
          <w:rFonts w:ascii="Times New Roman" w:eastAsia="Times New Roman" w:hAnsi="Times New Roman" w:cs="Times New Roman"/>
          <w:color w:val="000000"/>
          <w:spacing w:val="0"/>
          <w:w w:val="100"/>
          <w:position w:val="0"/>
          <w:sz w:val="18"/>
          <w:szCs w:val="18"/>
        </w:rPr>
        <w:t>GR202152000055</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日。根据《中华人民 共和国企业所得税法》的有关规定，该公司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年享受高新技术企业税收优惠政策</w:t>
      </w:r>
      <w:r>
        <w:rPr>
          <w:color w:val="000000"/>
          <w:spacing w:val="0"/>
          <w:w w:val="100"/>
          <w:position w:val="0"/>
          <w:sz w:val="18"/>
          <w:szCs w:val="18"/>
        </w:rPr>
        <w:t>，</w:t>
      </w:r>
      <w:r>
        <w:rPr>
          <w:color w:val="000000"/>
          <w:spacing w:val="0"/>
          <w:w w:val="100"/>
          <w:position w:val="0"/>
        </w:rPr>
        <w:t>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 得税。</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35" w:name="bookmark1035"/>
      <w:bookmarkEnd w:id="1035"/>
      <w:r>
        <w:rPr>
          <w:color w:val="000000"/>
          <w:spacing w:val="0"/>
          <w:w w:val="100"/>
          <w:position w:val="0"/>
        </w:rPr>
        <w:t xml:space="preserve"> 贵州劲瑞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年被认定为小型微利企业，国家对符合条件的小型微利企业减按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%的税率征收企业所得税，同时 将享受减按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2"/>
        <w:keepNext w:val="0"/>
        <w:keepLines w:val="0"/>
        <w:widowControl w:val="0"/>
        <w:numPr>
          <w:ilvl w:val="0"/>
          <w:numId w:val="43"/>
        </w:numPr>
        <w:shd w:val="clear" w:color="auto" w:fill="auto"/>
        <w:tabs>
          <w:tab w:pos="903" w:val="left"/>
        </w:tabs>
        <w:bidi w:val="0"/>
        <w:spacing w:before="0" w:after="0" w:line="314" w:lineRule="exact"/>
        <w:ind w:left="0" w:right="0" w:firstLine="440"/>
        <w:jc w:val="both"/>
      </w:pPr>
      <w:bookmarkStart w:id="1036" w:name="bookmark1036"/>
      <w:bookmarkEnd w:id="1036"/>
      <w:r>
        <w:rPr>
          <w:color w:val="000000"/>
          <w:spacing w:val="0"/>
          <w:w w:val="100"/>
          <w:position w:val="0"/>
        </w:rPr>
        <w:t>江苏劲嘉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到期后重新认定为高新技术企业，并领取苏省科技厅、江苏省 财政厅、江苏省国家税务局、江苏省地方税务局联合颁发的高新技术企业证书，证书编号</w:t>
      </w:r>
      <w:r>
        <w:rPr>
          <w:rFonts w:ascii="Times New Roman" w:eastAsia="Times New Roman" w:hAnsi="Times New Roman" w:cs="Times New Roman"/>
          <w:color w:val="000000"/>
          <w:spacing w:val="0"/>
          <w:w w:val="100"/>
          <w:position w:val="0"/>
          <w:sz w:val="18"/>
          <w:szCs w:val="18"/>
        </w:rPr>
        <w:t>GR202032001320</w:t>
      </w:r>
      <w:r>
        <w:rPr>
          <w:color w:val="000000"/>
          <w:spacing w:val="0"/>
          <w:w w:val="100"/>
          <w:position w:val="0"/>
        </w:rPr>
        <w:t>。</w:t>
      </w:r>
      <w:r>
        <w:rPr>
          <w:color w:val="000000"/>
          <w:spacing w:val="0"/>
          <w:w w:val="100"/>
          <w:position w:val="0"/>
        </w:rPr>
        <w:t>根据《中华人 民共和国企业所得税法》的有关规定，该公司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 得税。</w:t>
      </w:r>
    </w:p>
    <w:p>
      <w:pPr>
        <w:pStyle w:val="Style22"/>
        <w:keepNext w:val="0"/>
        <w:keepLines w:val="0"/>
        <w:widowControl w:val="0"/>
        <w:numPr>
          <w:ilvl w:val="0"/>
          <w:numId w:val="43"/>
        </w:numPr>
        <w:shd w:val="clear" w:color="auto" w:fill="auto"/>
        <w:tabs>
          <w:tab w:pos="903" w:val="left"/>
        </w:tabs>
        <w:bidi w:val="0"/>
        <w:spacing w:before="0" w:after="0" w:line="314" w:lineRule="exact"/>
        <w:ind w:left="0" w:right="0" w:firstLine="440"/>
        <w:jc w:val="both"/>
      </w:pPr>
      <w:bookmarkStart w:id="1037" w:name="bookmark1037"/>
      <w:bookmarkEnd w:id="1037"/>
      <w:r>
        <w:rPr>
          <w:color w:val="000000"/>
          <w:spacing w:val="0"/>
          <w:w w:val="100"/>
          <w:position w:val="0"/>
        </w:rPr>
        <w:t>江苏顺泰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年通过复审，并领取江苏省科学技术厅、江苏省财政厅、江苏 省国家税务局、江苏省地方税务局联合颁发的高新技术企业证书，证书编号</w:t>
      </w:r>
      <w:r>
        <w:rPr>
          <w:rFonts w:ascii="Times New Roman" w:eastAsia="Times New Roman" w:hAnsi="Times New Roman" w:cs="Times New Roman"/>
          <w:color w:val="000000"/>
          <w:spacing w:val="0"/>
          <w:w w:val="100"/>
          <w:position w:val="0"/>
          <w:sz w:val="18"/>
          <w:szCs w:val="18"/>
        </w:rPr>
        <w:t>GR202032009105</w:t>
      </w:r>
      <w:r>
        <w:rPr>
          <w:color w:val="000000"/>
          <w:spacing w:val="0"/>
          <w:w w:val="100"/>
          <w:position w:val="0"/>
        </w:rPr>
        <w:t>。</w:t>
      </w:r>
      <w:r>
        <w:rPr>
          <w:color w:val="000000"/>
          <w:spacing w:val="0"/>
          <w:w w:val="100"/>
          <w:position w:val="0"/>
        </w:rPr>
        <w:t>根据《中华人民共和国企业 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tabs>
          <w:tab w:pos="913" w:val="left"/>
        </w:tabs>
        <w:bidi w:val="0"/>
        <w:spacing w:before="0" w:after="0" w:line="314" w:lineRule="exact"/>
        <w:ind w:left="0" w:right="0" w:firstLine="440"/>
        <w:jc w:val="both"/>
      </w:pPr>
      <w:bookmarkStart w:id="1038" w:name="bookmark1038"/>
      <w:bookmarkEnd w:id="1038"/>
      <w:r>
        <w:rPr>
          <w:color w:val="000000"/>
          <w:spacing w:val="0"/>
          <w:w w:val="100"/>
          <w:position w:val="0"/>
        </w:rPr>
        <w:t>合元劲嘉为小型微利企业，国家对符合条件的小型微利企业减按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%的税率征收企业所得税，同时将享受减按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39" w:name="bookmark1039"/>
      <w:bookmarkEnd w:id="1039"/>
      <w:r>
        <w:rPr>
          <w:color w:val="000000"/>
          <w:spacing w:val="0"/>
          <w:w w:val="100"/>
          <w:position w:val="0"/>
        </w:rPr>
        <w:t xml:space="preserve"> 劲嘉科技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年被认定为国家高新技术企业，并领取深圳市科技创新委员会、深圳市财政局、国家税务总局深圳 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GR202044203478</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tabs>
          <w:tab w:pos="900" w:val="left"/>
        </w:tabs>
        <w:bidi w:val="0"/>
        <w:spacing w:before="0" w:after="0" w:line="314" w:lineRule="exact"/>
        <w:ind w:left="0" w:right="0" w:firstLine="440"/>
        <w:jc w:val="both"/>
      </w:pPr>
      <w:bookmarkStart w:id="1040" w:name="bookmark1040"/>
      <w:bookmarkEnd w:id="1040"/>
      <w:r>
        <w:rPr>
          <w:color w:val="000000"/>
          <w:spacing w:val="0"/>
          <w:w w:val="100"/>
          <w:position w:val="0"/>
        </w:rPr>
        <w:t>智能包装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年被认定为国家高新技术企业，并领取深圳市科技创新委员会、深圳市财政局、国家税务总局深圳 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GR202044200534</w:t>
      </w:r>
      <w:r>
        <w:rPr>
          <w:color w:val="000000"/>
          <w:spacing w:val="0"/>
          <w:w w:val="100"/>
          <w:position w:val="0"/>
        </w:rPr>
        <w:t>。</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tabs>
          <w:tab w:pos="903" w:val="left"/>
        </w:tabs>
        <w:bidi w:val="0"/>
        <w:spacing w:before="0" w:after="0" w:line="314" w:lineRule="exact"/>
        <w:ind w:left="0" w:right="0" w:firstLine="440"/>
        <w:jc w:val="both"/>
      </w:pPr>
      <w:bookmarkStart w:id="1041" w:name="bookmark1041"/>
      <w:bookmarkEnd w:id="1041"/>
      <w:r>
        <w:rPr>
          <w:color w:val="000000"/>
          <w:spacing w:val="0"/>
          <w:w w:val="100"/>
          <w:position w:val="0"/>
        </w:rPr>
        <w:t>安徽安泰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年通过复审，并领取安徽省科学技术厅、安徽省财政厅、安徽 省国家税务局、安徽省地方税务局颁发的高新技术企业证书，编号为</w:t>
      </w:r>
      <w:r>
        <w:rPr>
          <w:rFonts w:ascii="Times New Roman" w:eastAsia="Times New Roman" w:hAnsi="Times New Roman" w:cs="Times New Roman"/>
          <w:color w:val="000000"/>
          <w:spacing w:val="0"/>
          <w:w w:val="100"/>
          <w:position w:val="0"/>
          <w:sz w:val="18"/>
          <w:szCs w:val="18"/>
        </w:rPr>
        <w:t>GR202034000804</w:t>
      </w:r>
      <w:r>
        <w:rPr>
          <w:color w:val="000000"/>
          <w:spacing w:val="0"/>
          <w:w w:val="100"/>
          <w:position w:val="0"/>
        </w:rPr>
        <w:t>。</w:t>
      </w:r>
      <w:r>
        <w:rPr>
          <w:color w:val="000000"/>
          <w:spacing w:val="0"/>
          <w:w w:val="100"/>
          <w:position w:val="0"/>
        </w:rPr>
        <w:t>根据《中华人民共和国企业所得税 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tabs>
          <w:tab w:pos="999" w:val="left"/>
        </w:tabs>
        <w:bidi w:val="0"/>
        <w:spacing w:before="0" w:after="0" w:line="314" w:lineRule="exact"/>
        <w:ind w:left="0" w:right="0" w:firstLine="440"/>
        <w:jc w:val="both"/>
      </w:pPr>
      <w:bookmarkStart w:id="1042" w:name="bookmark1042"/>
      <w:bookmarkEnd w:id="1042"/>
      <w:r>
        <w:rPr>
          <w:color w:val="000000"/>
          <w:spacing w:val="0"/>
          <w:w w:val="100"/>
          <w:position w:val="0"/>
        </w:rPr>
        <w:t>中丰田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年通过复审，并领取广东省科学技术厅、广东省财政厅、国家 税务总局广东省税务局联合颁发的高新技术企业证书，证书编号</w:t>
      </w:r>
      <w:r>
        <w:rPr>
          <w:rFonts w:ascii="Times New Roman" w:eastAsia="Times New Roman" w:hAnsi="Times New Roman" w:cs="Times New Roman"/>
          <w:color w:val="000000"/>
          <w:spacing w:val="0"/>
          <w:w w:val="100"/>
          <w:position w:val="0"/>
          <w:sz w:val="18"/>
          <w:szCs w:val="18"/>
        </w:rPr>
        <w:t>GR202144001085</w:t>
      </w:r>
      <w:r>
        <w:rPr>
          <w:color w:val="000000"/>
          <w:spacing w:val="0"/>
          <w:w w:val="100"/>
          <w:position w:val="0"/>
        </w:rPr>
        <w:t>。</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43" w:name="bookmark1043"/>
      <w:bookmarkEnd w:id="1043"/>
      <w:r>
        <w:rPr>
          <w:color w:val="000000"/>
          <w:spacing w:val="0"/>
          <w:w w:val="100"/>
          <w:position w:val="0"/>
        </w:rPr>
        <w:t xml:space="preserve"> 昆明彩印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年通过复审，并领取云南省科学技术厅、云南省财政厅、云 南省国家税务局、云南省地方税务局于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日颁发的高新技术企业证书，编号</w:t>
      </w:r>
      <w:r>
        <w:rPr>
          <w:rFonts w:ascii="Times New Roman" w:eastAsia="Times New Roman" w:hAnsi="Times New Roman" w:cs="Times New Roman"/>
          <w:color w:val="000000"/>
          <w:spacing w:val="0"/>
          <w:w w:val="100"/>
          <w:position w:val="0"/>
          <w:sz w:val="18"/>
          <w:szCs w:val="18"/>
        </w:rPr>
        <w:t>GR202053000624</w:t>
      </w:r>
      <w:r>
        <w:rPr>
          <w:color w:val="000000"/>
          <w:spacing w:val="0"/>
          <w:w w:val="100"/>
          <w:position w:val="0"/>
        </w:rPr>
        <w:t>,</w:t>
      </w:r>
      <w:r>
        <w:rPr>
          <w:color w:val="000000"/>
          <w:spacing w:val="0"/>
          <w:w w:val="100"/>
          <w:position w:val="0"/>
        </w:rPr>
        <w:t>根据《中华人民 共和国企业所得税法》的有关规定，该公司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 得税。</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44" w:name="bookmark1044"/>
      <w:bookmarkEnd w:id="1044"/>
      <w:r>
        <w:rPr>
          <w:color w:val="000000"/>
          <w:spacing w:val="0"/>
          <w:w w:val="100"/>
          <w:position w:val="0"/>
        </w:rPr>
        <w:t xml:space="preserve"> 丰彩丽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年被认定为国家高新技术企业，并领取江西省科技厅、江西省财政厅、国家税务总局江西省税务局 联合颁发的高新技术企业证书，证书编号</w:t>
      </w:r>
      <w:r>
        <w:rPr>
          <w:rFonts w:ascii="Times New Roman" w:eastAsia="Times New Roman" w:hAnsi="Times New Roman" w:cs="Times New Roman"/>
          <w:color w:val="000000"/>
          <w:spacing w:val="0"/>
          <w:w w:val="100"/>
          <w:position w:val="0"/>
          <w:sz w:val="18"/>
          <w:szCs w:val="18"/>
        </w:rPr>
        <w:t>GR201936001039</w:t>
      </w:r>
      <w:r>
        <w:rPr>
          <w:color w:val="000000"/>
          <w:spacing w:val="0"/>
          <w:w w:val="100"/>
          <w:position w:val="0"/>
        </w:rPr>
        <w:t>,</w:t>
      </w:r>
      <w:r>
        <w:rPr>
          <w:color w:val="000000"/>
          <w:spacing w:val="0"/>
          <w:w w:val="100"/>
          <w:position w:val="0"/>
        </w:rPr>
        <w:t xml:space="preserve">根据《中华人民共和国企业所得税法》的相关规定，该公司自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2"/>
        <w:keepNext w:val="0"/>
        <w:keepLines w:val="0"/>
        <w:widowControl w:val="0"/>
        <w:numPr>
          <w:ilvl w:val="0"/>
          <w:numId w:val="43"/>
        </w:numPr>
        <w:shd w:val="clear" w:color="auto" w:fill="auto"/>
        <w:bidi w:val="0"/>
        <w:spacing w:before="0" w:after="0" w:line="314" w:lineRule="exact"/>
        <w:ind w:left="0" w:right="0" w:firstLine="440"/>
        <w:jc w:val="both"/>
      </w:pPr>
      <w:bookmarkStart w:id="1045" w:name="bookmark1045"/>
      <w:bookmarkEnd w:id="1045"/>
      <w:r>
        <w:rPr>
          <w:color w:val="000000"/>
          <w:spacing w:val="0"/>
          <w:w w:val="100"/>
          <w:position w:val="0"/>
        </w:rPr>
        <w:t xml:space="preserve"> 劲嘉供应链是设立在前海深港现代化服务合作区内的企业，符合《企业所得税优惠目录》中规定的产业项目，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的税率缴纳企业所得税，有效期至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numPr>
          <w:ilvl w:val="0"/>
          <w:numId w:val="43"/>
        </w:numPr>
        <w:shd w:val="clear" w:color="auto" w:fill="auto"/>
        <w:tabs>
          <w:tab w:pos="994" w:val="left"/>
        </w:tabs>
        <w:bidi w:val="0"/>
        <w:spacing w:before="0" w:after="0" w:line="314" w:lineRule="exact"/>
        <w:ind w:left="0" w:right="0" w:firstLine="440"/>
        <w:jc w:val="both"/>
      </w:pPr>
      <w:bookmarkStart w:id="1046" w:name="bookmark1046"/>
      <w:bookmarkEnd w:id="1046"/>
      <w:r>
        <w:rPr>
          <w:color w:val="000000"/>
          <w:spacing w:val="0"/>
          <w:w w:val="100"/>
          <w:position w:val="0"/>
        </w:rPr>
        <w:t>蓝莓文化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 圳市税务局于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GR202044204849</w:t>
      </w:r>
      <w:r>
        <w:rPr>
          <w:color w:val="000000"/>
          <w:spacing w:val="0"/>
          <w:w w:val="100"/>
          <w:position w:val="0"/>
        </w:rPr>
        <w:t>。</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numPr>
          <w:ilvl w:val="0"/>
          <w:numId w:val="43"/>
        </w:numPr>
        <w:shd w:val="clear" w:color="auto" w:fill="auto"/>
        <w:tabs>
          <w:tab w:pos="476" w:val="left"/>
        </w:tabs>
        <w:bidi w:val="0"/>
        <w:spacing w:before="0" w:after="0" w:line="314" w:lineRule="exact"/>
        <w:ind w:left="0" w:right="0" w:firstLine="440"/>
        <w:jc w:val="both"/>
      </w:pPr>
      <w:bookmarkStart w:id="1047" w:name="bookmark1047"/>
      <w:bookmarkEnd w:id="1047"/>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年通过复审，并领取吉林省科学技术厅、吉林省财政厅、吉 </w:t>
      </w:r>
      <w:r>
        <w:rPr>
          <w:color w:val="000000"/>
          <w:spacing w:val="0"/>
          <w:w w:val="100"/>
          <w:position w:val="0"/>
        </w:rPr>
        <w:t>林省国家税务局、吉林省地方税务局联合颁发的高新技术企业证书，证书编号</w:t>
      </w:r>
      <w:r>
        <w:rPr>
          <w:rFonts w:ascii="Times New Roman" w:eastAsia="Times New Roman" w:hAnsi="Times New Roman" w:cs="Times New Roman"/>
          <w:color w:val="000000"/>
          <w:spacing w:val="0"/>
          <w:w w:val="100"/>
          <w:position w:val="0"/>
          <w:sz w:val="18"/>
          <w:szCs w:val="18"/>
        </w:rPr>
        <w:t>GR201922000025</w:t>
      </w:r>
      <w:r>
        <w:rPr>
          <w:color w:val="000000"/>
          <w:spacing w:val="0"/>
          <w:w w:val="100"/>
          <w:position w:val="0"/>
        </w:rPr>
        <w:t>。根据《中华人民共和国企 业所得税法》的有关规定，该公司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shd w:val="clear" w:color="auto" w:fill="auto"/>
        <w:tabs>
          <w:tab w:pos="1054" w:val="left"/>
        </w:tabs>
        <w:bidi w:val="0"/>
        <w:spacing w:before="0" w:after="0" w:line="313" w:lineRule="exact"/>
        <w:ind w:left="0" w:right="0" w:firstLine="44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盒知科技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 圳市税务局于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GR202044203478</w:t>
      </w:r>
      <w:r>
        <w:rPr>
          <w:color w:val="000000"/>
          <w:spacing w:val="0"/>
          <w:w w:val="100"/>
          <w:position w:val="0"/>
        </w:rPr>
        <w:t>。</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2"/>
        <w:keepNext w:val="0"/>
        <w:keepLines w:val="0"/>
        <w:widowControl w:val="0"/>
        <w:shd w:val="clear" w:color="auto" w:fill="auto"/>
        <w:tabs>
          <w:tab w:pos="1064" w:val="left"/>
        </w:tabs>
        <w:bidi w:val="0"/>
        <w:spacing w:before="0" w:after="0" w:line="313" w:lineRule="exact"/>
        <w:ind w:left="0" w:right="0" w:firstLine="44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嘉玉科技为小型微利企业，国家对符合条件的小型微利企业减按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%的税率征收企业所得税，同时将享受减按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2"/>
        <w:keepNext w:val="0"/>
        <w:keepLines w:val="0"/>
        <w:widowControl w:val="0"/>
        <w:shd w:val="clear" w:color="auto" w:fill="auto"/>
        <w:tabs>
          <w:tab w:pos="1054" w:val="left"/>
        </w:tabs>
        <w:bidi w:val="0"/>
        <w:spacing w:before="0" w:after="0" w:line="313" w:lineRule="exact"/>
        <w:ind w:left="0" w:right="0" w:firstLine="44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宜宾嘉美是设立在四川省的企业，根据《财政部国家税务总局海关总署关于西部大开发税收优惠政策问题的通 知》（财税</w:t>
      </w:r>
      <w:r>
        <w:rPr>
          <w:rFonts w:ascii="Times New Roman" w:eastAsia="Times New Roman" w:hAnsi="Times New Roman" w:cs="Times New Roman"/>
          <w:color w:val="000000"/>
          <w:spacing w:val="0"/>
          <w:w w:val="100"/>
          <w:position w:val="0"/>
          <w:sz w:val="18"/>
          <w:szCs w:val="18"/>
        </w:rPr>
        <w:t>[2001]202</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）遵义智能包装是设立在四川省的企业，根据《财政部国家税务总局海关总署关于西部大开发税收优惠政策问题 的通知》（财税</w:t>
      </w:r>
      <w:r>
        <w:rPr>
          <w:rFonts w:ascii="Times New Roman" w:eastAsia="Times New Roman" w:hAnsi="Times New Roman" w:cs="Times New Roman"/>
          <w:color w:val="000000"/>
          <w:spacing w:val="0"/>
          <w:w w:val="100"/>
          <w:position w:val="0"/>
          <w:sz w:val="18"/>
          <w:szCs w:val="18"/>
        </w:rPr>
        <w:t>[2001]202</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）青岛英诺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年通过复审，并领取青岛市科学技术局、青岛市财政局、国 家税务总局青岛市税务局于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日颁发的高新技术企业证书，编号</w:t>
      </w:r>
      <w:r>
        <w:rPr>
          <w:rFonts w:ascii="Times New Roman" w:eastAsia="Times New Roman" w:hAnsi="Times New Roman" w:cs="Times New Roman"/>
          <w:color w:val="000000"/>
          <w:spacing w:val="0"/>
          <w:w w:val="100"/>
          <w:position w:val="0"/>
          <w:sz w:val="18"/>
          <w:szCs w:val="18"/>
        </w:rPr>
        <w:t>GR201937100510</w:t>
      </w:r>
      <w:r>
        <w:rPr>
          <w:color w:val="000000"/>
          <w:spacing w:val="0"/>
          <w:w w:val="100"/>
          <w:position w:val="0"/>
        </w:rPr>
        <w:t>，</w:t>
      </w:r>
      <w:r>
        <w:rPr>
          <w:color w:val="000000"/>
          <w:spacing w:val="0"/>
          <w:w w:val="100"/>
          <w:position w:val="0"/>
        </w:rPr>
        <w:t>根据《中华人民共和国企业 所得税法》的有关规定，该公司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7"/>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七</w:t>
      </w:r>
      <w:bookmarkEnd w:id="1053"/>
      <w:r>
        <w:rPr>
          <w:color w:val="000000"/>
          <w:spacing w:val="0"/>
          <w:w w:val="100"/>
          <w:position w:val="0"/>
        </w:rPr>
        <w:t>、合并财务报表项目注释</w:t>
      </w:r>
      <w:bookmarkEnd w:id="1051"/>
      <w:bookmarkEnd w:id="1052"/>
      <w:bookmarkEnd w:id="1054"/>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5"/>
      <w:bookmarkEnd w:id="1056"/>
      <w:bookmarkEnd w:id="105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1,157,179.03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502,017.62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1,295,802,794.77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1,494,927,113.35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237,378,082.40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133,252,230.29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1,534,338,056.20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1,628,681,361.26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80,428,748.68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81,515,510.33</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因抵押、质押或冻结等对使用有限制 的款项总额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237,367,709.19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133,252,230.29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8"/>
      <w:bookmarkEnd w:id="1059"/>
      <w:bookmarkEnd w:id="106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559,926,408.02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596,910,846.32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其中：结构化理财产品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559,926,408.02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596,910,846.32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559,926,408.02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596,910,846.32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、应收票据</w:t>
      </w:r>
      <w:bookmarkEnd w:id="1061"/>
      <w:bookmarkEnd w:id="1062"/>
      <w:bookmarkEnd w:id="1064"/>
    </w:p>
    <w:p>
      <w:pPr>
        <w:pStyle w:val="Style37"/>
        <w:keepNext/>
        <w:keepLines/>
        <w:widowControl w:val="0"/>
        <w:shd w:val="clear" w:color="auto" w:fill="auto"/>
        <w:bidi w:val="0"/>
        <w:spacing w:before="0" w:after="40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5"/>
      <w:bookmarkEnd w:id="1066"/>
      <w:bookmarkEnd w:id="106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34,712,575.23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377,453,069.00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412,165,644.23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425,715,</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675.23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13,550,0</w:t>
            </w:r>
          </w:p>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412,165,6</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34,712,5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34,712,57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391,003,</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13,550,0</w:t>
            </w:r>
          </w:p>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377,453,0</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425,715,</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13,550,0</w:t>
            </w:r>
          </w:p>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412,165,6</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）各类金融资产信用损失的确定方法。</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9"/>
      <w:bookmarkEnd w:id="1070"/>
      <w:bookmarkEnd w:id="107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13,550,031.00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13,550,031.00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13,550,031.00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13,550,031.00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73"/>
      <w:bookmarkEnd w:id="1074"/>
      <w:bookmarkEnd w:id="10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707,551,361.22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707,551,361.22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077"/>
      <w:bookmarkEnd w:id="1078"/>
      <w:bookmarkEnd w:id="1080"/>
    </w:p>
    <w:p>
      <w:pPr>
        <w:pStyle w:val="Style44"/>
        <w:keepNext w:val="0"/>
        <w:keepLines w:val="0"/>
        <w:widowControl w:val="0"/>
        <w:shd w:val="clear" w:color="auto" w:fill="auto"/>
        <w:bidi w:val="0"/>
        <w:spacing w:before="0" w:after="80" w:line="240" w:lineRule="auto"/>
        <w:ind w:left="0" w:right="0" w:firstLine="3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年，本集团累计向银行贴现银行承兑汇票</w:t>
      </w:r>
      <w:r>
        <w:rPr>
          <w:color w:val="000000"/>
          <w:spacing w:val="0"/>
          <w:w w:val="100"/>
          <w:position w:val="0"/>
          <w:sz w:val="18"/>
          <w:szCs w:val="18"/>
        </w:rPr>
        <w:t>70,267,510.38</w:t>
      </w:r>
      <w:r>
        <w:rPr>
          <w:rFonts w:ascii="SimSun" w:eastAsia="SimSun" w:hAnsi="SimSun" w:cs="SimSun"/>
          <w:color w:val="000000"/>
          <w:spacing w:val="0"/>
          <w:w w:val="100"/>
          <w:position w:val="0"/>
          <w:sz w:val="16"/>
          <w:szCs w:val="16"/>
        </w:rPr>
        <w:t>元（上年：</w:t>
      </w:r>
      <w:r>
        <w:rPr>
          <w:color w:val="000000"/>
          <w:spacing w:val="0"/>
          <w:w w:val="100"/>
          <w:position w:val="0"/>
          <w:sz w:val="18"/>
          <w:szCs w:val="18"/>
        </w:rPr>
        <w:t>1,198,867.0</w:t>
      </w:r>
      <w:r>
        <w:rPr>
          <w:color w:val="000000"/>
          <w:spacing w:val="0"/>
          <w:w w:val="100"/>
          <w:position w:val="0"/>
          <w:sz w:val="18"/>
          <w:szCs w:val="18"/>
        </w:rPr>
        <w:t>0</w:t>
      </w:r>
      <w:r>
        <w:rPr>
          <w:rFonts w:ascii="SimSun" w:eastAsia="SimSun" w:hAnsi="SimSun" w:cs="SimSun"/>
          <w:color w:val="000000"/>
          <w:spacing w:val="0"/>
          <w:w w:val="100"/>
          <w:position w:val="0"/>
          <w:sz w:val="16"/>
          <w:szCs w:val="16"/>
        </w:rPr>
        <w:t>元）。</w:t>
      </w: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本年末，本公司用应收票据质押开具应付票据，质押票据金额为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元（上期：人民币</w:t>
      </w:r>
      <w:r>
        <w:rPr>
          <w:rFonts w:ascii="Times New Roman" w:eastAsia="Times New Roman" w:hAnsi="Times New Roman" w:cs="Times New Roman"/>
          <w:color w:val="000000"/>
          <w:spacing w:val="0"/>
          <w:w w:val="100"/>
          <w:position w:val="0"/>
          <w:sz w:val="18"/>
          <w:szCs w:val="18"/>
        </w:rPr>
        <w:t>6,362,915.58</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4</w:t>
      </w:r>
      <w:bookmarkEnd w:id="1083"/>
      <w:r>
        <w:rPr>
          <w:color w:val="000000"/>
          <w:spacing w:val="0"/>
          <w:w w:val="100"/>
          <w:position w:val="0"/>
        </w:rPr>
        <w:t>、应收账款</w:t>
      </w:r>
      <w:bookmarkEnd w:id="1081"/>
      <w:bookmarkEnd w:id="1082"/>
      <w:bookmarkEnd w:id="1084"/>
    </w:p>
    <w:p>
      <w:pPr>
        <w:pStyle w:val="Style37"/>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5"/>
      <w:bookmarkEnd w:id="1086"/>
      <w:bookmarkEnd w:id="10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42,469,1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25,979,2</w:t>
            </w:r>
          </w:p>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16,489,93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10,187,98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10,187,98</w:t>
            </w:r>
          </w:p>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715,056,</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35,752,8</w:t>
            </w:r>
          </w:p>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679,303,6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644,723,1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30,587,16</w:t>
            </w:r>
          </w:p>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614,135,98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715,056,</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35,752,8</w:t>
            </w:r>
          </w:p>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679,303,6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611,743,2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30,587,16</w:t>
            </w:r>
          </w:p>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581,156,12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确凿证据可收回组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32,979,86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32,979,860.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757,525,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61,732,0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695,793,5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654,911,1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40,775,14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614,135,98</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416"/>
        <w:gridCol w:w="1493"/>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成都竞翔贸易有限公司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32,979,860.18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16,489,930.09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提起诉讼中</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贵阳友信软塑包装材料有限公司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5,290,212.66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5,290,212.66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 Laminates Limited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1,264,811.88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1,264,811.88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深圳华昶实业有限公司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733,305.72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733,305.72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上海靓讯工贸有限公司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592,827.03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592,827.03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贵阳虹顺包装材料有限公司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365,763.98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365,763.98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重庆中烟工业有限责任公司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299,889.14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299,889.14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贵州中烟工业有限责任公司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279,422.77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279,422.77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吴坤勃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贵州金汇印务有限公司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177,921.32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贵阳乌当云丰包装材料有限公司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96,001.30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96,001.30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贵阳兴友信软塑包装印务有限公司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89,811.14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89,811.14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贵州金星啤酒有限公司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27,098.13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27,098.13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贵州万里春生态农业产品发展有限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20,963.20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深圳绿汇能科技有限公司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10,457.15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贵州金海雪山饮品有限责任公司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42,469,149.60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25,979,219.51</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709,012,517.63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35,450,625.87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1,569,985.96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78,499.30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3,639,396.42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181,969.82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252,698.00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12,634.90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29,091.91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715,056,436.01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35,752,821.80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）各类金融资产信用损失的确定方法。</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709,012,517.63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1,884,994.72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5,622,394.40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41,005,678.86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872,623.16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61,618.80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40,071,436.90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757,525,585.61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9"/>
      <w:bookmarkEnd w:id="1090"/>
      <w:bookmarkEnd w:id="109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40,775,146.65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16,910,788.82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1,288,462.05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556,841.64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5,891,409.53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61,732,041.31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40,775,146.65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16,910,788.82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1,288,462.05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556,841.64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5,891,409.53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61,732,041.31</w:t>
            </w:r>
          </w:p>
        </w:tc>
      </w:tr>
    </w:tbl>
    <w:p>
      <w:pPr>
        <w:widowControl w:val="0"/>
        <w:spacing w:after="639" w:line="1" w:lineRule="exact"/>
      </w:pPr>
    </w:p>
    <w:p>
      <w:pPr>
        <w:pStyle w:val="Style37"/>
        <w:keepNext/>
        <w:keepLines/>
        <w:widowControl w:val="0"/>
        <w:shd w:val="clear" w:color="auto" w:fill="auto"/>
        <w:bidi w:val="0"/>
        <w:spacing w:before="0" w:after="40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3"/>
      <w:bookmarkEnd w:id="1094"/>
      <w:bookmarkEnd w:id="109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556,841.64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成都市学仁印务有 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历史遗留、无法收回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成都隆钢包装材料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历史遗留、无法收回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武汉瑞持包装材料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351,761.64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已起诉并结案，剩余</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货款无法收回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556,841.64</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应收账款核销说明: 无。</w:t>
      </w:r>
    </w:p>
    <w:p>
      <w:pPr>
        <w:pStyle w:val="Style37"/>
        <w:keepNext/>
        <w:keepLines/>
        <w:widowControl w:val="0"/>
        <w:shd w:val="clear" w:color="auto" w:fill="auto"/>
        <w:bidi w:val="0"/>
        <w:spacing w:before="0" w:after="26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）按欠款方归集的年末余额前五名的应收账款情况</w:t>
      </w:r>
      <w:bookmarkEnd w:id="1097"/>
      <w:bookmarkEnd w:id="1098"/>
      <w:bookmarkEnd w:id="1100"/>
    </w:p>
    <w:p>
      <w:pPr>
        <w:pStyle w:val="Style22"/>
        <w:keepNext w:val="0"/>
        <w:keepLines w:val="0"/>
        <w:widowControl w:val="0"/>
        <w:shd w:val="clear" w:color="auto" w:fill="auto"/>
        <w:bidi w:val="0"/>
        <w:spacing w:before="0" w:after="400" w:line="307" w:lineRule="exact"/>
        <w:ind w:left="0" w:right="0"/>
        <w:jc w:val="left"/>
      </w:pPr>
      <w:r>
        <w:rPr>
          <w:color w:val="000000"/>
          <w:spacing w:val="0"/>
          <w:w w:val="100"/>
          <w:position w:val="0"/>
        </w:rPr>
        <w:t>本集团按欠款方归集的年末余额前五名应收账款汇总金额为</w:t>
      </w:r>
      <w:r>
        <w:rPr>
          <w:rFonts w:ascii="Times New Roman" w:eastAsia="Times New Roman" w:hAnsi="Times New Roman" w:cs="Times New Roman"/>
          <w:color w:val="000000"/>
          <w:spacing w:val="0"/>
          <w:w w:val="100"/>
          <w:position w:val="0"/>
          <w:sz w:val="18"/>
          <w:szCs w:val="18"/>
        </w:rPr>
        <w:t>343,421,756.16</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45.33%</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17,436,539.44</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5</w:t>
      </w:r>
      <w:bookmarkEnd w:id="1103"/>
      <w:r>
        <w:rPr>
          <w:color w:val="000000"/>
          <w:spacing w:val="0"/>
          <w:w w:val="100"/>
          <w:position w:val="0"/>
        </w:rPr>
        <w:t>、应收款项融资</w:t>
      </w:r>
      <w:bookmarkEnd w:id="1101"/>
      <w:bookmarkEnd w:id="1102"/>
      <w:bookmarkEnd w:id="110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132,453,753.75</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132,453,753.75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526"/>
        <w:gridCol w:w="1258"/>
        <w:gridCol w:w="1608"/>
        <w:gridCol w:w="1258"/>
        <w:gridCol w:w="1454"/>
        <w:gridCol w:w="1272"/>
      </w:tblGrid>
      <w:tr>
        <w:trPr>
          <w:trHeight w:val="360" w:hRule="exact"/>
        </w:trPr>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-36,347,112.83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132,453,753.75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-36,347,112.83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6</w:t>
      </w:r>
      <w:bookmarkEnd w:id="1107"/>
      <w:r>
        <w:rPr>
          <w:color w:val="000000"/>
          <w:spacing w:val="0"/>
          <w:w w:val="100"/>
          <w:position w:val="0"/>
        </w:rPr>
        <w:t>、预付款项</w:t>
      </w:r>
      <w:bookmarkEnd w:id="1105"/>
      <w:bookmarkEnd w:id="1106"/>
      <w:bookmarkEnd w:id="1108"/>
    </w:p>
    <w:p>
      <w:pPr>
        <w:pStyle w:val="Style37"/>
        <w:keepNext/>
        <w:keepLines/>
        <w:widowControl w:val="0"/>
        <w:shd w:val="clear" w:color="auto" w:fill="auto"/>
        <w:bidi w:val="0"/>
        <w:spacing w:before="0" w:after="40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9"/>
      <w:bookmarkEnd w:id="1110"/>
      <w:bookmarkEnd w:id="111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42,835,295.86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65,892,809.56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484,581.92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680,114.46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182,414.80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399,934.80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1,462,916.66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1,136,069.67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44,965,209.24</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68,108,928.49</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3"/>
      <w:bookmarkEnd w:id="1114"/>
      <w:bookmarkEnd w:id="1116"/>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sz w:val="18"/>
          <w:szCs w:val="18"/>
        </w:rPr>
        <w:t>27,078,779.5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元，占预付账款年末余额合计数的比例为</w:t>
      </w:r>
    </w:p>
    <w:p>
      <w:pPr>
        <w:pStyle w:val="Style44"/>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8"/>
          <w:szCs w:val="18"/>
        </w:rPr>
        <w:t>60.22%</w:t>
      </w:r>
      <w:r>
        <w:rPr>
          <w:rFonts w:ascii="SimSun" w:eastAsia="SimSun" w:hAnsi="SimSun" w:cs="SimSun"/>
          <w:color w:val="000000"/>
          <w:spacing w:val="0"/>
          <w:w w:val="100"/>
          <w:position w:val="0"/>
          <w:sz w:val="16"/>
          <w:szCs w:val="16"/>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7</w:t>
      </w:r>
      <w:bookmarkEnd w:id="1119"/>
      <w:r>
        <w:rPr>
          <w:color w:val="000000"/>
          <w:spacing w:val="0"/>
          <w:w w:val="100"/>
          <w:position w:val="0"/>
        </w:rPr>
        <w:t>、其他应收款</w:t>
      </w:r>
      <w:bookmarkEnd w:id="1117"/>
      <w:bookmarkEnd w:id="1118"/>
      <w:bookmarkEnd w:id="112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35,849,884.59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48,047,068.11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37,241,308.13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48,047,068.11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73,091,192.72</w:t>
            </w:r>
          </w:p>
        </w:tc>
      </w:tr>
    </w:tbl>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21"/>
      <w:bookmarkEnd w:id="1122"/>
      <w:bookmarkEnd w:id="1124"/>
    </w:p>
    <w:p>
      <w:pPr>
        <w:pStyle w:val="Style54"/>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）应收股利分类</w:t>
      </w:r>
      <w:bookmarkEnd w:id="1125"/>
      <w:bookmarkEnd w:id="1126"/>
      <w:bookmarkEnd w:id="11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应收联营企业股利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35,849,884.59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35,849,884.59</w:t>
            </w:r>
          </w:p>
        </w:tc>
      </w:tr>
    </w:tbl>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29"/>
      <w:bookmarkEnd w:id="1130"/>
      <w:bookmarkEnd w:id="1132"/>
    </w:p>
    <w:p>
      <w:pPr>
        <w:pStyle w:val="Style5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）其他应收款按款项性质分类情况</w:t>
      </w:r>
      <w:bookmarkEnd w:id="1133"/>
      <w:bookmarkEnd w:id="1134"/>
      <w:bookmarkEnd w:id="113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17,331,453.27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12,171,504.48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2,231,247.13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1,550,781.70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8,429,455.80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7,050,371.84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较长账龄预付款项重分类到其他应收款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3,098,422.67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3,098,422.67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22,950,002.75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18,700,815.81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54,040,581.62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42,571,896.50</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）坏账准备计提情况</w:t>
      </w:r>
      <w:bookmarkEnd w:id="1137"/>
      <w:bookmarkEnd w:id="1138"/>
      <w:bookmarkEnd w:id="114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1,960,068.90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3,370,519.47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5,330,588.37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94,200.96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627,416.94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2,081,074.56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2,116,582.76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2,528,793.08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3,464,720.43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5,993,513.51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31,895,029.05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11,662,331.97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4,408,246.68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6,074,973.92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899,428.03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1,044,532.90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4,131,012.99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54,040,581.62</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color w:val="000000"/>
          <w:spacing w:val="0"/>
          <w:w w:val="100"/>
          <w:position w:val="0"/>
        </w:rPr>
        <w:t>）本期计提、收回或转回的坏账准备情况</w:t>
      </w:r>
      <w:bookmarkEnd w:id="1141"/>
      <w:bookmarkEnd w:id="1142"/>
      <w:bookmarkEnd w:id="114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3,370,519.47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94,200.96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3,464,720.43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934,540.82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172,401.49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35,508.20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1,142,450.51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1,025,528.08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360,814.49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1,386,342.57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5,330,588.37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627,416.94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2,116,582.76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5,993,513.51</w:t>
            </w:r>
          </w:p>
        </w:tc>
      </w:tr>
    </w:tbl>
    <w:p>
      <w:pPr>
        <w:widowControl w:val="0"/>
        <w:spacing w:after="639" w:line="1" w:lineRule="exact"/>
      </w:pPr>
    </w:p>
    <w:p>
      <w:pPr>
        <w:pStyle w:val="Style54"/>
        <w:keepNext/>
        <w:keepLines/>
        <w:widowControl w:val="0"/>
        <w:shd w:val="clear" w:color="auto" w:fill="auto"/>
        <w:bidi w:val="0"/>
        <w:spacing w:before="0" w:after="40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4</w:t>
      </w:r>
      <w:bookmarkEnd w:id="1147"/>
      <w:r>
        <w:rPr>
          <w:color w:val="000000"/>
          <w:spacing w:val="0"/>
          <w:w w:val="100"/>
          <w:position w:val="0"/>
        </w:rPr>
        <w:t>）本期实际核销的其他应收款情况</w:t>
      </w:r>
      <w:bookmarkEnd w:id="1145"/>
      <w:bookmarkEnd w:id="1146"/>
      <w:bookmarkEnd w:id="114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2,081,074.56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200"/>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其他应收款性 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青岛创基伟业有限公司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1,068,746.60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青岛铭基包装有限公司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761,318.88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100,402.56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哈药集团三精制药股份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中质协质量保证中心青 岛认证分中心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陆亚玲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王丕军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账龄较长，难以收回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经审批准予核销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2,081,074.56</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2"/>
        <w:keepNext w:val="0"/>
        <w:keepLines w:val="0"/>
        <w:widowControl w:val="0"/>
        <w:shd w:val="clear" w:color="auto" w:fill="auto"/>
        <w:bidi w:val="0"/>
        <w:spacing w:before="0" w:after="400" w:line="240" w:lineRule="auto"/>
        <w:ind w:left="0" w:right="0" w:firstLine="160"/>
        <w:jc w:val="left"/>
      </w:pPr>
      <w:r>
        <w:rPr>
          <w:color w:val="000000"/>
          <w:spacing w:val="0"/>
          <w:w w:val="100"/>
          <w:position w:val="0"/>
        </w:rPr>
        <w:t>无。</w:t>
      </w:r>
    </w:p>
    <w:p>
      <w:pPr>
        <w:pStyle w:val="Style54"/>
        <w:keepNext/>
        <w:keepLines/>
        <w:widowControl w:val="0"/>
        <w:shd w:val="clear" w:color="auto" w:fill="auto"/>
        <w:bidi w:val="0"/>
        <w:spacing w:before="0" w:after="40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5</w:t>
      </w:r>
      <w:bookmarkEnd w:id="1151"/>
      <w:r>
        <w:rPr>
          <w:color w:val="000000"/>
          <w:spacing w:val="0"/>
          <w:w w:val="100"/>
          <w:position w:val="0"/>
        </w:rPr>
        <w:t>）按欠款方归集的期末余额前五名的其他应收款情况</w:t>
      </w:r>
      <w:bookmarkEnd w:id="1149"/>
      <w:bookmarkEnd w:id="1150"/>
      <w:bookmarkEnd w:id="115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2093"/>
        <w:gridCol w:w="1104"/>
        <w:gridCol w:w="1584"/>
        <w:gridCol w:w="1598"/>
        <w:gridCol w:w="1603"/>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8"/>
        <w:gridCol w:w="2093"/>
        <w:gridCol w:w="1099"/>
        <w:gridCol w:w="1589"/>
        <w:gridCol w:w="1598"/>
        <w:gridCol w:w="1603"/>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9,194,282.14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459,714.11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5,352,039.30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267,601.97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2,351,570.36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117,578.52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22,427,891.80</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1,121,394.60</w:t>
            </w:r>
          </w:p>
        </w:tc>
      </w:tr>
    </w:tbl>
    <w:p>
      <w:pPr>
        <w:widowControl w:val="0"/>
        <w:spacing w:after="319" w:line="1" w:lineRule="exact"/>
      </w:pPr>
    </w:p>
    <w:p>
      <w:pPr>
        <w:pStyle w:val="Style32"/>
        <w:keepNext/>
        <w:keepLines/>
        <w:widowControl w:val="0"/>
        <w:shd w:val="clear" w:color="auto" w:fill="auto"/>
        <w:bidi w:val="0"/>
        <w:spacing w:before="0" w:after="22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8</w:t>
      </w:r>
      <w:bookmarkEnd w:id="1155"/>
      <w:r>
        <w:rPr>
          <w:color w:val="000000"/>
          <w:spacing w:val="0"/>
          <w:w w:val="100"/>
          <w:position w:val="0"/>
        </w:rPr>
        <w:t>、存货</w:t>
      </w:r>
      <w:bookmarkEnd w:id="1153"/>
      <w:bookmarkEnd w:id="1154"/>
      <w:bookmarkEnd w:id="1156"/>
    </w:p>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公司是否需要遵守房地产行业的披露要求 否</w:t>
      </w:r>
    </w:p>
    <w:p>
      <w:pPr>
        <w:pStyle w:val="Style37"/>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7"/>
      <w:bookmarkEnd w:id="1158"/>
      <w:bookmarkEnd w:id="116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6"/>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281,536,436.53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6,320,482.23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275,215,954.30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165,415,762.07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6,913,119.33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158,502,642.74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240,746,689.90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240,746,689.90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153,536,470.21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153,536,470.21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174,152,573.53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11,610,848.76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162,541,724.77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49,948,698.12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11,801,767.99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38,146,930.13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395,453,984.10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26,865,895.04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368,588,089.06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315,101,105.78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26,693,431.93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288,407,673.85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10,778,423.40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10,778,423.40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628,632.21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1,102,668,107.46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44,797,226.03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1,057,870,881.43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684,630,668.39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45,408,319.25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639,222,349.14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1"/>
      <w:bookmarkEnd w:id="1162"/>
      <w:bookmarkEnd w:id="11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6,913,119.33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3,129,947.10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3,722,584.20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6,320,482.23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11,801,767.99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11,265,163.44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11,456,082.67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11,610,848.76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26,693,431.93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18,477,879.55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18,305,416.44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26,865,895.04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45,408,319.25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32,872,990.09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33,484,083.31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44,797,226.03</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9</w:t>
      </w:r>
      <w:bookmarkEnd w:id="1167"/>
      <w:r>
        <w:rPr>
          <w:color w:val="000000"/>
          <w:spacing w:val="0"/>
          <w:w w:val="100"/>
          <w:position w:val="0"/>
        </w:rPr>
        <w:t>、其他流动资产</w:t>
      </w:r>
      <w:bookmarkEnd w:id="1165"/>
      <w:bookmarkEnd w:id="1166"/>
      <w:bookmarkEnd w:id="116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76,170,578.94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10,005,479.31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预交的其他税费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3,493,943.70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32,643,629.08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79,664,522.64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42,649,108.39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69"/>
      <w:bookmarkEnd w:id="1170"/>
      <w:bookmarkEnd w:id="117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6"/>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权益法下</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确认的投</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529,226,3</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39,696,84</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568,923,1</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183,238,7</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9,322,919</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192,561,7</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华大北斗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37,121,16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-1,451,94</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-35,669,2</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贵州申仁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355,007,2</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15,066,61</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370,073,8</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90,434,27</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25,124,41</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115,558,6</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105,030,4</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1,958,242</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2,986,560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104,002,1</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52,882,44</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8,812,186</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61,694,63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兴鑫互联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39,143,30</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14,131,74</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118,427,0</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34,662,31</w:t>
            </w:r>
          </w:p>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4,913,380</w:t>
            </w:r>
          </w:p>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8,055,698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-31,519,9</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1,426,746</w:t>
            </w:r>
          </w:p>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,358.13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117,574,3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11,042,25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-67,189,2</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1,531,241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1,426,746</w:t>
            </w:r>
          </w:p>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117,574,3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11,042,25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-67,189,2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22"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、公司期末持有华大北斗</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股份，截至期末在被投资单位董事会已无席位，不能对被投资单位施加重大影响，持有 该股权的意图为出售，故本年将其转入其他非流动金融资产。</w:t>
      </w:r>
    </w:p>
    <w:p>
      <w:pPr>
        <w:pStyle w:val="Style22"/>
        <w:keepNext w:val="0"/>
        <w:keepLines w:val="0"/>
        <w:widowControl w:val="0"/>
        <w:shd w:val="clear" w:color="auto" w:fill="auto"/>
        <w:bidi w:val="0"/>
        <w:spacing w:before="0" w:after="380" w:line="322" w:lineRule="exact"/>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、青岛英诺于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月成为集团全资子公司。</w:t>
      </w:r>
    </w:p>
    <w:p>
      <w:pPr>
        <w:pStyle w:val="Style32"/>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173"/>
      <w:bookmarkEnd w:id="1174"/>
      <w:bookmarkEnd w:id="11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10"/>
        <w:gridCol w:w="2491"/>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77"/>
      <w:bookmarkEnd w:id="1178"/>
      <w:bookmarkEnd w:id="1180"/>
    </w:p>
    <w:p>
      <w:pPr>
        <w:pStyle w:val="Style37"/>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81"/>
      <w:bookmarkEnd w:id="1182"/>
      <w:bookmarkEnd w:id="118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697,917,524.45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4,690,474.60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702,607,999.05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13,809,618.02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13,809,618.02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677,917.40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13,131,700.62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13,131,700.62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224,923,245.71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224,923,245.71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8,065,275.76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8,065,275.76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）处置子公司转出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216,857,969.95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216,857,969.95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486,803,896.76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4,690,474.60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491,494,371.36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113,867,434.16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114,353,894.81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20,378,992.16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20,493,647.09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18,319,584.38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18,434,239.31</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 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2,059,407.78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26,616,679.91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26,616,679.91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3,531,469.50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）处置子公司转出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23,085,210.41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23,085,210.41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107,629,746.41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108,230,861.99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379,174,150.35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4,089,359.02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383,263,509.37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584,050,090.29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4,204,013.95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588,254,104.24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85"/>
      <w:bookmarkEnd w:id="1186"/>
      <w:bookmarkEnd w:id="118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1,818,668,899.85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1,652,710,820.97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107,250.75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1,818,748,277.81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1,652,818,071.72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9"/>
      <w:bookmarkEnd w:id="1190"/>
      <w:bookmarkEnd w:id="1192"/>
    </w:p>
    <w:p>
      <w:pPr>
        <w:pStyle w:val="Style22"/>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1,118,363,215.05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1,636,872,882.48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64,429,473.01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180,621,651.10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3,000,287,221.64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110,765,601.52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329,383,902.10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9,580,576.49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26,455,867.47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476,185,947.58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677,917.40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153,475,874.33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5,916,158.72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19,547,455.53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179,617,405.98</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35,512,699.36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1,746,366.39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1,769,254.96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4,546,391.15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43,574,711.86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74,574,984.76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174,161,661.38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1,895,162.81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2,362,020.79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252,993,829.74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677,917.40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85,978,259.94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5,645,940.30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8,360,153.88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100,662,271.52</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85,179,020.94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5,238,133.46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7,072,155.05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97,489,309.45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）处置子公司转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799,239.00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407,806.84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1,287,998.83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2,495,044.67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677,917.40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677,917.40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1,228,450,899.17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1,880,278,524.64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68,364,109.20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198,717,364.69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3,375,810,897.70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267,596,139.28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922,282,554.10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49,276,876.73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106,463,259.23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1,345,618,829.34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65,666,041.44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165,069,880.53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9,478,655.66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15,416,901.79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255,631,479.42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40,464,986.31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95,707,479.33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9,339,954.99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14,973,746.48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160,486,167.11</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 并增加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25,201,055.13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69,362,401.20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138,700.67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443,155.31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95,145,312.31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47,767,186.12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4,556,015.45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4,858,748.42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57,181,949.99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47,753,749.64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4,360,268.09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3,503,420.06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55,617,437.79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）处置子公司转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195,747.36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1,355,328.36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1,564,512.20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333,262,180.72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1,039,585,248.51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54,199,516.94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117,021,412.60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1,544,068,358.77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1,695,290.22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262,281.11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1,957,571.33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11,083,643.86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11,116,067.75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11,083,643.86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11,116,067.75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12,778,934.08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294,705.00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13,073,639.08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895,188,718.45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827,914,342.05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14,164,592.26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81,401,247.09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1,818,668,899.85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850,767,075.77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712,895,038.16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15,152,596.28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73,896,110.76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1,652,710,820.97</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3"/>
      <w:bookmarkEnd w:id="1194"/>
      <w:bookmarkEnd w:id="119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22,303,293.68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9,524,359.60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12,778,934.08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442,263.90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22,745,557.58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9,671,918.50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13,073,639.08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97"/>
      <w:bookmarkEnd w:id="1198"/>
      <w:bookmarkEnd w:id="120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待处置设备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107,250.75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79,377.96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107,250.75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01"/>
      <w:bookmarkEnd w:id="1202"/>
      <w:bookmarkEnd w:id="120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both"/>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5"/>
      <w:bookmarkEnd w:id="1206"/>
      <w:bookmarkEnd w:id="120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贵州劲嘉厂房</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6,693,312.74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6,693,312.74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6,693,312.74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6,693,312.74</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长春吉星新、老 厂区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102,143,728.02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102,143,728.02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71,371,470.71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71,371,470.71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32,887,361.86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32,887,361.86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23,424,802.33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23,424,802.33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苗泽中丰田厂区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64,076,899.05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64,076,899.05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 的智能物联运营 支撑系统项目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4,327,059.34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4,327,059.34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16,361,692.40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16,361,692.40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劲嘉工业园四期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1,218,415.06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1,218,415.06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9,796,240.05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9,796,240.05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1,500,981.35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221,143,016.12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119,352,259.53</w:t>
            </w:r>
          </w:p>
        </w:tc>
      </w:tr>
    </w:tbl>
    <w:p>
      <w:pPr>
        <w:widowControl w:val="0"/>
        <w:spacing w:after="319" w:line="1" w:lineRule="exact"/>
      </w:pPr>
    </w:p>
    <w:p>
      <w:pPr>
        <w:pStyle w:val="Style37"/>
        <w:keepNext/>
        <w:keepLines/>
        <w:widowControl w:val="0"/>
        <w:numPr>
          <w:ilvl w:val="0"/>
          <w:numId w:val="45"/>
        </w:numPr>
        <w:shd w:val="clear" w:color="auto" w:fill="auto"/>
        <w:bidi w:val="0"/>
        <w:spacing w:before="0" w:after="40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重要在建工程项目本期变动情况</w:t>
      </w:r>
      <w:bookmarkEnd w:id="1209"/>
      <w:bookmarkEnd w:id="1210"/>
      <w:bookmarkEnd w:id="121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2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w:t>
            </w:r>
          </w:p>
          <w:p>
            <w:pPr>
              <w:pStyle w:val="Style1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rPr>
              <w:t>技 术的智 能物联 运营支 撑系统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196,618,</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16,361,6</w:t>
            </w:r>
          </w:p>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10,276,2</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20,576,1</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劲嘉工</w:t>
            </w:r>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业园四 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180,180,</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43,058,3</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33,392,5</w:t>
            </w:r>
          </w:p>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8,447,44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贵州劲</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嘉厂房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36,886,6</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6,693,31</w:t>
            </w:r>
          </w:p>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长春吉</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星新、老</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71,371,4</w:t>
            </w:r>
          </w:p>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30,772,2</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102,143,</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苗泽中 丰田厂 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105,823,</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64,076,8</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64,076,8</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619,508,</w:t>
            </w:r>
          </w:p>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643.86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94,426,4</w:t>
            </w:r>
          </w:p>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75.85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148,183,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35,127,2</w:t>
            </w:r>
          </w:p>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29,023,5</w:t>
            </w:r>
          </w:p>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178,459,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414.21</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13"/>
      <w:bookmarkEnd w:id="1214"/>
      <w:bookmarkEnd w:id="121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1,192,358.22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3,376,319.13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3,376,319.13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4,568,677.35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17"/>
      <w:bookmarkEnd w:id="1218"/>
      <w:bookmarkEnd w:id="1220"/>
    </w:p>
    <w:p>
      <w:pPr>
        <w:pStyle w:val="Style37"/>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1"/>
      <w:bookmarkEnd w:id="1222"/>
      <w:bookmarkEnd w:id="12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326,285,276.43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7,850,133.12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37,956,892.41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3,757,586.08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375,849,888.04</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30,093,432.53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7,710,631.40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21,753,928.61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59,557,992.54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990,099.00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990,099.00</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30,093,432.53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187,704.64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33,851,137.17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20,576,124.97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20,576,124.97</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23,722,004.62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189,304.27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23,911,308.89</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23,931.62</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 转出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23,722,004.62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165,372.65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23,887,377.27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332,656,704.34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15,560,764.52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59,521,516.75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3,757,586.08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411,496,571.69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84,037,498.49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3,242,668.56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9,736,356.30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1,366,022.81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98,382,546.16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12,201,505.71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2,577,817.20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3,982,293.09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299,006.96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19,060,622.96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6,277,147.76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1,886,849.46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3,813,421.77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299,006.96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12,276,425.95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5,924,357.95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168,871.32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1,663,636.38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6,784,197.01</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3,321,080.57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165,372.65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3,486,453.22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 转出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3,321,080.57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165,372.65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3,486,453.22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92,917,923.63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5,820,485.76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13,553,276.74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1,665,029.77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113,956,715.90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239,738,780.71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9,710,278.76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45,968,240.01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2,092,556.31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297,509,855.79</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242,247,777.94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4,577,464.56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28,220,536.11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2,391,563.27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277,437,341.88</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w:t>
      </w:r>
    </w:p>
    <w:p>
      <w:pPr>
        <w:pStyle w:val="Style37"/>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4"/>
      <w:bookmarkEnd w:id="1225"/>
      <w:bookmarkEnd w:id="12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贵州劲嘉厂内南侧土地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3,063,960.32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28"/>
      <w:bookmarkEnd w:id="1229"/>
      <w:bookmarkEnd w:id="123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盒知智能包</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装物联应用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软件三期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4,140,631.40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232"/>
      <w:bookmarkEnd w:id="1233"/>
      <w:bookmarkEnd w:id="1234"/>
    </w:p>
    <w:p>
      <w:pPr>
        <w:pStyle w:val="Style37"/>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5"/>
      <w:bookmarkEnd w:id="1236"/>
      <w:bookmarkEnd w:id="1237"/>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630,230,371.10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630,230,371.10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181,099,158.22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181,099,158.22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86,507,261.23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40,509,904.33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79,712,372.22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79,712,372.22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641,549.76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897,339.80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897,339.80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151,835,107.02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151,835,107.02</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1,019,597,956.66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151,835,107.02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1,171,433,063.68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8"/>
      <w:bookmarkEnd w:id="1239"/>
      <w:bookmarkEnd w:id="1240"/>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30,839,115.86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30,839,115.86</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30,839,115.86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30,839,115.86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）包括该资产组或资产组组合的构成：</w:t>
      </w:r>
    </w:p>
    <w:p>
      <w:pPr>
        <w:pStyle w:val="Style22"/>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241" w:name="bookmark1241"/>
      <w:bookmarkEnd w:id="1241"/>
      <w:r>
        <w:rPr>
          <w:color w:val="000000"/>
          <w:spacing w:val="0"/>
          <w:w w:val="100"/>
          <w:position w:val="0"/>
        </w:rPr>
        <w:t>资产组江苏顺泰：于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产组成的资产组（不包含营运资本及非经营性资产）为与商誉相关的资产组。资产组具体包括固定资产</w:t>
      </w:r>
      <w:r>
        <w:rPr>
          <w:rFonts w:ascii="Times New Roman" w:eastAsia="Times New Roman" w:hAnsi="Times New Roman" w:cs="Times New Roman"/>
          <w:color w:val="000000"/>
          <w:spacing w:val="0"/>
          <w:w w:val="100"/>
          <w:position w:val="0"/>
          <w:sz w:val="18"/>
          <w:szCs w:val="18"/>
        </w:rPr>
        <w:t>64,981,337.58</w:t>
      </w:r>
      <w:r>
        <w:rPr>
          <w:color w:val="000000"/>
          <w:spacing w:val="0"/>
          <w:w w:val="100"/>
          <w:position w:val="0"/>
        </w:rPr>
        <w:t>元，无 形资产</w:t>
      </w:r>
      <w:r>
        <w:rPr>
          <w:rFonts w:ascii="Times New Roman" w:eastAsia="Times New Roman" w:hAnsi="Times New Roman" w:cs="Times New Roman"/>
          <w:color w:val="000000"/>
          <w:spacing w:val="0"/>
          <w:w w:val="100"/>
          <w:position w:val="0"/>
          <w:sz w:val="18"/>
          <w:szCs w:val="18"/>
        </w:rPr>
        <w:t>12,609,647.79</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1,425,521.46</w:t>
      </w:r>
      <w:r>
        <w:rPr>
          <w:color w:val="000000"/>
          <w:spacing w:val="0"/>
          <w:w w:val="100"/>
          <w:position w:val="0"/>
        </w:rPr>
        <w:t>元，其他非流动资产</w:t>
      </w:r>
      <w:r>
        <w:rPr>
          <w:rFonts w:ascii="Times New Roman" w:eastAsia="Times New Roman" w:hAnsi="Times New Roman" w:cs="Times New Roman"/>
          <w:color w:val="000000"/>
          <w:spacing w:val="0"/>
          <w:w w:val="100"/>
          <w:position w:val="0"/>
          <w:sz w:val="18"/>
          <w:szCs w:val="18"/>
        </w:rPr>
        <w:t>75,600.00</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79,092,106.83</w:t>
      </w:r>
      <w:r>
        <w:rPr>
          <w:color w:val="000000"/>
          <w:spacing w:val="0"/>
          <w:w w:val="100"/>
          <w:position w:val="0"/>
        </w:rPr>
        <w:t>元。该资产组 与购买日、以前年度商誉减值测试时所确定的资产组或资产组组合一致。</w:t>
      </w:r>
    </w:p>
    <w:p>
      <w:pPr>
        <w:pStyle w:val="Style22"/>
        <w:keepNext w:val="0"/>
        <w:keepLines w:val="0"/>
        <w:widowControl w:val="0"/>
        <w:numPr>
          <w:ilvl w:val="0"/>
          <w:numId w:val="47"/>
        </w:numPr>
        <w:shd w:val="clear" w:color="auto" w:fill="auto"/>
        <w:tabs>
          <w:tab w:pos="767" w:val="left"/>
        </w:tabs>
        <w:bidi w:val="0"/>
        <w:spacing w:before="0" w:after="0" w:line="315" w:lineRule="exact"/>
        <w:ind w:left="0" w:right="0" w:firstLine="440"/>
        <w:jc w:val="both"/>
      </w:pPr>
      <w:bookmarkStart w:id="1242" w:name="bookmark1242"/>
      <w:bookmarkEnd w:id="1242"/>
      <w:r>
        <w:rPr>
          <w:color w:val="000000"/>
          <w:spacing w:val="0"/>
          <w:w w:val="100"/>
          <w:position w:val="0"/>
        </w:rPr>
        <w:t>资产组长春吉星：于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4,224,561.62</w:t>
      </w:r>
      <w:r>
        <w:rPr>
          <w:color w:val="000000"/>
          <w:spacing w:val="0"/>
          <w:w w:val="100"/>
          <w:position w:val="0"/>
        </w:rPr>
        <w:t>元，无形 资产</w:t>
      </w:r>
      <w:r>
        <w:rPr>
          <w:rFonts w:ascii="Times New Roman" w:eastAsia="Times New Roman" w:hAnsi="Times New Roman" w:cs="Times New Roman"/>
          <w:color w:val="000000"/>
          <w:spacing w:val="0"/>
          <w:w w:val="100"/>
          <w:position w:val="0"/>
          <w:sz w:val="18"/>
          <w:szCs w:val="18"/>
        </w:rPr>
        <w:t>7,791,771.96</w:t>
      </w:r>
      <w:r>
        <w:rPr>
          <w:color w:val="000000"/>
          <w:spacing w:val="0"/>
          <w:w w:val="100"/>
          <w:position w:val="0"/>
        </w:rPr>
        <w:t>元，在建工程</w:t>
      </w:r>
      <w:r>
        <w:rPr>
          <w:rFonts w:ascii="Times New Roman" w:eastAsia="Times New Roman" w:hAnsi="Times New Roman" w:cs="Times New Roman"/>
          <w:color w:val="000000"/>
          <w:spacing w:val="0"/>
          <w:w w:val="100"/>
          <w:position w:val="0"/>
          <w:sz w:val="18"/>
          <w:szCs w:val="18"/>
        </w:rPr>
        <w:t>90,096,775.19</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,267,144.35</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103,380,253.12</w:t>
      </w:r>
      <w:r>
        <w:rPr>
          <w:color w:val="000000"/>
          <w:spacing w:val="0"/>
          <w:w w:val="100"/>
          <w:position w:val="0"/>
        </w:rPr>
        <w:t>元。该资产组与购 买日、以前年度商誉减值测试时所确定的资产组或资产组组合一致。</w:t>
      </w:r>
    </w:p>
    <w:p>
      <w:pPr>
        <w:pStyle w:val="Style22"/>
        <w:keepNext w:val="0"/>
        <w:keepLines w:val="0"/>
        <w:widowControl w:val="0"/>
        <w:numPr>
          <w:ilvl w:val="0"/>
          <w:numId w:val="47"/>
        </w:numPr>
        <w:shd w:val="clear" w:color="auto" w:fill="auto"/>
        <w:tabs>
          <w:tab w:pos="767" w:val="left"/>
        </w:tabs>
        <w:bidi w:val="0"/>
        <w:spacing w:before="0" w:after="360" w:line="315" w:lineRule="exact"/>
        <w:ind w:left="0" w:right="0" w:firstLine="440"/>
        <w:jc w:val="both"/>
      </w:pPr>
      <w:bookmarkStart w:id="1243" w:name="bookmark1243"/>
      <w:bookmarkEnd w:id="1243"/>
      <w:r>
        <w:rPr>
          <w:color w:val="000000"/>
          <w:spacing w:val="0"/>
          <w:w w:val="100"/>
          <w:position w:val="0"/>
        </w:rPr>
        <w:t>资产组江西丰彩丽：于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 资产组成的资产组（不包含营运资本及非经营性资产）与商誉相关的资产组。资产组具体包括固定资产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29,099,688.89</w:t>
      </w:r>
      <w:r>
        <w:rPr>
          <w:color w:val="000000"/>
          <w:spacing w:val="0"/>
          <w:w w:val="100"/>
          <w:position w:val="0"/>
        </w:rPr>
        <w:t>元，无 形资产</w:t>
      </w:r>
      <w:r>
        <w:rPr>
          <w:rFonts w:ascii="Times New Roman" w:eastAsia="Times New Roman" w:hAnsi="Times New Roman" w:cs="Times New Roman"/>
          <w:color w:val="000000"/>
          <w:spacing w:val="0"/>
          <w:w w:val="100"/>
          <w:position w:val="0"/>
          <w:sz w:val="18"/>
          <w:szCs w:val="18"/>
        </w:rPr>
        <w:t>13,313,870.96</w:t>
      </w:r>
      <w:r>
        <w:rPr>
          <w:color w:val="000000"/>
          <w:spacing w:val="0"/>
          <w:w w:val="100"/>
          <w:position w:val="0"/>
        </w:rPr>
        <w:t>元，其他非流动资产</w:t>
      </w:r>
      <w:r>
        <w:rPr>
          <w:rFonts w:ascii="Times New Roman" w:eastAsia="Times New Roman" w:hAnsi="Times New Roman" w:cs="Times New Roman"/>
          <w:color w:val="000000"/>
          <w:spacing w:val="0"/>
          <w:w w:val="100"/>
          <w:position w:val="0"/>
          <w:sz w:val="18"/>
          <w:szCs w:val="18"/>
        </w:rPr>
        <w:t>267,000.00</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42,680,559.85</w:t>
      </w:r>
      <w:r>
        <w:rPr>
          <w:color w:val="000000"/>
          <w:spacing w:val="0"/>
          <w:w w:val="100"/>
          <w:position w:val="0"/>
        </w:rPr>
        <w:t>元。该资产组与购买日、以前年度商誉减值 测试时所确定的资产组或资产组组合一致。</w:t>
      </w:r>
    </w:p>
    <w:p>
      <w:pPr>
        <w:pStyle w:val="Style22"/>
        <w:keepNext w:val="0"/>
        <w:keepLines w:val="0"/>
        <w:widowControl w:val="0"/>
        <w:numPr>
          <w:ilvl w:val="0"/>
          <w:numId w:val="47"/>
        </w:numPr>
        <w:shd w:val="clear" w:color="auto" w:fill="auto"/>
        <w:tabs>
          <w:tab w:pos="730" w:val="left"/>
        </w:tabs>
        <w:bidi w:val="0"/>
        <w:spacing w:before="0" w:after="0" w:line="314" w:lineRule="exact"/>
        <w:ind w:left="0" w:right="0" w:firstLine="440"/>
        <w:jc w:val="both"/>
      </w:pPr>
      <w:bookmarkStart w:id="1244" w:name="bookmark1244"/>
      <w:bookmarkEnd w:id="1244"/>
      <w:r>
        <w:rPr>
          <w:color w:val="000000"/>
          <w:spacing w:val="0"/>
          <w:w w:val="100"/>
          <w:position w:val="0"/>
        </w:rPr>
        <w:t>资产组佳信（香港）：于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 性资产组成的资产组（不包含营运资本及非经营性资产）与商誉相关的资产组。资产组具体包括长期股权投资</w:t>
      </w:r>
      <w:r>
        <w:rPr>
          <w:rFonts w:ascii="Times New Roman" w:eastAsia="Times New Roman" w:hAnsi="Times New Roman" w:cs="Times New Roman"/>
          <w:color w:val="000000"/>
          <w:spacing w:val="0"/>
          <w:w w:val="100"/>
          <w:position w:val="0"/>
          <w:sz w:val="18"/>
          <w:szCs w:val="18"/>
        </w:rPr>
        <w:t xml:space="preserve">115,558,694.90 </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115,558,694.90</w:t>
      </w:r>
      <w:r>
        <w:rPr>
          <w:color w:val="000000"/>
          <w:spacing w:val="0"/>
          <w:w w:val="100"/>
          <w:position w:val="0"/>
        </w:rPr>
        <w:t>元。该资产组与购买日、以前年度商誉减值测试时所确定的资产组或资产组组合一致。</w:t>
      </w:r>
    </w:p>
    <w:p>
      <w:pPr>
        <w:pStyle w:val="Style22"/>
        <w:keepNext w:val="0"/>
        <w:keepLines w:val="0"/>
        <w:widowControl w:val="0"/>
        <w:numPr>
          <w:ilvl w:val="0"/>
          <w:numId w:val="47"/>
        </w:numPr>
        <w:shd w:val="clear" w:color="auto" w:fill="auto"/>
        <w:tabs>
          <w:tab w:pos="730" w:val="left"/>
        </w:tabs>
        <w:bidi w:val="0"/>
        <w:spacing w:before="0" w:after="0" w:line="314" w:lineRule="exact"/>
        <w:ind w:left="0" w:right="0" w:firstLine="440"/>
        <w:jc w:val="both"/>
      </w:pPr>
      <w:bookmarkStart w:id="1245" w:name="bookmark1245"/>
      <w:bookmarkEnd w:id="1245"/>
      <w:r>
        <w:rPr>
          <w:color w:val="000000"/>
          <w:spacing w:val="0"/>
          <w:w w:val="100"/>
          <w:position w:val="0"/>
        </w:rPr>
        <w:t>资产组中丰田：于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日的资产负债表所反映的全部主营业务经营性有形资产和可确认的无形性资产 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234,164,120.88</w:t>
      </w:r>
      <w:r>
        <w:rPr>
          <w:color w:val="000000"/>
          <w:spacing w:val="0"/>
          <w:w w:val="100"/>
          <w:position w:val="0"/>
        </w:rPr>
        <w:t>元，无形 资产</w:t>
      </w:r>
      <w:r>
        <w:rPr>
          <w:rFonts w:ascii="Times New Roman" w:eastAsia="Times New Roman" w:hAnsi="Times New Roman" w:cs="Times New Roman"/>
          <w:color w:val="000000"/>
          <w:spacing w:val="0"/>
          <w:w w:val="100"/>
          <w:position w:val="0"/>
          <w:sz w:val="18"/>
          <w:szCs w:val="18"/>
        </w:rPr>
        <w:t>30,491,347.73</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8,202,280.00</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72,857,748.61</w:t>
      </w:r>
      <w:r>
        <w:rPr>
          <w:color w:val="000000"/>
          <w:spacing w:val="0"/>
          <w:w w:val="100"/>
          <w:position w:val="0"/>
        </w:rPr>
        <w:t>元。该资产组与购买日、以前年度商誉减值 测试时所确定的资产组或资产组组合一致。</w:t>
      </w:r>
    </w:p>
    <w:p>
      <w:pPr>
        <w:pStyle w:val="Style22"/>
        <w:keepNext w:val="0"/>
        <w:keepLines w:val="0"/>
        <w:widowControl w:val="0"/>
        <w:numPr>
          <w:ilvl w:val="0"/>
          <w:numId w:val="47"/>
        </w:numPr>
        <w:shd w:val="clear" w:color="auto" w:fill="auto"/>
        <w:tabs>
          <w:tab w:pos="730" w:val="left"/>
        </w:tabs>
        <w:bidi w:val="0"/>
        <w:spacing w:before="0" w:after="0" w:line="314" w:lineRule="exact"/>
        <w:ind w:left="0" w:right="0" w:firstLine="440"/>
        <w:jc w:val="both"/>
      </w:pPr>
      <w:bookmarkStart w:id="1246" w:name="bookmark1246"/>
      <w:bookmarkEnd w:id="1246"/>
      <w:r>
        <w:rPr>
          <w:color w:val="000000"/>
          <w:spacing w:val="0"/>
          <w:w w:val="100"/>
          <w:position w:val="0"/>
        </w:rPr>
        <w:t>资产组劲嘉科技：于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5,044,508.98</w:t>
      </w:r>
      <w:r>
        <w:rPr>
          <w:color w:val="000000"/>
          <w:spacing w:val="0"/>
          <w:w w:val="100"/>
          <w:position w:val="0"/>
        </w:rPr>
        <w:t>元，在建 工程</w:t>
      </w:r>
      <w:r>
        <w:rPr>
          <w:rFonts w:ascii="Times New Roman" w:eastAsia="Times New Roman" w:hAnsi="Times New Roman" w:cs="Times New Roman"/>
          <w:color w:val="000000"/>
          <w:spacing w:val="0"/>
          <w:w w:val="100"/>
          <w:position w:val="0"/>
          <w:sz w:val="18"/>
          <w:szCs w:val="18"/>
        </w:rPr>
        <w:t>5,988,872.3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711,453.24</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11,744,834.54</w:t>
      </w:r>
      <w:r>
        <w:rPr>
          <w:color w:val="000000"/>
          <w:spacing w:val="0"/>
          <w:w w:val="100"/>
          <w:position w:val="0"/>
        </w:rPr>
        <w:t>元。该资产组与购买日、以前年度商誉减值测试 时所确定的资产组或资产组组合一致。</w:t>
      </w:r>
    </w:p>
    <w:p>
      <w:pPr>
        <w:pStyle w:val="Style22"/>
        <w:keepNext w:val="0"/>
        <w:keepLines w:val="0"/>
        <w:widowControl w:val="0"/>
        <w:numPr>
          <w:ilvl w:val="0"/>
          <w:numId w:val="47"/>
        </w:numPr>
        <w:shd w:val="clear" w:color="auto" w:fill="auto"/>
        <w:tabs>
          <w:tab w:pos="730" w:val="left"/>
        </w:tabs>
        <w:bidi w:val="0"/>
        <w:spacing w:before="0" w:after="0" w:line="314" w:lineRule="exact"/>
        <w:ind w:left="0" w:right="0" w:firstLine="440"/>
        <w:jc w:val="both"/>
      </w:pPr>
      <w:bookmarkStart w:id="1247" w:name="bookmark1247"/>
      <w:bookmarkEnd w:id="1247"/>
      <w:r>
        <w:rPr>
          <w:color w:val="000000"/>
          <w:spacing w:val="0"/>
          <w:w w:val="100"/>
          <w:position w:val="0"/>
        </w:rPr>
        <w:t>资产组贵州瑞源：于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143,643.07</w:t>
      </w:r>
      <w:r>
        <w:rPr>
          <w:color w:val="000000"/>
          <w:spacing w:val="0"/>
          <w:w w:val="100"/>
          <w:position w:val="0"/>
        </w:rPr>
        <w:t>元，资产组 总计</w:t>
      </w:r>
      <w:r>
        <w:rPr>
          <w:rFonts w:ascii="Times New Roman" w:eastAsia="Times New Roman" w:hAnsi="Times New Roman" w:cs="Times New Roman"/>
          <w:color w:val="000000"/>
          <w:spacing w:val="0"/>
          <w:w w:val="100"/>
          <w:position w:val="0"/>
          <w:sz w:val="18"/>
          <w:szCs w:val="18"/>
        </w:rPr>
        <w:t>143,643.07</w:t>
      </w:r>
      <w:r>
        <w:rPr>
          <w:color w:val="000000"/>
          <w:spacing w:val="0"/>
          <w:w w:val="100"/>
          <w:position w:val="0"/>
        </w:rPr>
        <w:t>元。该资产组与购买日、以前年度商誉减值测试时所确定的资产组或资产组组合一致。</w:t>
      </w:r>
    </w:p>
    <w:p>
      <w:pPr>
        <w:pStyle w:val="Style22"/>
        <w:keepNext w:val="0"/>
        <w:keepLines w:val="0"/>
        <w:widowControl w:val="0"/>
        <w:numPr>
          <w:ilvl w:val="0"/>
          <w:numId w:val="47"/>
        </w:numPr>
        <w:shd w:val="clear" w:color="auto" w:fill="auto"/>
        <w:tabs>
          <w:tab w:pos="730" w:val="left"/>
        </w:tabs>
        <w:bidi w:val="0"/>
        <w:spacing w:before="0" w:after="340" w:line="314" w:lineRule="exact"/>
        <w:ind w:left="0" w:right="0" w:firstLine="440"/>
        <w:jc w:val="both"/>
      </w:pPr>
      <w:bookmarkStart w:id="1248" w:name="bookmark1248"/>
      <w:bookmarkEnd w:id="1248"/>
      <w:r>
        <w:rPr>
          <w:color w:val="000000"/>
          <w:spacing w:val="0"/>
          <w:w w:val="100"/>
          <w:position w:val="0"/>
        </w:rPr>
        <w:t>资产组青岛英诺：于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157,848,517.43</w:t>
      </w:r>
      <w:r>
        <w:rPr>
          <w:color w:val="000000"/>
          <w:spacing w:val="0"/>
          <w:w w:val="100"/>
          <w:position w:val="0"/>
        </w:rPr>
        <w:t>元，无 形资产</w:t>
      </w:r>
      <w:r>
        <w:rPr>
          <w:rFonts w:ascii="Times New Roman" w:eastAsia="Times New Roman" w:hAnsi="Times New Roman" w:cs="Times New Roman"/>
          <w:color w:val="000000"/>
          <w:spacing w:val="0"/>
          <w:w w:val="100"/>
          <w:position w:val="0"/>
          <w:sz w:val="18"/>
          <w:szCs w:val="18"/>
        </w:rPr>
        <w:t>25,403,303.78</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370,852.04</w:t>
      </w:r>
      <w:r>
        <w:rPr>
          <w:color w:val="000000"/>
          <w:spacing w:val="0"/>
          <w:w w:val="100"/>
          <w:position w:val="0"/>
        </w:rPr>
        <w:t>元，其他非流动资产</w:t>
      </w:r>
      <w:r>
        <w:rPr>
          <w:rFonts w:ascii="Times New Roman" w:eastAsia="Times New Roman" w:hAnsi="Times New Roman" w:cs="Times New Roman"/>
          <w:color w:val="000000"/>
          <w:spacing w:val="0"/>
          <w:w w:val="100"/>
          <w:position w:val="0"/>
          <w:sz w:val="18"/>
          <w:szCs w:val="18"/>
        </w:rPr>
        <w:t>1,137,833.35</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184,760,506.60</w:t>
      </w:r>
      <w:r>
        <w:rPr>
          <w:color w:val="000000"/>
          <w:spacing w:val="0"/>
          <w:w w:val="100"/>
          <w:position w:val="0"/>
        </w:rPr>
        <w:t>元。该资产 组与购买日、以前年度商誉减值测试时所确定的资产组或资产组组合一致。</w:t>
      </w:r>
    </w:p>
    <w:p>
      <w:pPr>
        <w:pStyle w:val="Style2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）报告分部确认的资产组或资产组组合的减值损失</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本公司是以不同行业为基础作为确定报告分部的依据。为减值测试的目的，本公司将商誉分摊至下列资产组，截止</w:t>
      </w:r>
      <w:r>
        <w:rPr>
          <w:rFonts w:ascii="Times New Roman" w:eastAsia="Times New Roman" w:hAnsi="Times New Roman" w:cs="Times New Roman"/>
          <w:color w:val="000000"/>
          <w:spacing w:val="0"/>
          <w:w w:val="100"/>
          <w:position w:val="0"/>
          <w:sz w:val="18"/>
          <w:szCs w:val="18"/>
        </w:rPr>
        <w:t xml:space="preserve">20201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日，分配到该等资产组的商誉的账面价值及相关减值准备如下：</w:t>
      </w:r>
    </w:p>
    <w:tbl>
      <w:tblPr>
        <w:tblOverlap w:val="never"/>
        <w:jc w:val="center"/>
        <w:tblLayout w:type="fixed"/>
      </w:tblPr>
      <w:tblGrid>
        <w:gridCol w:w="3590"/>
        <w:gridCol w:w="2270"/>
        <w:gridCol w:w="1891"/>
        <w:gridCol w:w="1920"/>
      </w:tblGrid>
      <w:tr>
        <w:trPr>
          <w:trHeight w:val="35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净额</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、包装印刷分部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包装印刷分部一江苏顺泰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630,230,371.10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630,230,371.10</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包装印刷分部一长春吉星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181,099,158.22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181,099,158.22</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包装印刷分部一江西丰彩丽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86,507,261.23</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79,712,372.22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30,839,115.86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48,873,256.36</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641,549.76</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包装印刷分部一贵州瑞源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897,339.80</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包装印刷分部一青岛英诺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151,835,107.02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151,835,107.02</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1,130,923,159.35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30,839,115.86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1,100,084,043.49</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、其他分部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其他分部一佳信（香港）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40,509,904.33</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40,509,904.33</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1,171,433,063.68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30,839,115.86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1,140,593,947.82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93" w:right="0" w:firstLine="0"/>
        <w:jc w:val="left"/>
        <w:rPr>
          <w:sz w:val="18"/>
          <w:szCs w:val="18"/>
        </w:rPr>
      </w:pPr>
      <w:r>
        <w:rPr>
          <w:color w:val="000000"/>
          <w:spacing w:val="0"/>
          <w:w w:val="100"/>
          <w:position w:val="0"/>
          <w:sz w:val="16"/>
          <w:szCs w:val="16"/>
        </w:rPr>
        <w:t>商誉减值测试过程</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421"/>
        <w:gridCol w:w="1282"/>
        <w:gridCol w:w="1733"/>
        <w:gridCol w:w="1358"/>
        <w:gridCol w:w="1517"/>
        <w:gridCol w:w="1234"/>
        <w:gridCol w:w="1133"/>
      </w:tblGrid>
      <w:tr>
        <w:trPr>
          <w:trHeight w:val="1003"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20" w:after="0" w:line="245" w:lineRule="exact"/>
              <w:ind w:left="0" w:right="0" w:firstLine="0"/>
              <w:jc w:val="center"/>
            </w:pPr>
            <w:r>
              <w:rPr>
                <w:color w:val="000000"/>
                <w:spacing w:val="0"/>
                <w:w w:val="100"/>
                <w:position w:val="0"/>
              </w:rPr>
              <w:t>资产组或资产组 组合</w:t>
            </w:r>
          </w:p>
        </w:tc>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60" w:after="40" w:line="240" w:lineRule="auto"/>
              <w:ind w:left="0" w:right="0" w:firstLine="0"/>
              <w:jc w:val="center"/>
            </w:pPr>
            <w:r>
              <w:rPr>
                <w:color w:val="000000"/>
                <w:spacing w:val="0"/>
                <w:w w:val="100"/>
                <w:position w:val="0"/>
              </w:rPr>
              <w:t>商誉分配的金额</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参与分配商誉的资产 组或资产组组合期末 的价值②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归属于资产组或 资产组组合的少 数股东的商誉③</w:t>
            </w:r>
          </w:p>
        </w:tc>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20" w:after="0" w:line="235" w:lineRule="exact"/>
              <w:ind w:left="0" w:right="0" w:firstLine="0"/>
              <w:jc w:val="left"/>
            </w:pPr>
            <w:r>
              <w:rPr>
                <w:color w:val="000000"/>
                <w:spacing w:val="0"/>
                <w:w w:val="100"/>
                <w:position w:val="0"/>
              </w:rPr>
              <w:t>资产或资产组期末 预计可收回金额④</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商誉减值金额 （大于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④</w:t>
            </w:r>
          </w:p>
        </w:tc>
        <w:tc>
          <w:tcPr>
            <w:tcBorders>
              <w:top w:val="single" w:sz="4"/>
              <w:left w:val="single" w:sz="4"/>
              <w:bottom w:val="single" w:sz="4"/>
              <w:right w:val="single" w:sz="4"/>
            </w:tcBorders>
            <w:shd w:val="clear" w:color="auto" w:fill="D3D3D3"/>
            <w:vAlign w:val="top"/>
          </w:tcPr>
          <w:p>
            <w:pPr>
              <w:pStyle w:val="Style16"/>
              <w:keepNext w:val="0"/>
              <w:keepLines w:val="0"/>
              <w:widowControl w:val="0"/>
              <w:shd w:val="clear" w:color="auto" w:fill="auto"/>
              <w:bidi w:val="0"/>
              <w:spacing w:before="120" w:after="0" w:line="245" w:lineRule="exact"/>
              <w:ind w:left="0" w:right="0" w:firstLine="0"/>
              <w:jc w:val="center"/>
            </w:pPr>
            <w:r>
              <w:rPr>
                <w:color w:val="000000"/>
                <w:spacing w:val="0"/>
                <w:w w:val="100"/>
                <w:position w:val="0"/>
              </w:rPr>
              <w:t>商誉减值准备 余额</w:t>
            </w:r>
          </w:p>
        </w:tc>
      </w:tr>
    </w:tbl>
    <w:p>
      <w:pPr>
        <w:widowControl w:val="0"/>
        <w:spacing w:line="1" w:lineRule="exact"/>
      </w:pPr>
      <w:r>
        <w:br w:type="page"/>
      </w:r>
    </w:p>
    <w:tbl>
      <w:tblPr>
        <w:tblOverlap w:val="never"/>
        <w:jc w:val="center"/>
        <w:tblLayout w:type="fixed"/>
      </w:tblPr>
      <w:tblGrid>
        <w:gridCol w:w="1421"/>
        <w:gridCol w:w="1282"/>
        <w:gridCol w:w="1728"/>
        <w:gridCol w:w="1363"/>
        <w:gridCol w:w="1517"/>
        <w:gridCol w:w="1234"/>
        <w:gridCol w:w="1138"/>
      </w:tblGrid>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资产组江苏顺泰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630,230,371.10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79,092,106.83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791,460,800.00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资产组长春吉星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181,099,158.22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103,380,253.12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77,613,924.95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415,815,300.00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资产组江西丰彩 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86,507,261.23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42,680,559.85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144,616,111.23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资产组佳信（香</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40,509,904.33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117,644,160.36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363,329,434.74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79,712,372.22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272,857,748.61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1,339,824,886.86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30,839,115.86</w:t>
            </w:r>
          </w:p>
        </w:tc>
      </w:tr>
      <w:tr>
        <w:trPr>
          <w:trHeight w:val="5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641,549.76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11,744,834.54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78,682,082.29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资产组贵州瑞源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897,339.80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143,643.07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598,226.53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56,542,915.85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资产组青岛英诺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151,835,107.02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184,760,506.60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367,571,100.00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1,171,433,063.68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30,839,115.86</w:t>
            </w:r>
          </w:p>
        </w:tc>
      </w:tr>
      <w:tr>
        <w:trPr>
          <w:trHeight w:val="259" w:hRule="exact"/>
        </w:trPr>
        <w:tc>
          <w:tcPr>
            <w:gridSpan w:val="5"/>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关键参数（如预测期收入增长率、稳定期收入增长率、利润率、折现率、预测期等）的</w:t>
            </w:r>
          </w:p>
        </w:tc>
        <w:tc>
          <w:tcPr>
            <w:gridSpan w:val="2"/>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r>
    </w:tbl>
    <w:p>
      <w:pPr>
        <w:widowControl w:val="0"/>
        <w:spacing w:line="1" w:lineRule="exact"/>
      </w:pPr>
    </w:p>
    <w:tbl>
      <w:tblPr>
        <w:tblOverlap w:val="never"/>
        <w:jc w:val="center"/>
        <w:tblLayout w:type="fixed"/>
      </w:tblPr>
      <w:tblGrid>
        <w:gridCol w:w="864"/>
        <w:gridCol w:w="1234"/>
        <w:gridCol w:w="1195"/>
        <w:gridCol w:w="965"/>
        <w:gridCol w:w="970"/>
        <w:gridCol w:w="970"/>
        <w:gridCol w:w="974"/>
        <w:gridCol w:w="475"/>
        <w:gridCol w:w="1142"/>
        <w:gridCol w:w="883"/>
      </w:tblGrid>
      <w:tr>
        <w:trPr>
          <w:trHeight w:val="499"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5" w:lineRule="exact"/>
              <w:ind w:left="0" w:right="0" w:firstLine="0"/>
              <w:jc w:val="left"/>
            </w:pPr>
            <w:r>
              <w:rPr>
                <w:color w:val="000000"/>
                <w:spacing w:val="0"/>
                <w:w w:val="100"/>
                <w:position w:val="0"/>
              </w:rPr>
              <w:t>资产组或</w:t>
            </w:r>
          </w:p>
          <w:p>
            <w:pPr>
              <w:pStyle w:val="Style1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资产组组 合</w:t>
            </w:r>
          </w:p>
        </w:tc>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预测期</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预测期收入增长率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exact"/>
              <w:ind w:left="0" w:right="0" w:firstLine="0"/>
              <w:jc w:val="both"/>
            </w:pPr>
            <w:r>
              <w:rPr>
                <w:color w:val="000000"/>
                <w:spacing w:val="0"/>
                <w:w w:val="100"/>
                <w:position w:val="0"/>
              </w:rPr>
              <w:t>稳定 期增 长率</w:t>
            </w:r>
          </w:p>
        </w:tc>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利润率</w:t>
            </w:r>
          </w:p>
        </w:tc>
        <w:tc>
          <w:tcPr>
            <w:vMerge w:val="restart"/>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160" w:after="0" w:line="240" w:lineRule="auto"/>
              <w:ind w:left="0" w:right="160" w:firstLine="0"/>
              <w:jc w:val="right"/>
            </w:pPr>
            <w:r>
              <w:rPr>
                <w:color w:val="000000"/>
                <w:spacing w:val="0"/>
                <w:w w:val="100"/>
                <w:position w:val="0"/>
              </w:rPr>
              <w:t>折现率</w:t>
            </w:r>
          </w:p>
        </w:tc>
      </w:tr>
      <w:tr>
        <w:trPr>
          <w:trHeight w:val="523"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98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exact"/>
              <w:ind w:left="0" w:right="0" w:firstLine="0"/>
              <w:jc w:val="center"/>
            </w:pPr>
            <w:r>
              <w:rPr>
                <w:color w:val="000000"/>
                <w:spacing w:val="0"/>
                <w:w w:val="100"/>
                <w:position w:val="0"/>
              </w:rPr>
              <w:t>资产组江 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5" w:lineRule="exact"/>
              <w:ind w:left="0" w:right="0" w:firstLine="0"/>
              <w:jc w:val="center"/>
            </w:pPr>
            <w:r>
              <w:rPr>
                <w:color w:val="000000"/>
                <w:spacing w:val="0"/>
                <w:w w:val="100"/>
                <w:position w:val="0"/>
              </w:rPr>
              <w:t>资产组长 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60" w:line="240" w:lineRule="auto"/>
              <w:ind w:left="0" w:right="0" w:firstLine="0"/>
              <w:jc w:val="left"/>
            </w:pPr>
            <w:r>
              <w:rPr>
                <w:color w:val="000000"/>
                <w:spacing w:val="0"/>
                <w:w w:val="100"/>
                <w:position w:val="0"/>
              </w:rPr>
              <w:t>资产组江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西丰彩丽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54" w:lineRule="exact"/>
              <w:ind w:left="0" w:right="0" w:firstLine="0"/>
              <w:jc w:val="left"/>
            </w:pPr>
            <w:r>
              <w:rPr>
                <w:color w:val="000000"/>
                <w:spacing w:val="0"/>
                <w:w w:val="100"/>
                <w:position w:val="0"/>
              </w:rPr>
              <w:t>资产组佳 信（香港）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exact"/>
              <w:ind w:left="0" w:right="0" w:firstLine="0"/>
              <w:jc w:val="left"/>
            </w:pPr>
            <w:r>
              <w:rPr>
                <w:color w:val="000000"/>
                <w:spacing w:val="0"/>
                <w:w w:val="100"/>
                <w:position w:val="0"/>
              </w:rPr>
              <w:t>资产组中 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5" w:lineRule="exact"/>
              <w:ind w:left="0" w:right="0" w:firstLine="0"/>
              <w:jc w:val="left"/>
            </w:pPr>
            <w:r>
              <w:rPr>
                <w:color w:val="000000"/>
                <w:spacing w:val="0"/>
                <w:w w:val="100"/>
                <w:position w:val="0"/>
              </w:rPr>
              <w:t>资产组劲 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98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exact"/>
              <w:ind w:left="0" w:right="0" w:firstLine="0"/>
              <w:jc w:val="left"/>
            </w:pPr>
            <w:r>
              <w:rPr>
                <w:color w:val="000000"/>
                <w:spacing w:val="0"/>
                <w:w w:val="100"/>
                <w:position w:val="0"/>
              </w:rPr>
              <w:t>资产组贵 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w:t>
            </w:r>
          </w:p>
          <w:p>
            <w:pPr>
              <w:pStyle w:val="Style1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（后续为稳定 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持平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根据预测的收 入、成本费用 进行预测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64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资产组青</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 （后续为稳定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both"/>
            </w:pPr>
            <w:r>
              <w:rPr>
                <w:color w:val="000000"/>
                <w:spacing w:val="0"/>
                <w:w w:val="100"/>
                <w:position w:val="0"/>
              </w:rPr>
              <w:t>根据预测的收 入、成本费用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bl>
    <w:p>
      <w:pPr>
        <w:widowControl w:val="0"/>
        <w:spacing w:line="1" w:lineRule="exact"/>
      </w:pPr>
    </w:p>
    <w:tbl>
      <w:tblPr>
        <w:tblOverlap w:val="never"/>
        <w:jc w:val="center"/>
        <w:tblLayout w:type="fixed"/>
      </w:tblPr>
      <w:tblGrid>
        <w:gridCol w:w="864"/>
        <w:gridCol w:w="1234"/>
        <w:gridCol w:w="1195"/>
        <w:gridCol w:w="965"/>
        <w:gridCol w:w="970"/>
        <w:gridCol w:w="970"/>
        <w:gridCol w:w="979"/>
        <w:gridCol w:w="470"/>
        <w:gridCol w:w="1142"/>
        <w:gridCol w:w="883"/>
      </w:tblGrid>
      <w:tr>
        <w:trPr>
          <w:trHeight w:val="48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岛英诺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进行预测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可收回金额的确定方法：</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资产组江苏顺泰</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资产组江苏顺泰的可收回金额按照资产组公允价值减去处置费用后的净额，即首先采用收益法对确定的经营性资产形 成的资产组未来预计产生的现金流量现值进行估算，然后，测试组成资产组的公允价值扣除处置税费后的净额来确认可收回 金额。未来收益与现金流量基于管理层批准的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。资产组江苏顺 泰超过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使用的其他关键假设还有：基于该资产组过去的业绩和管理层对市场发展的预期估计预计销售和毛利。管理层认为上述 假设发生的任何合理变化均不会导致资产组江苏顺泰的账面价值合计超过其可收回金额。</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资产组长春吉星</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资产组长春吉星的可收回金额按照资产组公允价值减去处置费用后的净额，即首先采用收益法对确定的经营性资产形 成的资产组未来预计产生的现金流量现值进行估算，然后，测试组成资产组的公允价值扣除处置税费后的净额来确认可收回 金额。未来收益与现金流量基于管理层批准的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。资产组长春吉星 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述假设发生的任何合理变化均不会导致资产组长春吉星的账面价值合计超过其可收回金额。</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资产组江西丰彩丽</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资产组江西丰彩丽的可收回金额按照资产的寿命期内可以预计的未来经营净现金流量的现值和被评估资产公允价值减 去处置费用和相关税费后净额两者之间较高者确定，最终结果为资产组的公允价值扣除处置税费后的净额测算的可收回金额 较高。未来收益与现金流量基于管理层批准的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。资产组江西丰彩 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述假设发生的任何合理变化均不会导致资产组江西丰彩丽的账面价值合计超过其可收回金额。</w:t>
      </w:r>
    </w:p>
    <w:p>
      <w:pPr>
        <w:pStyle w:val="Style22"/>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资产组佳信（香港）</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资产组佳信（香港）的可收回金额按照预计未来现金流量的现值确定。未来收益与现金流量基于管理层批准的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。资产组佳信（香港）超过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述假设发生的任何合理变化均不会导致资产组佳信（香港）的账面价值合计超过其可收回金额。</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资产组中丰田</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资产组中丰田的可收回金额按照预计未来现金流量的现值确定。未来收益与现金流量基于管理层批准的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。资产组珠海中丰田超过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述假设发生的任何合理变化均不会导致资产组中丰田的账面价值合计超过其可收回金额。</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资产组劲嘉科技</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资产组劲嘉科技的可收回金额按照预计未来现金流量的现值确定。未来现金流量基于管理层批准的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 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。资产组劲嘉科技超过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述假设发生的任何合理变化均不会导致资产组劲嘉科技的账面价值合计超过其可收回金额。</w:t>
      </w:r>
    </w:p>
    <w:p>
      <w:pPr>
        <w:pStyle w:val="Style22"/>
        <w:keepNext w:val="0"/>
        <w:keepLines w:val="0"/>
        <w:widowControl w:val="0"/>
        <w:shd w:val="clear" w:color="auto" w:fill="auto"/>
        <w:bidi w:val="0"/>
        <w:spacing w:before="0" w:after="0" w:line="313" w:lineRule="exact"/>
        <w:ind w:left="0" w:right="0" w:firstLine="440"/>
        <w:jc w:val="left"/>
      </w:pPr>
      <w:r>
        <w:rPr>
          <w:b/>
          <w:bCs/>
          <w:color w:val="000000"/>
          <w:spacing w:val="0"/>
          <w:w w:val="100"/>
          <w:position w:val="0"/>
        </w:rPr>
        <w:t>资产组贵州瑞源</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资产组贵州瑞源的可收回金额按照预计未来现金流量的现值确定。未来现金流量基于管理层批准的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 的财务预算确定，折现率计算值为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。资产组贵州瑞源超过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述假设发生的任何合理变化均不会导致资产组贵州瑞源的账面价值合计超过其可收回金额。</w:t>
      </w:r>
    </w:p>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资产组青岛英诺</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资产组青岛英诺的可收回金额按照资产的寿命期内可以预计的未来经营净现金流量的现值和被评估资产公允价值减去 处置费用和相关税费后净额两者之间较高者确定，最终结果为资产组的公允价值扣除处置税费后的净额测算的可收回金额较 高。未来收益与现金流量基于管理层批准的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年的财务预算确定，折现率计算值为</w:t>
      </w:r>
      <w:r>
        <w:rPr>
          <w:rFonts w:ascii="Times New Roman" w:eastAsia="Times New Roman" w:hAnsi="Times New Roman" w:cs="Times New Roman"/>
          <w:color w:val="000000"/>
          <w:spacing w:val="0"/>
          <w:w w:val="100"/>
          <w:position w:val="0"/>
          <w:sz w:val="18"/>
          <w:szCs w:val="18"/>
        </w:rPr>
        <w:t>12.07%</w:t>
      </w:r>
      <w:r>
        <w:rPr>
          <w:color w:val="000000"/>
          <w:spacing w:val="0"/>
          <w:w w:val="100"/>
          <w:position w:val="0"/>
        </w:rPr>
        <w:t>。资产组青岛英诺 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述假设发生的任何合理变化均不会导致资产组青岛英诺的账面价值合计超过其可收回金额。</w:t>
      </w:r>
    </w:p>
    <w:p>
      <w:pPr>
        <w:pStyle w:val="Style22"/>
        <w:keepNext w:val="0"/>
        <w:keepLines w:val="0"/>
        <w:widowControl w:val="0"/>
        <w:shd w:val="clear" w:color="auto" w:fill="auto"/>
        <w:bidi w:val="0"/>
        <w:spacing w:before="0" w:after="0" w:line="311" w:lineRule="exact"/>
        <w:ind w:left="0" w:right="0" w:firstLine="440"/>
        <w:jc w:val="both"/>
      </w:pPr>
      <w:r>
        <w:rPr>
          <w:b/>
          <w:bCs/>
          <w:color w:val="000000"/>
          <w:spacing w:val="0"/>
          <w:w w:val="100"/>
          <w:position w:val="0"/>
        </w:rPr>
        <w:t>重要假设及其合理理由：</w:t>
      </w:r>
    </w:p>
    <w:p>
      <w:pPr>
        <w:pStyle w:val="Style22"/>
        <w:keepNext w:val="0"/>
        <w:keepLines w:val="0"/>
        <w:widowControl w:val="0"/>
        <w:numPr>
          <w:ilvl w:val="0"/>
          <w:numId w:val="49"/>
        </w:numPr>
        <w:shd w:val="clear" w:color="auto" w:fill="auto"/>
        <w:tabs>
          <w:tab w:pos="790" w:val="left"/>
        </w:tabs>
        <w:bidi w:val="0"/>
        <w:spacing w:before="0" w:after="0" w:line="311" w:lineRule="exact"/>
        <w:ind w:left="0" w:right="0" w:firstLine="440"/>
        <w:jc w:val="both"/>
      </w:pPr>
      <w:bookmarkStart w:id="1249" w:name="bookmark1249"/>
      <w:bookmarkEnd w:id="1249"/>
      <w:r>
        <w:rPr>
          <w:color w:val="000000"/>
          <w:spacing w:val="0"/>
          <w:w w:val="100"/>
          <w:position w:val="0"/>
        </w:rPr>
        <w:t>假设国家宏观经济形势及现行的有关法律、法规、政策（包含但不限于税收政策）无重大变化，无其他人力不可抗 拒因素及不可预见因素，造成对企业重大不利影响。</w:t>
      </w:r>
    </w:p>
    <w:p>
      <w:pPr>
        <w:pStyle w:val="Style22"/>
        <w:keepNext w:val="0"/>
        <w:keepLines w:val="0"/>
        <w:widowControl w:val="0"/>
        <w:numPr>
          <w:ilvl w:val="0"/>
          <w:numId w:val="49"/>
        </w:numPr>
        <w:shd w:val="clear" w:color="auto" w:fill="auto"/>
        <w:tabs>
          <w:tab w:pos="813" w:val="left"/>
        </w:tabs>
        <w:bidi w:val="0"/>
        <w:spacing w:before="0" w:after="0" w:line="311" w:lineRule="exact"/>
        <w:ind w:left="0" w:right="0" w:firstLine="440"/>
        <w:jc w:val="both"/>
      </w:pPr>
      <w:bookmarkStart w:id="1250" w:name="bookmark1250"/>
      <w:bookmarkEnd w:id="1250"/>
      <w:r>
        <w:rPr>
          <w:color w:val="000000"/>
          <w:spacing w:val="0"/>
          <w:w w:val="100"/>
          <w:position w:val="0"/>
        </w:rPr>
        <w:t>假设被评估单位所在的行业保持稳定发展态势，行业政策、管理制度及相关规定无重大变化。</w:t>
      </w:r>
    </w:p>
    <w:p>
      <w:pPr>
        <w:pStyle w:val="Style22"/>
        <w:keepNext w:val="0"/>
        <w:keepLines w:val="0"/>
        <w:widowControl w:val="0"/>
        <w:numPr>
          <w:ilvl w:val="0"/>
          <w:numId w:val="49"/>
        </w:numPr>
        <w:shd w:val="clear" w:color="auto" w:fill="auto"/>
        <w:tabs>
          <w:tab w:pos="790" w:val="left"/>
        </w:tabs>
        <w:bidi w:val="0"/>
        <w:spacing w:before="0" w:after="0" w:line="311" w:lineRule="exact"/>
        <w:ind w:left="0" w:right="0" w:firstLine="440"/>
        <w:jc w:val="both"/>
      </w:pPr>
      <w:bookmarkStart w:id="1251" w:name="bookmark1251"/>
      <w:bookmarkEnd w:id="1251"/>
      <w:r>
        <w:rPr>
          <w:color w:val="000000"/>
          <w:spacing w:val="0"/>
          <w:w w:val="100"/>
          <w:position w:val="0"/>
        </w:rPr>
        <w:t>假设本次评估测算的各项参数取值是按照现时价格体系确定的，未考虑基准日后通货膨胀因素的影响，现金流入（或 现金流出）均为均匀流入（出）。</w:t>
      </w:r>
    </w:p>
    <w:p>
      <w:pPr>
        <w:pStyle w:val="Style22"/>
        <w:keepNext w:val="0"/>
        <w:keepLines w:val="0"/>
        <w:widowControl w:val="0"/>
        <w:numPr>
          <w:ilvl w:val="0"/>
          <w:numId w:val="49"/>
        </w:numPr>
        <w:shd w:val="clear" w:color="auto" w:fill="auto"/>
        <w:tabs>
          <w:tab w:pos="790" w:val="left"/>
        </w:tabs>
        <w:bidi w:val="0"/>
        <w:spacing w:before="0" w:after="0" w:line="311" w:lineRule="exact"/>
        <w:ind w:left="0" w:right="0" w:firstLine="440"/>
        <w:jc w:val="both"/>
      </w:pPr>
      <w:bookmarkStart w:id="1252" w:name="bookmark1252"/>
      <w:bookmarkEnd w:id="1252"/>
      <w:r>
        <w:rPr>
          <w:color w:val="000000"/>
          <w:spacing w:val="0"/>
          <w:w w:val="100"/>
          <w:position w:val="0"/>
        </w:rPr>
        <w:t>假设企业是持续经营的，未来的经营策略以及成本控制与目前经营情况不发生较大变化，预测期资产组所采用的会 计政策不存在重大差异。</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测试结论：经商誉减值测试，该资产组相关的商誉未减值。</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商誉减值测试的影响</w:t>
      </w:r>
    </w:p>
    <w:p>
      <w:pPr>
        <w:pStyle w:val="Style2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业绩承诺的完成情况及其对商誉减值测试的影响</w:t>
      </w:r>
    </w:p>
    <w:p>
      <w:pPr>
        <w:pStyle w:val="Style30"/>
        <w:keepNext w:val="0"/>
        <w:keepLines w:val="0"/>
        <w:widowControl w:val="0"/>
        <w:shd w:val="clear" w:color="auto" w:fill="auto"/>
        <w:bidi w:val="0"/>
        <w:spacing w:before="0" w:after="0" w:line="240" w:lineRule="auto"/>
        <w:ind w:left="422" w:right="0" w:firstLine="0"/>
        <w:jc w:val="left"/>
      </w:pPr>
      <w:r>
        <w:rPr>
          <w:color w:val="000000"/>
          <w:spacing w:val="0"/>
          <w:w w:val="100"/>
          <w:position w:val="0"/>
        </w:rPr>
        <w:t>子公司长春吉星尚处于业绩承诺对赌期，本年度业绩承诺对赌情况如下:</w:t>
      </w:r>
    </w:p>
    <w:tbl>
      <w:tblPr>
        <w:tblOverlap w:val="never"/>
        <w:jc w:val="center"/>
        <w:tblLayout w:type="fixed"/>
      </w:tblPr>
      <w:tblGrid>
        <w:gridCol w:w="4450"/>
        <w:gridCol w:w="2731"/>
        <w:gridCol w:w="2496"/>
      </w:tblGrid>
      <w:tr>
        <w:trPr>
          <w:trHeight w:val="3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业绩承诺期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承诺金额（万元）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实现金额（万元）</w:t>
            </w:r>
          </w:p>
        </w:tc>
      </w:tr>
      <w:tr>
        <w:trPr>
          <w:trHeight w:val="36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3,780.93</w:t>
            </w:r>
          </w:p>
        </w:tc>
      </w:tr>
    </w:tbl>
    <w:p>
      <w:pPr>
        <w:pStyle w:val="Style2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根据公司与中昂实业签署的《长春吉星印务有限责任公司股权转让补充协议</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年度，长春吉星净利润目 标业绩为不低于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万元；吉星印务业绩完成率（当年实际业绩除以当年承诺业绩）大于</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时，即为完成了当年度的业 绩承诺。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年度，长春吉星完成了业绩承诺。</w:t>
      </w:r>
    </w:p>
    <w:p>
      <w:pPr>
        <w:pStyle w:val="Style22"/>
        <w:keepNext w:val="0"/>
        <w:keepLines w:val="0"/>
        <w:widowControl w:val="0"/>
        <w:shd w:val="clear" w:color="auto" w:fill="auto"/>
        <w:bidi w:val="0"/>
        <w:spacing w:before="0" w:after="340" w:line="310" w:lineRule="exact"/>
        <w:ind w:left="0" w:right="0" w:firstLine="0"/>
        <w:jc w:val="both"/>
      </w:pPr>
      <w:r>
        <w:rPr>
          <w:color w:val="000000"/>
          <w:spacing w:val="0"/>
          <w:w w:val="100"/>
          <w:position w:val="0"/>
        </w:rPr>
        <w:t>结论：经商誉减值测试，该资产组相关的商誉未减值。</w:t>
      </w:r>
    </w:p>
    <w:p>
      <w:pPr>
        <w:pStyle w:val="Style22"/>
        <w:keepNext w:val="0"/>
        <w:keepLines w:val="0"/>
        <w:widowControl w:val="0"/>
        <w:shd w:val="clear" w:color="auto" w:fill="auto"/>
        <w:bidi w:val="0"/>
        <w:spacing w:before="0" w:after="160" w:line="310" w:lineRule="exact"/>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53"/>
      <w:bookmarkEnd w:id="1254"/>
      <w:bookmarkEnd w:id="1256"/>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景观绿化费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179,154.46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房屋修缮费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31,682,472.83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19,715,534.17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11,630,485.43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39,767,521.57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1,102,174.69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611,117.45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2,737,741.03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1,905,773.53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3,504,463.38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35,701,543.01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21,621,307.70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13,439,748.31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43,883,102.40</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40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7"/>
      <w:bookmarkEnd w:id="1258"/>
      <w:bookmarkEnd w:id="1260"/>
    </w:p>
    <w:p>
      <w:pPr>
        <w:pStyle w:val="Style37"/>
        <w:keepNext/>
        <w:keepLines/>
        <w:widowControl w:val="0"/>
        <w:shd w:val="clear" w:color="auto" w:fill="auto"/>
        <w:bidi w:val="0"/>
        <w:spacing w:before="0" w:after="400" w:line="240" w:lineRule="auto"/>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1"/>
      <w:bookmarkEnd w:id="1262"/>
      <w:bookmarkEnd w:id="1263"/>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139,176,450.93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21,191,206.77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93,501,625.60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14,537,228.83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96,338,280.99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14,493,576.99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129,192,254.93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19,378,838.24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可抵扣亏损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77,448,788.25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11,617,318.23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72,972,085.55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10,977,780.77</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未发放工资及奖金产生 的暂时性差异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6,351,696.75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952,754.51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6,785,255.63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1,017,788.34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5,964,017.83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3,840,792.50</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因税法与会计折旧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 年限不同导致的折旧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 销差异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3,381,303.95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507,195.59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5,295,672.32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794,350.85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17,733,761.58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380,190,401.29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57,386,134.16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333,352,177.35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50,546,779.53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64"/>
      <w:bookmarkEnd w:id="1265"/>
      <w:bookmarkEnd w:id="1266"/>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非同一控制企业合并资</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产评估增值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117,691,439.30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17,792,547.22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65,882,107.21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10,021,147.41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核算方式转换收益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87,813,319.27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13,171,997.89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212,212,958.57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31,970,775.11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65,882,107.21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10,021,147.41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67"/>
      <w:bookmarkEnd w:id="1268"/>
      <w:bookmarkEnd w:id="1270"/>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79,843,581.10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18,993,634.61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79,843,581.10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18,993,634.61</w:t>
            </w:r>
          </w:p>
        </w:tc>
      </w:tr>
    </w:tbl>
    <w:p>
      <w:pPr>
        <w:spacing w:lineRule="exact" w:line="1"/>
        <w:rPr>
          <w:sz w:val="2"/>
          <w:szCs w:val="2"/>
        </w:rPr>
      </w:pPr>
      <w:r>
        <w:br w:type="page"/>
      </w:r>
    </w:p>
    <w:p>
      <w:pPr>
        <w:pStyle w:val="Style37"/>
        <w:keepNext/>
        <w:keepLines/>
        <w:widowControl w:val="0"/>
        <w:numPr>
          <w:ilvl w:val="0"/>
          <w:numId w:val="51"/>
        </w:numPr>
        <w:shd w:val="clear" w:color="auto" w:fill="auto"/>
        <w:bidi w:val="0"/>
        <w:spacing w:before="0" w:after="4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未确认递延所得税资产的可抵扣亏损将于以下年度到期</w:t>
      </w:r>
      <w:bookmarkEnd w:id="1271"/>
      <w:bookmarkEnd w:id="1272"/>
      <w:bookmarkEnd w:id="12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3,208,933.14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3,208,933.14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828,819.62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828,819.62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12,688,311.09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12,688,311.09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7,546,462.23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2,266,690.67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17,454,563.56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20,180,412.35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17,936,079.11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79,843,581.10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18,993,634.61</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75"/>
      <w:bookmarkEnd w:id="1276"/>
      <w:bookmarkEnd w:id="12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预付购置长期资产的款项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87,950,634.2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87,950,634.2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92,038,634.2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92,038,634.2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67,763,477.7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79"/>
      <w:bookmarkEnd w:id="1280"/>
      <w:bookmarkEnd w:id="1282"/>
    </w:p>
    <w:p>
      <w:pPr>
        <w:pStyle w:val="Style37"/>
        <w:keepNext/>
        <w:keepLines/>
        <w:widowControl w:val="0"/>
        <w:shd w:val="clear" w:color="auto" w:fill="auto"/>
        <w:bidi w:val="0"/>
        <w:spacing w:before="0" w:after="400" w:line="240" w:lineRule="auto"/>
        <w:ind w:left="0" w:right="0" w:firstLine="0"/>
        <w:jc w:val="both"/>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3"/>
      <w:bookmarkEnd w:id="1284"/>
      <w:bookmarkEnd w:id="128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286"/>
      <w:bookmarkEnd w:id="1287"/>
      <w:bookmarkEnd w:id="12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816,363,306.86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386,144,999.25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816,363,306.86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386,144,999.25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90"/>
      <w:bookmarkEnd w:id="1291"/>
      <w:bookmarkEnd w:id="1293"/>
    </w:p>
    <w:p>
      <w:pPr>
        <w:pStyle w:val="Style3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4"/>
      <w:bookmarkEnd w:id="1295"/>
      <w:bookmarkEnd w:id="12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622,310,803.98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478,653,173.33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6,728,990.83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24,890,537.69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1,845,121.25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1,016,641.57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2,601,327.09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1,521,037.13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633,486,243.15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506,081,389.72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297"/>
      <w:bookmarkEnd w:id="1298"/>
      <w:bookmarkEnd w:id="1300"/>
    </w:p>
    <w:p>
      <w:pPr>
        <w:pStyle w:val="Style37"/>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1"/>
      <w:bookmarkEnd w:id="1302"/>
      <w:bookmarkEnd w:id="130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563,891.73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1,930,006.00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1,159,994.00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2,329,994.00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3,653,891.73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04"/>
      <w:bookmarkEnd w:id="1305"/>
      <w:bookmarkEnd w:id="13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湖北吴城环保科技有限公司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07"/>
      <w:bookmarkEnd w:id="1308"/>
      <w:bookmarkEnd w:id="131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152,533,728.60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26,611,918.76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152,533,728.60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26,611,918.76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125,921,809.84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预收货款增加</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125,921,809.84</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11"/>
      <w:bookmarkEnd w:id="1312"/>
      <w:bookmarkEnd w:id="1314"/>
    </w:p>
    <w:p>
      <w:pPr>
        <w:pStyle w:val="Style37"/>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5"/>
      <w:bookmarkEnd w:id="1316"/>
      <w:bookmarkEnd w:id="13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108,566,038.65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772,238,008.27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761,803,830.66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119,000,216.26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39,447,895.26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39,447,895.26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898,058.90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889,190.27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898,058.90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889,190.27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109,464,097.55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812,575,093.80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802,149,784.82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119,889,406.53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8"/>
      <w:bookmarkEnd w:id="1319"/>
      <w:bookmarkEnd w:id="132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104,504,769.49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700,182,777.86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688,278,989.23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116,408,558.12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3,277,835.29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34,997,847.08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36,561,042.63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1,714,639.74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16,026,409.58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16,019,222.91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13,698,515.51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13,698,515.51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1,287,755.17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1,287,755.17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1,040,138.90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1,032,952.23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7,186.67</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178,884.00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14,163,350.50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14,003,671.50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338,563.00</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411,983.55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3,592,508.96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3,711,490.10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293,002.41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192,566.32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3,275,114.29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3,229,414.29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238,266.32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108,566,038.65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772,238,008.27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761,803,830.66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119,000,216.26</w:t>
            </w:r>
          </w:p>
        </w:tc>
      </w:tr>
    </w:tbl>
    <w:p>
      <w:pPr>
        <w:widowControl w:val="0"/>
        <w:spacing w:after="319" w:line="1" w:lineRule="exact"/>
      </w:pPr>
    </w:p>
    <w:p>
      <w:pPr>
        <w:pStyle w:val="Style37"/>
        <w:keepNext/>
        <w:keepLines/>
        <w:widowControl w:val="0"/>
        <w:numPr>
          <w:ilvl w:val="0"/>
          <w:numId w:val="53"/>
        </w:numPr>
        <w:shd w:val="clear" w:color="auto" w:fill="auto"/>
        <w:bidi w:val="0"/>
        <w:spacing w:before="0" w:after="400" w:line="240" w:lineRule="auto"/>
        <w:ind w:left="0" w:right="0" w:firstLine="0"/>
        <w:jc w:val="both"/>
      </w:pPr>
      <w:bookmarkStart w:id="1321" w:name="bookmark1321"/>
      <w:bookmarkStart w:id="1322" w:name="bookmark1322"/>
      <w:bookmarkStart w:id="1323" w:name="bookmark1323"/>
      <w:bookmarkStart w:id="1324" w:name="bookmark1324"/>
      <w:bookmarkEnd w:id="1323"/>
      <w:r>
        <w:rPr>
          <w:color w:val="000000"/>
          <w:spacing w:val="0"/>
          <w:w w:val="100"/>
          <w:position w:val="0"/>
        </w:rPr>
        <w:t>设定提存计划列示</w:t>
      </w:r>
      <w:bookmarkEnd w:id="1321"/>
      <w:bookmarkEnd w:id="1322"/>
      <w:bookmarkEnd w:id="132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38,250,995.86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38,250,995.86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1,196,899.40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1,196,899.40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39,447,895.26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39,447,895.26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本公司按规定参加由政府机构设立的养老保险、失业保险计划，根据该等计划，本公司分别按员工基本工资的一定比例 每月向该等计划缴存费用。除上述每月缴存费用外，本公司不再承担进一步支付义务。相应的支出于发生时计入当期损益或 相关资产的成本。</w:t>
      </w:r>
    </w:p>
    <w:p>
      <w:pPr>
        <w:pStyle w:val="Style2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一年内到期的其他福利系设定收益计划本年应分摊和本年减少的金额。</w:t>
      </w:r>
    </w:p>
    <w:p>
      <w:pPr>
        <w:pStyle w:val="Style22"/>
        <w:keepNext w:val="0"/>
        <w:keepLines w:val="0"/>
        <w:widowControl w:val="0"/>
        <w:shd w:val="clear" w:color="auto" w:fill="auto"/>
        <w:bidi w:val="0"/>
        <w:spacing w:before="0" w:after="400" w:line="310" w:lineRule="exact"/>
        <w:ind w:left="0" w:right="0" w:firstLine="300"/>
        <w:jc w:val="both"/>
      </w:pPr>
      <w:r>
        <w:rPr>
          <w:color w:val="000000"/>
          <w:spacing w:val="0"/>
          <w:w w:val="100"/>
          <w:position w:val="0"/>
        </w:rPr>
        <w:t>本期增加包含本年新增合并青岛英诺公司转入的金额</w:t>
      </w:r>
      <w:r>
        <w:rPr>
          <w:rFonts w:ascii="Times New Roman" w:eastAsia="Times New Roman" w:hAnsi="Times New Roman" w:cs="Times New Roman"/>
          <w:color w:val="000000"/>
          <w:spacing w:val="0"/>
          <w:w w:val="100"/>
          <w:position w:val="0"/>
          <w:sz w:val="18"/>
          <w:szCs w:val="18"/>
        </w:rPr>
        <w:t>14,637,589.20</w:t>
      </w:r>
      <w:r>
        <w:rPr>
          <w:color w:val="000000"/>
          <w:spacing w:val="0"/>
          <w:w w:val="100"/>
          <w:position w:val="0"/>
        </w:rPr>
        <w:t>元，本年减少包含本年处置子公司青岛嘉颐泽转出的 金额</w:t>
      </w:r>
      <w:r>
        <w:rPr>
          <w:rFonts w:ascii="Times New Roman" w:eastAsia="Times New Roman" w:hAnsi="Times New Roman" w:cs="Times New Roman"/>
          <w:color w:val="000000"/>
          <w:spacing w:val="0"/>
          <w:w w:val="100"/>
          <w:position w:val="0"/>
          <w:sz w:val="18"/>
          <w:szCs w:val="18"/>
        </w:rPr>
        <w:t>411,920.99</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25"/>
      <w:bookmarkEnd w:id="1326"/>
      <w:bookmarkEnd w:id="132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20,675,155.99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14,474,691.68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31,449,633.48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26,173,645.17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4,889,088.16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7,790,255.97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1,639,400.27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1,129,610.07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703,181.01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484,118.60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468,787.35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322,745.75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378,046.93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440,390.70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715,773.11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1,417,992.62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1,123,456.18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979,171.79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水利及防洪基金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36,426.05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94,799.81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4,149.53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62,140,253.03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53,253,197.93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29"/>
      <w:bookmarkEnd w:id="1330"/>
      <w:bookmarkEnd w:id="13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30,769,093.90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236,569,147.39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137,220,021.76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236,569,147.39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167,989,115.66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33"/>
      <w:bookmarkEnd w:id="1334"/>
      <w:bookmarkEnd w:id="133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30,769,093.90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30,769,093.90</w:t>
            </w:r>
          </w:p>
        </w:tc>
      </w:tr>
    </w:tbl>
    <w:p>
      <w:pPr>
        <w:pStyle w:val="Style22"/>
        <w:keepNext w:val="0"/>
        <w:keepLines w:val="0"/>
        <w:widowControl w:val="0"/>
        <w:shd w:val="clear" w:color="auto" w:fill="auto"/>
        <w:bidi w:val="0"/>
        <w:spacing w:before="0" w:after="400" w:line="35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37"/>
        <w:keepNext/>
        <w:keepLines/>
        <w:widowControl w:val="0"/>
        <w:shd w:val="clear" w:color="auto" w:fill="auto"/>
        <w:bidi w:val="0"/>
        <w:spacing w:before="0" w:after="40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6"/>
      <w:bookmarkEnd w:id="1337"/>
      <w:bookmarkEnd w:id="1338"/>
    </w:p>
    <w:p>
      <w:pPr>
        <w:pStyle w:val="Style54"/>
        <w:keepNext/>
        <w:keepLines/>
        <w:widowControl w:val="0"/>
        <w:shd w:val="clear" w:color="auto" w:fill="auto"/>
        <w:bidi w:val="0"/>
        <w:spacing w:before="0" w:after="400" w:line="240" w:lineRule="auto"/>
        <w:ind w:left="0" w:right="0" w:firstLine="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9"/>
      <w:bookmarkEnd w:id="1340"/>
      <w:bookmarkEnd w:id="134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设备款及运输费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7,290,416.89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6,002,778.19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18,003,568.44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13,659,961.05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73,016.79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54,422,644.48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95,484,265.73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145,695,897.24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236,569,147.39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137,220,021.76</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42"/>
      <w:bookmarkEnd w:id="1343"/>
      <w:bookmarkEnd w:id="13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上海喜乐明红咨询管理有限公司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股权收购款未达付款期</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悉地国际设计顾问（深圳）有限公司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2,175,015.50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租赁押金未达付款期</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市场风险金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押金未达付款期</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14,735,015.50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46"/>
      <w:bookmarkEnd w:id="1347"/>
      <w:bookmarkEnd w:id="134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926,211.86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89,478.93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61,209,511.86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89,478.93</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50"/>
      <w:bookmarkEnd w:id="1351"/>
      <w:bookmarkEnd w:id="135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2,729,332.41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704,125.54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2,729,332.41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704,125.54</w:t>
            </w:r>
          </w:p>
        </w:tc>
      </w:tr>
    </w:tbl>
    <w:p>
      <w:pPr>
        <w:pStyle w:val="Style2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短期应付债券的增减变动: 无。</w:t>
      </w:r>
    </w:p>
    <w:p>
      <w:pPr>
        <w:pStyle w:val="Style32"/>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54"/>
      <w:bookmarkEnd w:id="1355"/>
      <w:bookmarkEnd w:id="1357"/>
    </w:p>
    <w:p>
      <w:pPr>
        <w:pStyle w:val="Style37"/>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58"/>
      <w:bookmarkEnd w:id="1359"/>
      <w:bookmarkEnd w:id="136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361"/>
      <w:bookmarkEnd w:id="1362"/>
      <w:bookmarkEnd w:id="136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4,879,572.48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5,208,912.04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-400,374.05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-640,234.69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-926,211.86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-89,478.93</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3,552,986.57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4,479,198.42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65"/>
      <w:bookmarkEnd w:id="1366"/>
      <w:bookmarkEnd w:id="136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79" w:line="1" w:lineRule="exact"/>
      </w:pPr>
    </w:p>
    <w:p>
      <w:pPr>
        <w:pStyle w:val="Style37"/>
        <w:keepNext/>
        <w:keepLines/>
        <w:widowControl w:val="0"/>
        <w:shd w:val="clear" w:color="auto" w:fill="auto"/>
        <w:bidi w:val="0"/>
        <w:spacing w:before="0" w:line="240" w:lineRule="auto"/>
        <w:ind w:left="0" w:right="0" w:firstLine="0"/>
        <w:jc w:val="both"/>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）专项应付款</w:t>
      </w:r>
      <w:bookmarkEnd w:id="1369"/>
      <w:bookmarkEnd w:id="1370"/>
      <w:bookmarkEnd w:id="13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长春市生态环境局 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安装环保设备</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该专项应付款为长春市按照（环办规范【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号）、《吉林省污染防治和环境整治专项资金管理办法》（吉财建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1083</w:t>
      </w:r>
      <w:r>
        <w:rPr>
          <w:color w:val="000000"/>
          <w:spacing w:val="0"/>
          <w:w w:val="100"/>
          <w:position w:val="0"/>
        </w:rPr>
        <w:t>号）、《吉林省生态环境保护库管理制度（试行）》（吉环科财字【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号）文规定拨付的环保项目专用 设备购置款。</w:t>
      </w:r>
    </w:p>
    <w:p>
      <w:pPr>
        <w:pStyle w:val="Style32"/>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、长期应付职工薪酬</w:t>
      </w:r>
      <w:bookmarkEnd w:id="1372"/>
      <w:bookmarkEnd w:id="1373"/>
      <w:bookmarkEnd w:id="1375"/>
    </w:p>
    <w:p>
      <w:pPr>
        <w:pStyle w:val="Style37"/>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76"/>
      <w:bookmarkEnd w:id="1377"/>
      <w:bookmarkEnd w:id="13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设定受益计划净负债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12,480,138.66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12,904,828.91</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12,480,138.66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12,904,828.91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379"/>
      <w:bookmarkEnd w:id="1380"/>
      <w:bookmarkEnd w:id="13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18,422,000.00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4,267,164.48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18,422,000.00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4,267,164.48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994"/>
        <w:gridCol w:w="878"/>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营业外收</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劲嘉新材料产 业化项目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劲嘉工业设计</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中心资助款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发改委高端印 刷技术与创新 材料工程实验 室提升项目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劲嘉高端印刷 品生产线自动 化改造升级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5,246,750.00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4,569,750.00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深圳发改委关 于设备节能项 目补助款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微缩</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铂金浮</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雕连线技术改</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1,323,094.50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189,013.50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1,134,081.00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设备升级技术</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586,670.00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深圳市技术装</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备及管理智能</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化提升项目资</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4,716,000.00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宝安区财政局</w:t>
            </w:r>
          </w:p>
          <w:p>
            <w:pPr>
              <w:pStyle w:val="Style1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年技术改 造补助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4,033,268.82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448,140.98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3,585,127.84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282"/>
        <w:gridCol w:w="1133"/>
        <w:gridCol w:w="994"/>
        <w:gridCol w:w="878"/>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水性单凹植绒 印刷关键技术 研发补助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提升劲嘉智能</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化包装长虹级</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技术改造投资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4,689,000.00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年工业企 业扩大产能奖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4,052,000.0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3,646,800.00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 造设备补助资 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25,605,283.32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18,422,000.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4,267,164.48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39,760,118.84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37</w:t>
      </w:r>
      <w:r>
        <w:rPr>
          <w:color w:val="000000"/>
          <w:spacing w:val="0"/>
          <w:w w:val="100"/>
          <w:position w:val="0"/>
        </w:rPr>
        <w:t>、股本</w:t>
      </w:r>
      <w:bookmarkEnd w:id="1383"/>
      <w:bookmarkEnd w:id="1384"/>
      <w:bookmarkEnd w:id="138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1,464,870,450.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6,017,100.00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1,470,887,550.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312"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第八次会议审议通过了《关于调 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定向增发</w:t>
      </w:r>
      <w:r>
        <w:rPr>
          <w:rFonts w:ascii="Times New Roman" w:eastAsia="Times New Roman" w:hAnsi="Times New Roman" w:cs="Times New Roman"/>
          <w:color w:val="000000"/>
          <w:spacing w:val="0"/>
          <w:w w:val="100"/>
          <w:position w:val="0"/>
          <w:sz w:val="18"/>
          <w:szCs w:val="18"/>
        </w:rPr>
        <w:t>601.71</w:t>
      </w:r>
      <w:r>
        <w:rPr>
          <w:color w:val="000000"/>
          <w:spacing w:val="0"/>
          <w:w w:val="100"/>
          <w:position w:val="0"/>
        </w:rPr>
        <w:t>万股用于股权激励。</w:t>
      </w:r>
    </w:p>
    <w:p>
      <w:pPr>
        <w:pStyle w:val="Style32"/>
        <w:keepNext/>
        <w:keepLines/>
        <w:widowControl w:val="0"/>
        <w:shd w:val="clear" w:color="auto" w:fill="auto"/>
        <w:bidi w:val="0"/>
        <w:spacing w:before="0" w:after="400" w:line="240" w:lineRule="auto"/>
        <w:ind w:left="0" w:right="0" w:firstLine="0"/>
        <w:jc w:val="both"/>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38</w:t>
      </w:r>
      <w:r>
        <w:rPr>
          <w:color w:val="000000"/>
          <w:spacing w:val="0"/>
          <w:w w:val="100"/>
          <w:position w:val="0"/>
        </w:rPr>
        <w:t>、资本公积</w:t>
      </w:r>
      <w:bookmarkEnd w:id="1386"/>
      <w:bookmarkEnd w:id="1387"/>
      <w:bookmarkEnd w:id="13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1,395,144,682.59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26,289,050.49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86,749,114.32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1,334,684,618.76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41,576,845.31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17,885,728.76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2,822,183.39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56,640,390.68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1,436,721,527.90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44,174,779.25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89,571,297.71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1,391,325,009.44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股本溢价增加系（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）本年定向增发</w:t>
      </w:r>
      <w:r>
        <w:rPr>
          <w:rFonts w:ascii="Times New Roman" w:eastAsia="Times New Roman" w:hAnsi="Times New Roman" w:cs="Times New Roman"/>
          <w:color w:val="000000"/>
          <w:spacing w:val="0"/>
          <w:w w:val="100"/>
          <w:position w:val="0"/>
          <w:sz w:val="18"/>
          <w:szCs w:val="18"/>
        </w:rPr>
        <w:t>601.71</w:t>
      </w:r>
      <w:r>
        <w:rPr>
          <w:color w:val="000000"/>
          <w:spacing w:val="0"/>
          <w:w w:val="100"/>
          <w:position w:val="0"/>
        </w:rPr>
        <w:t>万股用于股权激励，每股认购价格</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元，股本溢价</w:t>
      </w:r>
      <w:r>
        <w:rPr>
          <w:rFonts w:ascii="Times New Roman" w:eastAsia="Times New Roman" w:hAnsi="Times New Roman" w:cs="Times New Roman"/>
          <w:color w:val="000000"/>
          <w:spacing w:val="0"/>
          <w:w w:val="100"/>
          <w:position w:val="0"/>
          <w:sz w:val="18"/>
          <w:szCs w:val="18"/>
        </w:rPr>
        <w:t>26,294,727.00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中国证券登记结算有限责任公司深圳分公司增发登记费</w:t>
      </w:r>
      <w:r>
        <w:rPr>
          <w:rFonts w:ascii="Times New Roman" w:eastAsia="Times New Roman" w:hAnsi="Times New Roman" w:cs="Times New Roman"/>
          <w:color w:val="000000"/>
          <w:spacing w:val="0"/>
          <w:w w:val="100"/>
          <w:position w:val="0"/>
          <w:sz w:val="18"/>
          <w:szCs w:val="18"/>
        </w:rPr>
        <w:t>5,676.5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元，抵减股本溢价金额。</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股本溢价减少系股份回购价格与股权激励授予价格的差异，详见本附注七、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库存股。</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其他资本公积本期增加</w:t>
      </w:r>
      <w:r>
        <w:rPr>
          <w:rFonts w:ascii="Times New Roman" w:eastAsia="Times New Roman" w:hAnsi="Times New Roman" w:cs="Times New Roman"/>
          <w:color w:val="000000"/>
          <w:spacing w:val="0"/>
          <w:w w:val="100"/>
          <w:position w:val="0"/>
          <w:sz w:val="18"/>
          <w:szCs w:val="18"/>
        </w:rPr>
        <w:t>17,885,728.76</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）确认本期股权激励成本</w:t>
      </w:r>
      <w:r>
        <w:rPr>
          <w:rFonts w:ascii="Times New Roman" w:eastAsia="Times New Roman" w:hAnsi="Times New Roman" w:cs="Times New Roman"/>
          <w:color w:val="000000"/>
          <w:spacing w:val="0"/>
          <w:w w:val="100"/>
          <w:position w:val="0"/>
          <w:sz w:val="18"/>
          <w:szCs w:val="18"/>
        </w:rPr>
        <w:t>17,733,761.58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）本期向兴鑫互联增资，认 购完成后股权增加形成资本公积</w:t>
      </w:r>
      <w:r>
        <w:rPr>
          <w:rFonts w:ascii="Times New Roman" w:eastAsia="Times New Roman" w:hAnsi="Times New Roman" w:cs="Times New Roman"/>
          <w:color w:val="000000"/>
          <w:spacing w:val="0"/>
          <w:w w:val="100"/>
          <w:position w:val="0"/>
          <w:sz w:val="18"/>
          <w:szCs w:val="18"/>
        </w:rPr>
        <w:t>151,967.18</w:t>
      </w:r>
      <w:r>
        <w:rPr>
          <w:color w:val="000000"/>
          <w:spacing w:val="0"/>
          <w:w w:val="100"/>
          <w:position w:val="0"/>
        </w:rPr>
        <w:t>元。</w:t>
      </w:r>
    </w:p>
    <w:p>
      <w:pPr>
        <w:pStyle w:val="Style22"/>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其他资本公积本年减少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,822,183.39</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,601,449.78</w:t>
      </w:r>
      <w:r>
        <w:rPr>
          <w:color w:val="000000"/>
          <w:spacing w:val="0"/>
          <w:w w:val="100"/>
          <w:position w:val="0"/>
        </w:rPr>
        <w:t>元系本年收购子公司蓝莓文化少数股权所致；</w:t>
      </w:r>
      <w:r>
        <w:rPr>
          <w:rFonts w:ascii="Times New Roman" w:eastAsia="Times New Roman" w:hAnsi="Times New Roman" w:cs="Times New Roman"/>
          <w:color w:val="000000"/>
          <w:spacing w:val="0"/>
          <w:w w:val="100"/>
          <w:position w:val="0"/>
          <w:sz w:val="18"/>
          <w:szCs w:val="18"/>
        </w:rPr>
        <w:t>1,220,733.6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系持有华大北斗</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股权核算方式从权益法变更为以公允价值计量且其变动计入当期损益时前期确认其他权益变动转入 投资收益。</w:t>
      </w:r>
    </w:p>
    <w:p>
      <w:pPr>
        <w:pStyle w:val="Style3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rFonts w:ascii="Times New Roman" w:eastAsia="Times New Roman" w:hAnsi="Times New Roman" w:cs="Times New Roman"/>
          <w:color w:val="000000"/>
          <w:spacing w:val="0"/>
          <w:w w:val="100"/>
          <w:position w:val="0"/>
        </w:rPr>
        <w:t>9</w:t>
      </w:r>
      <w:r>
        <w:rPr>
          <w:color w:val="000000"/>
          <w:spacing w:val="0"/>
          <w:w w:val="100"/>
          <w:position w:val="0"/>
        </w:rPr>
        <w:t>、库存股</w:t>
      </w:r>
      <w:bookmarkEnd w:id="1389"/>
      <w:bookmarkEnd w:id="1390"/>
      <w:bookmarkEnd w:id="13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140,381,828.83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86,749,114.32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145,695,897.24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92,063,182.73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140,381,828.83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86,749,114.32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145,695,897.24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第八次会议审议通过了《关于调 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日作为首次授予日，向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2,713.1452</w:t>
      </w:r>
      <w:r>
        <w:rPr>
          <w:color w:val="000000"/>
          <w:spacing w:val="0"/>
          <w:w w:val="100"/>
          <w:position w:val="0"/>
        </w:rPr>
        <w:t>万股限制性股票。根据公司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 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）的规定，本次股权激励计划的股票中</w:t>
      </w:r>
      <w:r>
        <w:rPr>
          <w:rFonts w:ascii="Times New Roman" w:eastAsia="Times New Roman" w:hAnsi="Times New Roman" w:cs="Times New Roman"/>
          <w:color w:val="000000"/>
          <w:spacing w:val="0"/>
          <w:w w:val="100"/>
          <w:position w:val="0"/>
          <w:sz w:val="18"/>
          <w:szCs w:val="18"/>
        </w:rPr>
        <w:t>2,111.435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万股来源为公司回购专用账户 回购的股份，最高成交价为</w:t>
      </w:r>
      <w:r>
        <w:rPr>
          <w:rFonts w:ascii="Times New Roman" w:eastAsia="Times New Roman" w:hAnsi="Times New Roman" w:cs="Times New Roman"/>
          <w:color w:val="000000"/>
          <w:spacing w:val="0"/>
          <w:w w:val="100"/>
          <w:position w:val="0"/>
          <w:sz w:val="18"/>
          <w:szCs w:val="18"/>
        </w:rPr>
        <w:t>10.3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8.51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200,133,184.56</w:t>
      </w:r>
      <w:r>
        <w:rPr>
          <w:color w:val="000000"/>
          <w:spacing w:val="0"/>
          <w:w w:val="100"/>
          <w:position w:val="0"/>
        </w:rPr>
        <w:t>元（不含交易费用），</w:t>
      </w:r>
      <w:r>
        <w:rPr>
          <w:rFonts w:ascii="Times New Roman" w:eastAsia="Times New Roman" w:hAnsi="Times New Roman" w:cs="Times New Roman"/>
          <w:color w:val="000000"/>
          <w:spacing w:val="0"/>
          <w:w w:val="100"/>
          <w:position w:val="0"/>
          <w:sz w:val="18"/>
          <w:szCs w:val="18"/>
        </w:rPr>
        <w:t xml:space="preserve">601.71 </w:t>
      </w:r>
      <w:r>
        <w:rPr>
          <w:color w:val="000000"/>
          <w:spacing w:val="0"/>
          <w:w w:val="100"/>
          <w:position w:val="0"/>
        </w:rPr>
        <w:t>万股系公司向激励对象定向发行的公司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股普通股股票，每股</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元，成交金额</w:t>
      </w:r>
      <w:r>
        <w:rPr>
          <w:rFonts w:ascii="Times New Roman" w:eastAsia="Times New Roman" w:hAnsi="Times New Roman" w:cs="Times New Roman"/>
          <w:color w:val="000000"/>
          <w:spacing w:val="0"/>
          <w:w w:val="100"/>
          <w:position w:val="0"/>
          <w:sz w:val="18"/>
          <w:szCs w:val="18"/>
        </w:rPr>
        <w:t>32,311,827.00</w:t>
      </w:r>
      <w:r>
        <w:rPr>
          <w:color w:val="000000"/>
          <w:spacing w:val="0"/>
          <w:w w:val="100"/>
          <w:position w:val="0"/>
        </w:rPr>
        <w:t>元，回购总金额共</w:t>
      </w:r>
      <w:r>
        <w:rPr>
          <w:rFonts w:ascii="Times New Roman" w:eastAsia="Times New Roman" w:hAnsi="Times New Roman" w:cs="Times New Roman"/>
          <w:color w:val="000000"/>
          <w:spacing w:val="0"/>
          <w:w w:val="100"/>
          <w:position w:val="0"/>
          <w:sz w:val="18"/>
          <w:szCs w:val="18"/>
        </w:rPr>
        <w:t xml:space="preserve">232,445,011.56 </w:t>
      </w:r>
      <w:r>
        <w:rPr>
          <w:color w:val="000000"/>
          <w:spacing w:val="0"/>
          <w:w w:val="100"/>
          <w:position w:val="0"/>
        </w:rPr>
        <w:t>元。前期已发生</w:t>
      </w:r>
      <w:r>
        <w:rPr>
          <w:rFonts w:ascii="Times New Roman" w:eastAsia="Times New Roman" w:hAnsi="Times New Roman" w:cs="Times New Roman"/>
          <w:color w:val="000000"/>
          <w:spacing w:val="0"/>
          <w:w w:val="100"/>
          <w:position w:val="0"/>
          <w:sz w:val="18"/>
          <w:szCs w:val="18"/>
        </w:rPr>
        <w:t>92,063,182.73</w:t>
      </w:r>
      <w:r>
        <w:rPr>
          <w:color w:val="000000"/>
          <w:spacing w:val="0"/>
          <w:w w:val="100"/>
          <w:position w:val="0"/>
        </w:rPr>
        <w:t>元，本期回购新增金额</w:t>
      </w:r>
      <w:r>
        <w:rPr>
          <w:rFonts w:ascii="Times New Roman" w:eastAsia="Times New Roman" w:hAnsi="Times New Roman" w:cs="Times New Roman"/>
          <w:color w:val="000000"/>
          <w:spacing w:val="0"/>
          <w:w w:val="100"/>
          <w:position w:val="0"/>
          <w:sz w:val="18"/>
          <w:szCs w:val="18"/>
        </w:rPr>
        <w:t>140,381,828.83</w:t>
      </w:r>
      <w:r>
        <w:rPr>
          <w:color w:val="000000"/>
          <w:spacing w:val="0"/>
          <w:w w:val="100"/>
          <w:position w:val="0"/>
        </w:rPr>
        <w:t>元。</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本期减少</w:t>
      </w:r>
      <w:r>
        <w:rPr>
          <w:rFonts w:ascii="Times New Roman" w:eastAsia="Times New Roman" w:hAnsi="Times New Roman" w:cs="Times New Roman"/>
          <w:color w:val="000000"/>
          <w:spacing w:val="0"/>
          <w:w w:val="100"/>
          <w:position w:val="0"/>
          <w:sz w:val="18"/>
          <w:szCs w:val="18"/>
        </w:rPr>
        <w:t>86,749,114.32</w:t>
      </w:r>
      <w:r>
        <w:rPr>
          <w:color w:val="000000"/>
          <w:spacing w:val="0"/>
          <w:w w:val="100"/>
          <w:position w:val="0"/>
        </w:rPr>
        <w:t>元系将回购的库存股用作限制性股票激励时，实际收到的员工缴纳款项与回购的库存股款项的 差额。</w:t>
      </w:r>
    </w:p>
    <w:p>
      <w:pPr>
        <w:pStyle w:val="Style22"/>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本期确认股权激励授予的股份回购价格</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元，共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,713.145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万股，确认回购义务</w:t>
      </w:r>
      <w:r>
        <w:rPr>
          <w:rFonts w:ascii="Times New Roman" w:eastAsia="Times New Roman" w:hAnsi="Times New Roman" w:cs="Times New Roman"/>
          <w:color w:val="000000"/>
          <w:spacing w:val="0"/>
          <w:w w:val="100"/>
          <w:position w:val="0"/>
          <w:sz w:val="18"/>
          <w:szCs w:val="18"/>
        </w:rPr>
        <w:t>145,695,897.24</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93"/>
      <w:bookmarkEnd w:id="1394"/>
      <w:bookmarkEnd w:id="13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1090"/>
        <w:gridCol w:w="614"/>
        <w:gridCol w:w="941"/>
        <w:gridCol w:w="763"/>
        <w:gridCol w:w="734"/>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w:t>
            </w:r>
          </w:p>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留存收益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-19,789,871.</w:t>
            </w:r>
          </w:p>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w:t>
            </w:r>
          </w:p>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-19,789,871.</w:t>
            </w:r>
          </w:p>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w:t>
            </w:r>
          </w:p>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797.28</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-19,789,871.</w:t>
            </w:r>
          </w:p>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w:t>
            </w:r>
          </w:p>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-656,926.16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797.28</w:t>
            </w:r>
          </w:p>
        </w:tc>
      </w:tr>
    </w:tbl>
    <w:p>
      <w:pPr>
        <w:pStyle w:val="Style22"/>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2"/>
        <w:keepNext/>
        <w:keepLines/>
        <w:widowControl w:val="0"/>
        <w:shd w:val="clear" w:color="auto" w:fill="auto"/>
        <w:bidi w:val="0"/>
        <w:spacing w:before="0" w:after="40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97"/>
      <w:bookmarkEnd w:id="1398"/>
      <w:bookmarkEnd w:id="140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68,881,200.54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688,231,045.51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619,349,844.97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68,881,200.54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688,231,045.51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提取法定盈余公积。法定盈余公积累计额达到本公司注册资 </w:t>
      </w:r>
      <w:r>
        <w:rPr>
          <w:color w:val="000000"/>
          <w:spacing w:val="0"/>
          <w:w w:val="100"/>
          <w:position w:val="0"/>
        </w:rPr>
        <w:t>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w:t>
      </w:r>
    </w:p>
    <w:p>
      <w:pPr>
        <w:pStyle w:val="Style22"/>
        <w:keepNext w:val="0"/>
        <w:keepLines w:val="0"/>
        <w:widowControl w:val="0"/>
        <w:shd w:val="clear" w:color="auto" w:fill="auto"/>
        <w:bidi w:val="0"/>
        <w:spacing w:before="0" w:after="400" w:line="302" w:lineRule="exact"/>
        <w:ind w:left="0" w:right="0"/>
        <w:jc w:val="both"/>
      </w:pPr>
      <w:r>
        <w:rPr>
          <w:color w:val="000000"/>
          <w:spacing w:val="0"/>
          <w:w w:val="100"/>
          <w:position w:val="0"/>
        </w:rPr>
        <w:t>本公司在提取法定盈余公积金后，可提取任意盈余公积金。经批准，任意盈余公积金可用于弥补以前年度亏损或增加股 本。</w:t>
      </w:r>
    </w:p>
    <w:p>
      <w:pPr>
        <w:pStyle w:val="Style32"/>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401"/>
      <w:bookmarkEnd w:id="1402"/>
      <w:bookmarkEnd w:id="140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4,016,826,566.14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3,505,801,013.10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4,016,826,566.14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3,505,801,013.10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1,019,743,277.37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823,590,253.75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68,881,200.54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94,055,307.96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505,314,634.30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218,509,392.75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4,462,374,008.67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4,016,826,566.14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40" w:line="240" w:lineRule="auto"/>
        <w:ind w:left="0" w:right="0" w:firstLine="0"/>
        <w:jc w:val="left"/>
      </w:pPr>
      <w:bookmarkStart w:id="1405" w:name="bookmark1405"/>
      <w:r>
        <w:rPr>
          <w:rFonts w:ascii="Times New Roman" w:eastAsia="Times New Roman" w:hAnsi="Times New Roman" w:cs="Times New Roman"/>
          <w:color w:val="000000"/>
          <w:spacing w:val="0"/>
          <w:w w:val="100"/>
          <w:position w:val="0"/>
          <w:sz w:val="18"/>
          <w:szCs w:val="18"/>
        </w:rPr>
        <w:t>1</w:t>
      </w:r>
      <w:bookmarkEnd w:id="14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left"/>
      </w:pPr>
      <w:bookmarkStart w:id="1406" w:name="bookmark1406"/>
      <w:r>
        <w:rPr>
          <w:rFonts w:ascii="Times New Roman" w:eastAsia="Times New Roman" w:hAnsi="Times New Roman" w:cs="Times New Roman"/>
          <w:color w:val="000000"/>
          <w:spacing w:val="0"/>
          <w:w w:val="100"/>
          <w:position w:val="0"/>
          <w:sz w:val="18"/>
          <w:szCs w:val="18"/>
        </w:rPr>
        <w:t>2</w:t>
      </w:r>
      <w:bookmarkEnd w:id="14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left"/>
      </w:pPr>
      <w:bookmarkStart w:id="1407" w:name="bookmark1407"/>
      <w:r>
        <w:rPr>
          <w:rFonts w:ascii="Times New Roman" w:eastAsia="Times New Roman" w:hAnsi="Times New Roman" w:cs="Times New Roman"/>
          <w:color w:val="000000"/>
          <w:spacing w:val="0"/>
          <w:w w:val="100"/>
          <w:position w:val="0"/>
          <w:sz w:val="18"/>
          <w:szCs w:val="18"/>
        </w:rPr>
        <w:t>3</w:t>
      </w:r>
      <w:bookmarkEnd w:id="14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left"/>
      </w:pPr>
      <w:bookmarkStart w:id="1408" w:name="bookmark1408"/>
      <w:r>
        <w:rPr>
          <w:rFonts w:ascii="Times New Roman" w:eastAsia="Times New Roman" w:hAnsi="Times New Roman" w:cs="Times New Roman"/>
          <w:color w:val="000000"/>
          <w:spacing w:val="0"/>
          <w:w w:val="100"/>
          <w:position w:val="0"/>
          <w:sz w:val="18"/>
          <w:szCs w:val="18"/>
        </w:rPr>
        <w:t>4</w:t>
      </w:r>
      <w:bookmarkEnd w:id="14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400" w:line="240" w:lineRule="auto"/>
        <w:ind w:left="0" w:right="0" w:firstLine="0"/>
        <w:jc w:val="left"/>
      </w:pPr>
      <w:bookmarkStart w:id="1409" w:name="bookmark1409"/>
      <w:r>
        <w:rPr>
          <w:rFonts w:ascii="Times New Roman" w:eastAsia="Times New Roman" w:hAnsi="Times New Roman" w:cs="Times New Roman"/>
          <w:color w:val="000000"/>
          <w:spacing w:val="0"/>
          <w:w w:val="100"/>
          <w:position w:val="0"/>
          <w:sz w:val="18"/>
          <w:szCs w:val="18"/>
        </w:rPr>
        <w:t>5</w:t>
      </w:r>
      <w:bookmarkEnd w:id="14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410"/>
      <w:bookmarkEnd w:id="1411"/>
      <w:bookmarkEnd w:id="141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4,936,465,738.97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3,382,658,197.44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4,085,419,194.30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2,692,933,936.52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130,611,438.22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52,486,031.89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106,007,147.03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40,063,081.54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3,435,144,229.33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4,191,426,341.33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2,732,997,018.06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按行业类型分类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3,958,968,310.30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3,958,968,310.30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新型烟草行业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169,057,266.20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169,057,266.20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808,440,162.47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808,440,162.47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130,611,438.22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130,611,438.22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按客户地区分类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1,925,060,871.79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1,925,060,871.79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945,602,749.26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945,602,749.26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733,080,869.53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733,080,869.53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1,463,332,686.61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1,463,332,686.61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5,067,077,177.19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5,067,077,177.19</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40" w:line="31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156,187,620.33</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154,387,620.33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414"/>
      <w:bookmarkEnd w:id="1415"/>
      <w:bookmarkEnd w:id="141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15,254,890.06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17,442,450.71</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6,559,760.96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7,475,336.09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16,019,429.30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14,203,858.00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3,534,121.13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3,335,731.57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89,083.53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73,886.35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4,110,523.67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2,833,426.98</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123,077.71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437,923.50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4,423,569.60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4,983,547.44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324,330.47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16,602.78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50,438,786.43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50,802,763.42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418"/>
      <w:bookmarkEnd w:id="1419"/>
      <w:bookmarkEnd w:id="142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39,654,726.66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30,676,110.87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19,905,859.45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17,719,194.12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市场业务费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17,993,734.52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13,216,745.64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4,084,405.65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3,866,512.93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982,343.90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1,392,633.29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1,645,919.73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937,225.42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57,875.21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8,240,586.99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4,477,162.56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92,530,728.74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72,343,460.04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422"/>
      <w:bookmarkEnd w:id="1423"/>
      <w:bookmarkEnd w:id="142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150,297,453.18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125,705,516.73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30,187,872.57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32,549,183.37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38,508,907.93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30,108,660.42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22,506,780.11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10,815,034.30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1,138,187.99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1,557,404.11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18,018,914.49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17,611,549.59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13,360,262.73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7,915,160.97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5,341,262.97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4,684,580.79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5,773,211.70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4,723,293.03</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6,776,180.61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8,986,780.56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燃料水电费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3,546,400.73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5,285,330.57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120,498.36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331,069.64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37,795,775.49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12,959,366.93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17,733,761.58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351,105,470.44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263,232,931.01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26"/>
      <w:bookmarkEnd w:id="1427"/>
      <w:bookmarkEnd w:id="142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86,126,749.88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74,336,198.27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95,348,532.18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73,240,975.88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4,656,653.73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3,650,338.28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17,388,700.03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15,398,809.94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设计费及其他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35,065,122.54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36,393,826.79</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238,585,758.36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203,020,149.16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30"/>
      <w:bookmarkEnd w:id="1431"/>
      <w:bookmarkEnd w:id="143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5,417,282.87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314,666.67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16,338,641.70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10,113,821.68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112,491.20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3,105,648.17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622,194.48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425,376.50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2,685,598.93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1,171,079.79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-7,501,074.22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-5,097,050.55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34"/>
      <w:bookmarkEnd w:id="1435"/>
      <w:bookmarkEnd w:id="1437"/>
    </w:p>
    <w:p>
      <w:pPr>
        <w:pStyle w:val="Style2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37,150,512.45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32,311,273.97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81,944.63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66,901.39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125,636.79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137,451.85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残疾人就业增值税退税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5,088,560.00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4,364,560.00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退伍军人减免增值税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46,127.87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101,250.00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38"/>
      <w:bookmarkEnd w:id="1439"/>
      <w:bookmarkEnd w:id="144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123,476,209.66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75,414,835.20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21,126,768.23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16,692,909.48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21,562,589.53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取得控制权时，原股权按公允价值重新计量 产生的利得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58,480,004.62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核算方式转换收益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87,813,319.27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307,589,211.26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96,977,424.73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42"/>
      <w:bookmarkEnd w:id="1443"/>
      <w:bookmarkEnd w:id="14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446"/>
      <w:bookmarkEnd w:id="1447"/>
      <w:bookmarkEnd w:id="144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-627,416.94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71,839.04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-13,550,031.00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应收账款减值损失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-15,622,326.77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-2,777,492.07</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-29,799,774.71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-2,705,653.03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450"/>
      <w:bookmarkEnd w:id="1451"/>
      <w:bookmarkEnd w:id="145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-32,872,990.09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-16,046,388.35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-11,116,067.75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-1,957,571.33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-43,989,057.84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-18,033,959.68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454"/>
      <w:bookmarkEnd w:id="1455"/>
      <w:bookmarkEnd w:id="145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7,432,413.60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3,155,392.46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458"/>
      <w:bookmarkEnd w:id="1459"/>
      <w:bookmarkEnd w:id="14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382"/>
        <w:gridCol w:w="2390"/>
        <w:gridCol w:w="2400"/>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权益法下初始投资成本小于投资时应享有 被投资单位可辩认净资产公允价值份额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3,041,437.79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610,881.57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3,077,083.63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610,881.57</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610,881.57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6,118,521.42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610,881.57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462"/>
      <w:bookmarkEnd w:id="1463"/>
      <w:bookmarkEnd w:id="146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724,101.36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502,254.65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724,101.36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1,142,589.70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2,657,046.73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1,142,589.70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1,919,921.06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3,479,301.38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1,919,921.06</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466"/>
      <w:bookmarkEnd w:id="1467"/>
      <w:bookmarkEnd w:id="1469"/>
    </w:p>
    <w:p>
      <w:pPr>
        <w:pStyle w:val="Style37"/>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0"/>
      <w:bookmarkEnd w:id="1471"/>
      <w:bookmarkEnd w:id="147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134,051,067.18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140,497,930.71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6,520,462.84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-11,120,969.43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140,571,530.02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129,376,961.28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73"/>
      <w:bookmarkEnd w:id="1474"/>
      <w:bookmarkEnd w:id="147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1,195,898,012.67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179,384,701.90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5,778,922.05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-4,158,955.10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-27,293,432.14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5,861,661.06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9,127,623.99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-28,128,991.74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140,571,530.02</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476"/>
      <w:bookmarkEnd w:id="1477"/>
      <w:bookmarkEnd w:id="147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480"/>
      <w:bookmarkEnd w:id="1481"/>
      <w:bookmarkEnd w:id="1483"/>
    </w:p>
    <w:p>
      <w:pPr>
        <w:pStyle w:val="Style37"/>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84"/>
      <w:bookmarkEnd w:id="1485"/>
      <w:bookmarkEnd w:id="14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收到政府补贴收入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51,381,484.76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32,872,321.34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收到退回的经营投标保证金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22,703,519.50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11,724,896.58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收到退回的经营活动押金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786,583.15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收到员工归还的备用金借款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3,443,055.05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5,065,057.77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215,613,461.41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126,979,117.50</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294,602,264.12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177,427,976.34</w:t>
            </w:r>
          </w:p>
        </w:tc>
      </w:tr>
    </w:tbl>
    <w:p>
      <w:pPr>
        <w:pStyle w:val="Style2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收到的其他与经营活动有关的现金说明: 无。</w:t>
      </w:r>
    </w:p>
    <w:p>
      <w:pPr>
        <w:pStyle w:val="Style37"/>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87"/>
      <w:bookmarkEnd w:id="1488"/>
      <w:bookmarkEnd w:id="14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223,056,589.29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180,440,058.35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支付的经营投标保证金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17,190,702.20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9,200,249.68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支付的其他经营活动押金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1,907,159.53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1,557,648.43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支付的员工备用金借款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6,950,324.26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3,297,780.94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支付的其他往来款项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236,755,708.99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60,510,524.96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485,860,484.27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255,006,262.36</w:t>
            </w:r>
          </w:p>
        </w:tc>
      </w:tr>
    </w:tbl>
    <w:p>
      <w:pPr>
        <w:pStyle w:val="Style2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支付的其他与经营活动有关的现金说明: 无。</w:t>
      </w:r>
    </w:p>
    <w:p>
      <w:pPr>
        <w:pStyle w:val="Style3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90"/>
      <w:bookmarkEnd w:id="1491"/>
      <w:bookmarkEnd w:id="149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收到基建工程招投标保证金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43,353.00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收回购买保本理财本金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3,380,951,551.93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3,872,559,153.68</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3,380,951,551.93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3,872,602,506.68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94"/>
      <w:bookmarkEnd w:id="1495"/>
      <w:bookmarkEnd w:id="149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退还基建工程招投标保证金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14,875,126.87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9,493,574.11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支付购买保本理财本金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3,339,000,000.00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3,825,570,000.00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18,796,630.20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3,372,671,757.07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3,835,063,574.11</w:t>
            </w:r>
          </w:p>
        </w:tc>
      </w:tr>
    </w:tbl>
    <w:p>
      <w:pPr>
        <w:pStyle w:val="Style22"/>
        <w:keepNext w:val="0"/>
        <w:keepLines w:val="0"/>
        <w:widowControl w:val="0"/>
        <w:shd w:val="clear" w:color="auto" w:fill="auto"/>
        <w:bidi w:val="0"/>
        <w:spacing w:before="0" w:after="400" w:line="350" w:lineRule="exact"/>
        <w:ind w:left="0" w:right="0" w:firstLine="0"/>
        <w:jc w:val="left"/>
      </w:pPr>
      <w:r>
        <w:rPr>
          <w:color w:val="000000"/>
          <w:spacing w:val="0"/>
          <w:w w:val="100"/>
          <w:position w:val="0"/>
        </w:rPr>
        <w:t>支付的其他与投资活动有关的现金说明: 无。</w:t>
      </w:r>
    </w:p>
    <w:p>
      <w:pPr>
        <w:pStyle w:val="Style37"/>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98"/>
      <w:bookmarkEnd w:id="1499"/>
      <w:bookmarkEnd w:id="15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782,260,472.34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551,652,015.50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782,260,472.34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551,652,015.50</w:t>
            </w:r>
          </w:p>
        </w:tc>
      </w:tr>
    </w:tbl>
    <w:p>
      <w:pPr>
        <w:pStyle w:val="Style22"/>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收到的其他与筹资活动有关的现金说明: 无。</w:t>
      </w:r>
    </w:p>
    <w:p>
      <w:pPr>
        <w:pStyle w:val="Style37"/>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02"/>
      <w:bookmarkEnd w:id="1503"/>
      <w:bookmarkEnd w:id="150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支付银行承兑汇票保证金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847,925,916.42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595,519,984.84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108,070,001.83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92,063,182.73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支付购买少数股东股权款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3,933,884.00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959,929,802.25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687,583,167.57</w:t>
            </w:r>
          </w:p>
        </w:tc>
      </w:tr>
    </w:tbl>
    <w:p>
      <w:pPr>
        <w:pStyle w:val="Style22"/>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支付的其他与筹资活动有关的现金说明: 无。</w:t>
      </w:r>
      <w:r>
        <w:br w:type="page"/>
      </w:r>
    </w:p>
    <w:p>
      <w:pPr>
        <w:pStyle w:val="Style32"/>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506"/>
      <w:bookmarkEnd w:id="1507"/>
      <w:bookmarkEnd w:id="1509"/>
    </w:p>
    <w:p>
      <w:pPr>
        <w:pStyle w:val="Style37"/>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10"/>
      <w:bookmarkEnd w:id="1511"/>
      <w:bookmarkEnd w:id="151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1,055,326,482.65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863,763,970.64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73,788,832.55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20,739,612.71</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178,920,406.42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170,814,757.32</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1,192,358.22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12,276,425.95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11,500,738.57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13,439,748.31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9,782,489.42</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-7,432,413.60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3,155,392.46</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724,101.36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502,254.65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6,151,968.55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740,043.17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-307,589,211.26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-96,977,424.73</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-6,839,354.63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-9,639,814.89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21,949,627.70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-1,481,154.54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-418,648,532.29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254,634,661.06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-398,083,417.07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-83,091,964.68</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624,555,859.40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-98,999,185.57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17,733,761.58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860,758,443.84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1,045,444,375.59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1,296,970,347.01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1,495,429,130.97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1,495,429,130.97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968,537,298.74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-198,458,783.96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526,891,832.23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13"/>
      <w:bookmarkEnd w:id="1514"/>
      <w:bookmarkEnd w:id="1515"/>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17,606,361.95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17,606,361.95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192,393,638.05</w:t>
            </w:r>
          </w:p>
        </w:tc>
      </w:tr>
    </w:tbl>
    <w:p>
      <w:pPr>
        <w:pStyle w:val="Style22"/>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其他说明: 无。</w:t>
      </w:r>
    </w:p>
    <w:p>
      <w:pPr>
        <w:pStyle w:val="Style37"/>
        <w:keepNext/>
        <w:keepLines/>
        <w:widowControl w:val="0"/>
        <w:shd w:val="clear" w:color="auto" w:fill="auto"/>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16"/>
      <w:bookmarkEnd w:id="1517"/>
      <w:bookmarkEnd w:id="1519"/>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95,681,200.00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嘉颐泽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95,681,200.00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11,791,850.12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嘉颐泽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11,791,850.12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83,889,349.88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numPr>
          <w:ilvl w:val="0"/>
          <w:numId w:val="53"/>
        </w:numPr>
        <w:shd w:val="clear" w:color="auto" w:fill="auto"/>
        <w:bidi w:val="0"/>
        <w:spacing w:before="0" w:after="40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现金和现金等价物的构成</w:t>
      </w:r>
      <w:bookmarkEnd w:id="1520"/>
      <w:bookmarkEnd w:id="1521"/>
      <w:bookmarkEnd w:id="152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1,296,970,347.01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1,495,429,130.97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1,157,179.03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502,017.62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1,295,802,794.77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1,494,927,113.35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1,296,970,347.01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1,495,429,130.97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24"/>
      <w:bookmarkEnd w:id="1525"/>
      <w:bookmarkEnd w:id="152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237,367,709.19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银行承兑保证金等</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12,305,412.62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抵押授信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9,521,758.34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抵押授信</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259,194,880.15</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28"/>
      <w:bookmarkEnd w:id="1529"/>
      <w:bookmarkEnd w:id="1531"/>
    </w:p>
    <w:p>
      <w:pPr>
        <w:pStyle w:val="Style37"/>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32"/>
      <w:bookmarkEnd w:id="1533"/>
      <w:bookmarkEnd w:id="153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10,401,599.41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66,317,477.36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53,022.31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382,805.17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17,507,516.50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14,314,145.50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1,011,764,873.00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475,529.49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656,487.87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4,185,569.72</w:t>
            </w:r>
          </w:p>
        </w:tc>
      </w:tr>
    </w:tbl>
    <w:p>
      <w:pPr>
        <w:widowControl w:val="0"/>
        <w:spacing w:line="1" w:lineRule="exact"/>
      </w:pP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402,306.67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678,085.04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554,402.33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322" w:lineRule="exact"/>
        <w:ind w:left="0" w:right="0" w:firstLine="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35"/>
      <w:bookmarkEnd w:id="1536"/>
      <w:bookmarkEnd w:id="1537"/>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numPr>
          <w:ilvl w:val="0"/>
          <w:numId w:val="55"/>
        </w:numPr>
        <w:shd w:val="clear" w:color="auto" w:fill="auto"/>
        <w:tabs>
          <w:tab w:pos="813" w:val="left"/>
        </w:tabs>
        <w:bidi w:val="0"/>
        <w:spacing w:before="0" w:after="0" w:line="322" w:lineRule="exact"/>
        <w:ind w:left="0" w:right="0" w:firstLine="440"/>
        <w:jc w:val="left"/>
      </w:pPr>
      <w:bookmarkStart w:id="1538" w:name="bookmark1538"/>
      <w:bookmarkEnd w:id="1538"/>
      <w:r>
        <w:rPr>
          <w:color w:val="000000"/>
          <w:spacing w:val="0"/>
          <w:w w:val="100"/>
          <w:position w:val="0"/>
        </w:rPr>
        <w:t>中华烟草：境外主要经营地：香港，记账本位币及选择依据：港币，企业经营所处的主要经济环境中的货币。</w:t>
      </w:r>
    </w:p>
    <w:p>
      <w:pPr>
        <w:pStyle w:val="Style22"/>
        <w:keepNext w:val="0"/>
        <w:keepLines w:val="0"/>
        <w:widowControl w:val="0"/>
        <w:numPr>
          <w:ilvl w:val="0"/>
          <w:numId w:val="55"/>
        </w:numPr>
        <w:shd w:val="clear" w:color="auto" w:fill="auto"/>
        <w:tabs>
          <w:tab w:pos="813" w:val="left"/>
        </w:tabs>
        <w:bidi w:val="0"/>
        <w:spacing w:before="0" w:after="0" w:line="322" w:lineRule="exact"/>
        <w:ind w:left="0" w:right="0" w:firstLine="440"/>
        <w:jc w:val="left"/>
      </w:pPr>
      <w:bookmarkStart w:id="1539" w:name="bookmark1539"/>
      <w:bookmarkEnd w:id="1539"/>
      <w:r>
        <w:rPr>
          <w:color w:val="000000"/>
          <w:spacing w:val="0"/>
          <w:w w:val="100"/>
          <w:position w:val="0"/>
        </w:rPr>
        <w:t>佳信（香港）：境外主要经营地：香港，记账本位币及选择依据：港币，企业经营所处的主要经济环境中的货币。</w:t>
      </w:r>
    </w:p>
    <w:p>
      <w:pPr>
        <w:pStyle w:val="Style22"/>
        <w:keepNext w:val="0"/>
        <w:keepLines w:val="0"/>
        <w:widowControl w:val="0"/>
        <w:numPr>
          <w:ilvl w:val="0"/>
          <w:numId w:val="55"/>
        </w:numPr>
        <w:shd w:val="clear" w:color="auto" w:fill="auto"/>
        <w:tabs>
          <w:tab w:pos="813" w:val="left"/>
        </w:tabs>
        <w:bidi w:val="0"/>
        <w:spacing w:before="0" w:after="0" w:line="322" w:lineRule="exact"/>
        <w:ind w:left="0" w:right="0" w:firstLine="440"/>
        <w:jc w:val="left"/>
      </w:pPr>
      <w:bookmarkStart w:id="1540" w:name="bookmark1540"/>
      <w:bookmarkEnd w:id="1540"/>
      <w:r>
        <w:rPr>
          <w:color w:val="000000"/>
          <w:spacing w:val="0"/>
          <w:w w:val="100"/>
          <w:position w:val="0"/>
        </w:rPr>
        <w:t>英莎特：境外主要经营地：英属维尔京群岛，记账本位币：港币，企业经营所处的主要经济环境中的货币。</w:t>
      </w:r>
    </w:p>
    <w:p>
      <w:pPr>
        <w:pStyle w:val="Style22"/>
        <w:keepNext w:val="0"/>
        <w:keepLines w:val="0"/>
        <w:widowControl w:val="0"/>
        <w:numPr>
          <w:ilvl w:val="0"/>
          <w:numId w:val="55"/>
        </w:numPr>
        <w:shd w:val="clear" w:color="auto" w:fill="auto"/>
        <w:tabs>
          <w:tab w:pos="776" w:val="left"/>
        </w:tabs>
        <w:bidi w:val="0"/>
        <w:spacing w:before="0" w:after="400" w:line="322" w:lineRule="exact"/>
        <w:ind w:left="0" w:right="0" w:firstLine="440"/>
        <w:jc w:val="both"/>
      </w:pPr>
      <w:bookmarkStart w:id="1541" w:name="bookmark1541"/>
      <w:bookmarkEnd w:id="1541"/>
      <w:r>
        <w:rPr>
          <w:rFonts w:ascii="Times New Roman" w:eastAsia="Times New Roman" w:hAnsi="Times New Roman" w:cs="Times New Roman"/>
          <w:color w:val="000000"/>
          <w:spacing w:val="0"/>
          <w:w w:val="100"/>
          <w:position w:val="0"/>
          <w:sz w:val="18"/>
          <w:szCs w:val="18"/>
        </w:rPr>
        <w:t>PT GALAXY LINK INDONESIA</w:t>
      </w:r>
      <w:r>
        <w:rPr>
          <w:color w:val="000000"/>
          <w:spacing w:val="0"/>
          <w:w w:val="100"/>
          <w:position w:val="0"/>
        </w:rPr>
        <w:t>:境外主要经营地：印尼雅加达，账本位币及选择依据：印尼卢比，企业经营所处 的主要经济环境中的货币。</w:t>
      </w:r>
    </w:p>
    <w:p>
      <w:pPr>
        <w:pStyle w:val="Style32"/>
        <w:keepNext/>
        <w:keepLines/>
        <w:widowControl w:val="0"/>
        <w:shd w:val="clear" w:color="auto" w:fill="auto"/>
        <w:bidi w:val="0"/>
        <w:spacing w:before="0" w:after="160" w:line="336"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42"/>
      <w:bookmarkEnd w:id="1543"/>
      <w:bookmarkEnd w:id="1545"/>
    </w:p>
    <w:p>
      <w:pPr>
        <w:pStyle w:val="Style37"/>
        <w:keepNext/>
        <w:keepLines/>
        <w:widowControl w:val="0"/>
        <w:shd w:val="clear" w:color="auto" w:fill="auto"/>
        <w:bidi w:val="0"/>
        <w:spacing w:before="0" w:after="400" w:line="322" w:lineRule="exact"/>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46"/>
      <w:bookmarkEnd w:id="1547"/>
      <w:bookmarkEnd w:id="1548"/>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18,422,000.00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4,267,164.48</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38,225,617.26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38,225,617.26</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49"/>
      <w:bookmarkEnd w:id="1550"/>
      <w:bookmarkEnd w:id="1551"/>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八</w:t>
      </w:r>
      <w:bookmarkEnd w:id="1554"/>
      <w:r>
        <w:rPr>
          <w:color w:val="000000"/>
          <w:spacing w:val="0"/>
          <w:w w:val="100"/>
          <w:position w:val="0"/>
        </w:rPr>
        <w:t>、合并范围的变更</w:t>
      </w:r>
      <w:bookmarkEnd w:id="1552"/>
      <w:bookmarkEnd w:id="1553"/>
      <w:bookmarkEnd w:id="1555"/>
    </w:p>
    <w:p>
      <w:pPr>
        <w:pStyle w:val="Style32"/>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56"/>
      <w:bookmarkEnd w:id="1557"/>
      <w:bookmarkEnd w:id="1558"/>
    </w:p>
    <w:p>
      <w:pPr>
        <w:pStyle w:val="Style37"/>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59"/>
      <w:bookmarkEnd w:id="1560"/>
      <w:bookmarkEnd w:id="15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2"/>
        <w:gridCol w:w="1042"/>
        <w:gridCol w:w="1181"/>
        <w:gridCol w:w="1042"/>
        <w:gridCol w:w="1042"/>
        <w:gridCol w:w="1042"/>
        <w:gridCol w:w="1037"/>
        <w:gridCol w:w="1181"/>
        <w:gridCol w:w="1104"/>
      </w:tblGrid>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现金收购</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148,283,295.57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24,642,737.58</w:t>
            </w:r>
          </w:p>
        </w:tc>
      </w:tr>
    </w:tbl>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13" w:right="0" w:firstLine="0"/>
        <w:jc w:val="left"/>
      </w:pPr>
      <w:r>
        <w:rPr>
          <w:color w:val="000000"/>
          <w:spacing w:val="0"/>
          <w:w w:val="100"/>
          <w:position w:val="0"/>
        </w:rPr>
        <w:t>分步实现企业合并且在本年取得控制权的情况</w:t>
      </w:r>
    </w:p>
    <w:tbl>
      <w:tblPr>
        <w:tblOverlap w:val="never"/>
        <w:jc w:val="center"/>
        <w:tblLayout w:type="fixed"/>
      </w:tblPr>
      <w:tblGrid>
        <w:gridCol w:w="3019"/>
        <w:gridCol w:w="2731"/>
        <w:gridCol w:w="2246"/>
        <w:gridCol w:w="1675"/>
      </w:tblGrid>
      <w:tr>
        <w:trPr>
          <w:trHeight w:val="3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取得股权时点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现金收购</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现金收购</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62"/>
      <w:bookmarkEnd w:id="1563"/>
      <w:bookmarkEnd w:id="156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青岛英诺</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148,164,892.98</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151,835,107.02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合并对价中非现金资产的公允价值已经北京北方亚事资产评估事务所按资产基础法估值方法确定的估值结果确定。</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7"/>
        <w:keepNext/>
        <w:keepLines/>
        <w:widowControl w:val="0"/>
        <w:numPr>
          <w:ilvl w:val="0"/>
          <w:numId w:val="57"/>
        </w:numPr>
        <w:shd w:val="clear" w:color="auto" w:fill="auto"/>
        <w:bidi w:val="0"/>
        <w:spacing w:before="0" w:after="40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被购买方于购买日可辨认资产、负债</w:t>
      </w:r>
      <w:bookmarkEnd w:id="1565"/>
      <w:bookmarkEnd w:id="1566"/>
      <w:bookmarkEnd w:id="15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青岛英诺</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17,606,361.95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17,606,361.95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50,720,000.07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50,720,000.07</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76,715,681.43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70,977,234.78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112,597,248.00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83,210,464.95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28,138,948.34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15,491,733.10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7,379,365.24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7,379,365.24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8,915,789.77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8,915,789.77</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981,732.68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981,732.68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884,955.72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11,341,126.20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1,403,818.03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1,446,591.37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1,860,234.03</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1,439,466.14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1,434,046.92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111,567,842.60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111,567,842.60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8,595,229.45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1,435,711.34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1,435,711.34</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1,455,543.46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1,455,543.46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1,435,483.76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1,435,483.76</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45,512,563.32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45,512,563.32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148,164,892.98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99,458,592.76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148,164,892.98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99,458,592.76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139" w:line="1" w:lineRule="exact"/>
      </w:pPr>
    </w:p>
    <w:p>
      <w:pPr>
        <w:pStyle w:val="Style22"/>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被合并净资产公允价值已经北京北方亚事资产评估事务所按资产基础法估值方法确定的估值结果确定。</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569"/>
      <w:bookmarkEnd w:id="1570"/>
      <w:bookmarkEnd w:id="157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608"/>
        <w:gridCol w:w="1584"/>
        <w:gridCol w:w="1594"/>
        <w:gridCol w:w="1608"/>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31,519,995.38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58,480,004.62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收益法，非公开市 场，假设、交易假设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73"/>
      <w:bookmarkEnd w:id="1574"/>
      <w:bookmarkEnd w:id="157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686"/>
        <w:gridCol w:w="1094"/>
        <w:gridCol w:w="701"/>
        <w:gridCol w:w="662"/>
        <w:gridCol w:w="682"/>
        <w:gridCol w:w="682"/>
        <w:gridCol w:w="1090"/>
        <w:gridCol w:w="691"/>
        <w:gridCol w:w="677"/>
        <w:gridCol w:w="677"/>
        <w:gridCol w:w="691"/>
        <w:gridCol w:w="682"/>
        <w:gridCol w:w="696"/>
      </w:tblGrid>
      <w:tr>
        <w:trPr>
          <w:trHeight w:val="290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股权处</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1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时点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442" w:hRule="exact"/>
        </w:trPr>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嘉颐泽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丧失控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95,681,200.00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21,126,768.23</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制权</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color w:val="000000"/>
          <w:spacing w:val="0"/>
          <w:w w:val="100"/>
          <w:position w:val="0"/>
        </w:rPr>
        <w:t>、其他原因的合并范围变动</w:t>
      </w:r>
      <w:bookmarkEnd w:id="1576"/>
      <w:bookmarkEnd w:id="1577"/>
      <w:bookmarkEnd w:id="1579"/>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140" w:line="317"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日，子公司智能包装，与深圳嘉厚企业管理合伙企业（有限合伙）共同在贵州遵义设立子公司遵义劲嘉新 型智能包装有限公司（以下简称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遵义智能包装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，深圳嘉厚企业管理合伙企业（有限合伙）持股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遵义智能包装纳入本公司合并报表。</w:t>
      </w:r>
    </w:p>
    <w:p>
      <w:pPr>
        <w:pStyle w:val="Style2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日，子公司智能包装，与深圳嘉德企业投资合伙企业（有限合伙）共同在深圳设立深圳鼎盛丰华科技有限 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深圳鼎盛丰华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，深圳嘉德企业投资合伙企业（有限合伙）持股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。深圳鼎盛丰华纳入 本公司合并报表。</w:t>
      </w:r>
    </w:p>
    <w:p>
      <w:pPr>
        <w:pStyle w:val="Style2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日，子公司智能包装，与深圳华善企业管理合伙企业（有限合伙）共同在深圳设立子公司深圳云普星河科 技服务有限公司（简称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深圳云普星河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，深圳华善企业管理合伙企业（有限合伙）持股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。深圳云 普星河纳入本公司合并报表。</w:t>
      </w:r>
    </w:p>
    <w:p>
      <w:pPr>
        <w:pStyle w:val="Style22"/>
        <w:keepNext w:val="0"/>
        <w:keepLines w:val="0"/>
        <w:widowControl w:val="0"/>
        <w:shd w:val="clear" w:color="auto" w:fill="auto"/>
        <w:bidi w:val="0"/>
        <w:spacing w:before="0" w:after="360" w:line="315"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日，子公司中华烟草与佳信（香港）共同在印度尼西亚共和国（以下简称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）雅加达市设立公司的全 资子公司</w:t>
      </w:r>
      <w:r>
        <w:rPr>
          <w:rFonts w:ascii="Times New Roman" w:eastAsia="Times New Roman" w:hAnsi="Times New Roman" w:cs="Times New Roman"/>
          <w:color w:val="000000"/>
          <w:spacing w:val="0"/>
          <w:w w:val="100"/>
          <w:position w:val="0"/>
          <w:sz w:val="18"/>
          <w:szCs w:val="18"/>
        </w:rPr>
        <w:t>PT GALAXY LINK INDONESIA</w:t>
      </w:r>
      <w:r>
        <w:rPr>
          <w:color w:val="000000"/>
          <w:spacing w:val="0"/>
          <w:w w:val="100"/>
          <w:position w:val="0"/>
        </w:rPr>
        <w:t>，中华烟草持股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，佳信（香港）持股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PT GALAXY LINK INDONESIA</w:t>
      </w:r>
      <w:r>
        <w:rPr>
          <w:color w:val="000000"/>
          <w:spacing w:val="0"/>
          <w:w w:val="100"/>
          <w:position w:val="0"/>
        </w:rPr>
        <w:t>纳 入本公司合并报表。</w:t>
      </w:r>
    </w:p>
    <w:p>
      <w:pPr>
        <w:pStyle w:val="Style27"/>
        <w:keepNext/>
        <w:keepLines/>
        <w:widowControl w:val="0"/>
        <w:shd w:val="clear" w:color="auto" w:fill="auto"/>
        <w:bidi w:val="0"/>
        <w:spacing w:before="0" w:after="360" w:line="240" w:lineRule="auto"/>
        <w:ind w:left="0" w:right="0" w:firstLine="0"/>
        <w:jc w:val="both"/>
      </w:pPr>
      <w:bookmarkStart w:id="1580" w:name="bookmark1580"/>
      <w:bookmarkStart w:id="1581" w:name="bookmark1581"/>
      <w:bookmarkStart w:id="1582" w:name="bookmark1582"/>
      <w:bookmarkStart w:id="1583" w:name="bookmark1583"/>
      <w:r>
        <w:rPr>
          <w:color w:val="000000"/>
          <w:spacing w:val="0"/>
          <w:w w:val="100"/>
          <w:position w:val="0"/>
        </w:rPr>
        <w:t>九</w:t>
      </w:r>
      <w:bookmarkEnd w:id="1582"/>
      <w:r>
        <w:rPr>
          <w:color w:val="000000"/>
          <w:spacing w:val="0"/>
          <w:w w:val="100"/>
          <w:position w:val="0"/>
        </w:rPr>
        <w:t>、在其他主体中的权益</w:t>
      </w:r>
      <w:bookmarkEnd w:id="1580"/>
      <w:bookmarkEnd w:id="1581"/>
      <w:bookmarkEnd w:id="1583"/>
    </w:p>
    <w:p>
      <w:pPr>
        <w:pStyle w:val="Style32"/>
        <w:keepNext/>
        <w:keepLines/>
        <w:widowControl w:val="0"/>
        <w:shd w:val="clear" w:color="auto" w:fill="auto"/>
        <w:bidi w:val="0"/>
        <w:spacing w:before="0" w:after="360" w:line="240" w:lineRule="auto"/>
        <w:ind w:left="0" w:right="0" w:firstLine="0"/>
        <w:jc w:val="both"/>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84"/>
      <w:bookmarkEnd w:id="1585"/>
      <w:bookmarkEnd w:id="1586"/>
    </w:p>
    <w:p>
      <w:pPr>
        <w:pStyle w:val="Style37"/>
        <w:keepNext/>
        <w:keepLines/>
        <w:widowControl w:val="0"/>
        <w:shd w:val="clear" w:color="auto" w:fill="auto"/>
        <w:bidi w:val="0"/>
        <w:spacing w:before="0" w:after="360" w:line="240" w:lineRule="auto"/>
        <w:ind w:left="0" w:right="0" w:firstLine="0"/>
        <w:jc w:val="both"/>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87"/>
      <w:bookmarkEnd w:id="1588"/>
      <w:bookmarkEnd w:id="1589"/>
    </w:p>
    <w:tbl>
      <w:tblPr>
        <w:tblOverlap w:val="never"/>
        <w:jc w:val="center"/>
        <w:tblLayout w:type="fixed"/>
      </w:tblPr>
      <w:tblGrid>
        <w:gridCol w:w="1378"/>
        <w:gridCol w:w="1363"/>
        <w:gridCol w:w="1368"/>
        <w:gridCol w:w="1368"/>
        <w:gridCol w:w="1051"/>
        <w:gridCol w:w="1133"/>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劲嘉物业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合元劲嘉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电子烟制造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珠海嘉瑞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英莎特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中华烟草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电子烟设计制造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智能包装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包装加工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佳信（香港）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劲嘉供应链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供应链管理及包 装材料销售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蓝莓文化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文化设计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051"/>
        <w:gridCol w:w="1133"/>
        <w:gridCol w:w="1925"/>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新产业科技（原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劲嘉健康）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香港森洋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上海丽兴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嘉星健康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盒知科技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电子烟设计制造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因味科技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新型烟草研发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宜宾嘉美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产业园物业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苗泽市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苗泽市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橡胶和塑料制品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遵义智能包装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深圳鼎盛丰华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广告设计等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深圳云普星河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橡胶和塑料制品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GALAXY</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LINK</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INDONESIA</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雅加达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雅加达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的比例分配利润。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90"/>
      <w:bookmarkEnd w:id="1591"/>
      <w:bookmarkEnd w:id="15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74"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5,607,000.98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-6,036,516.25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41,459,731.81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31,755,646.17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103,852,592.19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-1,428,873.20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27,266,855.36</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11,614,694.24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48,823,309.11</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子公司少数股东的持股比例不同于表决权比例的说明：</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rPr>
        <w:t>60%</w:t>
      </w:r>
      <w:r>
        <w:rPr>
          <w:color w:val="000000"/>
          <w:spacing w:val="0"/>
          <w:w w:val="100"/>
          <w:position w:val="0"/>
        </w:rPr>
        <w:t>股权，但按照</w:t>
      </w:r>
      <w:r>
        <w:rPr>
          <w:rFonts w:ascii="Times New Roman" w:eastAsia="Times New Roman" w:hAnsi="Times New Roman" w:cs="Times New Roman"/>
          <w:color w:val="000000"/>
          <w:spacing w:val="0"/>
          <w:w w:val="100"/>
          <w:position w:val="0"/>
        </w:rPr>
        <w:t>51%</w:t>
      </w:r>
      <w:r>
        <w:rPr>
          <w:color w:val="000000"/>
          <w:spacing w:val="0"/>
          <w:w w:val="100"/>
          <w:position w:val="0"/>
        </w:rPr>
        <w:t>的比例分配利润。</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93"/>
      <w:bookmarkEnd w:id="1594"/>
      <w:bookmarkEnd w:id="15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37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43,641,0</w:t>
            </w:r>
          </w:p>
        </w:tc>
      </w:tr>
      <w:tr>
        <w:trPr>
          <w:trHeight w:val="33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92.23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96.33</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92.58</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05.44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w:t>
            </w:r>
          </w:p>
        </w:tc>
      </w:tr>
      <w:tr>
        <w:trPr>
          <w:trHeight w:val="37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113,457,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109,952,</w:t>
            </w:r>
          </w:p>
        </w:tc>
      </w:tr>
      <w:tr>
        <w:trPr>
          <w:trHeight w:val="33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148.46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387.46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803.06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941.72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637.60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95.99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w:t>
            </w:r>
          </w:p>
        </w:tc>
      </w:tr>
      <w:tr>
        <w:trPr>
          <w:trHeight w:val="37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394,945,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261,676,</w:t>
            </w:r>
          </w:p>
        </w:tc>
      </w:tr>
      <w:tr>
        <w:trPr>
          <w:trHeight w:val="331"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268.18</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00.52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368.70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695.71</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968.64</w:t>
            </w:r>
          </w:p>
        </w:tc>
      </w:tr>
      <w:tr>
        <w:trPr>
          <w:trHeight w:val="37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68,025,7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70,508,3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2,341,24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4,452,10</w:t>
            </w:r>
          </w:p>
        </w:tc>
      </w:tr>
      <w:tr>
        <w:trPr>
          <w:trHeight w:val="336"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80.95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30.89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26.09</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37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67,063,9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58,068,7</w:t>
            </w:r>
          </w:p>
        </w:tc>
      </w:tr>
      <w:tr>
        <w:trPr>
          <w:trHeight w:val="346"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星</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42.98</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358.75</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501.73</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42.71</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38.02</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56.97</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721.80</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478.77</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01.85</w:t>
            </w:r>
          </w:p>
        </w:tc>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162,831,481.</w:t>
            </w:r>
          </w:p>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4,155,639.05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4,155,639.05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-1,930,309.45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31,042,855.5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-8,641,900.47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-8,641,900.47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-1,268,861.81</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130,475,220.</w:t>
            </w:r>
          </w:p>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-12,475,466.9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-12,475,466.9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29,056,226.0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148,568,832.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-16,536,358.7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-16,536,358.7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17,387,268.1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551,672,306.</w:t>
            </w:r>
          </w:p>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64,807,441.1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64,807,441.1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29,031,835.9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416,826,251.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66,680,467.0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66,680,467.0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49,384,393.5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831,293.96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-3,572,183.01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-3,572,183.01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308,847.92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1,735,113.90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2,043,426.91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2,043,426.91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1,147,381.61</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73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200,083,708.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38,715,647.4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38,715,647.4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13,015,300.4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122,391,202.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36,681,634.4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36,681,634.4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52,716,154.6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97"/>
      <w:bookmarkEnd w:id="1598"/>
      <w:bookmarkEnd w:id="1599"/>
    </w:p>
    <w:p>
      <w:pPr>
        <w:pStyle w:val="Style37"/>
        <w:keepNext/>
        <w:keepLines/>
        <w:widowControl w:val="0"/>
        <w:shd w:val="clear" w:color="auto" w:fill="auto"/>
        <w:tabs>
          <w:tab w:pos="493" w:val="left"/>
        </w:tabs>
        <w:bidi w:val="0"/>
        <w:spacing w:before="0" w:after="30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00"/>
      <w:bookmarkEnd w:id="1601"/>
      <w:bookmarkEnd w:id="1603"/>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报告期内，公司向劲嘉科技增资</w:t>
      </w:r>
      <w:r>
        <w:rPr>
          <w:rFonts w:ascii="Times New Roman" w:eastAsia="Times New Roman" w:hAnsi="Times New Roman" w:cs="Times New Roman"/>
          <w:color w:val="000000"/>
          <w:spacing w:val="0"/>
          <w:w w:val="100"/>
          <w:position w:val="0"/>
          <w:sz w:val="18"/>
          <w:szCs w:val="18"/>
        </w:rPr>
        <w:t>22,797,966.99</w:t>
      </w:r>
      <w:r>
        <w:rPr>
          <w:color w:val="000000"/>
          <w:spacing w:val="0"/>
          <w:w w:val="100"/>
          <w:position w:val="0"/>
        </w:rPr>
        <w:t>元（其中注册资本</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万元），深圳前海劲嘉瑞和企业管理合伙企业（有 限合伙）向劲嘉科技增资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万元，深圳市你我网络科技有限公司向劲嘉科技增资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万元，此次增资后，本公司对劲嘉科 技的持股比例由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，本公司对劲嘉科技仍实施控制。</w:t>
      </w:r>
    </w:p>
    <w:p>
      <w:pPr>
        <w:pStyle w:val="Style22"/>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报告期内，公司收购蓝莓文化少数股权</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，交易完成后持有蓝莓文化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股权，本公司对蓝莓文化仍实施控制。</w:t>
      </w:r>
    </w:p>
    <w:p>
      <w:pPr>
        <w:pStyle w:val="Style37"/>
        <w:keepNext/>
        <w:keepLines/>
        <w:widowControl w:val="0"/>
        <w:shd w:val="clear" w:color="auto" w:fill="auto"/>
        <w:tabs>
          <w:tab w:pos="493" w:val="left"/>
        </w:tabs>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04"/>
      <w:bookmarkEnd w:id="1605"/>
      <w:bookmarkEnd w:id="160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蓝莓文化</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3,933,884.00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3,933,884.00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2,332,434.22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1,601,449.78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1,601,449.78</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、在合营安排或联营企业中的权益</w:t>
      </w:r>
      <w:bookmarkEnd w:id="1608"/>
      <w:bookmarkEnd w:id="1609"/>
      <w:bookmarkEnd w:id="1611"/>
    </w:p>
    <w:p>
      <w:pPr>
        <w:pStyle w:val="Style37"/>
        <w:keepNext/>
        <w:keepLines/>
        <w:widowControl w:val="0"/>
        <w:shd w:val="clear" w:color="auto" w:fill="auto"/>
        <w:bidi w:val="0"/>
        <w:spacing w:before="0" w:after="30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12"/>
      <w:bookmarkEnd w:id="1613"/>
      <w:bookmarkEnd w:id="1614"/>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贵州申仁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兴鑫互联</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供应链管理服务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为了宏声印务的业务发展和股东双方的共同利益，劲嘉股份考虑与宏声集团重新签订战略合作协议，劲嘉股份将宏声印 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的表决权于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年重新让渡给宏声集团（期限为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年），宏声集团作为重庆国资委和重庆中烟下属企业， 需确保宏声印务享有重庆中烟和四川中烟三产企业身份，确保宏声印务在重庆政府部门印刷采购业务中享有优先权。上述表 决权让渡后，劲嘉股份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年仅享有宏声印务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的表决权，不再对宏声印务和宏劲印务具有控制权，仅具有重大影响，而 宏声集团享有宏声印务</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的表决权，由宏声集团对宏声印务进行合并。</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2"/>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15"/>
      <w:bookmarkEnd w:id="1616"/>
      <w:bookmarkEnd w:id="161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申仁包装</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香港润伟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兴鑫互联</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重庆宏声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申仁包装</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香港润伟</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487,439,527</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443,115,652</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359,914,199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257,724,780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414,802,237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380,030,482</w:t>
            </w:r>
          </w:p>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497,993,780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354,745,954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246,489,966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309,501,204</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342,127,334</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172,440,302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221,162,221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16,295,643.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314,703,288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117,135,136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154,052,796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210,219,453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796,940,732</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785,242,987</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532,354,502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478,887,002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431,097,881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694,733,770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615,128,917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508,798,750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456,709,419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265,747,654</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379,169,119</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43,991,460.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69,447,887.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164,259,623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224,433,351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296,824,526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44,460,590.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67,463,157.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25,903,439.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7,694,331.2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7,304,395.3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710,136.99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24,667,931.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7,485,528.0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6,679,173.3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291,651,094</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386,863,450</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51,295,855.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69,447,887.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164,969,760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249,101,282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304,310,054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51,139,763.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67,463,157.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少数股东权 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116,395,323</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172,374,977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107,109,719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160,315,756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379,466,529</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398,379,536</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452,783,008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237,064,137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266,128,120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338,522,768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310,818,862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457,658,986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228,930,505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02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按持股比例</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计算的净资</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250,447,909</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119,513,860</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158,474,052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71,119,241.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118,427,013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223,425,027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93,245,658.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160,180,645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68,679,151.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318,475,275</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-3,955,166.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211,599,830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32,882,881.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305,801,316</w:t>
            </w:r>
          </w:p>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-2,811,381.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194,826,626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36,351,288.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213,704,401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32,882,881.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318,475,275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213,704,401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32,882,881.</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-3,955,166.</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-2,104,571.</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-12,673,959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-2,811,381.</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-18,877,775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-3,468,407.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568,923,185</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115,558,694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370,073,882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104,002,122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118,427,013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529,226,343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90,434,277.</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355,007,272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105,030,440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133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存在公开报</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价的联营企</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业权益投资</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477,580,221</w:t>
            </w:r>
          </w:p>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898,265,617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251,597,990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208,004,753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839,640,501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435,175,178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787,265,678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291,663,950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209,709,231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71,417,846.</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90,699,610.</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32,352,772.</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35,308,138.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72,604,831.</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62,778,738.</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47,016,476.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34,608,752.</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-1,470,809.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-1,470,809.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综合收益总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71,417,846.</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90,699,610.</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32,352,772.</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16,711,190.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35,308,138.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72,604,831.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62,778,738.</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47,016,476.</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33,137,943.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35,849,884.</w:t>
            </w:r>
          </w:p>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7"/>
        <w:keepNext/>
        <w:keepLines/>
        <w:widowControl w:val="0"/>
        <w:numPr>
          <w:ilvl w:val="0"/>
          <w:numId w:val="59"/>
        </w:numPr>
        <w:shd w:val="clear" w:color="auto" w:fill="auto"/>
        <w:bidi w:val="0"/>
        <w:spacing w:before="0" w:after="260" w:line="240" w:lineRule="auto"/>
        <w:ind w:left="0" w:right="0" w:firstLine="0"/>
        <w:jc w:val="both"/>
      </w:pPr>
      <w:bookmarkStart w:id="1618" w:name="bookmark1618"/>
      <w:bookmarkStart w:id="1619" w:name="bookmark1619"/>
      <w:bookmarkStart w:id="1620" w:name="bookmark1620"/>
      <w:bookmarkStart w:id="1621" w:name="bookmark1621"/>
      <w:bookmarkEnd w:id="1620"/>
      <w:r>
        <w:rPr>
          <w:color w:val="000000"/>
          <w:spacing w:val="0"/>
          <w:w w:val="100"/>
          <w:position w:val="0"/>
        </w:rPr>
        <w:t>不重要的合营企业和联营企业的汇总财务信息</w:t>
      </w:r>
      <w:bookmarkEnd w:id="1618"/>
      <w:bookmarkEnd w:id="1619"/>
      <w:bookmarkEnd w:id="1621"/>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44"/>
        <w:keepNext w:val="0"/>
        <w:keepLines w:val="0"/>
        <w:widowControl w:val="0"/>
        <w:shd w:val="clear" w:color="auto" w:fill="auto"/>
        <w:bidi w:val="0"/>
        <w:spacing w:before="0" w:after="0"/>
        <w:ind w:left="0" w:right="0" w:firstLine="640"/>
        <w:jc w:val="both"/>
        <w:rPr>
          <w:sz w:val="16"/>
          <w:szCs w:val="16"/>
        </w:rPr>
      </w:pPr>
      <w:r>
        <w:rPr>
          <w:rFonts w:ascii="SimSun" w:eastAsia="SimSun" w:hAnsi="SimSun" w:cs="SimSun"/>
          <w:color w:val="000000"/>
          <w:spacing w:val="0"/>
          <w:w w:val="100"/>
          <w:position w:val="0"/>
          <w:sz w:val="16"/>
          <w:szCs w:val="16"/>
        </w:rPr>
        <w:t>本公司联营企业上海仁彩印务有限公司，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日总资产</w:t>
      </w:r>
      <w:r>
        <w:rPr>
          <w:color w:val="000000"/>
          <w:spacing w:val="0"/>
          <w:w w:val="100"/>
          <w:position w:val="0"/>
          <w:sz w:val="18"/>
          <w:szCs w:val="18"/>
        </w:rPr>
        <w:t>474,568,008.50</w:t>
      </w:r>
      <w:r>
        <w:rPr>
          <w:rFonts w:ascii="SimSun" w:eastAsia="SimSun" w:hAnsi="SimSun" w:cs="SimSun"/>
          <w:color w:val="000000"/>
          <w:spacing w:val="0"/>
          <w:w w:val="100"/>
          <w:position w:val="0"/>
          <w:sz w:val="16"/>
          <w:szCs w:val="16"/>
        </w:rPr>
        <w:t>元，总负债</w:t>
      </w:r>
      <w:r>
        <w:rPr>
          <w:color w:val="000000"/>
          <w:spacing w:val="0"/>
          <w:w w:val="100"/>
          <w:position w:val="0"/>
          <w:sz w:val="18"/>
          <w:szCs w:val="18"/>
        </w:rPr>
        <w:t>43,630,564.55</w:t>
      </w:r>
      <w:r>
        <w:rPr>
          <w:rFonts w:ascii="SimSun" w:eastAsia="SimSun" w:hAnsi="SimSun" w:cs="SimSun"/>
          <w:color w:val="000000"/>
          <w:spacing w:val="0"/>
          <w:w w:val="100"/>
          <w:position w:val="0"/>
          <w:sz w:val="16"/>
          <w:szCs w:val="16"/>
        </w:rPr>
        <w:t>元，</w:t>
      </w:r>
    </w:p>
    <w:p>
      <w:pPr>
        <w:pStyle w:val="Style44"/>
        <w:keepNext w:val="0"/>
        <w:keepLines w:val="0"/>
        <w:widowControl w:val="0"/>
        <w:shd w:val="clear" w:color="auto" w:fill="auto"/>
        <w:bidi w:val="0"/>
        <w:spacing w:before="0" w:after="0"/>
        <w:ind w:left="0" w:right="0" w:firstLine="44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年净利润 </w:t>
      </w:r>
      <w:r>
        <w:rPr>
          <w:color w:val="000000"/>
          <w:spacing w:val="0"/>
          <w:w w:val="100"/>
          <w:position w:val="0"/>
          <w:sz w:val="18"/>
          <w:szCs w:val="18"/>
        </w:rPr>
        <w:t>30,303,333.85</w:t>
      </w:r>
      <w:r>
        <w:rPr>
          <w:rFonts w:ascii="SimSun" w:eastAsia="SimSun" w:hAnsi="SimSun" w:cs="SimSun"/>
          <w:color w:val="000000"/>
          <w:spacing w:val="0"/>
          <w:w w:val="100"/>
          <w:position w:val="0"/>
          <w:sz w:val="16"/>
          <w:szCs w:val="16"/>
        </w:rPr>
        <w:t>元。</w:t>
      </w:r>
    </w:p>
    <w:p>
      <w:pPr>
        <w:pStyle w:val="Style44"/>
        <w:keepNext w:val="0"/>
        <w:keepLines w:val="0"/>
        <w:widowControl w:val="0"/>
        <w:shd w:val="clear" w:color="auto" w:fill="auto"/>
        <w:bidi w:val="0"/>
        <w:spacing w:before="0" w:after="0"/>
        <w:ind w:left="0" w:right="0" w:firstLine="640"/>
        <w:jc w:val="both"/>
      </w:pPr>
      <w:r>
        <w:rPr>
          <w:rFonts w:ascii="SimSun" w:eastAsia="SimSun" w:hAnsi="SimSun" w:cs="SimSun"/>
          <w:color w:val="000000"/>
          <w:spacing w:val="0"/>
          <w:w w:val="100"/>
          <w:position w:val="0"/>
          <w:sz w:val="16"/>
          <w:szCs w:val="16"/>
        </w:rPr>
        <w:t>本公司联营企业重庆宏劲印务有限责任公司，</w:t>
      </w:r>
      <w:r>
        <w:rPr>
          <w:color w:val="000000"/>
          <w:spacing w:val="0"/>
          <w:w w:val="100"/>
          <w:position w:val="0"/>
        </w:rPr>
        <w:t>2021</w:t>
      </w:r>
      <w:r>
        <w:rPr>
          <w:rFonts w:ascii="SimSun" w:eastAsia="SimSun" w:hAnsi="SimSun" w:cs="SimSun"/>
          <w:color w:val="000000"/>
          <w:spacing w:val="0"/>
          <w:w w:val="100"/>
          <w:position w:val="0"/>
          <w:sz w:val="16"/>
          <w:szCs w:val="16"/>
        </w:rPr>
        <w:t>年</w:t>
      </w:r>
      <w:r>
        <w:rPr>
          <w:color w:val="000000"/>
          <w:spacing w:val="0"/>
          <w:w w:val="100"/>
          <w:position w:val="0"/>
        </w:rPr>
        <w:t>12</w:t>
      </w:r>
      <w:r>
        <w:rPr>
          <w:rFonts w:ascii="SimSun" w:eastAsia="SimSun" w:hAnsi="SimSun" w:cs="SimSun"/>
          <w:color w:val="000000"/>
          <w:spacing w:val="0"/>
          <w:w w:val="100"/>
          <w:position w:val="0"/>
          <w:sz w:val="16"/>
          <w:szCs w:val="16"/>
        </w:rPr>
        <w:t>月</w:t>
      </w:r>
      <w:r>
        <w:rPr>
          <w:color w:val="000000"/>
          <w:spacing w:val="0"/>
          <w:w w:val="100"/>
          <w:position w:val="0"/>
        </w:rPr>
        <w:t>31</w:t>
      </w:r>
      <w:r>
        <w:rPr>
          <w:rFonts w:ascii="SimSun" w:eastAsia="SimSun" w:hAnsi="SimSun" w:cs="SimSun"/>
          <w:color w:val="000000"/>
          <w:spacing w:val="0"/>
          <w:w w:val="100"/>
          <w:position w:val="0"/>
          <w:sz w:val="16"/>
          <w:szCs w:val="16"/>
        </w:rPr>
        <w:t>日总资产</w:t>
      </w:r>
      <w:r>
        <w:rPr>
          <w:color w:val="000000"/>
          <w:spacing w:val="0"/>
          <w:w w:val="100"/>
          <w:position w:val="0"/>
        </w:rPr>
        <w:t>554,937,633.44</w:t>
      </w:r>
      <w:r>
        <w:rPr>
          <w:rFonts w:ascii="SimSun" w:eastAsia="SimSun" w:hAnsi="SimSun" w:cs="SimSun"/>
          <w:color w:val="000000"/>
          <w:spacing w:val="0"/>
          <w:w w:val="100"/>
          <w:position w:val="0"/>
          <w:sz w:val="16"/>
          <w:szCs w:val="16"/>
        </w:rPr>
        <w:t>元，总负债</w:t>
      </w:r>
      <w:r>
        <w:rPr>
          <w:color w:val="000000"/>
          <w:spacing w:val="0"/>
          <w:w w:val="100"/>
          <w:position w:val="0"/>
        </w:rPr>
        <w:t>2</w:t>
      </w:r>
      <w:r>
        <w:rPr>
          <w:color w:val="000000"/>
          <w:spacing w:val="0"/>
          <w:w w:val="100"/>
          <w:position w:val="0"/>
        </w:rPr>
        <w:t>74,453,078.74</w:t>
      </w:r>
    </w:p>
    <w:p>
      <w:pPr>
        <w:pStyle w:val="Style44"/>
        <w:keepNext w:val="0"/>
        <w:keepLines w:val="0"/>
        <w:widowControl w:val="0"/>
        <w:shd w:val="clear" w:color="auto" w:fill="auto"/>
        <w:bidi w:val="0"/>
        <w:spacing w:before="0" w:after="680"/>
        <w:ind w:left="0" w:right="0" w:firstLine="440"/>
        <w:jc w:val="both"/>
        <w:rPr>
          <w:sz w:val="16"/>
          <w:szCs w:val="16"/>
        </w:rPr>
      </w:pPr>
      <w:r>
        <w:rPr>
          <w:rFonts w:ascii="SimSun" w:eastAsia="SimSun" w:hAnsi="SimSun" w:cs="SimSun"/>
          <w:color w:val="000000"/>
          <w:spacing w:val="0"/>
          <w:w w:val="100"/>
          <w:position w:val="0"/>
          <w:sz w:val="16"/>
          <w:szCs w:val="16"/>
        </w:rPr>
        <w:t>元，</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年净利润</w:t>
      </w:r>
      <w:r>
        <w:rPr>
          <w:color w:val="000000"/>
          <w:spacing w:val="0"/>
          <w:w w:val="100"/>
          <w:position w:val="0"/>
          <w:sz w:val="18"/>
          <w:szCs w:val="18"/>
        </w:rPr>
        <w:t>21,978,985.06</w:t>
      </w:r>
      <w:r>
        <w:rPr>
          <w:rFonts w:ascii="SimSun" w:eastAsia="SimSun" w:hAnsi="SimSun" w:cs="SimSun"/>
          <w:color w:val="000000"/>
          <w:spacing w:val="0"/>
          <w:w w:val="100"/>
          <w:position w:val="0"/>
          <w:sz w:val="16"/>
          <w:szCs w:val="16"/>
        </w:rPr>
        <w:t>元。</w:t>
      </w:r>
    </w:p>
    <w:p>
      <w:pPr>
        <w:pStyle w:val="Style27"/>
        <w:keepNext/>
        <w:keepLines/>
        <w:widowControl w:val="0"/>
        <w:shd w:val="clear" w:color="auto" w:fill="auto"/>
        <w:bidi w:val="0"/>
        <w:spacing w:before="0" w:after="260" w:line="240" w:lineRule="auto"/>
        <w:ind w:left="0" w:right="0" w:firstLine="0"/>
        <w:jc w:val="left"/>
      </w:pPr>
      <w:bookmarkStart w:id="1622" w:name="bookmark1622"/>
      <w:bookmarkStart w:id="1623" w:name="bookmark1623"/>
      <w:bookmarkStart w:id="1624" w:name="bookmark1624"/>
      <w:r>
        <w:rPr>
          <w:color w:val="000000"/>
          <w:spacing w:val="0"/>
          <w:w w:val="100"/>
          <w:position w:val="0"/>
        </w:rPr>
        <w:t>十、与金融工具相关的风险</w:t>
      </w:r>
      <w:bookmarkEnd w:id="1622"/>
      <w:bookmarkEnd w:id="1623"/>
      <w:bookmarkEnd w:id="1624"/>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本集团的主要金融工具包括股权投资、债权投资、借款、应收款项、应付账款、可转换债券等，各项金融工具的详细 情况说明见本附注六相关项目。本集团从事风险管理的目标是在风险和收益之间取得适当的平衡，将风险对本集团经营业绩 的负面影响降低到最低水平，使股东及其他权益投资者的利益最大化。基于该风险管理目标，本集团风险管理的基本策略是 </w:t>
      </w:r>
      <w:r>
        <w:rPr>
          <w:color w:val="000000"/>
          <w:spacing w:val="0"/>
          <w:w w:val="100"/>
          <w:position w:val="0"/>
        </w:rPr>
        <w:t>确定和分析本集团所面临的各种风险，建立适当的风险承受底线和进行风险管理，并及时可靠地对各种风险进行监督，将风 险控制在限定的范围之内。</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22"/>
          <w:szCs w:val="22"/>
        </w:rPr>
        <w:t>、</w:t>
      </w:r>
      <w:r>
        <w:rPr>
          <w:b/>
          <w:bCs/>
          <w:color w:val="000000"/>
          <w:spacing w:val="0"/>
          <w:w w:val="100"/>
          <w:position w:val="0"/>
        </w:rPr>
        <w:t>市场风险</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金融工具的市场风险，是指金融工具的公允价值或未来现金流量因市场价格变动而发生波动的风险，包括汇率风险、 利率风险和其他价格风险。</w:t>
      </w:r>
    </w:p>
    <w:p>
      <w:pPr>
        <w:pStyle w:val="Style2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本集团采用敏感性分析技术分析市场风险相关变量的合理、可能变化对当期损益或股东权益可能产生的影响。由于任 何风险变量很少孤立地发生变化，而变量之间存在的相关性对某一风险变量的变化的最终影响金额将产生重大作用，因此下 述内容是在假设每一变量的变化是在独立的情况下进行的。</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2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汇率风险，是指金融工具的公允价值或未来现金流量因外汇汇率变动而发生波动的风险。本集团承受外汇风险主要与 美元、欧元、港币有关，除本集团的几个下属子公司以美元、欧元、港币进行采购和销售外，本集团的其他主要业务活动以 人民币计价结算。汇率风险对本集团的交易及境外经营的业绩均构成影响。于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日，本集团的外币货币性项目余 额参见本附注七、</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汇率风险的敏感性分析见下表，反映了在其他变量不变的假设下，以下所列外币汇率发生合理、可能的变动时，由于 货币性资产和货币性负债的公允价值变化将对净利润和股东权益产生的影响。</w:t>
      </w:r>
    </w:p>
    <w:tbl>
      <w:tblPr>
        <w:tblOverlap w:val="never"/>
        <w:jc w:val="center"/>
        <w:tblLayout w:type="fixed"/>
      </w:tblPr>
      <w:tblGrid>
        <w:gridCol w:w="3283"/>
        <w:gridCol w:w="1368"/>
        <w:gridCol w:w="1819"/>
        <w:gridCol w:w="1368"/>
        <w:gridCol w:w="1834"/>
      </w:tblGrid>
      <w:tr>
        <w:trPr>
          <w:trHeight w:val="346" w:hRule="exact"/>
        </w:trPr>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58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对利润的影响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对股东权益的影响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对利润的影响</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对股东权益的影响</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人民币对美元汇率增加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个基准点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709,053.54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602,695.51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947,669.49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805,519.07</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人民币对美元汇率降低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个基准点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-709,053.54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-602,695.51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-947,669.49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-805,519.07</w:t>
            </w:r>
          </w:p>
        </w:tc>
      </w:tr>
    </w:tbl>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、信用风险</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信用风险，是指金融工具的一方不能履行义务，造成另一方发生财务损失的风险。</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日，本集团的信用风险主要来自于本集团确认的金融资产以及本集团承担的财务担保，具体包括:</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color w:val="000000"/>
          <w:spacing w:val="0"/>
          <w:w w:val="100"/>
          <w:position w:val="0"/>
        </w:rPr>
        <w:t>合并资产负债表中已确认的金融资产的账面金额，最大风险敞口等于这些金融资产的账面价值。</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本集团的流动资金存放在信用评级较高的银行，故流动资金的信用风险较低。本集团与客户间的贸易条款以信用交易 为主，且一般要求新客户预付款或采取货到付款方式进行。信用期通常为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个月，主要客户可以延长至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个月，交易记录良好 的客户可获得比较长的信贷期。由于本集团仅与经认可的且信誉良好的第三方进行交易，所以无需担保物。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本集团评估信用风险自初始确认后是否已增加的方法、确定金融资产已发生信用减值的依据、划分组合为基础评估预 期信用风险的金融工具的组合方法、直接减记金融工具的政策等，参见本附注五、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个月或整个存续期的预期信用损失计量减值准备。预期信用损失计量的关键参数包括违 约概率、违约损失率和违约风险敞口。本集团考虑历史统计数据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的定量分析及前瞻性信息，建立违约概率、违约损失率及违约风险敞口模型。</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前瞻性信息信用风险显著增加的评估及预期信用损失的计算均涉及前瞻性信息。本集团通过进行历史数据分析，识别 出影响各业务类型信用风险及预期信用损失的关键经济指标。</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本集团因应收账款、其他应收款产生的信用风险敞口、损失准备的量化数据，参见附注七、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,附注七、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的披露。</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、流动性风险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流动性风险，是指企业在履行以交付现金或其他金融资产的方式结算的义务时发生资金短缺的风险。</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管理流动性风险时，本集团保持管理层认为充分的现金及现金等价物并对其进行监控，以满足本集团经营需要，并降 低现金流量波动的影响。本集团管理层对银行借款的使用情况进行监控并确保遵守借款协议。</w:t>
      </w:r>
    </w:p>
    <w:p>
      <w:pPr>
        <w:pStyle w:val="Style27"/>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r>
        <w:rPr>
          <w:color w:val="000000"/>
          <w:spacing w:val="0"/>
          <w:w w:val="100"/>
          <w:position w:val="0"/>
        </w:rPr>
        <w:t>十一、公允价值的披露</w:t>
      </w:r>
      <w:bookmarkEnd w:id="1625"/>
      <w:bookmarkEnd w:id="1626"/>
      <w:bookmarkEnd w:id="1627"/>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28"/>
      <w:bookmarkEnd w:id="1629"/>
      <w:bookmarkEnd w:id="163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559,926,408.02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559,926,408.02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96,106,640.92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210,020,000.00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210,020,000.00</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866,053,048.94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866,053,048.94</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r>
        <w:rPr>
          <w:color w:val="000000"/>
          <w:spacing w:val="0"/>
          <w:w w:val="100"/>
          <w:position w:val="0"/>
        </w:rPr>
        <w:t>十二、关联方及关联交易</w:t>
      </w:r>
      <w:bookmarkEnd w:id="1631"/>
      <w:bookmarkEnd w:id="1632"/>
      <w:bookmarkEnd w:id="1633"/>
    </w:p>
    <w:p>
      <w:pPr>
        <w:pStyle w:val="Style32"/>
        <w:keepNext/>
        <w:keepLines/>
        <w:widowControl w:val="0"/>
        <w:shd w:val="clear" w:color="auto" w:fill="auto"/>
        <w:bidi w:val="0"/>
        <w:spacing w:before="0" w:after="30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34"/>
      <w:bookmarkEnd w:id="1635"/>
      <w:bookmarkEnd w:id="1636"/>
    </w:p>
    <w:tbl>
      <w:tblPr>
        <w:tblOverlap w:val="never"/>
        <w:jc w:val="center"/>
        <w:tblLayout w:type="fixed"/>
      </w:tblPr>
      <w:tblGrid>
        <w:gridCol w:w="1598"/>
        <w:gridCol w:w="1594"/>
        <w:gridCol w:w="1589"/>
        <w:gridCol w:w="1613"/>
        <w:gridCol w:w="1584"/>
        <w:gridCol w:w="1603"/>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深圳市劲嘉创业投</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综合经营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本企业最终控制方是乔鲁予。</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2</w:t>
      </w:r>
      <w:bookmarkEnd w:id="1639"/>
      <w:r>
        <w:rPr>
          <w:color w:val="000000"/>
          <w:spacing w:val="0"/>
          <w:w w:val="100"/>
          <w:position w:val="0"/>
        </w:rPr>
        <w:t>、</w:t>
        <w:tab/>
        <w:t>本企业的子公司情况</w:t>
      </w:r>
      <w:bookmarkEnd w:id="1637"/>
      <w:bookmarkEnd w:id="1638"/>
      <w:bookmarkEnd w:id="164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color w:val="000000"/>
          <w:spacing w:val="0"/>
          <w:w w:val="100"/>
          <w:position w:val="0"/>
        </w:rPr>
        <w:t>、</w:t>
        <w:tab/>
        <w:t>本企业合营和联营企业情况</w:t>
      </w:r>
      <w:bookmarkEnd w:id="1641"/>
      <w:bookmarkEnd w:id="1642"/>
      <w:bookmarkEnd w:id="1644"/>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贵州省仁怀市申仁包装有限责任公司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上海仁彩印务有限公司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深圳兴萌智造科技有限公司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深圳兴鑫互联科技有限公司之子公司</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深圳兴智数联科技有限公司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深圳兴鑫互联科技有限公司之子公司</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2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color w:val="000000"/>
          <w:spacing w:val="0"/>
          <w:w w:val="100"/>
          <w:position w:val="0"/>
        </w:rPr>
        <w:t>、其他关联方情况</w:t>
      </w:r>
      <w:bookmarkEnd w:id="1645"/>
      <w:bookmarkEnd w:id="1646"/>
      <w:bookmarkEnd w:id="164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深圳劲嘉投资控股有限公司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本公司实际控制人控制之公司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致高置业有限公司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本公司实际控制人配偶有重大影响之公司</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深圳市华旭科技开发有限公司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本公司实际控制人有重大影响的其他公司</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color w:val="000000"/>
          <w:spacing w:val="0"/>
          <w:w w:val="100"/>
          <w:position w:val="0"/>
        </w:rPr>
        <w:t>、关联交易情况</w:t>
      </w:r>
      <w:bookmarkEnd w:id="1649"/>
      <w:bookmarkEnd w:id="1650"/>
      <w:bookmarkEnd w:id="1652"/>
    </w:p>
    <w:p>
      <w:pPr>
        <w:pStyle w:val="Style37"/>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3"/>
      <w:bookmarkEnd w:id="1654"/>
      <w:bookmarkEnd w:id="165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74"/>
        <w:gridCol w:w="1474"/>
        <w:gridCol w:w="1728"/>
        <w:gridCol w:w="1728"/>
        <w:gridCol w:w="173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青岛嘉泽包装有限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外购商品、租赁费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9,815,649.37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13,499,366.32</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深圳兴智数联科技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3,211,457.71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重庆宏声印务有限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13,827,504.25</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重庆宏劲印务有限 责任公司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采购原材料、加工 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7,410,847.81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13,551,149.90</w:t>
            </w:r>
          </w:p>
        </w:tc>
      </w:tr>
    </w:tbl>
    <w:p>
      <w:pPr>
        <w:pStyle w:val="Style30"/>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22,498,544.01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21,500,883.22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深圳市劲嘉创业投资有限公司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物业管理及水电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256,635.33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348,741.08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深圳市劲嘉创业投资有限公司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20,584.07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17,232,044.13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48,928,394.79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178,564,565.36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82,044,504.09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物业管理及水电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8,244,163.61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贵州省仁怀市申仁包装印务有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23,093,060.46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12,675,855.19</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贵州省仁怀市申仁包装印务有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深圳兴智数联科技有限公司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物业管理及水电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物业管理及水电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363,299.90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深圳兴萌智造科技有限公司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物业管理及水电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63,716.75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青岛英诺包装科技有限公司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84,193,463.47</w:t>
            </w:r>
          </w:p>
        </w:tc>
      </w:tr>
    </w:tbl>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购销商品、提供和接受劳务的关联交易说明 无。</w:t>
      </w:r>
    </w:p>
    <w:p>
      <w:pPr>
        <w:pStyle w:val="Style37"/>
        <w:keepNext/>
        <w:keepLines/>
        <w:widowControl w:val="0"/>
        <w:shd w:val="clear" w:color="auto" w:fill="auto"/>
        <w:bidi w:val="0"/>
        <w:spacing w:before="0" w:after="260" w:line="240" w:lineRule="auto"/>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56"/>
      <w:bookmarkEnd w:id="1657"/>
      <w:bookmarkEnd w:id="1658"/>
    </w:p>
    <w:p>
      <w:pPr>
        <w:pStyle w:val="Style2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深圳市劲嘉创业投资有限公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写字楼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182,857.14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616,685.76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办公楼及厂房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17,657,560.08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21,122,944.40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760,662.86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深圳兴智数联科技有限公司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258,655.29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深圳兴萌智造科技有限公司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157,706.46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关联租赁情况说明 无。</w:t>
      </w:r>
      <w:r>
        <w:br w:type="page"/>
      </w:r>
    </w:p>
    <w:p>
      <w:pPr>
        <w:pStyle w:val="Style37"/>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659"/>
      <w:bookmarkEnd w:id="1660"/>
      <w:bookmarkEnd w:id="166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47,042,000.57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63"/>
      <w:bookmarkEnd w:id="1664"/>
      <w:bookmarkEnd w:id="166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14,751,522.00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10,852,645.00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667"/>
      <w:bookmarkEnd w:id="1668"/>
      <w:bookmarkEnd w:id="1670"/>
    </w:p>
    <w:p>
      <w:pPr>
        <w:pStyle w:val="Style22"/>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日，子公司智能包装与深圳嘉厚企业管理合伙企业（有限合伙）共同在贵州遵义设立子公司遵义劲嘉新型 智能包装有限公司（以下简称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遵义智能包装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，深圳嘉厚企业管理合伙企业（有限合伙）持股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日智能包装已完成出资</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万元，合伙企业尚未履行出资义务。合伙企业大股东黄华系集团高级管理人员。</w:t>
      </w:r>
    </w:p>
    <w:p>
      <w:pPr>
        <w:pStyle w:val="Style22"/>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日，子公司智能包装与深圳嘉德企业投资合伙企业（有限合伙）共同在深圳设立深圳鼎盛丰华科技有限公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深圳鼎盛丰华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，深圳嘉德企业投资合伙企业（有限合伙）持股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智能包装已完成出资</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万元，合伙企业尚未履行出资义务。合伙企业大股东黄华系集团高级管理人员。</w:t>
      </w:r>
    </w:p>
    <w:p>
      <w:pPr>
        <w:pStyle w:val="Style22"/>
        <w:keepNext w:val="0"/>
        <w:keepLines w:val="0"/>
        <w:widowControl w:val="0"/>
        <w:shd w:val="clear" w:color="auto" w:fill="auto"/>
        <w:bidi w:val="0"/>
        <w:spacing w:before="0" w:after="380" w:line="31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日，子公司智能包装与深圳华善企业管理合伙企业（有限合伙）共同在深圳设立子公司深圳云普星河科技 服务有限公司（简称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深圳云普星河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），智能包装持股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，深圳华善企业管理合伙企业（有限合伙）持股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日智能包装已完成出资</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万元，合伙企业尚未履行出资义务。合伙企业大股东黄华系集团高级管理人员。</w:t>
      </w:r>
    </w:p>
    <w:p>
      <w:pPr>
        <w:pStyle w:val="Style32"/>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color w:val="000000"/>
          <w:spacing w:val="0"/>
          <w:w w:val="100"/>
          <w:position w:val="0"/>
        </w:rPr>
        <w:t>、关联方应收应付款项</w:t>
      </w:r>
      <w:bookmarkEnd w:id="1671"/>
      <w:bookmarkEnd w:id="1672"/>
      <w:bookmarkEnd w:id="1674"/>
    </w:p>
    <w:p>
      <w:pPr>
        <w:pStyle w:val="Style37"/>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5"/>
      <w:bookmarkEnd w:id="1676"/>
      <w:bookmarkEnd w:id="167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重庆宏劲印务有限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7,280,992.89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364,049.64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4,804,697.86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240,234.89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青岛嘉泽包装有限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47,831,741.00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2,391,587.05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5,207,239.83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260,361.99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重庆宏声印务有限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2,638,825.33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131,941.27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19,306,762.34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965,338.12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贵州省仁怀市申仁 包装印务有限公司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9,867,083.26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493,354.16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3,698,695.69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184,934.78</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青岛英诺包装科技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76,032,636.52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3,801,631.83</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67,618,642.48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3,380,932.12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109,050,032.24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5,452,501.61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重庆宏声印务有限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35,849,884.59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35,849,884.59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重庆宏劲印务有限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229,775.44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青岛嘉泽包装有限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246,986.85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贵州省仁怀市申仁 包装印务有限公司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180,673.00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156,986.58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7,849.33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657,435.29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32,871.76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178,236.58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8,911.83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8"/>
      <w:bookmarkEnd w:id="1679"/>
      <w:bookmarkEnd w:id="168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重庆宏劲印务有限责任公司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3,293,208.24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9,028,230.12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青岛嘉泽包装有限公司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4,546,761.95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6,985,150.88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贵州省仁怀市申仁包装印务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943,653.52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68,536.52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青岛英诺包装科技有限公司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349,395.33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8,852,160.23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16,362,776.33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深圳兴鑫互联科技有限公司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177,952.35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177,952.35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color w:val="000000"/>
          <w:spacing w:val="0"/>
          <w:w w:val="100"/>
          <w:position w:val="0"/>
        </w:rPr>
        <w:t>十三、股份支付</w:t>
      </w:r>
      <w:bookmarkEnd w:id="1681"/>
      <w:bookmarkEnd w:id="1682"/>
      <w:bookmarkEnd w:id="1683"/>
    </w:p>
    <w:p>
      <w:pPr>
        <w:pStyle w:val="Style32"/>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84"/>
      <w:bookmarkEnd w:id="1685"/>
      <w:bookmarkEnd w:id="168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458"/>
        <w:gridCol w:w="4123"/>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27,131,452.00</w:t>
            </w:r>
          </w:p>
        </w:tc>
      </w:tr>
    </w:tbl>
    <w:p>
      <w:pPr>
        <w:widowControl w:val="0"/>
        <w:spacing w:line="1" w:lineRule="exact"/>
      </w:pPr>
      <w:r>
        <w:br w:type="page"/>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年第十四次会议及第六届监事会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第八次会议审议通过了《关于调 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年限制性股票激励计划首次授予激励对象名单及授予数量的议案》、《关于向激励对象首次授予限制性股票的议案》， 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日作为首次授予日，向</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,713.1452</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日均已授 予完毕。</w:t>
      </w:r>
    </w:p>
    <w:p>
      <w:pPr>
        <w:pStyle w:val="Style30"/>
        <w:keepNext w:val="0"/>
        <w:keepLines w:val="0"/>
        <w:widowControl w:val="0"/>
        <w:shd w:val="clear" w:color="auto" w:fill="auto"/>
        <w:bidi w:val="0"/>
        <w:spacing w:before="0" w:after="0" w:line="240" w:lineRule="auto"/>
        <w:ind w:left="422" w:right="0" w:firstLine="0"/>
        <w:jc w:val="left"/>
      </w:pPr>
      <w:r>
        <w:rPr>
          <w:color w:val="000000"/>
          <w:spacing w:val="0"/>
          <w:w w:val="100"/>
          <w:position w:val="0"/>
        </w:rPr>
        <w:t>首次授予的限制性股票的解除限售期及各期解除限售时间安排如下所示:</w:t>
      </w:r>
    </w:p>
    <w:tbl>
      <w:tblPr>
        <w:tblOverlap w:val="never"/>
        <w:jc w:val="center"/>
        <w:tblLayout w:type="fixed"/>
      </w:tblPr>
      <w:tblGrid>
        <w:gridCol w:w="2381"/>
        <w:gridCol w:w="5458"/>
        <w:gridCol w:w="1838"/>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解除限售安排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解除限售时间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46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个月后的首个交易日起至授予限制性 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46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个月后的首个交易日起至授予限制性 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460"/>
              <w:jc w:val="left"/>
            </w:pPr>
            <w:r>
              <w:rPr>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个月后的首个交易日起至授予限制性 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本计划限制性股票的解除限售考核年度为</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年三个会计年度，每个会计年度考核一次。限制性股票各年度业绩 考核目标如下表所示：</w:t>
      </w:r>
    </w:p>
    <w:p>
      <w:pPr>
        <w:widowControl w:val="0"/>
        <w:spacing w:line="1" w:lineRule="exact"/>
      </w:pPr>
    </w:p>
    <w:tbl>
      <w:tblPr>
        <w:tblOverlap w:val="never"/>
        <w:jc w:val="center"/>
        <w:tblLayout w:type="fixed"/>
      </w:tblPr>
      <w:tblGrid>
        <w:gridCol w:w="2861"/>
        <w:gridCol w:w="6816"/>
      </w:tblGrid>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业绩考核目标</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年业绩为基数，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年的净利润增长率不低于</w:t>
            </w:r>
            <w:r>
              <w:rPr>
                <w:rFonts w:ascii="Times New Roman" w:eastAsia="Times New Roman" w:hAnsi="Times New Roman" w:cs="Times New Roman"/>
                <w:color w:val="000000"/>
                <w:spacing w:val="0"/>
                <w:w w:val="100"/>
                <w:position w:val="0"/>
                <w:sz w:val="18"/>
                <w:szCs w:val="18"/>
              </w:rPr>
              <w:t>22%</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年业绩为基数，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6"/>
                <w:szCs w:val="16"/>
              </w:rPr>
              <w:t>年的净利润增长率不低于</w:t>
            </w: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年业绩为基数，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6"/>
                <w:szCs w:val="16"/>
              </w:rPr>
              <w:t>年的净利润增长率不低于</w:t>
            </w:r>
            <w:r>
              <w:rPr>
                <w:rFonts w:ascii="Times New Roman" w:eastAsia="Times New Roman" w:hAnsi="Times New Roman" w:cs="Times New Roman"/>
                <w:color w:val="000000"/>
                <w:spacing w:val="0"/>
                <w:w w:val="100"/>
                <w:position w:val="0"/>
                <w:sz w:val="18"/>
                <w:szCs w:val="18"/>
              </w:rPr>
              <w:t>85%</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注：上述净利润均以公司该会计年度审计报告所载数据为准，净利润考核指标均以经审计的归属于上市公司股东的净利 润并剔除本计划及其他股权激励计划实施所产生的股份支付费用作为计算依据。</w:t>
      </w:r>
    </w:p>
    <w:p>
      <w:pPr>
        <w:widowControl w:val="0"/>
        <w:spacing w:after="279" w:line="1" w:lineRule="exact"/>
      </w:pPr>
    </w:p>
    <w:p>
      <w:pPr>
        <w:pStyle w:val="Style32"/>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87"/>
      <w:bookmarkEnd w:id="1688"/>
      <w:bookmarkEnd w:id="168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根据授予日公司股票收盘价格与布莱克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舒尔茨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w:t>
            </w:r>
            <w:r>
              <w:rPr>
                <w:color w:val="000000"/>
                <w:spacing w:val="0"/>
                <w:w w:val="100"/>
                <w:position w:val="0"/>
              </w:rPr>
              <w:t>模型进行测算</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 划(草案)摘要》、《深圳劲嘉集团股份有限公司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制性股票激励计划实施考核管理办法》</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17,733,761.58</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17,733,761.58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r>
        <w:rPr>
          <w:color w:val="000000"/>
          <w:spacing w:val="0"/>
          <w:w w:val="100"/>
          <w:position w:val="0"/>
        </w:rPr>
        <w:t>十四、承诺及或有事项</w:t>
      </w:r>
      <w:bookmarkEnd w:id="1690"/>
      <w:bookmarkEnd w:id="1691"/>
      <w:bookmarkEnd w:id="1692"/>
    </w:p>
    <w:p>
      <w:pPr>
        <w:pStyle w:val="Style32"/>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93"/>
      <w:bookmarkEnd w:id="1694"/>
      <w:bookmarkEnd w:id="169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年末，本公司登记注册的子公司中，投资款尚未足额支付的明细如下:</w:t>
      </w:r>
    </w:p>
    <w:tbl>
      <w:tblPr>
        <w:tblOverlap w:val="never"/>
        <w:jc w:val="center"/>
        <w:tblLayout w:type="fixed"/>
      </w:tblPr>
      <w:tblGrid>
        <w:gridCol w:w="3206"/>
        <w:gridCol w:w="1262"/>
        <w:gridCol w:w="2280"/>
        <w:gridCol w:w="1454"/>
        <w:gridCol w:w="1469"/>
      </w:tblGrid>
      <w:tr>
        <w:trPr>
          <w:trHeight w:val="50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登记注册时间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资本交付时间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应缴投资款</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未缴投资款</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深圳合元劲嘉电子科技有限公司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根据实际经营需要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r>
      <w:tr>
        <w:trPr>
          <w:trHeight w:val="5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深圳前海蓝莓文化传播有限公司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根据实际经营需要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万元</w:t>
            </w:r>
          </w:p>
        </w:tc>
      </w:tr>
      <w:tr>
        <w:trPr>
          <w:trHeight w:val="50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劲嘉集团（香港森洋）有限公司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根据实际经营需要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万港元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万港元</w:t>
            </w:r>
          </w:p>
        </w:tc>
      </w:tr>
      <w:tr>
        <w:trPr>
          <w:trHeight w:val="5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深圳嘉星健康科技有限公司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根据实际经营需要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r>
    </w:tbl>
    <w:p>
      <w:pPr>
        <w:pStyle w:val="Style30"/>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应缴投资款及未缴投资款系子公司的全额注册资本，本公司持有合元劲嘉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月已将</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股权转让，不 再有缴纳投资款义务）、持有蓝莓文化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股权、持有香港森洋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股权，持有嘉星健康</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股权，本公司根据持股比例缴 纳投资款。</w:t>
      </w:r>
    </w:p>
    <w:p>
      <w:pPr>
        <w:widowControl w:val="0"/>
        <w:spacing w:after="59" w:line="1" w:lineRule="exact"/>
      </w:pPr>
    </w:p>
    <w:p>
      <w:pPr>
        <w:pStyle w:val="Style2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除此之外，本公司无需要披露的其他重大承诺事项。</w:t>
      </w:r>
    </w:p>
    <w:p>
      <w:pPr>
        <w:pStyle w:val="Style32"/>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96"/>
      <w:bookmarkEnd w:id="1697"/>
      <w:bookmarkEnd w:id="1698"/>
    </w:p>
    <w:p>
      <w:pPr>
        <w:pStyle w:val="Style27"/>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r>
        <w:rPr>
          <w:color w:val="000000"/>
          <w:spacing w:val="0"/>
          <w:w w:val="100"/>
          <w:position w:val="0"/>
        </w:rPr>
        <w:t>十五、资产负债表日后事项</w:t>
      </w:r>
      <w:bookmarkEnd w:id="1699"/>
      <w:bookmarkEnd w:id="1700"/>
      <w:bookmarkEnd w:id="1701"/>
    </w:p>
    <w:p>
      <w:pPr>
        <w:pStyle w:val="Style32"/>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02"/>
      <w:bookmarkEnd w:id="1703"/>
      <w:bookmarkEnd w:id="1704"/>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514,810,642.50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514,810,642.50</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r>
        <w:rPr>
          <w:color w:val="000000"/>
          <w:spacing w:val="0"/>
          <w:w w:val="100"/>
          <w:position w:val="0"/>
        </w:rPr>
        <w:t>十六、其他重要事项</w:t>
      </w:r>
      <w:bookmarkEnd w:id="1705"/>
      <w:bookmarkEnd w:id="1706"/>
      <w:bookmarkEnd w:id="1707"/>
    </w:p>
    <w:p>
      <w:pPr>
        <w:pStyle w:val="Style32"/>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08"/>
      <w:bookmarkEnd w:id="1709"/>
      <w:bookmarkEnd w:id="1710"/>
    </w:p>
    <w:p>
      <w:pPr>
        <w:pStyle w:val="Style37"/>
        <w:keepNext/>
        <w:keepLines/>
        <w:widowControl w:val="0"/>
        <w:shd w:val="clear" w:color="auto" w:fill="auto"/>
        <w:tabs>
          <w:tab w:pos="493" w:val="left"/>
        </w:tabs>
        <w:bidi w:val="0"/>
        <w:spacing w:before="0" w:after="26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11"/>
      <w:bookmarkEnd w:id="1712"/>
      <w:bookmarkEnd w:id="1714"/>
    </w:p>
    <w:p>
      <w:pPr>
        <w:pStyle w:val="Style22"/>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根据本公司的经营业务活动，按照公司产品行业分类作为确定报告分部的标准，因公司确定的报告分部之间存在共同 的资产和负债，故无法分别披露各报告分部的资产总额和负债总额。</w:t>
      </w:r>
    </w:p>
    <w:p>
      <w:pPr>
        <w:pStyle w:val="Style37"/>
        <w:keepNext/>
        <w:keepLines/>
        <w:widowControl w:val="0"/>
        <w:shd w:val="clear" w:color="auto" w:fill="auto"/>
        <w:tabs>
          <w:tab w:pos="493"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15"/>
      <w:bookmarkEnd w:id="1716"/>
      <w:bookmarkEnd w:id="1718"/>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包装行业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新型烟草行业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其他行业</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3,958,968,310.30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169,057,266.20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820,258,071.93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-11,817,909.46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4,936,465,738.97</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2,466,927,518.34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145,306,181.13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782,242,407.43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-11,817,909.46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3,382,658,197.44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719"/>
      <w:bookmarkEnd w:id="1720"/>
      <w:bookmarkEnd w:id="1721"/>
    </w:p>
    <w:p>
      <w:pPr>
        <w:pStyle w:val="Style22"/>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）本集团作为承租人</w:t>
      </w:r>
    </w:p>
    <w:p>
      <w:pPr>
        <w:pStyle w:val="Style30"/>
        <w:keepNext w:val="0"/>
        <w:keepLines w:val="0"/>
        <w:widowControl w:val="0"/>
        <w:numPr>
          <w:ilvl w:val="0"/>
          <w:numId w:val="61"/>
        </w:numPr>
        <w:shd w:val="clear" w:color="auto" w:fill="auto"/>
        <w:tabs>
          <w:tab w:pos="605" w:val="left"/>
        </w:tabs>
        <w:bidi w:val="0"/>
        <w:spacing w:before="0" w:after="100" w:line="240" w:lineRule="auto"/>
        <w:ind w:left="418" w:right="0" w:firstLine="0"/>
        <w:jc w:val="left"/>
      </w:pPr>
      <w:r>
        <w:rPr>
          <w:color w:val="000000"/>
          <w:spacing w:val="0"/>
          <w:w w:val="100"/>
          <w:position w:val="0"/>
        </w:rPr>
        <w:t>使用权资产、租赁负债情况参见本附注七、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30"/>
        <w:keepNext w:val="0"/>
        <w:keepLines w:val="0"/>
        <w:widowControl w:val="0"/>
        <w:numPr>
          <w:ilvl w:val="0"/>
          <w:numId w:val="61"/>
        </w:numPr>
        <w:shd w:val="clear" w:color="auto" w:fill="auto"/>
        <w:tabs>
          <w:tab w:pos="605" w:val="left"/>
        </w:tabs>
        <w:bidi w:val="0"/>
        <w:spacing w:before="0" w:after="0" w:line="240" w:lineRule="auto"/>
        <w:ind w:left="418" w:right="0" w:firstLine="0"/>
        <w:jc w:val="left"/>
      </w:pPr>
      <w:r>
        <w:rPr>
          <w:color w:val="000000"/>
          <w:spacing w:val="0"/>
          <w:w w:val="100"/>
          <w:position w:val="0"/>
        </w:rPr>
        <w:t>计入本年损益情况</w:t>
      </w:r>
    </w:p>
    <w:tbl>
      <w:tblPr>
        <w:tblOverlap w:val="never"/>
        <w:jc w:val="center"/>
        <w:tblLayout w:type="fixed"/>
      </w:tblPr>
      <w:tblGrid>
        <w:gridCol w:w="4334"/>
        <w:gridCol w:w="2909"/>
        <w:gridCol w:w="2434"/>
      </w:tblGrid>
      <w:tr>
        <w:trPr>
          <w:trHeight w:val="346" w:hRule="exact"/>
        </w:trPr>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239,860.64</w:t>
            </w:r>
          </w:p>
        </w:tc>
      </w:tr>
    </w:tbl>
    <w:p>
      <w:pPr>
        <w:pStyle w:val="Style30"/>
        <w:keepNext w:val="0"/>
        <w:keepLines w:val="0"/>
        <w:widowControl w:val="0"/>
        <w:shd w:val="clear" w:color="auto" w:fill="auto"/>
        <w:bidi w:val="0"/>
        <w:spacing w:before="0" w:after="0" w:line="240" w:lineRule="auto"/>
        <w:ind w:left="442"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）本集团作为出租人</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408" w:right="0" w:firstLine="0"/>
        <w:jc w:val="left"/>
      </w:pPr>
      <w:r>
        <w:rPr>
          <w:color w:val="000000"/>
          <w:spacing w:val="0"/>
          <w:w w:val="100"/>
          <w:position w:val="0"/>
        </w:rPr>
        <w:t>①与经营租赁有关的信息</w:t>
      </w:r>
    </w:p>
    <w:p>
      <w:pPr>
        <w:pStyle w:val="Style30"/>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计入本年损益的情况</w:t>
      </w:r>
    </w:p>
    <w:tbl>
      <w:tblPr>
        <w:tblOverlap w:val="never"/>
        <w:jc w:val="center"/>
        <w:tblLayout w:type="fixed"/>
      </w:tblPr>
      <w:tblGrid>
        <w:gridCol w:w="6072"/>
        <w:gridCol w:w="1925"/>
        <w:gridCol w:w="1680"/>
      </w:tblGrid>
      <w:tr>
        <w:trPr>
          <w:trHeight w:val="350" w:hRule="exact"/>
        </w:trPr>
        <w:tc>
          <w:tcPr>
            <w:vMerge w:val="restart"/>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2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其他业务收入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64,132,510.28</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与未纳入租赁收款额计量的可变租赁付款额相关的收入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64,132,510.28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722" w:name="bookmark1722"/>
      <w:bookmarkStart w:id="1723" w:name="bookmark1723"/>
      <w:bookmarkStart w:id="1724" w:name="bookmark1724"/>
      <w:r>
        <w:rPr>
          <w:color w:val="000000"/>
          <w:spacing w:val="0"/>
          <w:w w:val="100"/>
          <w:position w:val="0"/>
        </w:rPr>
        <w:t>十七、母公司财务报表主要项目注释</w:t>
      </w:r>
      <w:bookmarkEnd w:id="1722"/>
      <w:bookmarkEnd w:id="1723"/>
      <w:bookmarkEnd w:id="1724"/>
    </w:p>
    <w:p>
      <w:pPr>
        <w:pStyle w:val="Style32"/>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5"/>
      <w:bookmarkEnd w:id="1726"/>
      <w:bookmarkEnd w:id="1727"/>
    </w:p>
    <w:p>
      <w:pPr>
        <w:pStyle w:val="Style37"/>
        <w:keepNext/>
        <w:keepLines/>
        <w:widowControl w:val="0"/>
        <w:shd w:val="clear" w:color="auto" w:fill="auto"/>
        <w:bidi w:val="0"/>
        <w:spacing w:before="0" w:line="240" w:lineRule="auto"/>
        <w:ind w:left="0" w:right="0" w:firstLine="0"/>
        <w:jc w:val="both"/>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8"/>
      <w:bookmarkEnd w:id="1729"/>
      <w:bookmarkEnd w:id="173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829,769.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829,769.</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255,407,</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941.35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9,016,62</w:t>
            </w:r>
          </w:p>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246,391,3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270,572,1</w:t>
            </w:r>
          </w:p>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5,746,055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264,826,14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180,332,</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9,016,62</w:t>
            </w:r>
          </w:p>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171,315,7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114,921,1</w:t>
            </w:r>
          </w:p>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5,746,055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109,175,05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合并范围内组合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75,075,5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75,075,53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155,651,0</w:t>
            </w:r>
          </w:p>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155,651,08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256,237,</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9,846,38</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246,391,3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270,812,1</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5,986,055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264,826,14</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70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贵州中烟工业有限责任公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279,422.77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279,422.77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吴坤勃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重庆中烟工业有限责任公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299,889.14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299,889.14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深圳绿汇能科技有限公司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收回可能性较小</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829,769.06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829,769.06</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180,156,800.68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9,007,840.03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175,600.80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180,332,401.48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9,016,620.07</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223,878,397.48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31,798,646.01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560,666.92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30,787.00</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529,879.92</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256,237,710.41</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31"/>
      <w:bookmarkEnd w:id="1732"/>
      <w:bookmarkEnd w:id="173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单项计提坏账准 备的应收款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589,769.06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829,769.06</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5,746,055.68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3,270,564.39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9,016,620.07</w:t>
            </w:r>
          </w:p>
        </w:tc>
      </w:tr>
      <w:tr>
        <w:trPr>
          <w:trHeight w:val="40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5,986,055.68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3,860,333.45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9,846,389.13</w:t>
            </w:r>
          </w:p>
        </w:tc>
      </w:tr>
    </w:tbl>
    <w:p>
      <w:pPr>
        <w:widowControl w:val="0"/>
        <w:spacing w:after="339" w:line="1" w:lineRule="exact"/>
      </w:pPr>
    </w:p>
    <w:p>
      <w:pPr>
        <w:pStyle w:val="Style37"/>
        <w:keepNext/>
        <w:keepLines/>
        <w:widowControl w:val="0"/>
        <w:shd w:val="clear" w:color="auto" w:fill="auto"/>
        <w:bidi w:val="0"/>
        <w:spacing w:before="0" w:after="2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）按欠款方归集的年末余额前五名的应收账款情况</w:t>
      </w:r>
      <w:bookmarkEnd w:id="1734"/>
      <w:bookmarkEnd w:id="1735"/>
      <w:bookmarkEnd w:id="1737"/>
    </w:p>
    <w:p>
      <w:pPr>
        <w:pStyle w:val="Style22"/>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sz w:val="18"/>
          <w:szCs w:val="18"/>
        </w:rPr>
        <w:t>190,935,027.69</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74.51%</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6,596,301.25</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8"/>
      <w:bookmarkEnd w:id="1739"/>
      <w:bookmarkEnd w:id="174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152,892,381.56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76,668,307.60</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514,354,739.58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95,051,791.95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667,247,121.14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171,720,099.55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741"/>
      <w:bookmarkEnd w:id="1742"/>
      <w:bookmarkEnd w:id="1743"/>
    </w:p>
    <w:p>
      <w:pPr>
        <w:pStyle w:val="Style54"/>
        <w:keepNext/>
        <w:keepLines/>
        <w:widowControl w:val="0"/>
        <w:shd w:val="clear" w:color="auto" w:fill="auto"/>
        <w:bidi w:val="0"/>
        <w:spacing w:before="0" w:after="380" w:line="240" w:lineRule="auto"/>
        <w:ind w:left="0" w:right="0" w:firstLine="0"/>
        <w:jc w:val="both"/>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44"/>
      <w:bookmarkEnd w:id="1745"/>
      <w:bookmarkEnd w:id="174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152,892,381.56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40,818,423.01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应收联营企业股利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35,849,884.59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152,892,381.56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76,668,307.60</w:t>
            </w:r>
          </w:p>
        </w:tc>
      </w:tr>
    </w:tbl>
    <w:p>
      <w:pPr>
        <w:pStyle w:val="Style54"/>
        <w:keepNext/>
        <w:keepLines/>
        <w:widowControl w:val="0"/>
        <w:shd w:val="clear" w:color="auto" w:fill="auto"/>
        <w:bidi w:val="0"/>
        <w:spacing w:before="0" w:after="28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47"/>
      <w:bookmarkEnd w:id="1748"/>
      <w:bookmarkEnd w:id="1749"/>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日止，本公司应收股利均系应收子公司、联营企业股利产生，其信用等级较高，信用风险较小， 未计提信用减值损失。</w:t>
      </w:r>
    </w:p>
    <w:p>
      <w:pPr>
        <w:pStyle w:val="Style37"/>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0"/>
      <w:bookmarkEnd w:id="1751"/>
      <w:bookmarkEnd w:id="1752"/>
    </w:p>
    <w:p>
      <w:pPr>
        <w:pStyle w:val="Style54"/>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3"/>
      <w:bookmarkEnd w:id="1754"/>
      <w:bookmarkEnd w:id="17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492,999,090.94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81,379,207.78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8,968,783.40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6,496,409.38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1,184,581.03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616,766.98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5,986,324.79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5,802,325.82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较长账龄预付款项重分类到其他应收款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3,098,422.67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3,098,422.67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6,373,864.93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1,510,615.69</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518,611,067.76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98,903,748.32</w:t>
            </w:r>
          </w:p>
        </w:tc>
      </w:tr>
    </w:tbl>
    <w:p>
      <w:pPr>
        <w:widowControl w:val="0"/>
        <w:spacing w:after="319" w:line="1" w:lineRule="exact"/>
      </w:pPr>
    </w:p>
    <w:p>
      <w:pPr>
        <w:pStyle w:val="Style54"/>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6"/>
      <w:bookmarkEnd w:id="1757"/>
      <w:bookmarkEnd w:id="175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719,609.70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3,132,346.67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3,851,956.37</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404,371.81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404,371.81</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1,123,981.51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3,132,346.67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4,256,328.18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467,890,927.39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7,112,621.35</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8,104,644.49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35,502,874.53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19,319,167.69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11,761,606.98</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4,422,099.86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518,611,067.76</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3</w:t>
      </w:r>
      <w:bookmarkEnd w:id="1761"/>
      <w:r>
        <w:rPr>
          <w:color w:val="000000"/>
          <w:spacing w:val="0"/>
          <w:w w:val="100"/>
          <w:position w:val="0"/>
        </w:rPr>
        <w:t>）本期计提、收回或转回的坏账准备情况</w:t>
      </w:r>
      <w:bookmarkEnd w:id="1759"/>
      <w:bookmarkEnd w:id="1760"/>
      <w:bookmarkEnd w:id="176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133"/>
        <w:gridCol w:w="1133"/>
        <w:gridCol w:w="1075"/>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单项计提坏账准备的其</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3,132,346.67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3,132,346.67</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账龄组合其他应收款的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73,834.58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244,858.67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318,693.25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保证金组合的坏账准备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645,775.12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159,513.14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805,288.26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3,851,956.37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404,371.81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4,256,328.18</w:t>
            </w:r>
          </w:p>
        </w:tc>
      </w:tr>
    </w:tbl>
    <w:p>
      <w:pPr>
        <w:widowControl w:val="0"/>
        <w:spacing w:after="319" w:line="1" w:lineRule="exact"/>
      </w:pPr>
    </w:p>
    <w:p>
      <w:pPr>
        <w:pStyle w:val="Style54"/>
        <w:keepNext/>
        <w:keepLines/>
        <w:widowControl w:val="0"/>
        <w:shd w:val="clear" w:color="auto" w:fill="auto"/>
        <w:tabs>
          <w:tab w:pos="397" w:val="left"/>
        </w:tabs>
        <w:bidi w:val="0"/>
        <w:spacing w:before="0" w:after="26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4</w:t>
      </w:r>
      <w:bookmarkEnd w:id="1765"/>
      <w:r>
        <w:rPr>
          <w:color w:val="000000"/>
          <w:spacing w:val="0"/>
          <w:w w:val="100"/>
          <w:position w:val="0"/>
        </w:rPr>
        <w:t>）</w:t>
        <w:tab/>
        <w:t>按欠款方归集的年末余额前五名的其他应收款情况</w:t>
      </w:r>
      <w:bookmarkEnd w:id="1763"/>
      <w:bookmarkEnd w:id="1764"/>
      <w:bookmarkEnd w:id="1766"/>
    </w:p>
    <w:p>
      <w:pPr>
        <w:pStyle w:val="Style22"/>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本公司按欠款方归集的年末余额前五名其他应收款汇总金额为</w:t>
      </w:r>
      <w:r>
        <w:rPr>
          <w:rFonts w:ascii="Times New Roman" w:eastAsia="Times New Roman" w:hAnsi="Times New Roman" w:cs="Times New Roman"/>
          <w:color w:val="000000"/>
          <w:spacing w:val="0"/>
          <w:w w:val="100"/>
          <w:position w:val="0"/>
          <w:sz w:val="18"/>
          <w:szCs w:val="18"/>
        </w:rPr>
        <w:t>480,112,584.79</w:t>
      </w:r>
      <w:r>
        <w:rPr>
          <w:color w:val="000000"/>
          <w:spacing w:val="0"/>
          <w:w w:val="100"/>
          <w:position w:val="0"/>
        </w:rPr>
        <w:t>元，占其他应收账款年末余额合计数的比 例为</w:t>
      </w:r>
      <w:r>
        <w:rPr>
          <w:rFonts w:ascii="Times New Roman" w:eastAsia="Times New Roman" w:hAnsi="Times New Roman" w:cs="Times New Roman"/>
          <w:color w:val="000000"/>
          <w:spacing w:val="0"/>
          <w:w w:val="100"/>
          <w:position w:val="0"/>
          <w:sz w:val="18"/>
          <w:szCs w:val="18"/>
        </w:rPr>
        <w:t>92.58%</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4"/>
        <w:keepNext/>
        <w:keepLines/>
        <w:widowControl w:val="0"/>
        <w:shd w:val="clear" w:color="auto" w:fill="auto"/>
        <w:tabs>
          <w:tab w:pos="397" w:val="left"/>
        </w:tabs>
        <w:bidi w:val="0"/>
        <w:spacing w:before="0" w:after="40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color w:val="000000"/>
          <w:spacing w:val="0"/>
          <w:w w:val="100"/>
          <w:position w:val="0"/>
        </w:rPr>
        <w:t>）</w:t>
        <w:tab/>
        <w:t>按欠款方归集的期末余额前五名的其他应收款情况</w:t>
      </w:r>
      <w:bookmarkEnd w:id="1767"/>
      <w:bookmarkEnd w:id="1768"/>
      <w:bookmarkEnd w:id="177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265,615,096.93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47,997,487.86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480,112,584.79</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3</w:t>
      </w:r>
      <w:bookmarkEnd w:id="1773"/>
      <w:r>
        <w:rPr>
          <w:color w:val="000000"/>
          <w:spacing w:val="0"/>
          <w:w w:val="100"/>
          <w:position w:val="0"/>
        </w:rPr>
        <w:t>、长期股权投资</w:t>
      </w:r>
      <w:bookmarkEnd w:id="1771"/>
      <w:bookmarkEnd w:id="1772"/>
      <w:bookmarkEnd w:id="177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2,180,168,841.52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2,180,168,841.52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2,213,436,990.53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2,213,436,990.53</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1,134,403,766.43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1,134,403,766.43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1,028,219,002.65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1,028,219,002.65</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3,314,572,607.95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3,314,572,607.95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3,241,655,993.18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3,241,655,993.18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75"/>
      <w:bookmarkEnd w:id="1776"/>
      <w:bookmarkEnd w:id="17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315"/>
        <w:gridCol w:w="1142"/>
        <w:gridCol w:w="1147"/>
        <w:gridCol w:w="1142"/>
        <w:gridCol w:w="1190"/>
        <w:gridCol w:w="1315"/>
        <w:gridCol w:w="1205"/>
      </w:tblGrid>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21,560,000.00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22,797,966.99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44,357,966.99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中华烟草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455,561,138.00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455,561,138.00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328,264,387.94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328,264,387.94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贵州劲嘉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218,538,950.00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218,538,950.00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昆明彩印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劲嘉物业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江西丰彩丽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嘉颐泽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中丰田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江苏顺泰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419,692,514.59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419,692,514.59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智能包装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劲嘉供应链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蓝莓文化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1,640,000.00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3,933,884.00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5,573,884.00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新产业科技（原</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劲嘉健康）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上海丽兴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盒知科技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因味科技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2,213,436,990.53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26,731,850.99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2,180,168,841.52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8"/>
      <w:bookmarkEnd w:id="1779"/>
      <w:bookmarkEnd w:id="178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413,708,4</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39,696,84</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453,405,3</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重庆宏劲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183,238,7</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9,258,765</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192,497,5</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华大北斗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37,121,16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-1,451,94</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-35,669,2</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贵州申仁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355,007,2</w:t>
            </w:r>
          </w:p>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15,066,61</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370,073,8</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兴鑫互联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39,143,30</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14,131,74</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118,427,0</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1,028,219</w:t>
            </w:r>
          </w:p>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76,702,01</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-35,669,2</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1,134,403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1,028,219</w:t>
            </w:r>
          </w:p>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65,151,96</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76,702,01</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-35,669,2</w:t>
            </w:r>
          </w:p>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1,134,403</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、营业收入和营业成本</w:t>
      </w:r>
      <w:bookmarkEnd w:id="1781"/>
      <w:bookmarkEnd w:id="1782"/>
      <w:bookmarkEnd w:id="178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1,545,870,930.49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1,127,452,626.31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1,632,513,890.04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1,214,632,808.93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100,276,787.50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41,792,710.61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151,598,089.51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98,953,060.57</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1,646,147,717.99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1,169,245,336.92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1,784,111,979.55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1,313,585,869.50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包装行业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1,532,866,916.76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1,532,866,916.76</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113,280,801.23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113,280,801.23</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按客户地区分类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658,300,158.21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658,300,158.21</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485,266,784.39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485,266,784.39</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24,501,003.06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24,501,003.06</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478,079,772.33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478,079,772.33</w:t>
            </w: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1,646,147,717.99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1,646,147,717.99</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4,610,248.80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2,810,248.80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22"/>
        <w:keepNext w:val="0"/>
        <w:keepLines w:val="0"/>
        <w:widowControl w:val="0"/>
        <w:shd w:val="clear" w:color="auto" w:fill="auto"/>
        <w:bidi w:val="0"/>
        <w:spacing w:before="0" w:after="720" w:line="317" w:lineRule="exact"/>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after="40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color w:val="000000"/>
          <w:spacing w:val="0"/>
          <w:w w:val="100"/>
          <w:position w:val="0"/>
        </w:rPr>
        <w:t>、投资收益</w:t>
      </w:r>
      <w:bookmarkEnd w:id="1785"/>
      <w:bookmarkEnd w:id="1786"/>
      <w:bookmarkEnd w:id="17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301,349,930.30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656,063,105.52</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76,702,010.94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42,387,805.63</w:t>
            </w: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35,681,200.00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15,416,211.37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17,509,533.66</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核算方式转换收益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87,813,319.27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516,962,671.88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715,960,444.81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789" w:name="bookmark1789"/>
      <w:bookmarkStart w:id="1790" w:name="bookmark1790"/>
      <w:bookmarkStart w:id="1791" w:name="bookmark1791"/>
      <w:r>
        <w:rPr>
          <w:color w:val="000000"/>
          <w:spacing w:val="0"/>
          <w:w w:val="100"/>
          <w:position w:val="0"/>
        </w:rPr>
        <w:t>十八、补充资料</w:t>
      </w:r>
      <w:bookmarkEnd w:id="1789"/>
      <w:bookmarkEnd w:id="1790"/>
      <w:bookmarkEnd w:id="1791"/>
    </w:p>
    <w:p>
      <w:pPr>
        <w:pStyle w:val="Style32"/>
        <w:keepNext/>
        <w:keepLines/>
        <w:widowControl w:val="0"/>
        <w:shd w:val="clear" w:color="auto" w:fill="auto"/>
        <w:bidi w:val="0"/>
        <w:spacing w:before="0" w:after="400" w:line="240" w:lineRule="auto"/>
        <w:ind w:left="0" w:right="0" w:firstLine="0"/>
        <w:jc w:val="both"/>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92"/>
      <w:bookmarkEnd w:id="1793"/>
      <w:bookmarkEnd w:id="1794"/>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414"/>
        <w:gridCol w:w="3197"/>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174,128,404.36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37,150,512.45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外，持有交易性金融资产、交易性金融负债产生的 公允价值变动损益，以及处置交易性金融资产交易</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23,401,109.48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414"/>
        <w:gridCol w:w="3197"/>
      </w:tblGrid>
      <w:tr>
        <w:trPr>
          <w:trHeight w:val="36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1,288,462.05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-1,157,072.31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35,195,441.89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1,960,192.76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197,655,781.38</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95"/>
      <w:bookmarkEnd w:id="1796"/>
      <w:bookmarkEnd w:id="1797"/>
    </w:p>
    <w:tbl>
      <w:tblPr>
        <w:tblOverlap w:val="never"/>
        <w:jc w:val="center"/>
        <w:tblLayout w:type="fixed"/>
      </w:tblPr>
      <w:tblGrid>
        <w:gridCol w:w="2659"/>
        <w:gridCol w:w="3096"/>
        <w:gridCol w:w="1906"/>
        <w:gridCol w:w="1920"/>
      </w:tblGrid>
      <w:tr>
        <w:trPr>
          <w:trHeight w:val="408"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bl>
    <w:p>
      <w:pPr>
        <w:widowControl w:val="0"/>
        <w:spacing w:after="1499" w:line="1" w:lineRule="exact"/>
      </w:pPr>
    </w:p>
    <w:p>
      <w:pPr>
        <w:pStyle w:val="Style22"/>
        <w:keepNext w:val="0"/>
        <w:keepLines w:val="0"/>
        <w:widowControl w:val="0"/>
        <w:shd w:val="clear" w:color="auto" w:fill="auto"/>
        <w:bidi w:val="0"/>
        <w:spacing w:before="0" w:after="140" w:line="240" w:lineRule="auto"/>
        <w:ind w:left="0" w:right="360" w:firstLine="0"/>
        <w:jc w:val="right"/>
      </w:pPr>
      <w:r>
        <w:rPr>
          <w:color w:val="000000"/>
          <w:spacing w:val="0"/>
          <w:w w:val="100"/>
          <w:position w:val="0"/>
        </w:rPr>
        <w:t>深圳劲嘉集团股份有限公司</w:t>
      </w:r>
    </w:p>
    <w:p>
      <w:pPr>
        <w:pStyle w:val="Style22"/>
        <w:keepNext w:val="0"/>
        <w:keepLines w:val="0"/>
        <w:widowControl w:val="0"/>
        <w:shd w:val="clear" w:color="auto" w:fill="auto"/>
        <w:bidi w:val="0"/>
        <w:spacing w:before="0" w:after="140" w:line="240" w:lineRule="auto"/>
        <w:ind w:left="0" w:right="360" w:firstLine="0"/>
        <w:jc w:val="right"/>
      </w:pPr>
      <w:r>
        <w:rPr>
          <w:color w:val="000000"/>
          <w:spacing w:val="0"/>
          <w:w w:val="100"/>
          <w:position w:val="0"/>
        </w:rPr>
        <w:t>董事会</w:t>
      </w:r>
    </w:p>
    <w:p>
      <w:pPr>
        <w:pStyle w:val="Style44"/>
        <w:keepNext w:val="0"/>
        <w:keepLines w:val="0"/>
        <w:widowControl w:val="0"/>
        <w:shd w:val="clear" w:color="auto" w:fill="auto"/>
        <w:bidi w:val="0"/>
        <w:spacing w:before="0" w:after="140" w:line="240" w:lineRule="auto"/>
        <w:ind w:left="0" w:right="360" w:firstLine="0"/>
        <w:jc w:val="righ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sectPr>
      <w:footnotePr>
        <w:pos w:val="pageBottom"/>
        <w:numFmt w:val="decimal"/>
        <w:numRestart w:val="continuous"/>
      </w:footnotePr>
      <w:pgSz w:w="11900" w:h="16840"/>
      <w:pgMar w:top="1354" w:right="1060" w:bottom="1436" w:left="1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Other_"/>
    <w:basedOn w:val="DefaultParagraphFont"/>
    <w:link w:val="Style16"/>
    <w:rPr>
      <w:rFonts w:ascii="SimSun" w:eastAsia="SimSun" w:hAnsi="SimSun" w:cs="SimSun"/>
      <w:b w:val="0"/>
      <w:bCs w:val="0"/>
      <w:i w:val="0"/>
      <w:iCs w:val="0"/>
      <w:smallCaps w:val="0"/>
      <w:strike w:val="0"/>
      <w:sz w:val="16"/>
      <w:szCs w:val="16"/>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6"/>
      <w:szCs w:val="16"/>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8)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Heading #5_"/>
    <w:basedOn w:val="DefaultParagraphFont"/>
    <w:link w:val="Style5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20"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60" w:line="467" w:lineRule="exact"/>
      <w:ind w:firstLine="52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Other"/>
    <w:basedOn w:val="Normal"/>
    <w:link w:val="CharStyle1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9">
    <w:name w:val="Table of contents"/>
    <w:basedOn w:val="Normal"/>
    <w:link w:val="CharStyle20"/>
    <w:pPr>
      <w:widowControl w:val="0"/>
      <w:shd w:val="clear" w:color="auto" w:fill="auto"/>
      <w:spacing w:after="260"/>
    </w:pPr>
    <w:rPr>
      <w:rFonts w:ascii="SimSun" w:eastAsia="SimSun" w:hAnsi="SimSun" w:cs="SimSun"/>
      <w:b/>
      <w:bCs/>
      <w:i w:val="0"/>
      <w:iCs w:val="0"/>
      <w:smallCaps w:val="0"/>
      <w:strike w:val="0"/>
      <w:sz w:val="20"/>
      <w:szCs w:val="20"/>
      <w:u w:val="none"/>
      <w:shd w:val="clear" w:color="auto" w:fill="auto"/>
    </w:rPr>
  </w:style>
  <w:style w:type="paragraph" w:styleId="Style22">
    <w:name w:val="Body text"/>
    <w:basedOn w:val="Normal"/>
    <w:link w:val="CharStyle23"/>
    <w:qFormat/>
    <w:pPr>
      <w:widowControl w:val="0"/>
      <w:shd w:val="clear" w:color="auto" w:fill="auto"/>
      <w:spacing w:line="410"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Heading #2"/>
    <w:basedOn w:val="Normal"/>
    <w:link w:val="CharStyle28"/>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2">
    <w:name w:val="Heading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8)"/>
    <w:basedOn w:val="Normal"/>
    <w:link w:val="CharStyle45"/>
    <w:pPr>
      <w:widowControl w:val="0"/>
      <w:shd w:val="clear" w:color="auto" w:fill="auto"/>
      <w:spacing w:line="314"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Heading #5"/>
    <w:basedOn w:val="Normal"/>
    <w:link w:val="CharStyle55"/>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深圳劲嘉集团股份有限公司2021年年度报告全文</dc:title>
  <dc:subject/>
  <dc:creator>深圳劲嘉集团股份有限公司</dc:creator>
  <cp:keywords/>
</cp:coreProperties>
</file>